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6843E38" w14:textId="77777777">
        <w:tc>
          <w:tcPr>
            <w:tcW w:w="6379" w:type="dxa"/>
            <w:gridSpan w:val="2"/>
            <w:tcBorders>
              <w:top w:val="nil"/>
              <w:left w:val="nil"/>
              <w:bottom w:val="nil"/>
              <w:right w:val="nil"/>
            </w:tcBorders>
            <w:vAlign w:val="center"/>
          </w:tcPr>
          <w:p w:rsidR="004330ED" w:rsidP="00EA1CE4" w:rsidRDefault="004330ED" w14:paraId="55DCC88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205E08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4059C89" w14:textId="77777777">
        <w:trPr>
          <w:cantSplit/>
        </w:trPr>
        <w:tc>
          <w:tcPr>
            <w:tcW w:w="10348" w:type="dxa"/>
            <w:gridSpan w:val="3"/>
            <w:tcBorders>
              <w:top w:val="single" w:color="auto" w:sz="4" w:space="0"/>
              <w:left w:val="nil"/>
              <w:bottom w:val="nil"/>
              <w:right w:val="nil"/>
            </w:tcBorders>
          </w:tcPr>
          <w:p w:rsidR="004330ED" w:rsidP="004A1E29" w:rsidRDefault="004330ED" w14:paraId="1A539847" w14:textId="56A47F25">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C67D6F">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C67D6F">
              <w:rPr>
                <w:rFonts w:ascii="Times New Roman" w:hAnsi="Times New Roman"/>
                <w:b w:val="0"/>
              </w:rPr>
              <w:t>5</w:t>
            </w:r>
          </w:p>
        </w:tc>
      </w:tr>
      <w:tr w:rsidR="004330ED" w:rsidTr="00EA1CE4" w14:paraId="252231B3" w14:textId="77777777">
        <w:trPr>
          <w:cantSplit/>
        </w:trPr>
        <w:tc>
          <w:tcPr>
            <w:tcW w:w="10348" w:type="dxa"/>
            <w:gridSpan w:val="3"/>
            <w:tcBorders>
              <w:top w:val="nil"/>
              <w:left w:val="nil"/>
              <w:bottom w:val="nil"/>
              <w:right w:val="nil"/>
            </w:tcBorders>
          </w:tcPr>
          <w:p w:rsidR="004330ED" w:rsidP="00BF623B" w:rsidRDefault="004330ED" w14:paraId="3652E4D9" w14:textId="77777777">
            <w:pPr>
              <w:pStyle w:val="Amendement"/>
              <w:tabs>
                <w:tab w:val="clear" w:pos="3310"/>
                <w:tab w:val="clear" w:pos="3600"/>
              </w:tabs>
              <w:rPr>
                <w:rFonts w:ascii="Times New Roman" w:hAnsi="Times New Roman"/>
                <w:b w:val="0"/>
              </w:rPr>
            </w:pPr>
          </w:p>
        </w:tc>
      </w:tr>
      <w:tr w:rsidR="004330ED" w:rsidTr="00EA1CE4" w14:paraId="4DD7F157" w14:textId="77777777">
        <w:trPr>
          <w:cantSplit/>
        </w:trPr>
        <w:tc>
          <w:tcPr>
            <w:tcW w:w="10348" w:type="dxa"/>
            <w:gridSpan w:val="3"/>
            <w:tcBorders>
              <w:top w:val="nil"/>
              <w:left w:val="nil"/>
              <w:bottom w:val="single" w:color="auto" w:sz="4" w:space="0"/>
              <w:right w:val="nil"/>
            </w:tcBorders>
          </w:tcPr>
          <w:p w:rsidR="004330ED" w:rsidP="00BF623B" w:rsidRDefault="004330ED" w14:paraId="2BD963D7" w14:textId="77777777">
            <w:pPr>
              <w:pStyle w:val="Amendement"/>
              <w:tabs>
                <w:tab w:val="clear" w:pos="3310"/>
                <w:tab w:val="clear" w:pos="3600"/>
              </w:tabs>
              <w:rPr>
                <w:rFonts w:ascii="Times New Roman" w:hAnsi="Times New Roman"/>
              </w:rPr>
            </w:pPr>
          </w:p>
        </w:tc>
      </w:tr>
      <w:tr w:rsidR="004330ED" w:rsidTr="00EA1CE4" w14:paraId="4AF1C8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0528652"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28F7F153" w14:textId="77777777">
            <w:pPr>
              <w:suppressAutoHyphens/>
              <w:ind w:left="-70"/>
              <w:rPr>
                <w:b/>
              </w:rPr>
            </w:pPr>
          </w:p>
        </w:tc>
      </w:tr>
      <w:tr w:rsidR="003C21AC" w:rsidTr="00EA1CE4" w14:paraId="5EFAB7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01CE6" w14:paraId="38A9B8C7" w14:textId="3B64BCDD">
            <w:pPr>
              <w:pStyle w:val="Amendement"/>
              <w:tabs>
                <w:tab w:val="clear" w:pos="3310"/>
                <w:tab w:val="clear" w:pos="3600"/>
              </w:tabs>
              <w:rPr>
                <w:rFonts w:ascii="Times New Roman" w:hAnsi="Times New Roman"/>
              </w:rPr>
            </w:pPr>
            <w:r>
              <w:rPr>
                <w:rFonts w:ascii="Times New Roman" w:hAnsi="Times New Roman"/>
              </w:rPr>
              <w:t>36</w:t>
            </w:r>
            <w:r w:rsidR="00855B5F">
              <w:rPr>
                <w:rFonts w:ascii="Times New Roman" w:hAnsi="Times New Roman"/>
              </w:rPr>
              <w:t xml:space="preserve"> </w:t>
            </w:r>
            <w:r>
              <w:rPr>
                <w:rFonts w:ascii="Times New Roman" w:hAnsi="Times New Roman"/>
              </w:rPr>
              <w:t>602</w:t>
            </w:r>
          </w:p>
        </w:tc>
        <w:tc>
          <w:tcPr>
            <w:tcW w:w="7371" w:type="dxa"/>
            <w:gridSpan w:val="2"/>
          </w:tcPr>
          <w:p w:rsidRPr="00C67D6F" w:rsidR="003C21AC" w:rsidP="00001CE6" w:rsidRDefault="00001CE6" w14:paraId="6222754B" w14:textId="33614809">
            <w:pPr>
              <w:rPr>
                <w:b/>
                <w:bCs/>
                <w:szCs w:val="24"/>
              </w:rPr>
            </w:pPr>
            <w:r w:rsidRPr="00C67D6F">
              <w:rPr>
                <w:b/>
                <w:bCs/>
                <w:szCs w:val="24"/>
              </w:rPr>
              <w:t>Wijziging van enkele belastingwetten en enige andere wetten (Belastingplan 2025)</w:t>
            </w:r>
          </w:p>
        </w:tc>
      </w:tr>
      <w:tr w:rsidR="003C21AC" w:rsidTr="00EA1CE4" w14:paraId="468549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637F3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B14581E" w14:textId="77777777">
            <w:pPr>
              <w:pStyle w:val="Amendement"/>
              <w:tabs>
                <w:tab w:val="clear" w:pos="3310"/>
                <w:tab w:val="clear" w:pos="3600"/>
              </w:tabs>
              <w:ind w:left="-70"/>
              <w:rPr>
                <w:rFonts w:ascii="Times New Roman" w:hAnsi="Times New Roman"/>
              </w:rPr>
            </w:pPr>
          </w:p>
        </w:tc>
      </w:tr>
      <w:tr w:rsidR="003C21AC" w:rsidTr="00EA1CE4" w14:paraId="026BC3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25D810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82AF0FB" w14:textId="77777777">
            <w:pPr>
              <w:pStyle w:val="Amendement"/>
              <w:tabs>
                <w:tab w:val="clear" w:pos="3310"/>
                <w:tab w:val="clear" w:pos="3600"/>
              </w:tabs>
              <w:ind w:left="-70"/>
              <w:rPr>
                <w:rFonts w:ascii="Times New Roman" w:hAnsi="Times New Roman"/>
              </w:rPr>
            </w:pPr>
          </w:p>
        </w:tc>
      </w:tr>
      <w:tr w:rsidR="003C21AC" w:rsidTr="00EA1CE4" w14:paraId="0F21FF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B34E8D6" w14:textId="7F80B223">
            <w:pPr>
              <w:pStyle w:val="Amendement"/>
              <w:tabs>
                <w:tab w:val="clear" w:pos="3310"/>
                <w:tab w:val="clear" w:pos="3600"/>
              </w:tabs>
              <w:rPr>
                <w:rFonts w:ascii="Times New Roman" w:hAnsi="Times New Roman"/>
              </w:rPr>
            </w:pPr>
            <w:r w:rsidRPr="00C035D4">
              <w:rPr>
                <w:rFonts w:ascii="Times New Roman" w:hAnsi="Times New Roman"/>
              </w:rPr>
              <w:t xml:space="preserve">Nr. </w:t>
            </w:r>
            <w:r w:rsidR="00855B5F">
              <w:rPr>
                <w:rFonts w:ascii="Times New Roman" w:hAnsi="Times New Roman"/>
                <w:caps/>
              </w:rPr>
              <w:t>15</w:t>
            </w:r>
          </w:p>
        </w:tc>
        <w:tc>
          <w:tcPr>
            <w:tcW w:w="7371" w:type="dxa"/>
            <w:gridSpan w:val="2"/>
          </w:tcPr>
          <w:p w:rsidRPr="00C035D4" w:rsidR="003C21AC" w:rsidP="006E0971" w:rsidRDefault="003C21AC" w14:paraId="37D55B72" w14:textId="7B90FA5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001CE6">
              <w:rPr>
                <w:rFonts w:ascii="Times New Roman" w:hAnsi="Times New Roman"/>
                <w:caps/>
              </w:rPr>
              <w:t>Grinwis</w:t>
            </w:r>
            <w:r w:rsidR="00855B5F">
              <w:rPr>
                <w:rFonts w:ascii="Times New Roman" w:hAnsi="Times New Roman"/>
                <w:caps/>
              </w:rPr>
              <w:t xml:space="preserve"> c.s.</w:t>
            </w:r>
          </w:p>
        </w:tc>
      </w:tr>
      <w:tr w:rsidR="003C21AC" w:rsidTr="00EA1CE4" w14:paraId="6D081C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64093F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67A4DD2" w14:textId="6705378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55B5F">
              <w:rPr>
                <w:rFonts w:ascii="Times New Roman" w:hAnsi="Times New Roman"/>
                <w:b w:val="0"/>
              </w:rPr>
              <w:t>1 oktober 2024</w:t>
            </w:r>
          </w:p>
        </w:tc>
      </w:tr>
      <w:tr w:rsidR="00B01BA6" w:rsidTr="00EA1CE4" w14:paraId="77510E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B49727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BB8B051" w14:textId="77777777">
            <w:pPr>
              <w:pStyle w:val="Amendement"/>
              <w:tabs>
                <w:tab w:val="clear" w:pos="3310"/>
                <w:tab w:val="clear" w:pos="3600"/>
              </w:tabs>
              <w:ind w:left="-70"/>
              <w:rPr>
                <w:rFonts w:ascii="Times New Roman" w:hAnsi="Times New Roman"/>
                <w:b w:val="0"/>
              </w:rPr>
            </w:pPr>
          </w:p>
        </w:tc>
      </w:tr>
      <w:tr w:rsidRPr="00EA69AC" w:rsidR="00B01BA6" w:rsidTr="00EA1CE4" w14:paraId="49C217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B9622CD" w14:textId="6165534D">
            <w:pPr>
              <w:ind w:firstLine="284"/>
            </w:pPr>
            <w:r w:rsidRPr="00EA69AC">
              <w:t>De ondergetekende</w:t>
            </w:r>
            <w:r w:rsidR="00855B5F">
              <w:t>n</w:t>
            </w:r>
            <w:r w:rsidRPr="00EA69AC">
              <w:t xml:space="preserve"> stel</w:t>
            </w:r>
            <w:r w:rsidR="00855B5F">
              <w:t>len</w:t>
            </w:r>
            <w:r w:rsidRPr="00EA69AC">
              <w:t xml:space="preserve"> het volgende amendement voor:</w:t>
            </w:r>
          </w:p>
        </w:tc>
      </w:tr>
    </w:tbl>
    <w:p w:rsidRPr="00EA69AC" w:rsidR="004330ED" w:rsidP="00D774B3" w:rsidRDefault="004330ED" w14:paraId="36058094" w14:textId="77777777"/>
    <w:p w:rsidR="004330ED" w:rsidP="00EA1CE4" w:rsidRDefault="004330ED" w14:paraId="0C2274CD" w14:textId="77777777">
      <w:r w:rsidRPr="00EA69AC">
        <w:t>I</w:t>
      </w:r>
    </w:p>
    <w:p w:rsidR="00B51372" w:rsidP="00EA1CE4" w:rsidRDefault="00B51372" w14:paraId="2C9C7433" w14:textId="77777777"/>
    <w:p w:rsidR="00B51372" w:rsidP="00EA1CE4" w:rsidRDefault="00B51372" w14:paraId="0DE7626A" w14:textId="573FCF85">
      <w:r>
        <w:tab/>
        <w:t>Artikel I, onderdeel J, vervalt.</w:t>
      </w:r>
    </w:p>
    <w:p w:rsidR="00B51372" w:rsidP="00EA1CE4" w:rsidRDefault="00B51372" w14:paraId="60532DD1" w14:textId="77777777"/>
    <w:p w:rsidR="00B51372" w:rsidP="00EA1CE4" w:rsidRDefault="00B51372" w14:paraId="25D9FC79" w14:textId="342D307B">
      <w:r>
        <w:t>II</w:t>
      </w:r>
    </w:p>
    <w:p w:rsidR="00001CE6" w:rsidP="00EA1CE4" w:rsidRDefault="00001CE6" w14:paraId="530D7943" w14:textId="77777777"/>
    <w:p w:rsidR="00001CE6" w:rsidP="00EA1CE4" w:rsidRDefault="00001CE6" w14:paraId="490E3566" w14:textId="1AF4F1F2">
      <w:r>
        <w:tab/>
        <w:t>Artikel XV, onderdeel D, vervalt.</w:t>
      </w:r>
    </w:p>
    <w:p w:rsidR="00001CE6" w:rsidP="00EA1CE4" w:rsidRDefault="00001CE6" w14:paraId="13DE5330" w14:textId="77777777"/>
    <w:p w:rsidR="00001CE6" w:rsidP="00EA1CE4" w:rsidRDefault="00001CE6" w14:paraId="0FAD5AF5" w14:textId="4B029B6B">
      <w:r>
        <w:t>II</w:t>
      </w:r>
      <w:r w:rsidR="00B52556">
        <w:t>I</w:t>
      </w:r>
    </w:p>
    <w:p w:rsidR="00B52556" w:rsidP="00EA1CE4" w:rsidRDefault="00B52556" w14:paraId="7AB11227" w14:textId="77777777"/>
    <w:p w:rsidR="00B52556" w:rsidP="00EA1CE4" w:rsidRDefault="00B52556" w14:paraId="3746CB70" w14:textId="2D29F301">
      <w:r>
        <w:tab/>
        <w:t>In artikel XV, onderdeel K, onder 1, wordt “25%” vervangen door “</w:t>
      </w:r>
      <w:r w:rsidR="00C67D6F">
        <w:t>24</w:t>
      </w:r>
      <w:r>
        <w:t>,</w:t>
      </w:r>
      <w:r w:rsidR="00C67D6F">
        <w:t>25</w:t>
      </w:r>
      <w:r>
        <w:t>%”.</w:t>
      </w:r>
    </w:p>
    <w:p w:rsidR="00B52556" w:rsidP="00EA1CE4" w:rsidRDefault="00B52556" w14:paraId="3F59AD77" w14:textId="77777777"/>
    <w:p w:rsidRPr="00EA69AC" w:rsidR="00B52556" w:rsidP="00EA1CE4" w:rsidRDefault="00B52556" w14:paraId="08BE274D" w14:textId="6487DBA8">
      <w:r>
        <w:t>IV</w:t>
      </w:r>
    </w:p>
    <w:p w:rsidRPr="00EA69AC" w:rsidR="005B1DCC" w:rsidP="00BF623B" w:rsidRDefault="005B1DCC" w14:paraId="20E79772" w14:textId="77777777"/>
    <w:p w:rsidR="005B1DCC" w:rsidP="0088452C" w:rsidRDefault="00001CE6" w14:paraId="6FA9A204" w14:textId="0D5DE66C">
      <w:pPr>
        <w:ind w:firstLine="284"/>
      </w:pPr>
      <w:r>
        <w:t>Artikel XV, onderdeel L, vervalt.</w:t>
      </w:r>
    </w:p>
    <w:p w:rsidR="00001CE6" w:rsidP="00001CE6" w:rsidRDefault="00001CE6" w14:paraId="5C690C15" w14:textId="77777777"/>
    <w:p w:rsidR="00001CE6" w:rsidP="00001CE6" w:rsidRDefault="00B52556" w14:paraId="641B4E5A" w14:textId="5A1FD24F">
      <w:r>
        <w:t>V</w:t>
      </w:r>
    </w:p>
    <w:p w:rsidR="00001CE6" w:rsidP="00001CE6" w:rsidRDefault="00001CE6" w14:paraId="48288AE2" w14:textId="77777777"/>
    <w:p w:rsidR="00B51372" w:rsidP="00001CE6" w:rsidRDefault="00001CE6" w14:paraId="12CB82EA" w14:textId="570AD2AE">
      <w:r>
        <w:tab/>
        <w:t>Artikel XV, onderdeel N, vervalt.</w:t>
      </w:r>
    </w:p>
    <w:p w:rsidR="00C67D6F" w:rsidP="00001CE6" w:rsidRDefault="00C67D6F" w14:paraId="1694A76C" w14:textId="77777777"/>
    <w:p w:rsidR="00C67D6F" w:rsidP="00001CE6" w:rsidRDefault="00C67D6F" w14:paraId="716E360F" w14:textId="1D0473C9">
      <w:r>
        <w:t>VI</w:t>
      </w:r>
    </w:p>
    <w:p w:rsidR="00C67D6F" w:rsidP="00001CE6" w:rsidRDefault="00C67D6F" w14:paraId="43AC0FD6" w14:textId="77777777"/>
    <w:p w:rsidR="00C67D6F" w:rsidP="00001CE6" w:rsidRDefault="00C67D6F" w14:paraId="5A224E8D" w14:textId="4E50DFD5">
      <w:r>
        <w:tab/>
        <w:t>Artikel XVI, onderdeel C, vervalt.</w:t>
      </w:r>
    </w:p>
    <w:p w:rsidR="00C67D6F" w:rsidP="00001CE6" w:rsidRDefault="00C67D6F" w14:paraId="6A1BD9D5" w14:textId="77777777"/>
    <w:p w:rsidR="00C67D6F" w:rsidP="00001CE6" w:rsidRDefault="00C67D6F" w14:paraId="5E26314E" w14:textId="39315C63">
      <w:r>
        <w:t>VII</w:t>
      </w:r>
    </w:p>
    <w:p w:rsidR="00C67D6F" w:rsidP="00001CE6" w:rsidRDefault="00C67D6F" w14:paraId="4BBF2E29" w14:textId="77777777"/>
    <w:p w:rsidR="00C67D6F" w:rsidP="00001CE6" w:rsidRDefault="00C67D6F" w14:paraId="50CA349D" w14:textId="55B0EDEB">
      <w:r>
        <w:tab/>
        <w:t>Artikel XVI, onderdeel D, vervalt.</w:t>
      </w:r>
    </w:p>
    <w:p w:rsidR="00C67D6F" w:rsidP="00001CE6" w:rsidRDefault="00C67D6F" w14:paraId="6FCD6E85" w14:textId="77777777"/>
    <w:p w:rsidR="00C67D6F" w:rsidP="00C67D6F" w:rsidRDefault="00C67D6F" w14:paraId="4B094FDC" w14:textId="77777777">
      <w:r>
        <w:t>VII</w:t>
      </w:r>
    </w:p>
    <w:p w:rsidR="00C67D6F" w:rsidP="00C67D6F" w:rsidRDefault="00C67D6F" w14:paraId="3F498C1B" w14:textId="77777777"/>
    <w:p w:rsidR="00EA1CE4" w:rsidP="00855B5F" w:rsidRDefault="00C67D6F" w14:paraId="59B956BB" w14:textId="4857FF29">
      <w:pPr>
        <w:ind w:firstLine="284"/>
      </w:pPr>
      <w:r>
        <w:t>In artikel LXV, eerste lid, onderdeel e, vervalt “D,” en vervalt “L, N,”.</w:t>
      </w:r>
    </w:p>
    <w:p w:rsidR="00855B5F" w:rsidP="00EA1CE4" w:rsidRDefault="00855B5F" w14:paraId="4A1D23F3" w14:textId="77777777"/>
    <w:p w:rsidRPr="00EA69AC" w:rsidR="003C21AC" w:rsidP="00EA1CE4" w:rsidRDefault="003C21AC" w14:paraId="364137B3" w14:textId="77777777">
      <w:pPr>
        <w:rPr>
          <w:b/>
        </w:rPr>
      </w:pPr>
      <w:r w:rsidRPr="00EA69AC">
        <w:rPr>
          <w:b/>
        </w:rPr>
        <w:t>Toelichting</w:t>
      </w:r>
    </w:p>
    <w:p w:rsidR="00855B5F" w:rsidP="00001CE6" w:rsidRDefault="00855B5F" w14:paraId="1C03085E" w14:textId="77777777"/>
    <w:p w:rsidR="0007723D" w:rsidP="00001CE6" w:rsidRDefault="0007723D" w14:paraId="340186AD" w14:textId="5AF8F605">
      <w:r>
        <w:t xml:space="preserve">Dit amendement regelt dat giftenaftrek onverkort in stand blijft. </w:t>
      </w:r>
      <w:r w:rsidR="008E7914">
        <w:t xml:space="preserve">Hiermee blijven twee </w:t>
      </w:r>
      <w:r w:rsidR="00387E6C">
        <w:t>fiscale faciliteiten voor ondernemingen van kracht. Het gaat om de vorig jaar geïntroduceerde regeli</w:t>
      </w:r>
      <w:r w:rsidR="00795D99">
        <w:t xml:space="preserve">ng ‘geven vanuit de vennootschap’ die </w:t>
      </w:r>
      <w:r w:rsidR="001F1C0D">
        <w:t>onder andere steward</w:t>
      </w:r>
      <w:r w:rsidR="00AE5C30">
        <w:t>-</w:t>
      </w:r>
      <w:proofErr w:type="spellStart"/>
      <w:r w:rsidR="001F1C0D">
        <w:t>ownership</w:t>
      </w:r>
      <w:proofErr w:type="spellEnd"/>
      <w:r w:rsidR="001F1C0D">
        <w:t xml:space="preserve"> mogelijk maakt</w:t>
      </w:r>
      <w:r w:rsidR="00173580">
        <w:t xml:space="preserve">, waarmee de aandelen </w:t>
      </w:r>
      <w:r w:rsidR="00826F01">
        <w:t>met een ANBI-</w:t>
      </w:r>
      <w:r w:rsidR="00826F01">
        <w:lastRenderedPageBreak/>
        <w:t>stichting feitelijk aan de samenleving worden geschonken</w:t>
      </w:r>
      <w:r w:rsidR="00DA7515">
        <w:t xml:space="preserve"> (zoals bij het bedrijf Patagonia)</w:t>
      </w:r>
      <w:r w:rsidR="00826F01">
        <w:t xml:space="preserve">. </w:t>
      </w:r>
      <w:r w:rsidR="00DA7515">
        <w:t>Ook gaat het om het afschaffen van de</w:t>
      </w:r>
      <w:r w:rsidR="00FF2A77">
        <w:t xml:space="preserve"> </w:t>
      </w:r>
      <w:r w:rsidR="00ED7EF0">
        <w:t>giftenaftrek</w:t>
      </w:r>
      <w:r w:rsidR="00FF2A77">
        <w:t xml:space="preserve"> in de winstbelasting,</w:t>
      </w:r>
      <w:r w:rsidR="0089438D">
        <w:t xml:space="preserve"> die voornamelijk door MKB-ondernemers gebruikt wordt.</w:t>
      </w:r>
      <w:r w:rsidR="00826F01">
        <w:t xml:space="preserve"> </w:t>
      </w:r>
      <w:r w:rsidR="0083367B">
        <w:t>Indieners zijn van mening dat dergelijk geefgedrag niet afgestraft maar juist mogelijk gemaakt moet worden.</w:t>
      </w:r>
      <w:r w:rsidR="0029372C">
        <w:t xml:space="preserve"> Met het wegvallen van deze regeling moet </w:t>
      </w:r>
      <w:r w:rsidR="002D3A98">
        <w:t>ongeveer 40% dividend- en inkomstenbelasting betaald worden over de waarde van de gift, wat steward-</w:t>
      </w:r>
      <w:proofErr w:type="spellStart"/>
      <w:r w:rsidR="002D3A98">
        <w:t>ownership</w:t>
      </w:r>
      <w:proofErr w:type="spellEnd"/>
      <w:r w:rsidR="002D3A98">
        <w:t xml:space="preserve"> zonder ontmanteling of gedeeltelijke verkoop van het bedrijf onmogelijk maakt.</w:t>
      </w:r>
      <w:r w:rsidR="00084E48">
        <w:t xml:space="preserve"> </w:t>
      </w:r>
      <w:r>
        <w:t>Als dekking wordt de verruiming van de renteaftrekbeperking – die de regering verhoogt van 20% naar 25% – met 0,7</w:t>
      </w:r>
      <w:r w:rsidR="00F06F5E">
        <w:t>5</w:t>
      </w:r>
      <w:r w:rsidR="00084E48">
        <w:t xml:space="preserve"> procent</w:t>
      </w:r>
      <w:r>
        <w:t xml:space="preserve">punt verlaagd. Hierdoor kunnen grote bedrijven iets ‘minder meer’ rente aftrekken van de winstbelasting, maar blijft het voor bedrijven en </w:t>
      </w:r>
      <w:proofErr w:type="spellStart"/>
      <w:r>
        <w:t>ab</w:t>
      </w:r>
      <w:proofErr w:type="spellEnd"/>
      <w:r>
        <w:t>-houders mogelijk om giften aan goede doelen af te blijven trekken. Per saldo is deze combinatie van maatregelen budgetneutraal.</w:t>
      </w:r>
    </w:p>
    <w:p w:rsidR="0007723D" w:rsidP="00001CE6" w:rsidRDefault="0007723D" w14:paraId="73796C3C" w14:textId="77777777"/>
    <w:p w:rsidRPr="00855B5F" w:rsidR="00143EBD" w:rsidP="00001CE6" w:rsidRDefault="00253EE3" w14:paraId="26E89372" w14:textId="0DE1C666">
      <w:pPr>
        <w:rPr>
          <w:i/>
          <w:iCs/>
        </w:rPr>
      </w:pPr>
      <w:r>
        <w:rPr>
          <w:i/>
          <w:iCs/>
        </w:rPr>
        <w:t>Technische toelichting</w:t>
      </w:r>
    </w:p>
    <w:p w:rsidRPr="00855B5F" w:rsidR="00C67D6F" w:rsidP="00855B5F" w:rsidRDefault="00C67D6F" w14:paraId="3276D97E" w14:textId="77777777">
      <w:pPr>
        <w:rPr>
          <w:rStyle w:val="cf01"/>
          <w:rFonts w:ascii="Times New Roman" w:hAnsi="Times New Roman" w:cs="Times New Roman"/>
          <w:sz w:val="24"/>
          <w:szCs w:val="24"/>
        </w:rPr>
      </w:pPr>
      <w:r w:rsidRPr="00855B5F">
        <w:rPr>
          <w:rStyle w:val="cf01"/>
          <w:rFonts w:ascii="Times New Roman" w:hAnsi="Times New Roman" w:cs="Times New Roman"/>
          <w:sz w:val="24"/>
          <w:szCs w:val="24"/>
        </w:rPr>
        <w:t xml:space="preserve">Het laten vervallen van artikel I, onderdeel J, bewerkstelligt dat </w:t>
      </w:r>
      <w:r w:rsidRPr="00855B5F">
        <w:rPr>
          <w:szCs w:val="24"/>
        </w:rPr>
        <w:t>giften aan algemeen nut beogende instellingen (</w:t>
      </w:r>
      <w:proofErr w:type="spellStart"/>
      <w:r w:rsidRPr="00855B5F">
        <w:rPr>
          <w:szCs w:val="24"/>
        </w:rPr>
        <w:t>ANBI’s</w:t>
      </w:r>
      <w:proofErr w:type="spellEnd"/>
      <w:r w:rsidRPr="00855B5F">
        <w:rPr>
          <w:szCs w:val="24"/>
        </w:rPr>
        <w:t>) en steunstichtingen sociaal belang behartigende instellingen (</w:t>
      </w:r>
      <w:proofErr w:type="spellStart"/>
      <w:r w:rsidRPr="00855B5F">
        <w:rPr>
          <w:szCs w:val="24"/>
        </w:rPr>
        <w:t>SBBI’s</w:t>
      </w:r>
      <w:proofErr w:type="spellEnd"/>
      <w:r w:rsidRPr="00855B5F">
        <w:rPr>
          <w:szCs w:val="24"/>
        </w:rPr>
        <w:t>) die op instigatie van de aanmerkelijkbelanghouders (</w:t>
      </w:r>
      <w:proofErr w:type="spellStart"/>
      <w:r w:rsidRPr="00855B5F">
        <w:rPr>
          <w:szCs w:val="24"/>
        </w:rPr>
        <w:t>ab</w:t>
      </w:r>
      <w:proofErr w:type="spellEnd"/>
      <w:r w:rsidRPr="00855B5F">
        <w:rPr>
          <w:szCs w:val="24"/>
        </w:rPr>
        <w:t xml:space="preserve">-houders) in een vennootschap worden gedaan door die vennootschap in beginsel niet in aanmerking worden genomen als een uitdeling aan de betreffende </w:t>
      </w:r>
      <w:proofErr w:type="spellStart"/>
      <w:r w:rsidRPr="00855B5F">
        <w:rPr>
          <w:szCs w:val="24"/>
        </w:rPr>
        <w:t>ab</w:t>
      </w:r>
      <w:proofErr w:type="spellEnd"/>
      <w:r w:rsidRPr="00855B5F">
        <w:rPr>
          <w:szCs w:val="24"/>
        </w:rPr>
        <w:t>-houder(s), belast in box 2.</w:t>
      </w:r>
    </w:p>
    <w:p w:rsidRPr="00855B5F" w:rsidR="00C67D6F" w:rsidP="00855B5F" w:rsidRDefault="00C67D6F" w14:paraId="148281B4" w14:textId="77777777">
      <w:pPr>
        <w:rPr>
          <w:rStyle w:val="cf01"/>
          <w:rFonts w:ascii="Times New Roman" w:hAnsi="Times New Roman" w:cs="Times New Roman"/>
          <w:sz w:val="24"/>
          <w:szCs w:val="24"/>
        </w:rPr>
      </w:pPr>
      <w:r w:rsidRPr="00855B5F">
        <w:rPr>
          <w:rStyle w:val="cf01"/>
          <w:rFonts w:ascii="Times New Roman" w:hAnsi="Times New Roman" w:cs="Times New Roman"/>
          <w:sz w:val="24"/>
          <w:szCs w:val="24"/>
        </w:rPr>
        <w:t xml:space="preserve">Met de beoogde instandhouding van de giftenaftrek in de vennootschapsbelasting vervallen artikel XV, onderdelen D, L en N. Dit leidt tevens tot de voorgestelde aanpassing in artikel LXV. </w:t>
      </w:r>
    </w:p>
    <w:p w:rsidRPr="00855B5F" w:rsidR="00C67D6F" w:rsidP="00855B5F" w:rsidRDefault="00C67D6F" w14:paraId="6DB6A271" w14:textId="77777777">
      <w:pPr>
        <w:rPr>
          <w:szCs w:val="24"/>
        </w:rPr>
      </w:pPr>
      <w:r w:rsidRPr="00855B5F">
        <w:rPr>
          <w:rStyle w:val="cf01"/>
          <w:rFonts w:ascii="Times New Roman" w:hAnsi="Times New Roman" w:cs="Times New Roman"/>
          <w:sz w:val="24"/>
          <w:szCs w:val="24"/>
        </w:rPr>
        <w:t xml:space="preserve">Het laten vervallen van artikel XVI, onderdelen C en D, leidt ertoe dat voor de dividendbelasting </w:t>
      </w:r>
      <w:r w:rsidRPr="00855B5F">
        <w:rPr>
          <w:szCs w:val="24"/>
        </w:rPr>
        <w:t xml:space="preserve">niet tot de opbrengst behoren onmiddellijke of middellijke uitdelingen van winst, als gevolg van giften als bedoeld in artikel 4.13, vijfde lid, eerste zin, van de Wet inkomstenbelasting 2001 (Wet IB 2001) aan </w:t>
      </w:r>
      <w:proofErr w:type="spellStart"/>
      <w:r w:rsidRPr="00855B5F">
        <w:rPr>
          <w:szCs w:val="24"/>
        </w:rPr>
        <w:t>ANBI’s</w:t>
      </w:r>
      <w:proofErr w:type="spellEnd"/>
      <w:r w:rsidRPr="00855B5F">
        <w:rPr>
          <w:szCs w:val="24"/>
        </w:rPr>
        <w:t xml:space="preserve"> en steunstichtingen </w:t>
      </w:r>
      <w:proofErr w:type="spellStart"/>
      <w:r w:rsidRPr="00855B5F">
        <w:rPr>
          <w:szCs w:val="24"/>
        </w:rPr>
        <w:t>SBBI’s</w:t>
      </w:r>
      <w:proofErr w:type="spellEnd"/>
      <w:r w:rsidRPr="00855B5F">
        <w:rPr>
          <w:szCs w:val="24"/>
        </w:rPr>
        <w:t xml:space="preserve"> door een vennootschap waarin de opbrengstgerechtigde een aanmerkelijk belang heeft als bedoeld in hoofdstuk 4 Wet IB 2001.</w:t>
      </w:r>
    </w:p>
    <w:p w:rsidRPr="00855B5F" w:rsidR="00C67D6F" w:rsidP="00855B5F" w:rsidRDefault="00C67D6F" w14:paraId="1282B0E8" w14:textId="77777777">
      <w:pPr>
        <w:rPr>
          <w:szCs w:val="24"/>
        </w:rPr>
      </w:pPr>
      <w:r w:rsidRPr="00855B5F">
        <w:rPr>
          <w:szCs w:val="24"/>
        </w:rPr>
        <w:t>De aanpassing van artikel XV, onderdeel K, leidt tot een aanpassing van de begrenzing van de generieke renteaftrekbeperking in de vennootschapsbelasting van thans 20% (van de gecorrigeerde winst) en voorgesteld 25% tot 24,25%. De structurele opbrengst daarvan bedraagt € 61 miljoen vanaf 2028.</w:t>
      </w:r>
    </w:p>
    <w:p w:rsidRPr="00855B5F" w:rsidR="00C67D6F" w:rsidP="00855B5F" w:rsidRDefault="00C67D6F" w14:paraId="3AC95E77" w14:textId="77777777">
      <w:pPr>
        <w:rPr>
          <w:szCs w:val="24"/>
        </w:rPr>
      </w:pPr>
    </w:p>
    <w:p w:rsidRPr="00855B5F" w:rsidR="00C67D6F" w:rsidP="00855B5F" w:rsidRDefault="00C67D6F" w14:paraId="5A39DF2F" w14:textId="77777777">
      <w:pPr>
        <w:rPr>
          <w:i/>
          <w:iCs/>
          <w:szCs w:val="24"/>
        </w:rPr>
      </w:pPr>
      <w:r w:rsidRPr="00855B5F">
        <w:rPr>
          <w:i/>
          <w:iCs/>
          <w:szCs w:val="24"/>
        </w:rPr>
        <w:t>Budgettair</w:t>
      </w:r>
    </w:p>
    <w:p w:rsidRPr="00855B5F" w:rsidR="00C67D6F" w:rsidP="00855B5F" w:rsidRDefault="00C67D6F" w14:paraId="7933F3C0" w14:textId="77777777">
      <w:pPr>
        <w:rPr>
          <w:szCs w:val="24"/>
        </w:rPr>
      </w:pPr>
    </w:p>
    <w:tbl>
      <w:tblPr>
        <w:tblStyle w:val="Tabelraster"/>
        <w:tblW w:w="5000" w:type="pct"/>
        <w:tblLook w:val="04A0" w:firstRow="1" w:lastRow="0" w:firstColumn="1" w:lastColumn="0" w:noHBand="0" w:noVBand="1"/>
      </w:tblPr>
      <w:tblGrid>
        <w:gridCol w:w="4936"/>
        <w:gridCol w:w="697"/>
        <w:gridCol w:w="1176"/>
        <w:gridCol w:w="1176"/>
        <w:gridCol w:w="1176"/>
        <w:gridCol w:w="1176"/>
      </w:tblGrid>
      <w:tr w:rsidRPr="00C67D6F" w:rsidR="00855B5F" w:rsidTr="00855B5F" w14:paraId="190E83AD" w14:textId="77777777">
        <w:trPr>
          <w:trHeight w:val="214"/>
        </w:trPr>
        <w:tc>
          <w:tcPr>
            <w:tcW w:w="2388" w:type="pct"/>
          </w:tcPr>
          <w:p w:rsidRPr="00855B5F" w:rsidR="00C67D6F" w:rsidP="00855B5F" w:rsidRDefault="00C67D6F" w14:paraId="591AF93F" w14:textId="77777777">
            <w:pPr>
              <w:rPr>
                <w:rStyle w:val="cf01"/>
                <w:rFonts w:ascii="Times New Roman" w:hAnsi="Times New Roman" w:cs="Times New Roman"/>
                <w:sz w:val="24"/>
                <w:szCs w:val="24"/>
              </w:rPr>
            </w:pPr>
          </w:p>
        </w:tc>
        <w:tc>
          <w:tcPr>
            <w:tcW w:w="337" w:type="pct"/>
          </w:tcPr>
          <w:p w:rsidRPr="00855B5F" w:rsidR="00C67D6F" w:rsidP="00855B5F" w:rsidRDefault="00C67D6F" w14:paraId="7AD8C052" w14:textId="77777777">
            <w:pPr>
              <w:rPr>
                <w:rStyle w:val="cf01"/>
                <w:rFonts w:ascii="Times New Roman" w:hAnsi="Times New Roman" w:cs="Times New Roman"/>
                <w:sz w:val="24"/>
                <w:szCs w:val="24"/>
              </w:rPr>
            </w:pPr>
            <w:r w:rsidRPr="00855B5F">
              <w:rPr>
                <w:rStyle w:val="cf01"/>
                <w:rFonts w:ascii="Times New Roman" w:hAnsi="Times New Roman" w:cs="Times New Roman"/>
                <w:sz w:val="24"/>
                <w:szCs w:val="24"/>
              </w:rPr>
              <w:t>2024</w:t>
            </w:r>
          </w:p>
        </w:tc>
        <w:tc>
          <w:tcPr>
            <w:tcW w:w="569" w:type="pct"/>
          </w:tcPr>
          <w:p w:rsidRPr="00855B5F" w:rsidR="00C67D6F" w:rsidP="00855B5F" w:rsidRDefault="00C67D6F" w14:paraId="68571335" w14:textId="77777777">
            <w:pPr>
              <w:rPr>
                <w:rStyle w:val="cf01"/>
                <w:rFonts w:ascii="Times New Roman" w:hAnsi="Times New Roman" w:cs="Times New Roman"/>
                <w:sz w:val="24"/>
                <w:szCs w:val="24"/>
              </w:rPr>
            </w:pPr>
            <w:r w:rsidRPr="00855B5F">
              <w:rPr>
                <w:rStyle w:val="cf01"/>
                <w:rFonts w:ascii="Times New Roman" w:hAnsi="Times New Roman" w:cs="Times New Roman"/>
                <w:sz w:val="24"/>
                <w:szCs w:val="24"/>
              </w:rPr>
              <w:t>2025</w:t>
            </w:r>
          </w:p>
        </w:tc>
        <w:tc>
          <w:tcPr>
            <w:tcW w:w="569" w:type="pct"/>
          </w:tcPr>
          <w:p w:rsidRPr="00855B5F" w:rsidR="00C67D6F" w:rsidP="00855B5F" w:rsidRDefault="00C67D6F" w14:paraId="6F88B72F" w14:textId="77777777">
            <w:pPr>
              <w:rPr>
                <w:rStyle w:val="cf01"/>
                <w:rFonts w:ascii="Times New Roman" w:hAnsi="Times New Roman" w:cs="Times New Roman"/>
                <w:sz w:val="24"/>
                <w:szCs w:val="24"/>
              </w:rPr>
            </w:pPr>
            <w:r w:rsidRPr="00855B5F">
              <w:rPr>
                <w:rStyle w:val="cf01"/>
                <w:rFonts w:ascii="Times New Roman" w:hAnsi="Times New Roman" w:cs="Times New Roman"/>
                <w:sz w:val="24"/>
                <w:szCs w:val="24"/>
              </w:rPr>
              <w:t>2026</w:t>
            </w:r>
          </w:p>
        </w:tc>
        <w:tc>
          <w:tcPr>
            <w:tcW w:w="569" w:type="pct"/>
          </w:tcPr>
          <w:p w:rsidRPr="00855B5F" w:rsidR="00C67D6F" w:rsidP="00855B5F" w:rsidRDefault="00C67D6F" w14:paraId="6AE88B98" w14:textId="77777777">
            <w:pPr>
              <w:rPr>
                <w:rStyle w:val="cf01"/>
                <w:rFonts w:ascii="Times New Roman" w:hAnsi="Times New Roman" w:cs="Times New Roman"/>
                <w:sz w:val="24"/>
                <w:szCs w:val="24"/>
              </w:rPr>
            </w:pPr>
            <w:r w:rsidRPr="00855B5F">
              <w:rPr>
                <w:rStyle w:val="cf01"/>
                <w:rFonts w:ascii="Times New Roman" w:hAnsi="Times New Roman" w:cs="Times New Roman"/>
                <w:sz w:val="24"/>
                <w:szCs w:val="24"/>
              </w:rPr>
              <w:t>2027</w:t>
            </w:r>
          </w:p>
        </w:tc>
        <w:tc>
          <w:tcPr>
            <w:tcW w:w="569" w:type="pct"/>
          </w:tcPr>
          <w:p w:rsidRPr="00855B5F" w:rsidR="00C67D6F" w:rsidP="00855B5F" w:rsidRDefault="00C67D6F" w14:paraId="76403A6E" w14:textId="77777777">
            <w:pPr>
              <w:rPr>
                <w:rStyle w:val="cf01"/>
                <w:rFonts w:ascii="Times New Roman" w:hAnsi="Times New Roman" w:cs="Times New Roman"/>
                <w:sz w:val="24"/>
                <w:szCs w:val="24"/>
              </w:rPr>
            </w:pPr>
            <w:r w:rsidRPr="00855B5F">
              <w:rPr>
                <w:rStyle w:val="cf01"/>
                <w:rFonts w:ascii="Times New Roman" w:hAnsi="Times New Roman" w:cs="Times New Roman"/>
                <w:sz w:val="24"/>
                <w:szCs w:val="24"/>
              </w:rPr>
              <w:t>2028</w:t>
            </w:r>
          </w:p>
        </w:tc>
      </w:tr>
      <w:tr w:rsidRPr="00C67D6F" w:rsidR="00855B5F" w:rsidTr="00855B5F" w14:paraId="2382FBEC" w14:textId="77777777">
        <w:trPr>
          <w:trHeight w:val="861"/>
        </w:trPr>
        <w:tc>
          <w:tcPr>
            <w:tcW w:w="2388" w:type="pct"/>
          </w:tcPr>
          <w:p w:rsidRPr="00855B5F" w:rsidR="00C67D6F" w:rsidP="00855B5F" w:rsidRDefault="00C67D6F" w14:paraId="5CDE451C" w14:textId="77777777">
            <w:pPr>
              <w:rPr>
                <w:rStyle w:val="cf01"/>
                <w:rFonts w:ascii="Times New Roman" w:hAnsi="Times New Roman" w:cs="Times New Roman"/>
                <w:sz w:val="24"/>
                <w:szCs w:val="24"/>
              </w:rPr>
            </w:pPr>
            <w:r w:rsidRPr="00855B5F">
              <w:rPr>
                <w:rStyle w:val="cf01"/>
                <w:rFonts w:ascii="Times New Roman" w:hAnsi="Times New Roman" w:cs="Times New Roman"/>
                <w:sz w:val="24"/>
                <w:szCs w:val="24"/>
              </w:rPr>
              <w:t xml:space="preserve">Niet beperken giftenaftrek </w:t>
            </w:r>
            <w:proofErr w:type="spellStart"/>
            <w:r w:rsidRPr="00855B5F">
              <w:rPr>
                <w:rStyle w:val="cf01"/>
                <w:rFonts w:ascii="Times New Roman" w:hAnsi="Times New Roman" w:cs="Times New Roman"/>
                <w:sz w:val="24"/>
                <w:szCs w:val="24"/>
              </w:rPr>
              <w:t>Vpb</w:t>
            </w:r>
            <w:proofErr w:type="spellEnd"/>
            <w:r w:rsidRPr="00855B5F">
              <w:rPr>
                <w:rStyle w:val="cf01"/>
                <w:rFonts w:ascii="Times New Roman" w:hAnsi="Times New Roman" w:cs="Times New Roman"/>
                <w:sz w:val="24"/>
                <w:szCs w:val="24"/>
              </w:rPr>
              <w:t xml:space="preserve"> en geven uit vennootschap</w:t>
            </w:r>
          </w:p>
        </w:tc>
        <w:tc>
          <w:tcPr>
            <w:tcW w:w="337" w:type="pct"/>
          </w:tcPr>
          <w:p w:rsidRPr="00855B5F" w:rsidR="00C67D6F" w:rsidP="00855B5F" w:rsidRDefault="00C67D6F" w14:paraId="560E2507" w14:textId="77777777">
            <w:pPr>
              <w:rPr>
                <w:rStyle w:val="cf01"/>
                <w:rFonts w:ascii="Times New Roman" w:hAnsi="Times New Roman" w:cs="Times New Roman"/>
                <w:sz w:val="24"/>
                <w:szCs w:val="24"/>
              </w:rPr>
            </w:pPr>
            <w:r w:rsidRPr="00855B5F">
              <w:rPr>
                <w:rStyle w:val="cf01"/>
                <w:rFonts w:ascii="Times New Roman" w:hAnsi="Times New Roman" w:cs="Times New Roman"/>
                <w:sz w:val="24"/>
                <w:szCs w:val="24"/>
              </w:rPr>
              <w:t>0</w:t>
            </w:r>
          </w:p>
        </w:tc>
        <w:tc>
          <w:tcPr>
            <w:tcW w:w="569" w:type="pct"/>
          </w:tcPr>
          <w:p w:rsidRPr="00855B5F" w:rsidR="00C67D6F" w:rsidP="00855B5F" w:rsidRDefault="00C67D6F" w14:paraId="77AF5FEC" w14:textId="77777777">
            <w:pPr>
              <w:pStyle w:val="Lijstalinea"/>
              <w:numPr>
                <w:ilvl w:val="0"/>
                <w:numId w:val="1"/>
              </w:numPr>
              <w:rPr>
                <w:rStyle w:val="cf01"/>
                <w:rFonts w:ascii="Times New Roman" w:hAnsi="Times New Roman" w:cs="Times New Roman"/>
                <w:sz w:val="24"/>
                <w:szCs w:val="24"/>
              </w:rPr>
            </w:pPr>
            <w:r w:rsidRPr="00855B5F">
              <w:rPr>
                <w:rStyle w:val="cf01"/>
                <w:rFonts w:ascii="Times New Roman" w:hAnsi="Times New Roman" w:cs="Times New Roman"/>
                <w:sz w:val="24"/>
                <w:szCs w:val="24"/>
              </w:rPr>
              <w:t>43</w:t>
            </w:r>
          </w:p>
        </w:tc>
        <w:tc>
          <w:tcPr>
            <w:tcW w:w="569" w:type="pct"/>
          </w:tcPr>
          <w:p w:rsidRPr="00855B5F" w:rsidR="00C67D6F" w:rsidP="00855B5F" w:rsidRDefault="00C67D6F" w14:paraId="1DFFCD88" w14:textId="77777777">
            <w:pPr>
              <w:pStyle w:val="Lijstalinea"/>
              <w:numPr>
                <w:ilvl w:val="0"/>
                <w:numId w:val="1"/>
              </w:numPr>
              <w:rPr>
                <w:rStyle w:val="cf01"/>
                <w:rFonts w:ascii="Times New Roman" w:hAnsi="Times New Roman" w:cs="Times New Roman"/>
                <w:sz w:val="24"/>
                <w:szCs w:val="24"/>
              </w:rPr>
            </w:pPr>
            <w:r w:rsidRPr="00855B5F">
              <w:rPr>
                <w:rStyle w:val="cf01"/>
                <w:rFonts w:ascii="Times New Roman" w:hAnsi="Times New Roman" w:cs="Times New Roman"/>
                <w:sz w:val="24"/>
                <w:szCs w:val="24"/>
              </w:rPr>
              <w:t>49</w:t>
            </w:r>
          </w:p>
        </w:tc>
        <w:tc>
          <w:tcPr>
            <w:tcW w:w="569" w:type="pct"/>
          </w:tcPr>
          <w:p w:rsidRPr="00855B5F" w:rsidR="00C67D6F" w:rsidP="00855B5F" w:rsidRDefault="00C67D6F" w14:paraId="797CAA5A" w14:textId="77777777">
            <w:pPr>
              <w:pStyle w:val="Lijstalinea"/>
              <w:numPr>
                <w:ilvl w:val="0"/>
                <w:numId w:val="1"/>
              </w:numPr>
              <w:rPr>
                <w:rStyle w:val="cf01"/>
                <w:rFonts w:ascii="Times New Roman" w:hAnsi="Times New Roman" w:cs="Times New Roman"/>
                <w:sz w:val="24"/>
                <w:szCs w:val="24"/>
              </w:rPr>
            </w:pPr>
            <w:r w:rsidRPr="00855B5F">
              <w:rPr>
                <w:rStyle w:val="cf01"/>
                <w:rFonts w:ascii="Times New Roman" w:hAnsi="Times New Roman" w:cs="Times New Roman"/>
                <w:sz w:val="24"/>
                <w:szCs w:val="24"/>
              </w:rPr>
              <w:t>55</w:t>
            </w:r>
          </w:p>
        </w:tc>
        <w:tc>
          <w:tcPr>
            <w:tcW w:w="569" w:type="pct"/>
          </w:tcPr>
          <w:p w:rsidRPr="00855B5F" w:rsidR="00C67D6F" w:rsidP="00855B5F" w:rsidRDefault="00C67D6F" w14:paraId="3EA037A1" w14:textId="77777777">
            <w:pPr>
              <w:pStyle w:val="Lijstalinea"/>
              <w:numPr>
                <w:ilvl w:val="0"/>
                <w:numId w:val="1"/>
              </w:numPr>
              <w:rPr>
                <w:rStyle w:val="cf01"/>
                <w:rFonts w:ascii="Times New Roman" w:hAnsi="Times New Roman" w:cs="Times New Roman"/>
                <w:sz w:val="24"/>
                <w:szCs w:val="24"/>
              </w:rPr>
            </w:pPr>
            <w:r w:rsidRPr="00855B5F">
              <w:rPr>
                <w:rStyle w:val="cf01"/>
                <w:rFonts w:ascii="Times New Roman" w:hAnsi="Times New Roman" w:cs="Times New Roman"/>
                <w:sz w:val="24"/>
                <w:szCs w:val="24"/>
              </w:rPr>
              <w:t>61</w:t>
            </w:r>
          </w:p>
        </w:tc>
      </w:tr>
      <w:tr w:rsidRPr="00C67D6F" w:rsidR="00855B5F" w:rsidTr="00855B5F" w14:paraId="22B3D21A" w14:textId="77777777">
        <w:trPr>
          <w:trHeight w:val="851"/>
        </w:trPr>
        <w:tc>
          <w:tcPr>
            <w:tcW w:w="2388" w:type="pct"/>
          </w:tcPr>
          <w:p w:rsidRPr="00855B5F" w:rsidR="00C67D6F" w:rsidP="00855B5F" w:rsidRDefault="00C67D6F" w14:paraId="73075DCE" w14:textId="77777777">
            <w:pPr>
              <w:rPr>
                <w:rStyle w:val="cf01"/>
                <w:rFonts w:ascii="Times New Roman" w:hAnsi="Times New Roman" w:cs="Times New Roman"/>
                <w:sz w:val="24"/>
                <w:szCs w:val="24"/>
              </w:rPr>
            </w:pPr>
            <w:r w:rsidRPr="00855B5F">
              <w:rPr>
                <w:rStyle w:val="cf01"/>
                <w:rFonts w:ascii="Times New Roman" w:hAnsi="Times New Roman" w:cs="Times New Roman"/>
                <w:sz w:val="24"/>
                <w:szCs w:val="24"/>
              </w:rPr>
              <w:t xml:space="preserve">Aanpassing generieke renteaftrekbeperking </w:t>
            </w:r>
            <w:proofErr w:type="spellStart"/>
            <w:r w:rsidRPr="00855B5F">
              <w:rPr>
                <w:rStyle w:val="cf01"/>
                <w:rFonts w:ascii="Times New Roman" w:hAnsi="Times New Roman" w:cs="Times New Roman"/>
                <w:sz w:val="24"/>
                <w:szCs w:val="24"/>
              </w:rPr>
              <w:t>vpb</w:t>
            </w:r>
            <w:proofErr w:type="spellEnd"/>
            <w:r w:rsidRPr="00855B5F">
              <w:rPr>
                <w:rStyle w:val="cf01"/>
                <w:rFonts w:ascii="Times New Roman" w:hAnsi="Times New Roman" w:cs="Times New Roman"/>
                <w:sz w:val="24"/>
                <w:szCs w:val="24"/>
              </w:rPr>
              <w:t xml:space="preserve"> tot 24,25%</w:t>
            </w:r>
          </w:p>
        </w:tc>
        <w:tc>
          <w:tcPr>
            <w:tcW w:w="337" w:type="pct"/>
          </w:tcPr>
          <w:p w:rsidRPr="00855B5F" w:rsidR="00C67D6F" w:rsidP="00855B5F" w:rsidRDefault="00C67D6F" w14:paraId="7CA69634" w14:textId="77777777">
            <w:pPr>
              <w:rPr>
                <w:rStyle w:val="cf01"/>
                <w:rFonts w:ascii="Times New Roman" w:hAnsi="Times New Roman" w:cs="Times New Roman"/>
                <w:sz w:val="24"/>
                <w:szCs w:val="24"/>
              </w:rPr>
            </w:pPr>
            <w:r w:rsidRPr="00855B5F">
              <w:rPr>
                <w:rStyle w:val="cf01"/>
                <w:rFonts w:ascii="Times New Roman" w:hAnsi="Times New Roman" w:cs="Times New Roman"/>
                <w:sz w:val="24"/>
                <w:szCs w:val="24"/>
              </w:rPr>
              <w:t>1</w:t>
            </w:r>
          </w:p>
        </w:tc>
        <w:tc>
          <w:tcPr>
            <w:tcW w:w="569" w:type="pct"/>
          </w:tcPr>
          <w:p w:rsidRPr="00855B5F" w:rsidR="00C67D6F" w:rsidP="00855B5F" w:rsidRDefault="00C67D6F" w14:paraId="1DDD3829" w14:textId="77777777">
            <w:pPr>
              <w:rPr>
                <w:rStyle w:val="cf01"/>
                <w:rFonts w:ascii="Times New Roman" w:hAnsi="Times New Roman" w:cs="Times New Roman"/>
                <w:sz w:val="24"/>
                <w:szCs w:val="24"/>
              </w:rPr>
            </w:pPr>
            <w:r w:rsidRPr="00855B5F">
              <w:rPr>
                <w:rStyle w:val="cf01"/>
                <w:rFonts w:ascii="Times New Roman" w:hAnsi="Times New Roman" w:cs="Times New Roman"/>
                <w:sz w:val="24"/>
                <w:szCs w:val="24"/>
              </w:rPr>
              <w:t>68</w:t>
            </w:r>
          </w:p>
        </w:tc>
        <w:tc>
          <w:tcPr>
            <w:tcW w:w="569" w:type="pct"/>
          </w:tcPr>
          <w:p w:rsidRPr="00855B5F" w:rsidR="00C67D6F" w:rsidP="00855B5F" w:rsidRDefault="00C67D6F" w14:paraId="4AC04CB1" w14:textId="77777777">
            <w:pPr>
              <w:rPr>
                <w:rStyle w:val="cf01"/>
                <w:rFonts w:ascii="Times New Roman" w:hAnsi="Times New Roman" w:cs="Times New Roman"/>
                <w:sz w:val="24"/>
                <w:szCs w:val="24"/>
              </w:rPr>
            </w:pPr>
            <w:r w:rsidRPr="00855B5F">
              <w:rPr>
                <w:rStyle w:val="cf01"/>
                <w:rFonts w:ascii="Times New Roman" w:hAnsi="Times New Roman" w:cs="Times New Roman"/>
                <w:sz w:val="24"/>
                <w:szCs w:val="24"/>
              </w:rPr>
              <w:t>63</w:t>
            </w:r>
          </w:p>
        </w:tc>
        <w:tc>
          <w:tcPr>
            <w:tcW w:w="569" w:type="pct"/>
          </w:tcPr>
          <w:p w:rsidRPr="00855B5F" w:rsidR="00C67D6F" w:rsidP="00855B5F" w:rsidRDefault="00C67D6F" w14:paraId="4E4B0D4C" w14:textId="77777777">
            <w:pPr>
              <w:rPr>
                <w:rStyle w:val="cf01"/>
                <w:rFonts w:ascii="Times New Roman" w:hAnsi="Times New Roman" w:cs="Times New Roman"/>
                <w:sz w:val="24"/>
                <w:szCs w:val="24"/>
              </w:rPr>
            </w:pPr>
            <w:r w:rsidRPr="00855B5F">
              <w:rPr>
                <w:rStyle w:val="cf01"/>
                <w:rFonts w:ascii="Times New Roman" w:hAnsi="Times New Roman" w:cs="Times New Roman"/>
                <w:sz w:val="24"/>
                <w:szCs w:val="24"/>
              </w:rPr>
              <w:t>62</w:t>
            </w:r>
          </w:p>
        </w:tc>
        <w:tc>
          <w:tcPr>
            <w:tcW w:w="569" w:type="pct"/>
          </w:tcPr>
          <w:p w:rsidRPr="00855B5F" w:rsidR="00C67D6F" w:rsidP="00855B5F" w:rsidRDefault="00C67D6F" w14:paraId="304A0523" w14:textId="77777777">
            <w:pPr>
              <w:rPr>
                <w:rStyle w:val="cf01"/>
                <w:rFonts w:ascii="Times New Roman" w:hAnsi="Times New Roman" w:cs="Times New Roman"/>
                <w:sz w:val="24"/>
                <w:szCs w:val="24"/>
              </w:rPr>
            </w:pPr>
            <w:r w:rsidRPr="00855B5F">
              <w:rPr>
                <w:rStyle w:val="cf01"/>
                <w:rFonts w:ascii="Times New Roman" w:hAnsi="Times New Roman" w:cs="Times New Roman"/>
                <w:sz w:val="24"/>
                <w:szCs w:val="24"/>
              </w:rPr>
              <w:t>61</w:t>
            </w:r>
          </w:p>
        </w:tc>
      </w:tr>
    </w:tbl>
    <w:p w:rsidR="00C67D6F" w:rsidP="00001CE6" w:rsidRDefault="00C67D6F" w14:paraId="504D9C31" w14:textId="77777777"/>
    <w:p w:rsidR="00B4708A" w:rsidP="00EA1CE4" w:rsidRDefault="00C67D6F" w14:paraId="3F9E3CE4" w14:textId="50399CDA">
      <w:r>
        <w:t>Grinwis</w:t>
      </w:r>
    </w:p>
    <w:p w:rsidR="00CE218B" w:rsidP="00EA1CE4" w:rsidRDefault="00CE218B" w14:paraId="06613C1A" w14:textId="2F1DC922">
      <w:r>
        <w:t>Stoffer</w:t>
      </w:r>
    </w:p>
    <w:p w:rsidRPr="00EA69AC" w:rsidR="00A265B4" w:rsidP="00EA1CE4" w:rsidRDefault="00A265B4" w14:paraId="5A7C187F" w14:textId="10679003">
      <w:r>
        <w:t>Inge van Dijk</w:t>
      </w:r>
    </w:p>
    <w:sectPr w:rsidRPr="00EA69AC" w:rsidR="00A265B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7B14" w14:textId="77777777" w:rsidR="00B94ACC" w:rsidRDefault="00B94ACC">
      <w:pPr>
        <w:spacing w:line="20" w:lineRule="exact"/>
      </w:pPr>
    </w:p>
  </w:endnote>
  <w:endnote w:type="continuationSeparator" w:id="0">
    <w:p w14:paraId="7D0EE0F3" w14:textId="77777777" w:rsidR="00B94ACC" w:rsidRDefault="00B94ACC">
      <w:pPr>
        <w:pStyle w:val="Amendement"/>
      </w:pPr>
      <w:r>
        <w:rPr>
          <w:b w:val="0"/>
        </w:rPr>
        <w:t xml:space="preserve"> </w:t>
      </w:r>
    </w:p>
  </w:endnote>
  <w:endnote w:type="continuationNotice" w:id="1">
    <w:p w14:paraId="1F2CF33A" w14:textId="77777777" w:rsidR="00B94ACC" w:rsidRDefault="00B94AC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39C74" w14:textId="77777777" w:rsidR="00B94ACC" w:rsidRDefault="00B94ACC">
      <w:pPr>
        <w:pStyle w:val="Amendement"/>
      </w:pPr>
      <w:r>
        <w:rPr>
          <w:b w:val="0"/>
        </w:rPr>
        <w:separator/>
      </w:r>
    </w:p>
  </w:footnote>
  <w:footnote w:type="continuationSeparator" w:id="0">
    <w:p w14:paraId="3F588455" w14:textId="77777777" w:rsidR="00B94ACC" w:rsidRDefault="00B94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459B8"/>
    <w:multiLevelType w:val="hybridMultilevel"/>
    <w:tmpl w:val="94B45CDE"/>
    <w:lvl w:ilvl="0" w:tplc="929E50BC">
      <w:start w:val="61"/>
      <w:numFmt w:val="bullet"/>
      <w:lvlText w:val="-"/>
      <w:lvlJc w:val="left"/>
      <w:pPr>
        <w:ind w:left="720" w:hanging="360"/>
      </w:pPr>
      <w:rPr>
        <w:rFonts w:ascii="Verdana" w:eastAsia="Times New Roman" w:hAnsi="Verdana"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295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E6"/>
    <w:rsid w:val="00001CE6"/>
    <w:rsid w:val="0007723D"/>
    <w:rsid w:val="00084E48"/>
    <w:rsid w:val="000D17BF"/>
    <w:rsid w:val="00143EBD"/>
    <w:rsid w:val="00157CAF"/>
    <w:rsid w:val="001656EE"/>
    <w:rsid w:val="0016653D"/>
    <w:rsid w:val="00173580"/>
    <w:rsid w:val="001B125D"/>
    <w:rsid w:val="001D56AF"/>
    <w:rsid w:val="001E0E21"/>
    <w:rsid w:val="001F1C0D"/>
    <w:rsid w:val="00212E0A"/>
    <w:rsid w:val="002153B0"/>
    <w:rsid w:val="0021777F"/>
    <w:rsid w:val="00241DD0"/>
    <w:rsid w:val="00253EE3"/>
    <w:rsid w:val="0029372C"/>
    <w:rsid w:val="002A0713"/>
    <w:rsid w:val="002D3A98"/>
    <w:rsid w:val="002F1205"/>
    <w:rsid w:val="003367B9"/>
    <w:rsid w:val="00387E6C"/>
    <w:rsid w:val="003C21AC"/>
    <w:rsid w:val="003C5218"/>
    <w:rsid w:val="003C7876"/>
    <w:rsid w:val="003E2F98"/>
    <w:rsid w:val="0042574B"/>
    <w:rsid w:val="004330ED"/>
    <w:rsid w:val="00456881"/>
    <w:rsid w:val="00481C91"/>
    <w:rsid w:val="004911E3"/>
    <w:rsid w:val="00497D57"/>
    <w:rsid w:val="004A1E29"/>
    <w:rsid w:val="004A7DD4"/>
    <w:rsid w:val="004B50D8"/>
    <w:rsid w:val="004B5B90"/>
    <w:rsid w:val="00501109"/>
    <w:rsid w:val="00514594"/>
    <w:rsid w:val="005703C9"/>
    <w:rsid w:val="00597703"/>
    <w:rsid w:val="005A6097"/>
    <w:rsid w:val="005B1DCC"/>
    <w:rsid w:val="005B7323"/>
    <w:rsid w:val="005C25B9"/>
    <w:rsid w:val="006267E6"/>
    <w:rsid w:val="00631F27"/>
    <w:rsid w:val="006558D2"/>
    <w:rsid w:val="00672D25"/>
    <w:rsid w:val="006738BC"/>
    <w:rsid w:val="006A171C"/>
    <w:rsid w:val="006D3E69"/>
    <w:rsid w:val="006E0971"/>
    <w:rsid w:val="00743571"/>
    <w:rsid w:val="007709F6"/>
    <w:rsid w:val="00795D99"/>
    <w:rsid w:val="007965FC"/>
    <w:rsid w:val="007D2608"/>
    <w:rsid w:val="008164E5"/>
    <w:rsid w:val="00826F01"/>
    <w:rsid w:val="00830081"/>
    <w:rsid w:val="0083367B"/>
    <w:rsid w:val="008467D7"/>
    <w:rsid w:val="00852541"/>
    <w:rsid w:val="00855B5F"/>
    <w:rsid w:val="00865D47"/>
    <w:rsid w:val="0088452C"/>
    <w:rsid w:val="0089438D"/>
    <w:rsid w:val="008D7DCB"/>
    <w:rsid w:val="008E7914"/>
    <w:rsid w:val="009055DB"/>
    <w:rsid w:val="00905ECB"/>
    <w:rsid w:val="0096165D"/>
    <w:rsid w:val="00993E91"/>
    <w:rsid w:val="009A409F"/>
    <w:rsid w:val="009B5845"/>
    <w:rsid w:val="009C09B7"/>
    <w:rsid w:val="009C0C1F"/>
    <w:rsid w:val="00A10505"/>
    <w:rsid w:val="00A1288B"/>
    <w:rsid w:val="00A265B4"/>
    <w:rsid w:val="00A53203"/>
    <w:rsid w:val="00A772EB"/>
    <w:rsid w:val="00AC0853"/>
    <w:rsid w:val="00AE5C30"/>
    <w:rsid w:val="00AF1985"/>
    <w:rsid w:val="00B01BA6"/>
    <w:rsid w:val="00B4708A"/>
    <w:rsid w:val="00B51372"/>
    <w:rsid w:val="00B52556"/>
    <w:rsid w:val="00B94ACC"/>
    <w:rsid w:val="00BF623B"/>
    <w:rsid w:val="00C035D4"/>
    <w:rsid w:val="00C679BF"/>
    <w:rsid w:val="00C67D6F"/>
    <w:rsid w:val="00C81BBD"/>
    <w:rsid w:val="00CD3132"/>
    <w:rsid w:val="00CE218B"/>
    <w:rsid w:val="00CE27CD"/>
    <w:rsid w:val="00D134F3"/>
    <w:rsid w:val="00D376F8"/>
    <w:rsid w:val="00D47D01"/>
    <w:rsid w:val="00D774B3"/>
    <w:rsid w:val="00DA7515"/>
    <w:rsid w:val="00DD35A5"/>
    <w:rsid w:val="00DE2948"/>
    <w:rsid w:val="00DF68BE"/>
    <w:rsid w:val="00DF712A"/>
    <w:rsid w:val="00E25DF4"/>
    <w:rsid w:val="00E3485D"/>
    <w:rsid w:val="00E6619B"/>
    <w:rsid w:val="00EA1CE4"/>
    <w:rsid w:val="00EA69AC"/>
    <w:rsid w:val="00EB40A1"/>
    <w:rsid w:val="00EC3112"/>
    <w:rsid w:val="00ED5E57"/>
    <w:rsid w:val="00ED7EF0"/>
    <w:rsid w:val="00EE1BD8"/>
    <w:rsid w:val="00F06F5E"/>
    <w:rsid w:val="00FA5BBE"/>
    <w:rsid w:val="00FF2A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59BDD"/>
  <w15:docId w15:val="{CBEC6F54-9103-4B87-A72E-E1F60023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01CE6"/>
    <w:rPr>
      <w:sz w:val="16"/>
      <w:szCs w:val="16"/>
    </w:rPr>
  </w:style>
  <w:style w:type="paragraph" w:styleId="Tekstopmerking">
    <w:name w:val="annotation text"/>
    <w:basedOn w:val="Standaard"/>
    <w:link w:val="TekstopmerkingChar"/>
    <w:unhideWhenUsed/>
    <w:rsid w:val="00001CE6"/>
    <w:rPr>
      <w:sz w:val="20"/>
    </w:rPr>
  </w:style>
  <w:style w:type="character" w:customStyle="1" w:styleId="TekstopmerkingChar">
    <w:name w:val="Tekst opmerking Char"/>
    <w:basedOn w:val="Standaardalinea-lettertype"/>
    <w:link w:val="Tekstopmerking"/>
    <w:rsid w:val="00001CE6"/>
  </w:style>
  <w:style w:type="paragraph" w:styleId="Onderwerpvanopmerking">
    <w:name w:val="annotation subject"/>
    <w:basedOn w:val="Tekstopmerking"/>
    <w:next w:val="Tekstopmerking"/>
    <w:link w:val="OnderwerpvanopmerkingChar"/>
    <w:semiHidden/>
    <w:unhideWhenUsed/>
    <w:rsid w:val="00001CE6"/>
    <w:rPr>
      <w:b/>
      <w:bCs/>
    </w:rPr>
  </w:style>
  <w:style w:type="character" w:customStyle="1" w:styleId="OnderwerpvanopmerkingChar">
    <w:name w:val="Onderwerp van opmerking Char"/>
    <w:basedOn w:val="TekstopmerkingChar"/>
    <w:link w:val="Onderwerpvanopmerking"/>
    <w:semiHidden/>
    <w:rsid w:val="00001CE6"/>
    <w:rPr>
      <w:b/>
      <w:bCs/>
    </w:rPr>
  </w:style>
  <w:style w:type="paragraph" w:styleId="Revisie">
    <w:name w:val="Revision"/>
    <w:hidden/>
    <w:uiPriority w:val="99"/>
    <w:semiHidden/>
    <w:rsid w:val="00C67D6F"/>
    <w:rPr>
      <w:sz w:val="24"/>
    </w:rPr>
  </w:style>
  <w:style w:type="character" w:customStyle="1" w:styleId="cf01">
    <w:name w:val="cf01"/>
    <w:basedOn w:val="Standaardalinea-lettertype"/>
    <w:rsid w:val="00C67D6F"/>
    <w:rPr>
      <w:rFonts w:ascii="Segoe UI" w:hAnsi="Segoe UI" w:cs="Segoe UI" w:hint="default"/>
      <w:sz w:val="18"/>
      <w:szCs w:val="18"/>
    </w:rPr>
  </w:style>
  <w:style w:type="table" w:styleId="Tabelraster">
    <w:name w:val="Table Grid"/>
    <w:basedOn w:val="Standaardtabel"/>
    <w:rsid w:val="00C6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67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517</ap:Words>
  <ap:Characters>3057</ap:Characters>
  <ap:DocSecurity>4</ap:DocSecurity>
  <ap:Lines>25</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2024-10-01T10:39:00.0000000Z</dcterms:created>
  <dcterms:modified xsi:type="dcterms:W3CDTF">2024-10-01T10:39:00.0000000Z</dcterms:modified>
  <dc:description>------------------------</dc:description>
  <dc:subject/>
  <keywords/>
  <version/>
  <category/>
</coreProperties>
</file>