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B2C" w:rsidRDefault="001856D0" w14:paraId="0A961A8C" w14:textId="77777777">
      <w:pPr>
        <w:autoSpaceDE w:val="0"/>
        <w:autoSpaceDN w:val="0"/>
        <w:adjustRightInd w:val="0"/>
        <w:spacing w:before="0" w:after="0"/>
        <w:ind w:left="1416" w:hanging="1371"/>
        <w:rPr>
          <w:b/>
          <w:bCs/>
          <w:sz w:val="23"/>
          <w:szCs w:val="23"/>
        </w:rPr>
      </w:pPr>
      <w:r>
        <w:rPr>
          <w:b/>
          <w:bCs/>
          <w:sz w:val="23"/>
          <w:szCs w:val="23"/>
        </w:rPr>
        <w:t>36613-XVII</w:t>
      </w:r>
      <w:r>
        <w:rPr>
          <w:b/>
          <w:bCs/>
          <w:sz w:val="23"/>
          <w:szCs w:val="23"/>
        </w:rPr>
        <w:tab/>
        <w:t>Wijziging van de begrotingsstaat van Buitenlandse Handel en Ontwikkelingssamenwerking (XVII) voor het jaar 2024 (wijziging samenhangende met Miljoenennota)</w:t>
      </w:r>
    </w:p>
    <w:p w:rsidR="00085B2C" w:rsidRDefault="00085B2C" w14:paraId="3B85291A" w14:textId="77777777">
      <w:pPr>
        <w:autoSpaceDE w:val="0"/>
        <w:autoSpaceDN w:val="0"/>
        <w:adjustRightInd w:val="0"/>
        <w:spacing w:before="0" w:after="0"/>
        <w:ind w:left="1416" w:hanging="1371"/>
        <w:rPr>
          <w:b/>
        </w:rPr>
      </w:pPr>
    </w:p>
    <w:p w:rsidR="00085B2C" w:rsidRDefault="001856D0" w14:paraId="7E86B148" w14:textId="77777777">
      <w:pPr>
        <w:rPr>
          <w:b/>
        </w:rPr>
      </w:pPr>
      <w:r>
        <w:rPr>
          <w:b/>
        </w:rPr>
        <w:t xml:space="preserve">nr. </w:t>
      </w:r>
      <w:r>
        <w:rPr>
          <w:b/>
        </w:rPr>
        <w:tab/>
      </w:r>
      <w:r>
        <w:rPr>
          <w:b/>
        </w:rPr>
        <w:tab/>
        <w:t>Lijst van vragen en antwoorden</w:t>
      </w:r>
    </w:p>
    <w:p w:rsidR="00085B2C" w:rsidRDefault="001856D0" w14:paraId="104C0FCB" w14:textId="77777777">
      <w:r>
        <w:tab/>
      </w:r>
      <w:r>
        <w:tab/>
      </w:r>
    </w:p>
    <w:p w:rsidR="00085B2C" w:rsidRDefault="001856D0" w14:paraId="5106A34E" w14:textId="77777777">
      <w:pPr>
        <w:ind w:left="702" w:firstLine="708"/>
        <w:rPr>
          <w:i/>
        </w:rPr>
      </w:pPr>
      <w:r>
        <w:t xml:space="preserve">Vastgesteld </w:t>
      </w:r>
      <w:r>
        <w:rPr>
          <w:i/>
        </w:rPr>
        <w:t>(wordt door griffie ingevuld als antwoorden er zijn)</w:t>
      </w:r>
    </w:p>
    <w:p w:rsidR="00085B2C" w:rsidRDefault="001856D0" w14:paraId="06B3C8E5" w14:textId="69ACF75F">
      <w:pPr>
        <w:ind w:left="1410"/>
      </w:pPr>
      <w:r>
        <w:t>De vaste commissie voor</w:t>
      </w:r>
      <w:r w:rsidR="000100AA">
        <w:t xml:space="preserve"> Buitenlandse Handel en Ontwikkelingshulp</w:t>
      </w:r>
      <w:r>
        <w:t xml:space="preserve"> heeft een aantal vragen voorgelegd aan de </w:t>
      </w:r>
      <w:r w:rsidR="000100AA">
        <w:t>minister voor Buitenlandse Handel en Ontwikkelingshulp</w:t>
      </w:r>
      <w:r>
        <w:t xml:space="preserve"> over de </w:t>
      </w:r>
      <w:r>
        <w:rPr>
          <w:b/>
        </w:rPr>
        <w:t>Wijziging van de begrotingsstaat van Buitenlandse Handel en Ontwikkelingssamenwerking (XVII) voor het jaar 2024 (wijziging samenhangende met Miljoenennota)</w:t>
      </w:r>
      <w:r>
        <w:t xml:space="preserve"> (</w:t>
      </w:r>
      <w:r>
        <w:rPr>
          <w:b/>
        </w:rPr>
        <w:t>36613-XVII</w:t>
      </w:r>
      <w:r>
        <w:t xml:space="preserve">, nr. </w:t>
      </w:r>
      <w:r>
        <w:rPr>
          <w:b/>
        </w:rPr>
        <w:t>0</w:t>
      </w:r>
      <w:r>
        <w:t>).</w:t>
      </w:r>
    </w:p>
    <w:p w:rsidR="00085B2C" w:rsidRDefault="001856D0" w14:paraId="3A2EBFB3" w14:textId="581D07C7">
      <w:pPr>
        <w:ind w:left="1410"/>
      </w:pPr>
      <w:r>
        <w:t xml:space="preserve">De daarop door de </w:t>
      </w:r>
      <w:r w:rsidR="000100AA">
        <w:t>minister</w:t>
      </w:r>
      <w:r>
        <w:t xml:space="preserve"> gegeven antwoorden zijn hierbij afgedrukt.</w:t>
      </w:r>
    </w:p>
    <w:p w:rsidR="00085B2C" w:rsidRDefault="00085B2C" w14:paraId="2E7D0CF2" w14:textId="77777777">
      <w:pPr>
        <w:spacing w:before="0" w:after="0"/>
      </w:pPr>
    </w:p>
    <w:p w:rsidR="00085B2C" w:rsidRDefault="000100AA" w14:paraId="0E666E5E" w14:textId="23910223">
      <w:pPr>
        <w:spacing w:before="0" w:after="0"/>
        <w:ind w:left="703" w:firstLine="709"/>
      </w:pPr>
      <w:r>
        <w:t>Fungerend v</w:t>
      </w:r>
      <w:r w:rsidR="001856D0">
        <w:t xml:space="preserve">oorzitter van de commissie, </w:t>
      </w:r>
    </w:p>
    <w:p w:rsidR="00085B2C" w:rsidRDefault="001856D0" w14:paraId="0AA4C672" w14:textId="6B9C1D41">
      <w:pPr>
        <w:spacing w:before="0" w:after="0"/>
      </w:pPr>
      <w:r>
        <w:tab/>
      </w:r>
      <w:r>
        <w:tab/>
      </w:r>
      <w:r w:rsidR="000100AA">
        <w:t>Thijssen</w:t>
      </w:r>
    </w:p>
    <w:p w:rsidR="00085B2C" w:rsidRDefault="001856D0" w14:paraId="6E5DC307" w14:textId="77777777">
      <w:pPr>
        <w:spacing w:before="0" w:after="0"/>
      </w:pPr>
      <w:r>
        <w:tab/>
      </w:r>
      <w:r>
        <w:tab/>
      </w:r>
    </w:p>
    <w:p w:rsidR="00085B2C" w:rsidRDefault="001856D0" w14:paraId="1E0FC58D" w14:textId="77777777">
      <w:pPr>
        <w:spacing w:before="0" w:after="0"/>
      </w:pPr>
      <w:r>
        <w:tab/>
      </w:r>
      <w:r>
        <w:tab/>
        <w:t>Griffier van de commissie,</w:t>
      </w:r>
    </w:p>
    <w:p w:rsidR="00085B2C" w:rsidRDefault="001856D0" w14:paraId="5E1A7C2D" w14:textId="71172926">
      <w:pPr>
        <w:spacing w:before="0" w:after="0"/>
      </w:pPr>
      <w:r>
        <w:tab/>
      </w:r>
      <w:r>
        <w:tab/>
      </w:r>
      <w:r w:rsidR="000100AA">
        <w:t>Meijers</w:t>
      </w:r>
    </w:p>
    <w:p w:rsidR="00085B2C" w:rsidRDefault="00085B2C" w14:paraId="391AAEE7" w14:textId="77777777"/>
    <w:tbl>
      <w:tblPr>
        <w:tblStyle w:val="TableGrid"/>
        <w:tblW w:w="9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567"/>
        <w:gridCol w:w="6663"/>
        <w:gridCol w:w="856"/>
        <w:gridCol w:w="856"/>
        <w:gridCol w:w="566"/>
      </w:tblGrid>
      <w:tr w:rsidR="00F037FC" w:rsidTr="00F90E37" w14:paraId="325B6706" w14:textId="77777777">
        <w:tc>
          <w:tcPr>
            <w:tcW w:w="567" w:type="dxa"/>
          </w:tcPr>
          <w:p w:rsidR="00F037FC" w:rsidRDefault="00F037FC" w14:paraId="4FB4A49D" w14:textId="77777777">
            <w:bookmarkStart w:name="bmkStartTabel" w:id="0"/>
            <w:bookmarkEnd w:id="0"/>
            <w:proofErr w:type="spellStart"/>
            <w:r>
              <w:t>Nr</w:t>
            </w:r>
            <w:proofErr w:type="spellEnd"/>
          </w:p>
        </w:tc>
        <w:tc>
          <w:tcPr>
            <w:tcW w:w="6663" w:type="dxa"/>
          </w:tcPr>
          <w:p w:rsidR="00F037FC" w:rsidRDefault="00F037FC" w14:paraId="601C0CED" w14:textId="77777777">
            <w:r>
              <w:t>Vraag</w:t>
            </w:r>
          </w:p>
        </w:tc>
        <w:tc>
          <w:tcPr>
            <w:tcW w:w="856" w:type="dxa"/>
          </w:tcPr>
          <w:p w:rsidR="00F037FC" w:rsidP="00E7153D" w:rsidRDefault="00F037FC" w14:paraId="4A1892EA" w14:textId="08D7FC0B">
            <w:pPr>
              <w:jc w:val="right"/>
            </w:pPr>
            <w:r>
              <w:t>Bijlage</w:t>
            </w:r>
          </w:p>
        </w:tc>
        <w:tc>
          <w:tcPr>
            <w:tcW w:w="856" w:type="dxa"/>
          </w:tcPr>
          <w:p w:rsidR="00F037FC" w:rsidP="00E7153D" w:rsidRDefault="00F037FC" w14:paraId="48FBF7A7" w14:textId="2D1CEF64">
            <w:pPr>
              <w:jc w:val="right"/>
            </w:pPr>
            <w:r>
              <w:t>Blz. (van)</w:t>
            </w:r>
          </w:p>
        </w:tc>
        <w:tc>
          <w:tcPr>
            <w:tcW w:w="566" w:type="dxa"/>
          </w:tcPr>
          <w:p w:rsidR="00F037FC" w:rsidP="00E7153D" w:rsidRDefault="00F037FC" w14:paraId="05589511" w14:textId="77777777">
            <w:pPr>
              <w:jc w:val="center"/>
            </w:pPr>
            <w:r>
              <w:t>t/m</w:t>
            </w:r>
          </w:p>
        </w:tc>
      </w:tr>
      <w:tr w:rsidRPr="00507668" w:rsidR="00F037FC" w:rsidTr="00F90E37" w14:paraId="73B2E962" w14:textId="77777777">
        <w:tc>
          <w:tcPr>
            <w:tcW w:w="567" w:type="dxa"/>
          </w:tcPr>
          <w:p w:rsidR="00F037FC" w:rsidRDefault="00F037FC" w14:paraId="3A38BD4F" w14:textId="3497D168">
            <w:r>
              <w:t>1</w:t>
            </w:r>
          </w:p>
        </w:tc>
        <w:tc>
          <w:tcPr>
            <w:tcW w:w="6663" w:type="dxa"/>
          </w:tcPr>
          <w:p w:rsidR="00F037FC" w:rsidRDefault="00F037FC" w14:paraId="09A4D2AB" w14:textId="77777777">
            <w:r>
              <w:t>Kunt u voor de aankomende jaren aangeven op projectniveau aangeven welken projecten/financiering moet(en) stoppen als gevolg van de bezuinigingen?</w:t>
            </w:r>
          </w:p>
          <w:p w:rsidR="00F037FC" w:rsidRDefault="00F037FC" w14:paraId="173C6F1C" w14:textId="77777777"/>
          <w:p w:rsidRPr="00AC3459" w:rsidR="00AC3459" w:rsidRDefault="00AC3459" w14:paraId="4652E0F6" w14:textId="17A0019C">
            <w:pPr>
              <w:rPr>
                <w:b/>
                <w:bCs/>
                <w:u w:val="single"/>
              </w:rPr>
            </w:pPr>
            <w:r w:rsidRPr="00AC3459">
              <w:rPr>
                <w:b/>
                <w:bCs/>
                <w:u w:val="single"/>
              </w:rPr>
              <w:t>Antwoord:</w:t>
            </w:r>
          </w:p>
          <w:p w:rsidRPr="00093575" w:rsidR="00F037FC" w:rsidP="00F55254" w:rsidRDefault="00F037FC" w14:paraId="0727F6EC" w14:textId="0B8EF9D8">
            <w:pPr>
              <w:spacing w:line="276" w:lineRule="auto"/>
              <w:rPr>
                <w:b/>
                <w:bCs/>
              </w:rPr>
            </w:pPr>
            <w:r>
              <w:rPr>
                <w:b/>
                <w:bCs/>
              </w:rPr>
              <w:t xml:space="preserve">De bezuinigingen uit het </w:t>
            </w:r>
            <w:r w:rsidR="005E2AB4">
              <w:rPr>
                <w:b/>
                <w:bCs/>
              </w:rPr>
              <w:t>h</w:t>
            </w:r>
            <w:r>
              <w:rPr>
                <w:b/>
                <w:bCs/>
              </w:rPr>
              <w:t xml:space="preserve">oofdlijnenakkoord hebben betrekking op ODA-middelen in de jaren 2025 en daarna. </w:t>
            </w:r>
            <w:r w:rsidRPr="00A707C2">
              <w:rPr>
                <w:b/>
                <w:bCs/>
              </w:rPr>
              <w:t>Omwille van de zorgvuldigheid van de nadere uitwerking van het beleid en de daaraan gekoppelde budgetten, is voor 2025 gekozen om de bezuiniging pro rata naar omvang van het thema te verdelen over alle subartikelen van de begroting</w:t>
            </w:r>
            <w:r>
              <w:rPr>
                <w:b/>
                <w:bCs/>
              </w:rPr>
              <w:t xml:space="preserve"> 2025</w:t>
            </w:r>
            <w:r w:rsidRPr="007D5455">
              <w:rPr>
                <w:b/>
                <w:bCs/>
              </w:rPr>
              <w:t>.</w:t>
            </w:r>
            <w:r>
              <w:rPr>
                <w:b/>
                <w:bCs/>
              </w:rPr>
              <w:t xml:space="preserve"> </w:t>
            </w:r>
            <w:r w:rsidRPr="007D5455">
              <w:rPr>
                <w:b/>
                <w:bCs/>
              </w:rPr>
              <w:t>Hierbĳ geldt als uitgangspunt dat lopende juridische contracten en verplichtingen zo veel mogelĳk worden gerespecteerd, vanuit het beginsel dat de overheid betrouwbaar wil zĳn.</w:t>
            </w:r>
            <w:r>
              <w:rPr>
                <w:b/>
                <w:bCs/>
              </w:rPr>
              <w:br/>
            </w:r>
            <w:r>
              <w:rPr>
                <w:b/>
                <w:bCs/>
              </w:rPr>
              <w:br/>
              <w:t xml:space="preserve">Zoals beschreven in de Ontwerpbegroting 2025 vragen de bezuinigingen een zorgvuldige weging en dienen deze aan te sluiten bij de prioriteiten uit het Regeerprogramma en de nadere beleidsuitwerking van de terreinen Buitenlandse Handel en Ontwikkelingshulp. </w:t>
            </w:r>
            <w:r w:rsidRPr="007D5455">
              <w:rPr>
                <w:b/>
                <w:bCs/>
              </w:rPr>
              <w:t>In de komende maanden wordt het nieuwe beleid nader uitgewerkt. Onderdeel van dat proces zal een aanpassing van de begroting zĳn, waardoor de begroting inzichtelĳker wordt. Dan worden ook de bezuinigingen voor 2026 en verder doorgevoerd, die nu ook pro rata zĳn verdeeld. Tot die tĳd bestaat deze technische verdeling op basis van de bestaande subartikelen van de begroting.</w:t>
            </w:r>
            <w:r>
              <w:rPr>
                <w:rFonts w:eastAsia="Univers LT Pro"/>
                <w:color w:val="211D1E"/>
                <w:sz w:val="18"/>
                <w:szCs w:val="18"/>
              </w:rPr>
              <w:t xml:space="preserve"> </w:t>
            </w:r>
            <w:r w:rsidRPr="00CA0B85">
              <w:rPr>
                <w:b/>
                <w:bCs/>
              </w:rPr>
              <w:t xml:space="preserve">Uw Kamer wordt </w:t>
            </w:r>
            <w:r>
              <w:rPr>
                <w:b/>
                <w:bCs/>
              </w:rPr>
              <w:t xml:space="preserve">daarom </w:t>
            </w:r>
            <w:r w:rsidRPr="00CA0B85">
              <w:rPr>
                <w:b/>
                <w:bCs/>
              </w:rPr>
              <w:t>op een later moment geïnformeerd over de beleidsinhoudelijke verdeling van de bezuinigingen.</w:t>
            </w:r>
          </w:p>
          <w:p w:rsidR="00F037FC" w:rsidP="006567B9" w:rsidRDefault="00F037FC" w14:paraId="2DC34815" w14:textId="6B5F488B">
            <w:pPr>
              <w:tabs>
                <w:tab w:val="left" w:pos="1410"/>
              </w:tabs>
            </w:pPr>
            <w:r>
              <w:tab/>
            </w:r>
          </w:p>
        </w:tc>
        <w:tc>
          <w:tcPr>
            <w:tcW w:w="856" w:type="dxa"/>
          </w:tcPr>
          <w:p w:rsidRPr="00507668" w:rsidR="00F037FC" w:rsidRDefault="00F037FC" w14:paraId="0E322749" w14:textId="77777777">
            <w:pPr>
              <w:jc w:val="right"/>
            </w:pPr>
          </w:p>
        </w:tc>
        <w:tc>
          <w:tcPr>
            <w:tcW w:w="856" w:type="dxa"/>
          </w:tcPr>
          <w:p w:rsidRPr="00507668" w:rsidR="00F037FC" w:rsidRDefault="00F037FC" w14:paraId="1F305BB4" w14:textId="4AF4035F">
            <w:pPr>
              <w:jc w:val="right"/>
            </w:pPr>
          </w:p>
        </w:tc>
        <w:tc>
          <w:tcPr>
            <w:tcW w:w="566" w:type="dxa"/>
          </w:tcPr>
          <w:p w:rsidRPr="00507668" w:rsidR="00F037FC" w:rsidRDefault="00F037FC" w14:paraId="1D3ACC0E" w14:textId="77777777">
            <w:pPr>
              <w:jc w:val="right"/>
            </w:pPr>
            <w:r w:rsidRPr="00507668">
              <w:t xml:space="preserve"> </w:t>
            </w:r>
          </w:p>
        </w:tc>
      </w:tr>
      <w:tr w:rsidR="00F037FC" w:rsidTr="00F90E37" w14:paraId="3898B73F" w14:textId="77777777">
        <w:tblPrEx>
          <w:tblCellMar>
            <w:left w:w="70" w:type="dxa"/>
            <w:right w:w="70" w:type="dxa"/>
          </w:tblCellMar>
        </w:tblPrEx>
        <w:tc>
          <w:tcPr>
            <w:tcW w:w="567" w:type="dxa"/>
          </w:tcPr>
          <w:p w:rsidR="00F037FC" w:rsidRDefault="00F037FC" w14:paraId="31B04C90" w14:textId="7CBDCE11">
            <w:r>
              <w:t>2</w:t>
            </w:r>
          </w:p>
        </w:tc>
        <w:tc>
          <w:tcPr>
            <w:tcW w:w="6663" w:type="dxa"/>
          </w:tcPr>
          <w:p w:rsidR="00F037FC" w:rsidRDefault="00F037FC" w14:paraId="694E0274" w14:textId="77777777">
            <w:r>
              <w:t>Kunt u voor de volgende thema's in een grafiek aangeven hoe de jaarlijks (verwachte) uitgaven zich hebben ontwikkeld tussen 2016 en 2026: Onderwijs, SRGR, klimaat en water?</w:t>
            </w:r>
          </w:p>
          <w:p w:rsidR="00F037FC" w:rsidRDefault="00F037FC" w14:paraId="1D17C43B" w14:textId="77777777"/>
          <w:p w:rsidR="00AC3459" w:rsidRDefault="00AC3459" w14:paraId="5BB058F1" w14:textId="77777777"/>
          <w:p w:rsidRPr="00AC3459" w:rsidR="00AC3459" w:rsidRDefault="00AC3459" w14:paraId="17E296A8" w14:textId="1F7D3759">
            <w:pPr>
              <w:rPr>
                <w:b/>
                <w:bCs/>
                <w:u w:val="single"/>
              </w:rPr>
            </w:pPr>
            <w:r w:rsidRPr="00AC3459">
              <w:rPr>
                <w:b/>
                <w:bCs/>
                <w:u w:val="single"/>
              </w:rPr>
              <w:lastRenderedPageBreak/>
              <w:t>Antwoord:</w:t>
            </w:r>
          </w:p>
          <w:p w:rsidR="00F037FC" w:rsidP="00F55254" w:rsidRDefault="00F037FC" w14:paraId="436027E1" w14:textId="33280C3B">
            <w:pPr>
              <w:spacing w:line="276" w:lineRule="auto"/>
              <w:rPr>
                <w:b/>
                <w:bCs/>
              </w:rPr>
            </w:pPr>
            <w:r>
              <w:rPr>
                <w:b/>
                <w:bCs/>
              </w:rPr>
              <w:t xml:space="preserve">Voor de jaren 2016 t/m 2023 zijn de realisaties weergegeven. Voor 2024 t/m 2026 zijn de begrote uitgaven weergegeven (stand Ontwerpbegroting 2025). Over de verdeling van de bezuinigingen vanaf 2026 wordt u op een later moment geïnformeerd. De weergegeven budgetten in 2026 kunnen dus nog wijzigen. </w:t>
            </w:r>
          </w:p>
          <w:p w:rsidRPr="00E935D9" w:rsidR="00F037FC" w:rsidRDefault="00F037FC" w14:paraId="1F57CA14" w14:textId="2A079E1C">
            <w:pPr>
              <w:rPr>
                <w:b/>
                <w:bCs/>
              </w:rPr>
            </w:pPr>
            <w:r>
              <w:rPr>
                <w:noProof/>
              </w:rPr>
              <w:drawing>
                <wp:inline distT="0" distB="0" distL="0" distR="0" wp14:anchorId="014952B2" wp14:editId="64C15893">
                  <wp:extent cx="4133850" cy="2396490"/>
                  <wp:effectExtent l="0" t="0" r="0" b="3810"/>
                  <wp:docPr id="1" name="Chart 1">
                    <a:extLst xmlns:a="http://schemas.openxmlformats.org/drawingml/2006/main">
                      <a:ext uri="{FF2B5EF4-FFF2-40B4-BE49-F238E27FC236}">
                        <a16:creationId xmlns:a16="http://schemas.microsoft.com/office/drawing/2014/main" id="{0947AFA0-4ACC-C2E3-CBAD-95661C56C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37FC" w:rsidRDefault="00F037FC" w14:paraId="537602CF" w14:textId="078921FC"/>
        </w:tc>
        <w:tc>
          <w:tcPr>
            <w:tcW w:w="856" w:type="dxa"/>
          </w:tcPr>
          <w:p w:rsidR="00F037FC" w:rsidRDefault="00F037FC" w14:paraId="16E6664A" w14:textId="77777777">
            <w:pPr>
              <w:jc w:val="right"/>
            </w:pPr>
          </w:p>
        </w:tc>
        <w:tc>
          <w:tcPr>
            <w:tcW w:w="856" w:type="dxa"/>
          </w:tcPr>
          <w:p w:rsidR="00F037FC" w:rsidRDefault="00F037FC" w14:paraId="2225C736" w14:textId="5E9F0DEF">
            <w:pPr>
              <w:jc w:val="right"/>
            </w:pPr>
          </w:p>
        </w:tc>
        <w:tc>
          <w:tcPr>
            <w:tcW w:w="566" w:type="dxa"/>
          </w:tcPr>
          <w:p w:rsidR="00F037FC" w:rsidRDefault="00F037FC" w14:paraId="1E583291" w14:textId="77777777">
            <w:pPr>
              <w:jc w:val="right"/>
            </w:pPr>
            <w:r>
              <w:t xml:space="preserve"> </w:t>
            </w:r>
          </w:p>
        </w:tc>
      </w:tr>
      <w:tr w:rsidR="00F037FC" w:rsidTr="00F90E37" w14:paraId="43867E0B" w14:textId="77777777">
        <w:tc>
          <w:tcPr>
            <w:tcW w:w="567" w:type="dxa"/>
          </w:tcPr>
          <w:p w:rsidR="00F037FC" w:rsidRDefault="00F037FC" w14:paraId="55BACC2B" w14:textId="03C5680E">
            <w:r>
              <w:t>3</w:t>
            </w:r>
          </w:p>
        </w:tc>
        <w:tc>
          <w:tcPr>
            <w:tcW w:w="6663" w:type="dxa"/>
          </w:tcPr>
          <w:p w:rsidR="00F037FC" w:rsidRDefault="00F037FC" w14:paraId="14E26FA5" w14:textId="77777777">
            <w:r>
              <w:t>Kunt u de Kamer een meerjarig overzicht van verplichtingen sturen, conform de toezegging gedaan door uw ambtsvoorganger bij de begrotingsbehandeling Buitenlandse Handel en Ontwikkelingssamenwerking 2024 (36410-XVII)?</w:t>
            </w:r>
          </w:p>
          <w:p w:rsidR="00F037FC" w:rsidRDefault="00F037FC" w14:paraId="0F5ABD0F" w14:textId="77777777"/>
          <w:p w:rsidRPr="00AC3459" w:rsidR="00AC3459" w:rsidRDefault="00AC3459" w14:paraId="04808F46" w14:textId="0B74EE89">
            <w:pPr>
              <w:rPr>
                <w:b/>
                <w:bCs/>
                <w:u w:val="single"/>
              </w:rPr>
            </w:pPr>
            <w:r w:rsidRPr="00AC3459">
              <w:rPr>
                <w:b/>
                <w:bCs/>
                <w:u w:val="single"/>
              </w:rPr>
              <w:t>Antwoord:</w:t>
            </w:r>
          </w:p>
          <w:p w:rsidRPr="00146525" w:rsidR="00F037FC" w:rsidP="00F55254" w:rsidRDefault="00F037FC" w14:paraId="34CAB65C" w14:textId="4D83F1D8">
            <w:pPr>
              <w:spacing w:line="276" w:lineRule="auto"/>
              <w:rPr>
                <w:b/>
                <w:bCs/>
              </w:rPr>
            </w:pPr>
            <w:r>
              <w:rPr>
                <w:b/>
                <w:bCs/>
              </w:rPr>
              <w:t>Een geactualiseerd overzicht van de meerjarige verplichtingen is als bijlage toegevoegd aan de ontwerpbegroting 2025 (Kamerstuk 36600-XVII, bijlage 6: Meerjarige juridische verplichtingen).</w:t>
            </w:r>
          </w:p>
          <w:p w:rsidR="00F037FC" w:rsidRDefault="00F037FC" w14:paraId="7A37771E" w14:textId="7FF3CBF7"/>
        </w:tc>
        <w:tc>
          <w:tcPr>
            <w:tcW w:w="856" w:type="dxa"/>
          </w:tcPr>
          <w:p w:rsidR="00F037FC" w:rsidRDefault="00F037FC" w14:paraId="26C28467" w14:textId="77777777">
            <w:pPr>
              <w:jc w:val="right"/>
            </w:pPr>
          </w:p>
        </w:tc>
        <w:tc>
          <w:tcPr>
            <w:tcW w:w="856" w:type="dxa"/>
          </w:tcPr>
          <w:p w:rsidR="00F037FC" w:rsidRDefault="00F037FC" w14:paraId="393D59BF" w14:textId="5716F504">
            <w:pPr>
              <w:jc w:val="right"/>
            </w:pPr>
          </w:p>
        </w:tc>
        <w:tc>
          <w:tcPr>
            <w:tcW w:w="566" w:type="dxa"/>
          </w:tcPr>
          <w:p w:rsidR="00F037FC" w:rsidRDefault="00F037FC" w14:paraId="01A8CB28" w14:textId="77777777">
            <w:pPr>
              <w:jc w:val="right"/>
            </w:pPr>
            <w:r>
              <w:t xml:space="preserve"> </w:t>
            </w:r>
          </w:p>
        </w:tc>
      </w:tr>
      <w:tr w:rsidR="00F037FC" w:rsidTr="00F90E37" w14:paraId="6C0B03C5" w14:textId="77777777">
        <w:tc>
          <w:tcPr>
            <w:tcW w:w="567" w:type="dxa"/>
          </w:tcPr>
          <w:p w:rsidR="00F037FC" w:rsidRDefault="00F037FC" w14:paraId="199E54E6" w14:textId="7006ADA9">
            <w:r>
              <w:t>4</w:t>
            </w:r>
          </w:p>
        </w:tc>
        <w:tc>
          <w:tcPr>
            <w:tcW w:w="6663" w:type="dxa"/>
          </w:tcPr>
          <w:p w:rsidR="00F037FC" w:rsidRDefault="00F037FC" w14:paraId="52EB834A" w14:textId="77777777">
            <w:r>
              <w:t>Heeft u al een preciezere indicatie van wanneer u een besluit neemt over het voortzetten van de strategische partnerschappen? Wat zijn de te verwachten gevolgen voor Nederlandse organisaties en zuidelijke (partner)organisaties als tenderprocedures voor strategische partnerschappen niet voor 1 januari 2026 volledig zijn afgerond?</w:t>
            </w:r>
          </w:p>
          <w:p w:rsidR="00F037FC" w:rsidP="00A26AF2" w:rsidRDefault="00F037FC" w14:paraId="72D39C64" w14:textId="77777777"/>
          <w:p w:rsidRPr="00AC3459" w:rsidR="00AC3459" w:rsidP="00A26AF2" w:rsidRDefault="00AC3459" w14:paraId="47AC43DD" w14:textId="371C34B7">
            <w:pPr>
              <w:rPr>
                <w:b/>
                <w:bCs/>
                <w:u w:val="single"/>
              </w:rPr>
            </w:pPr>
            <w:r w:rsidRPr="00AC3459">
              <w:rPr>
                <w:b/>
                <w:bCs/>
                <w:u w:val="single"/>
              </w:rPr>
              <w:t>Antwoord:</w:t>
            </w:r>
          </w:p>
          <w:p w:rsidRPr="003F26D6" w:rsidR="00F037FC" w:rsidP="00F55254" w:rsidRDefault="00F037FC" w14:paraId="4A11F15F" w14:textId="25957C70">
            <w:pPr>
              <w:spacing w:line="276" w:lineRule="auto"/>
              <w:rPr>
                <w:b/>
                <w:lang w:eastAsia="en-US"/>
              </w:rPr>
            </w:pPr>
            <w:r w:rsidRPr="003F26D6">
              <w:rPr>
                <w:b/>
                <w:lang w:eastAsia="en-US"/>
              </w:rPr>
              <w:t xml:space="preserve">Over de toekomst van het beleid op het gebied van versterking van het maatschappelijk middenveld informeer ik uw Kamer </w:t>
            </w:r>
            <w:r w:rsidRPr="3DE23A25">
              <w:rPr>
                <w:b/>
                <w:color w:val="000000" w:themeColor="text1"/>
                <w:lang w:eastAsia="en-US"/>
              </w:rPr>
              <w:t xml:space="preserve">voor de begrotingsbehandeling </w:t>
            </w:r>
            <w:r w:rsidRPr="003F26D6">
              <w:rPr>
                <w:b/>
                <w:lang w:eastAsia="en-US"/>
              </w:rPr>
              <w:t xml:space="preserve">per brief. </w:t>
            </w:r>
            <w:r w:rsidRPr="3DE23A25">
              <w:rPr>
                <w:b/>
                <w:color w:val="000000" w:themeColor="text1"/>
                <w:lang w:eastAsia="en-US"/>
              </w:rPr>
              <w:t>U zult te zijner tijd worden geïnformeerd over de nadere invulling hiervan.</w:t>
            </w:r>
          </w:p>
          <w:p w:rsidR="00F037FC" w:rsidRDefault="00F037FC" w14:paraId="6A2BC5E2" w14:textId="3B2AEBB7"/>
        </w:tc>
        <w:tc>
          <w:tcPr>
            <w:tcW w:w="856" w:type="dxa"/>
          </w:tcPr>
          <w:p w:rsidR="00F037FC" w:rsidRDefault="00F037FC" w14:paraId="49D44D43" w14:textId="77777777">
            <w:pPr>
              <w:jc w:val="right"/>
            </w:pPr>
          </w:p>
        </w:tc>
        <w:tc>
          <w:tcPr>
            <w:tcW w:w="856" w:type="dxa"/>
          </w:tcPr>
          <w:p w:rsidR="00F037FC" w:rsidRDefault="00F037FC" w14:paraId="13360ACF" w14:textId="25BC74A9">
            <w:pPr>
              <w:jc w:val="right"/>
            </w:pPr>
          </w:p>
        </w:tc>
        <w:tc>
          <w:tcPr>
            <w:tcW w:w="566" w:type="dxa"/>
          </w:tcPr>
          <w:p w:rsidR="00F037FC" w:rsidP="006F2D23" w:rsidRDefault="00F037FC" w14:paraId="1B49749A" w14:textId="77777777">
            <w:pPr>
              <w:jc w:val="center"/>
            </w:pPr>
            <w:r>
              <w:t xml:space="preserve"> </w:t>
            </w:r>
          </w:p>
        </w:tc>
      </w:tr>
      <w:tr w:rsidR="00F037FC" w:rsidTr="00F90E37" w14:paraId="30D34974" w14:textId="77777777">
        <w:tc>
          <w:tcPr>
            <w:tcW w:w="567" w:type="dxa"/>
          </w:tcPr>
          <w:p w:rsidR="00F037FC" w:rsidRDefault="00F037FC" w14:paraId="7D9C95DF" w14:textId="1B423ED2">
            <w:r>
              <w:t>5</w:t>
            </w:r>
          </w:p>
        </w:tc>
        <w:tc>
          <w:tcPr>
            <w:tcW w:w="6663" w:type="dxa"/>
          </w:tcPr>
          <w:p w:rsidR="00F037FC" w:rsidRDefault="00F037FC" w14:paraId="772F9BAD" w14:textId="3500B619">
            <w:r>
              <w:t>Klopt het dat, volgens de gebruikelijke ODA-systematiek, de meerjarige effecten van macro-economische bijstellingen op het ODA-budget in de eerste suppletoire begroting (CEP), de BHO-begroting (MEV) en in de tweede suppletoire begroting (MEV) worden gepresenteerd? Is in deze tweede suppletoire begroting de bijstelling naar aanleiding van de MEV verwerkt? Zo ja, kunt u aangeven waar in de begroting? Zo ja, wat zijn de meerjarige gevolgen van de bijstelling voor het budget? Zo nee, waarom is er niet bijgesteld? Zo nee, wat zouden de gevolgen voor het budget zijn geweest als er wel was bijgesteld?</w:t>
            </w:r>
          </w:p>
          <w:p w:rsidRPr="00AC3459" w:rsidR="00F037FC" w:rsidP="00507668" w:rsidRDefault="00F037FC" w14:paraId="4AC4BEBB" w14:textId="2D8C8C7D">
            <w:pPr>
              <w:rPr>
                <w:b/>
                <w:bCs/>
                <w:u w:val="single"/>
              </w:rPr>
            </w:pPr>
            <w:r w:rsidRPr="00AC3459">
              <w:rPr>
                <w:b/>
                <w:bCs/>
                <w:u w:val="single"/>
              </w:rPr>
              <w:lastRenderedPageBreak/>
              <w:t xml:space="preserve">Antwoord: </w:t>
            </w:r>
          </w:p>
          <w:p w:rsidRPr="00FB11C8" w:rsidR="00FB11C8" w:rsidP="00FB11C8" w:rsidRDefault="00FB11C8" w14:paraId="3C1F6A2F" w14:textId="77777777">
            <w:pPr>
              <w:rPr>
                <w:b/>
                <w:bCs/>
              </w:rPr>
            </w:pPr>
            <w:r w:rsidRPr="00FB11C8">
              <w:rPr>
                <w:b/>
                <w:bCs/>
              </w:rPr>
              <w:t xml:space="preserve">Het kabinet heeft besloten het ODA-budget bij Miljoenennota niet aan te passen naar aanleiding van de Macro-Economische Verkenning (MEV) van het CPB, die deze zomer gepubliceerd is. In het Hoofdlijnenakkoord is geen afspraak gemaakt over de koppeling met het BNI. Indien er wordt gekozen om het budget te koppelen, zal deze bijstelling ingepast moeten worden in het vastgestelde uitgavenkader. </w:t>
            </w:r>
          </w:p>
          <w:p w:rsidRPr="00FB11C8" w:rsidR="00FB11C8" w:rsidP="00F90E37" w:rsidRDefault="00FB11C8" w14:paraId="1C39523C" w14:textId="5E6F370F">
            <w:pPr>
              <w:ind w:right="-113"/>
              <w:rPr>
                <w:b/>
                <w:bCs/>
              </w:rPr>
            </w:pPr>
            <w:r w:rsidRPr="00FB11C8">
              <w:rPr>
                <w:b/>
                <w:bCs/>
              </w:rPr>
              <w:t xml:space="preserve">Indien het kabinet had besloten om het ODA-budget bij Miljoenennota op basis van de MEV bij te stellen, dan zou het ODA-budget op basis van de tot en met het </w:t>
            </w:r>
            <w:r w:rsidRPr="00B4346D">
              <w:rPr>
                <w:b/>
                <w:bCs/>
              </w:rPr>
              <w:t>voorjaar gehanteerde systematiek (op basis van 0,7%) met 2,0 miljard euro verhoogd zijn</w:t>
            </w:r>
            <w:r w:rsidRPr="00B4346D" w:rsidR="00B509CE">
              <w:rPr>
                <w:b/>
                <w:bCs/>
              </w:rPr>
              <w:t xml:space="preserve"> over de periode 2024-2029</w:t>
            </w:r>
            <w:r w:rsidRPr="00B4346D">
              <w:rPr>
                <w:b/>
                <w:bCs/>
              </w:rPr>
              <w:t>. Indien ervoor gekozen wordt om op basis van een lager percentage te koppelen</w:t>
            </w:r>
            <w:r w:rsidRPr="00FB11C8">
              <w:rPr>
                <w:b/>
                <w:bCs/>
              </w:rPr>
              <w:t xml:space="preserve">, </w:t>
            </w:r>
            <w:r w:rsidRPr="00B4346D">
              <w:rPr>
                <w:b/>
                <w:bCs/>
              </w:rPr>
              <w:t xml:space="preserve">bijvoorbeeld het geraamde percentage voor 2029 (0,44 %), dan kost dit cumulatief </w:t>
            </w:r>
            <w:r w:rsidRPr="00B4346D" w:rsidR="00B509CE">
              <w:rPr>
                <w:b/>
                <w:bCs/>
              </w:rPr>
              <w:t xml:space="preserve">(2024-2029) </w:t>
            </w:r>
            <w:r w:rsidRPr="00B4346D">
              <w:rPr>
                <w:b/>
                <w:bCs/>
              </w:rPr>
              <w:t>EUR 1,3 miljard.</w:t>
            </w:r>
            <w:r w:rsidRPr="00FB11C8">
              <w:rPr>
                <w:b/>
                <w:bCs/>
              </w:rPr>
              <w:t xml:space="preserve"> </w:t>
            </w:r>
          </w:p>
          <w:p w:rsidR="00FB11C8" w:rsidP="00FB11C8" w:rsidRDefault="00FB11C8" w14:paraId="6EF76F7C" w14:textId="77777777"/>
          <w:tbl>
            <w:tblPr>
              <w:tblpPr w:leftFromText="141" w:rightFromText="141" w:vertAnchor="text"/>
              <w:tblW w:w="6511" w:type="dxa"/>
              <w:tblLayout w:type="fixed"/>
              <w:tblCellMar>
                <w:left w:w="0" w:type="dxa"/>
                <w:right w:w="0" w:type="dxa"/>
              </w:tblCellMar>
              <w:tblLook w:val="04A0" w:firstRow="1" w:lastRow="0" w:firstColumn="1" w:lastColumn="0" w:noHBand="0" w:noVBand="1"/>
            </w:tblPr>
            <w:tblGrid>
              <w:gridCol w:w="1798"/>
              <w:gridCol w:w="670"/>
              <w:gridCol w:w="669"/>
              <w:gridCol w:w="669"/>
              <w:gridCol w:w="669"/>
              <w:gridCol w:w="669"/>
              <w:gridCol w:w="669"/>
              <w:gridCol w:w="698"/>
            </w:tblGrid>
            <w:tr w:rsidR="00FB11C8" w:rsidTr="00FB11C8" w14:paraId="7B03BCDE" w14:textId="77777777">
              <w:trPr>
                <w:trHeight w:val="349"/>
              </w:trPr>
              <w:tc>
                <w:tcPr>
                  <w:tcW w:w="1751" w:type="dxa"/>
                  <w:tcBorders>
                    <w:top w:val="single" w:color="BFBFBF" w:sz="8" w:space="0"/>
                    <w:left w:val="single" w:color="BFBFBF" w:sz="8" w:space="0"/>
                    <w:bottom w:val="single" w:color="BFBFBF" w:sz="8" w:space="0"/>
                    <w:right w:val="single" w:color="BFBFBF" w:sz="8" w:space="0"/>
                  </w:tcBorders>
                  <w:tcMar>
                    <w:top w:w="0" w:type="dxa"/>
                    <w:left w:w="108" w:type="dxa"/>
                    <w:bottom w:w="0" w:type="dxa"/>
                    <w:right w:w="108" w:type="dxa"/>
                  </w:tcMar>
                  <w:hideMark/>
                </w:tcPr>
                <w:p w:rsidR="00FB11C8" w:rsidP="00FB11C8" w:rsidRDefault="00FB11C8" w14:paraId="5E14945F" w14:textId="77777777">
                  <w:pPr>
                    <w:spacing w:after="0"/>
                  </w:pPr>
                  <w:r>
                    <w:rPr>
                      <w:b/>
                      <w:bCs/>
                      <w:i/>
                      <w:iCs/>
                    </w:rPr>
                    <w:t xml:space="preserve">In mln. </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568CF2C7" w14:textId="77777777">
                  <w:pPr>
                    <w:spacing w:after="0"/>
                  </w:pPr>
                  <w:r>
                    <w:rPr>
                      <w:b/>
                      <w:bCs/>
                    </w:rPr>
                    <w:t>2024</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84A9634" w14:textId="77777777">
                  <w:pPr>
                    <w:spacing w:after="0"/>
                  </w:pPr>
                  <w:r>
                    <w:rPr>
                      <w:b/>
                      <w:bCs/>
                    </w:rPr>
                    <w:t>2025</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607147E4" w14:textId="77777777">
                  <w:pPr>
                    <w:spacing w:after="0"/>
                  </w:pPr>
                  <w:r>
                    <w:rPr>
                      <w:b/>
                      <w:bCs/>
                    </w:rPr>
                    <w:t>2026</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4DFF188" w14:textId="77777777">
                  <w:pPr>
                    <w:spacing w:after="0"/>
                  </w:pPr>
                  <w:r>
                    <w:rPr>
                      <w:b/>
                      <w:bCs/>
                    </w:rPr>
                    <w:t>2027</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4E41EA56" w14:textId="77777777">
                  <w:pPr>
                    <w:spacing w:after="0"/>
                  </w:pPr>
                  <w:r>
                    <w:rPr>
                      <w:b/>
                      <w:bCs/>
                    </w:rPr>
                    <w:t>2028</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51C7CFDD" w14:textId="77777777">
                  <w:pPr>
                    <w:spacing w:after="0"/>
                  </w:pPr>
                  <w:r>
                    <w:rPr>
                      <w:b/>
                      <w:bCs/>
                    </w:rPr>
                    <w:t>2029</w:t>
                  </w:r>
                </w:p>
              </w:tc>
              <w:tc>
                <w:tcPr>
                  <w:tcW w:w="680"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97E3D54" w14:textId="1659F82F">
                  <w:pPr>
                    <w:spacing w:after="0"/>
                  </w:pPr>
                  <w:r>
                    <w:rPr>
                      <w:b/>
                      <w:bCs/>
                    </w:rPr>
                    <w:t>Cum.</w:t>
                  </w:r>
                </w:p>
              </w:tc>
            </w:tr>
            <w:tr w:rsidR="00FB11C8" w:rsidTr="00FB11C8" w14:paraId="087C6A2E" w14:textId="77777777">
              <w:trPr>
                <w:trHeight w:val="349"/>
              </w:trPr>
              <w:tc>
                <w:tcPr>
                  <w:tcW w:w="1751" w:type="dxa"/>
                  <w:tcBorders>
                    <w:top w:val="nil"/>
                    <w:left w:val="single" w:color="BFBFBF" w:sz="8" w:space="0"/>
                    <w:bottom w:val="single" w:color="BFBFBF" w:sz="8" w:space="0"/>
                    <w:right w:val="single" w:color="BFBFBF" w:sz="8" w:space="0"/>
                  </w:tcBorders>
                  <w:tcMar>
                    <w:top w:w="0" w:type="dxa"/>
                    <w:left w:w="108" w:type="dxa"/>
                    <w:bottom w:w="0" w:type="dxa"/>
                    <w:right w:w="108" w:type="dxa"/>
                  </w:tcMar>
                  <w:hideMark/>
                </w:tcPr>
                <w:p w:rsidR="00FB11C8" w:rsidP="00FB11C8" w:rsidRDefault="00FB11C8" w14:paraId="59718C81" w14:textId="77777777">
                  <w:pPr>
                    <w:spacing w:after="0"/>
                  </w:pPr>
                  <w:r>
                    <w:rPr>
                      <w:b/>
                      <w:bCs/>
                    </w:rPr>
                    <w:t>Bijstelling cf. BNI-ontwikkeling</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4281471" w14:textId="77777777">
                  <w:pPr>
                    <w:spacing w:after="0"/>
                  </w:pPr>
                  <w:r>
                    <w:t>180</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40A51C40" w14:textId="77777777">
                  <w:pPr>
                    <w:spacing w:after="0"/>
                  </w:pPr>
                  <w:r>
                    <w:t>200</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19399DFE" w14:textId="77777777">
                  <w:pPr>
                    <w:spacing w:after="0"/>
                  </w:pPr>
                  <w:r>
                    <w:t>211</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526ECB79" w14:textId="77777777">
                  <w:pPr>
                    <w:spacing w:after="0"/>
                  </w:pPr>
                  <w:r>
                    <w:t>229</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F80D59E" w14:textId="77777777">
                  <w:pPr>
                    <w:spacing w:after="0"/>
                  </w:pPr>
                  <w:r>
                    <w:t>229</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0C90077C" w14:textId="77777777">
                  <w:pPr>
                    <w:spacing w:after="0"/>
                  </w:pPr>
                  <w:r>
                    <w:t>229</w:t>
                  </w:r>
                </w:p>
              </w:tc>
              <w:tc>
                <w:tcPr>
                  <w:tcW w:w="680"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0C7BE7E8" w14:textId="77777777">
                  <w:pPr>
                    <w:spacing w:after="0"/>
                  </w:pPr>
                  <w:r>
                    <w:t>1.278</w:t>
                  </w:r>
                </w:p>
              </w:tc>
            </w:tr>
          </w:tbl>
          <w:p w:rsidRPr="00FB11C8" w:rsidR="00FB11C8" w:rsidP="00FB11C8" w:rsidRDefault="00FB11C8" w14:paraId="7260445E" w14:textId="0CC68FEC">
            <w:pPr>
              <w:rPr>
                <w:rFonts w:ascii="Calibri" w:hAnsi="Calibri" w:cs="Calibri" w:eastAsiaTheme="minorHAnsi"/>
                <w:sz w:val="22"/>
                <w:szCs w:val="22"/>
              </w:rPr>
            </w:pPr>
            <w:r>
              <w:t> </w:t>
            </w:r>
          </w:p>
          <w:p w:rsidRPr="00FB11C8" w:rsidR="00FB11C8" w:rsidP="00FB11C8" w:rsidRDefault="00FB11C8" w14:paraId="722BBD76" w14:textId="77777777">
            <w:pPr>
              <w:rPr>
                <w:b/>
                <w:bCs/>
              </w:rPr>
            </w:pPr>
            <w:r w:rsidRPr="00FB11C8">
              <w:rPr>
                <w:b/>
                <w:bCs/>
              </w:rPr>
              <w:t xml:space="preserve">Een koppeling waarbij de ODA-prestatie op (zeer) lange termijn toegroeit naar 0,7% BNI, conform de systematiek van voorgaande kabinetten, zou de volgende bijstelling betekend hebben: </w:t>
            </w:r>
          </w:p>
          <w:p w:rsidRPr="00FB11C8" w:rsidR="00FB11C8" w:rsidP="00FB11C8" w:rsidRDefault="00FB11C8" w14:paraId="112C494B" w14:textId="77777777">
            <w:pPr>
              <w:ind w:left="-108"/>
              <w:rPr>
                <w:rFonts w:ascii="Calibri" w:hAnsi="Calibri" w:cs="Calibri" w:eastAsiaTheme="minorHAnsi"/>
                <w:sz w:val="22"/>
                <w:szCs w:val="22"/>
              </w:rPr>
            </w:pPr>
            <w:r>
              <w:t> </w:t>
            </w:r>
          </w:p>
          <w:tbl>
            <w:tblPr>
              <w:tblpPr w:leftFromText="141" w:rightFromText="141" w:vertAnchor="text" w:horzAnchor="margin" w:tblpY="165"/>
              <w:tblOverlap w:val="never"/>
              <w:tblW w:w="6511" w:type="dxa"/>
              <w:tblLayout w:type="fixed"/>
              <w:tblCellMar>
                <w:left w:w="0" w:type="dxa"/>
                <w:right w:w="0" w:type="dxa"/>
              </w:tblCellMar>
              <w:tblLook w:val="04A0" w:firstRow="1" w:lastRow="0" w:firstColumn="1" w:lastColumn="0" w:noHBand="0" w:noVBand="1"/>
            </w:tblPr>
            <w:tblGrid>
              <w:gridCol w:w="1803"/>
              <w:gridCol w:w="668"/>
              <w:gridCol w:w="668"/>
              <w:gridCol w:w="669"/>
              <w:gridCol w:w="669"/>
              <w:gridCol w:w="669"/>
              <w:gridCol w:w="669"/>
              <w:gridCol w:w="696"/>
            </w:tblGrid>
            <w:tr w:rsidR="00FB11C8" w:rsidTr="00F90E37" w14:paraId="16B09D0D" w14:textId="77777777">
              <w:trPr>
                <w:trHeight w:val="401"/>
              </w:trPr>
              <w:tc>
                <w:tcPr>
                  <w:tcW w:w="1759" w:type="dxa"/>
                  <w:tcBorders>
                    <w:top w:val="single" w:color="BFBFBF" w:sz="8" w:space="0"/>
                    <w:left w:val="single" w:color="BFBFBF" w:sz="8" w:space="0"/>
                    <w:bottom w:val="single" w:color="BFBFBF" w:sz="8" w:space="0"/>
                    <w:right w:val="single" w:color="BFBFBF" w:sz="8" w:space="0"/>
                  </w:tcBorders>
                  <w:tcMar>
                    <w:top w:w="0" w:type="dxa"/>
                    <w:left w:w="108" w:type="dxa"/>
                    <w:bottom w:w="0" w:type="dxa"/>
                    <w:right w:w="108" w:type="dxa"/>
                  </w:tcMar>
                  <w:hideMark/>
                </w:tcPr>
                <w:p w:rsidR="00FB11C8" w:rsidP="00FB11C8" w:rsidRDefault="00FB11C8" w14:paraId="02CD2609" w14:textId="77777777">
                  <w:pPr>
                    <w:spacing w:after="0"/>
                  </w:pPr>
                  <w:r>
                    <w:rPr>
                      <w:b/>
                      <w:bCs/>
                      <w:i/>
                      <w:iCs/>
                    </w:rPr>
                    <w:t xml:space="preserve">In mln. </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1338E8C3" w14:textId="77777777">
                  <w:pPr>
                    <w:spacing w:after="0"/>
                  </w:pPr>
                  <w:r>
                    <w:rPr>
                      <w:b/>
                      <w:bCs/>
                    </w:rPr>
                    <w:t>2024</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09462AE1" w14:textId="77777777">
                  <w:pPr>
                    <w:spacing w:after="0"/>
                  </w:pPr>
                  <w:r>
                    <w:rPr>
                      <w:b/>
                      <w:bCs/>
                    </w:rPr>
                    <w:t>2025</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63E7C065" w14:textId="77777777">
                  <w:pPr>
                    <w:spacing w:after="0"/>
                  </w:pPr>
                  <w:r>
                    <w:rPr>
                      <w:b/>
                      <w:bCs/>
                    </w:rPr>
                    <w:t>2026</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4CCCC78B" w14:textId="77777777">
                  <w:pPr>
                    <w:spacing w:after="0"/>
                  </w:pPr>
                  <w:r>
                    <w:rPr>
                      <w:b/>
                      <w:bCs/>
                    </w:rPr>
                    <w:t>2027</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67100C11" w14:textId="77777777">
                  <w:pPr>
                    <w:spacing w:after="0"/>
                  </w:pPr>
                  <w:r>
                    <w:rPr>
                      <w:b/>
                      <w:bCs/>
                    </w:rPr>
                    <w:t>2028</w:t>
                  </w:r>
                </w:p>
              </w:tc>
              <w:tc>
                <w:tcPr>
                  <w:tcW w:w="652"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6DABC995" w14:textId="77777777">
                  <w:pPr>
                    <w:spacing w:after="0"/>
                  </w:pPr>
                  <w:r>
                    <w:rPr>
                      <w:b/>
                      <w:bCs/>
                    </w:rPr>
                    <w:t>2029</w:t>
                  </w:r>
                </w:p>
              </w:tc>
              <w:tc>
                <w:tcPr>
                  <w:tcW w:w="679" w:type="dxa"/>
                  <w:tcBorders>
                    <w:top w:val="single" w:color="BFBFBF" w:sz="8" w:space="0"/>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261380F" w14:textId="77777777">
                  <w:pPr>
                    <w:spacing w:after="0"/>
                  </w:pPr>
                  <w:r>
                    <w:rPr>
                      <w:b/>
                      <w:bCs/>
                    </w:rPr>
                    <w:t>Cum.</w:t>
                  </w:r>
                </w:p>
              </w:tc>
            </w:tr>
            <w:tr w:rsidR="00FB11C8" w:rsidTr="00F90E37" w14:paraId="0A060B86" w14:textId="77777777">
              <w:trPr>
                <w:trHeight w:val="648"/>
              </w:trPr>
              <w:tc>
                <w:tcPr>
                  <w:tcW w:w="1759" w:type="dxa"/>
                  <w:tcBorders>
                    <w:top w:val="nil"/>
                    <w:left w:val="single" w:color="BFBFBF" w:sz="8" w:space="0"/>
                    <w:bottom w:val="single" w:color="BFBFBF" w:sz="8" w:space="0"/>
                    <w:right w:val="single" w:color="BFBFBF" w:sz="8" w:space="0"/>
                  </w:tcBorders>
                  <w:tcMar>
                    <w:top w:w="0" w:type="dxa"/>
                    <w:left w:w="108" w:type="dxa"/>
                    <w:bottom w:w="0" w:type="dxa"/>
                    <w:right w:w="108" w:type="dxa"/>
                  </w:tcMar>
                  <w:hideMark/>
                </w:tcPr>
                <w:p w:rsidR="00FB11C8" w:rsidP="00FB11C8" w:rsidRDefault="00FB11C8" w14:paraId="1085AA1B" w14:textId="77777777">
                  <w:pPr>
                    <w:spacing w:after="0"/>
                  </w:pPr>
                  <w:r>
                    <w:rPr>
                      <w:b/>
                      <w:bCs/>
                    </w:rPr>
                    <w:t>Bijstelling ODA-budget bij groei naar 0,7%</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72DB91FE" w14:textId="77777777">
                  <w:pPr>
                    <w:spacing w:after="0"/>
                  </w:pPr>
                  <w:r>
                    <w:t>287</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6C7CA259" w14:textId="77777777">
                  <w:pPr>
                    <w:spacing w:after="0"/>
                  </w:pPr>
                  <w:r>
                    <w:t>319</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046D31E3" w14:textId="77777777">
                  <w:pPr>
                    <w:spacing w:after="0"/>
                  </w:pPr>
                  <w:r>
                    <w:t>336</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6C1F8730" w14:textId="77777777">
                  <w:pPr>
                    <w:spacing w:after="0"/>
                  </w:pPr>
                  <w:r>
                    <w:t>364</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10921F59" w14:textId="77777777">
                  <w:pPr>
                    <w:spacing w:after="0"/>
                  </w:pPr>
                  <w:r>
                    <w:t>364</w:t>
                  </w:r>
                </w:p>
              </w:tc>
              <w:tc>
                <w:tcPr>
                  <w:tcW w:w="652"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50C943D1" w14:textId="77777777">
                  <w:pPr>
                    <w:spacing w:after="0"/>
                  </w:pPr>
                  <w:r>
                    <w:t>364</w:t>
                  </w:r>
                </w:p>
              </w:tc>
              <w:tc>
                <w:tcPr>
                  <w:tcW w:w="679" w:type="dxa"/>
                  <w:tcBorders>
                    <w:top w:val="nil"/>
                    <w:left w:val="nil"/>
                    <w:bottom w:val="single" w:color="BFBFBF" w:sz="8" w:space="0"/>
                    <w:right w:val="single" w:color="BFBFBF" w:sz="8" w:space="0"/>
                  </w:tcBorders>
                  <w:tcMar>
                    <w:top w:w="0" w:type="dxa"/>
                    <w:left w:w="108" w:type="dxa"/>
                    <w:bottom w:w="0" w:type="dxa"/>
                    <w:right w:w="108" w:type="dxa"/>
                  </w:tcMar>
                  <w:hideMark/>
                </w:tcPr>
                <w:p w:rsidR="00FB11C8" w:rsidP="00FB11C8" w:rsidRDefault="00FB11C8" w14:paraId="543B8264" w14:textId="77777777">
                  <w:pPr>
                    <w:spacing w:after="0"/>
                  </w:pPr>
                  <w:r>
                    <w:t>2.034</w:t>
                  </w:r>
                </w:p>
              </w:tc>
            </w:tr>
          </w:tbl>
          <w:p w:rsidRPr="00FB11C8" w:rsidR="00FB11C8" w:rsidP="00FB11C8" w:rsidRDefault="00FB11C8" w14:paraId="7CCFC22D" w14:textId="13DFF0F9">
            <w:pPr>
              <w:ind w:left="-108"/>
              <w:rPr>
                <w:rFonts w:ascii="Calibri" w:hAnsi="Calibri" w:cs="Calibri" w:eastAsiaTheme="minorHAnsi"/>
                <w:sz w:val="22"/>
                <w:szCs w:val="22"/>
              </w:rPr>
            </w:pPr>
          </w:p>
          <w:p w:rsidRPr="00FB11C8" w:rsidR="00FB11C8" w:rsidP="00FB11C8" w:rsidRDefault="00B509CE" w14:paraId="495945E3" w14:textId="0936B87D">
            <w:pPr>
              <w:rPr>
                <w:b/>
                <w:bCs/>
              </w:rPr>
            </w:pPr>
            <w:r w:rsidRPr="00B4346D">
              <w:rPr>
                <w:b/>
                <w:bCs/>
              </w:rPr>
              <w:t>Zonder</w:t>
            </w:r>
            <w:r w:rsidRPr="00B4346D" w:rsidR="00FB11C8">
              <w:rPr>
                <w:b/>
                <w:bCs/>
              </w:rPr>
              <w:t xml:space="preserve"> deze bijstellingen </w:t>
            </w:r>
            <w:r w:rsidRPr="00B4346D">
              <w:rPr>
                <w:b/>
                <w:bCs/>
              </w:rPr>
              <w:t>is</w:t>
            </w:r>
            <w:r w:rsidRPr="00B4346D" w:rsidR="00FB11C8">
              <w:rPr>
                <w:b/>
                <w:bCs/>
              </w:rPr>
              <w:t xml:space="preserve"> het ODA budget voor de aankomende jaren als volgt</w:t>
            </w:r>
            <w:r w:rsidRPr="00B4346D">
              <w:rPr>
                <w:b/>
                <w:bCs/>
              </w:rPr>
              <w:t>:</w:t>
            </w:r>
          </w:p>
          <w:p w:rsidR="00F90E37" w:rsidP="00FB11C8" w:rsidRDefault="00FB11C8" w14:paraId="0379ADEF" w14:textId="77777777">
            <w:pPr>
              <w:rPr>
                <w:rFonts w:ascii="Calibri" w:hAnsi="Calibri" w:cs="Calibri" w:eastAsiaTheme="minorHAnsi"/>
                <w:sz w:val="22"/>
                <w:szCs w:val="22"/>
              </w:rPr>
            </w:pPr>
            <w:r>
              <w:t> </w:t>
            </w:r>
          </w:p>
          <w:tbl>
            <w:tblPr>
              <w:tblW w:w="6545" w:type="dxa"/>
              <w:tblLayout w:type="fixed"/>
              <w:tblCellMar>
                <w:left w:w="0" w:type="dxa"/>
                <w:right w:w="0" w:type="dxa"/>
              </w:tblCellMar>
              <w:tblLook w:val="04A0" w:firstRow="1" w:lastRow="0" w:firstColumn="1" w:lastColumn="0" w:noHBand="0" w:noVBand="1"/>
            </w:tblPr>
            <w:tblGrid>
              <w:gridCol w:w="2238"/>
              <w:gridCol w:w="717"/>
              <w:gridCol w:w="718"/>
              <w:gridCol w:w="718"/>
              <w:gridCol w:w="718"/>
              <w:gridCol w:w="718"/>
              <w:gridCol w:w="718"/>
            </w:tblGrid>
            <w:tr w:rsidR="00F90E37" w:rsidTr="00B509CE" w14:paraId="135C1166" w14:textId="77777777">
              <w:trPr>
                <w:trHeight w:val="300"/>
              </w:trPr>
              <w:tc>
                <w:tcPr>
                  <w:tcW w:w="2238" w:type="dxa"/>
                  <w:tcBorders>
                    <w:top w:val="single" w:color="BFBFBF" w:sz="8" w:space="0"/>
                    <w:left w:val="single" w:color="BFBFBF" w:sz="8" w:space="0"/>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6E1253C8" w14:textId="77777777">
                  <w:pPr>
                    <w:spacing w:after="0"/>
                  </w:pPr>
                  <w:r>
                    <w:rPr>
                      <w:b/>
                      <w:bCs/>
                      <w:color w:val="000000"/>
                    </w:rPr>
                    <w:t> </w:t>
                  </w:r>
                  <w:r>
                    <w:rPr>
                      <w:b/>
                      <w:bCs/>
                      <w:i/>
                      <w:iCs/>
                      <w:color w:val="000000"/>
                    </w:rPr>
                    <w:t>In mln.</w:t>
                  </w:r>
                </w:p>
              </w:tc>
              <w:tc>
                <w:tcPr>
                  <w:tcW w:w="717" w:type="dxa"/>
                  <w:tcBorders>
                    <w:top w:val="single" w:color="BFBFBF" w:sz="8" w:space="0"/>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50251511" w14:textId="77777777">
                  <w:pPr>
                    <w:spacing w:after="0"/>
                    <w:jc w:val="right"/>
                  </w:pPr>
                  <w:r>
                    <w:rPr>
                      <w:b/>
                      <w:bCs/>
                      <w:color w:val="000000"/>
                    </w:rPr>
                    <w:t>2024</w:t>
                  </w:r>
                </w:p>
              </w:tc>
              <w:tc>
                <w:tcPr>
                  <w:tcW w:w="718" w:type="dxa"/>
                  <w:tcBorders>
                    <w:top w:val="single" w:color="BFBFBF" w:sz="8" w:space="0"/>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39A61F4B" w14:textId="77777777">
                  <w:pPr>
                    <w:spacing w:after="0"/>
                    <w:jc w:val="right"/>
                  </w:pPr>
                  <w:r>
                    <w:rPr>
                      <w:b/>
                      <w:bCs/>
                      <w:color w:val="000000"/>
                    </w:rPr>
                    <w:t>2025</w:t>
                  </w:r>
                </w:p>
              </w:tc>
              <w:tc>
                <w:tcPr>
                  <w:tcW w:w="718" w:type="dxa"/>
                  <w:tcBorders>
                    <w:top w:val="single" w:color="BFBFBF" w:sz="8" w:space="0"/>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350B4C39" w14:textId="77777777">
                  <w:pPr>
                    <w:spacing w:after="0"/>
                    <w:jc w:val="right"/>
                  </w:pPr>
                  <w:r>
                    <w:rPr>
                      <w:b/>
                      <w:bCs/>
                      <w:color w:val="000000"/>
                    </w:rPr>
                    <w:t>2026</w:t>
                  </w:r>
                </w:p>
              </w:tc>
              <w:tc>
                <w:tcPr>
                  <w:tcW w:w="718" w:type="dxa"/>
                  <w:tcBorders>
                    <w:top w:val="single" w:color="BFBFBF" w:sz="8" w:space="0"/>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0D780798" w14:textId="77777777">
                  <w:pPr>
                    <w:spacing w:after="0"/>
                    <w:jc w:val="right"/>
                  </w:pPr>
                  <w:r>
                    <w:rPr>
                      <w:b/>
                      <w:bCs/>
                      <w:color w:val="000000"/>
                    </w:rPr>
                    <w:t>2027</w:t>
                  </w:r>
                </w:p>
              </w:tc>
              <w:tc>
                <w:tcPr>
                  <w:tcW w:w="718" w:type="dxa"/>
                  <w:tcBorders>
                    <w:top w:val="single" w:color="BFBFBF" w:sz="8" w:space="0"/>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50C80060" w14:textId="77777777">
                  <w:pPr>
                    <w:spacing w:after="0"/>
                    <w:jc w:val="right"/>
                  </w:pPr>
                  <w:r>
                    <w:rPr>
                      <w:b/>
                      <w:bCs/>
                      <w:color w:val="000000"/>
                    </w:rPr>
                    <w:t>2028</w:t>
                  </w:r>
                </w:p>
              </w:tc>
              <w:tc>
                <w:tcPr>
                  <w:tcW w:w="718" w:type="dxa"/>
                  <w:tcBorders>
                    <w:top w:val="single" w:color="BFBFBF" w:sz="8" w:space="0"/>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23C33885" w14:textId="77777777">
                  <w:pPr>
                    <w:spacing w:after="0"/>
                    <w:jc w:val="right"/>
                  </w:pPr>
                  <w:r>
                    <w:rPr>
                      <w:b/>
                      <w:bCs/>
                      <w:color w:val="000000"/>
                    </w:rPr>
                    <w:t>2029</w:t>
                  </w:r>
                </w:p>
              </w:tc>
            </w:tr>
            <w:tr w:rsidR="00F90E37" w:rsidTr="00B509CE" w14:paraId="2328BEC8" w14:textId="77777777">
              <w:trPr>
                <w:trHeight w:val="300"/>
              </w:trPr>
              <w:tc>
                <w:tcPr>
                  <w:tcW w:w="2238" w:type="dxa"/>
                  <w:tcBorders>
                    <w:top w:val="nil"/>
                    <w:left w:val="single" w:color="BFBFBF" w:sz="8" w:space="0"/>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4E1429AE" w14:textId="77777777">
                  <w:pPr>
                    <w:spacing w:after="0"/>
                  </w:pPr>
                  <w:r>
                    <w:rPr>
                      <w:b/>
                      <w:bCs/>
                      <w:color w:val="000000"/>
                    </w:rPr>
                    <w:t>ODA-budget 2024-2029</w:t>
                  </w:r>
                </w:p>
              </w:tc>
              <w:tc>
                <w:tcPr>
                  <w:tcW w:w="717" w:type="dxa"/>
                  <w:tcBorders>
                    <w:top w:val="nil"/>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768FD7D1" w14:textId="77777777">
                  <w:pPr>
                    <w:spacing w:after="0"/>
                    <w:jc w:val="right"/>
                  </w:pPr>
                  <w:r>
                    <w:rPr>
                      <w:color w:val="000000"/>
                    </w:rPr>
                    <w:t>7.016</w:t>
                  </w:r>
                </w:p>
              </w:tc>
              <w:tc>
                <w:tcPr>
                  <w:tcW w:w="718" w:type="dxa"/>
                  <w:tcBorders>
                    <w:top w:val="nil"/>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07576471" w14:textId="77777777">
                  <w:pPr>
                    <w:spacing w:after="0"/>
                    <w:jc w:val="right"/>
                  </w:pPr>
                  <w:r>
                    <w:rPr>
                      <w:color w:val="000000"/>
                    </w:rPr>
                    <w:t>7.175</w:t>
                  </w:r>
                </w:p>
              </w:tc>
              <w:tc>
                <w:tcPr>
                  <w:tcW w:w="718" w:type="dxa"/>
                  <w:tcBorders>
                    <w:top w:val="nil"/>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3EB4EBBD" w14:textId="77777777">
                  <w:pPr>
                    <w:spacing w:after="0"/>
                    <w:jc w:val="right"/>
                  </w:pPr>
                  <w:r>
                    <w:rPr>
                      <w:color w:val="000000"/>
                    </w:rPr>
                    <w:t>7.304</w:t>
                  </w:r>
                </w:p>
              </w:tc>
              <w:tc>
                <w:tcPr>
                  <w:tcW w:w="718" w:type="dxa"/>
                  <w:tcBorders>
                    <w:top w:val="nil"/>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3DC47D57" w14:textId="77777777">
                  <w:pPr>
                    <w:spacing w:after="0"/>
                    <w:jc w:val="right"/>
                  </w:pPr>
                  <w:r>
                    <w:rPr>
                      <w:color w:val="000000"/>
                    </w:rPr>
                    <w:t>5.444</w:t>
                  </w:r>
                </w:p>
              </w:tc>
              <w:tc>
                <w:tcPr>
                  <w:tcW w:w="718" w:type="dxa"/>
                  <w:tcBorders>
                    <w:top w:val="nil"/>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3609379E" w14:textId="77777777">
                  <w:pPr>
                    <w:spacing w:after="0"/>
                    <w:jc w:val="right"/>
                  </w:pPr>
                  <w:r>
                    <w:rPr>
                      <w:color w:val="000000"/>
                    </w:rPr>
                    <w:t>5.552</w:t>
                  </w:r>
                </w:p>
              </w:tc>
              <w:tc>
                <w:tcPr>
                  <w:tcW w:w="718" w:type="dxa"/>
                  <w:tcBorders>
                    <w:top w:val="nil"/>
                    <w:left w:val="nil"/>
                    <w:bottom w:val="single" w:color="BFBFBF" w:sz="8" w:space="0"/>
                    <w:right w:val="single" w:color="BFBFBF" w:sz="8" w:space="0"/>
                  </w:tcBorders>
                  <w:noWrap/>
                  <w:tcMar>
                    <w:top w:w="0" w:type="dxa"/>
                    <w:left w:w="108" w:type="dxa"/>
                    <w:bottom w:w="0" w:type="dxa"/>
                    <w:right w:w="108" w:type="dxa"/>
                  </w:tcMar>
                  <w:hideMark/>
                </w:tcPr>
                <w:p w:rsidR="00F90E37" w:rsidP="00F90E37" w:rsidRDefault="00F90E37" w14:paraId="1AA7670B" w14:textId="77777777">
                  <w:pPr>
                    <w:spacing w:after="0"/>
                    <w:jc w:val="right"/>
                  </w:pPr>
                  <w:r>
                    <w:rPr>
                      <w:color w:val="000000"/>
                    </w:rPr>
                    <w:t>5.942</w:t>
                  </w:r>
                </w:p>
              </w:tc>
            </w:tr>
          </w:tbl>
          <w:p w:rsidR="00FB11C8" w:rsidP="00FB11C8" w:rsidRDefault="00FB11C8" w14:paraId="202E2908" w14:textId="4782E435">
            <w:pPr>
              <w:rPr>
                <w:rFonts w:ascii="Calibri" w:hAnsi="Calibri" w:cs="Calibri" w:eastAsiaTheme="minorHAnsi"/>
                <w:sz w:val="22"/>
                <w:szCs w:val="22"/>
              </w:rPr>
            </w:pPr>
          </w:p>
          <w:p w:rsidR="00F037FC" w:rsidRDefault="00F037FC" w14:paraId="7B2E8F35" w14:textId="6F2ADD91"/>
        </w:tc>
        <w:tc>
          <w:tcPr>
            <w:tcW w:w="856" w:type="dxa"/>
          </w:tcPr>
          <w:p w:rsidR="00F037FC" w:rsidRDefault="00F037FC" w14:paraId="598D2E20" w14:textId="77777777">
            <w:pPr>
              <w:jc w:val="right"/>
            </w:pPr>
          </w:p>
        </w:tc>
        <w:tc>
          <w:tcPr>
            <w:tcW w:w="856" w:type="dxa"/>
          </w:tcPr>
          <w:p w:rsidR="00F037FC" w:rsidRDefault="00F037FC" w14:paraId="55F1AAA1" w14:textId="3C711707">
            <w:pPr>
              <w:jc w:val="right"/>
            </w:pPr>
          </w:p>
        </w:tc>
        <w:tc>
          <w:tcPr>
            <w:tcW w:w="566" w:type="dxa"/>
          </w:tcPr>
          <w:p w:rsidR="00F037FC" w:rsidRDefault="00F037FC" w14:paraId="332BC28C" w14:textId="77777777">
            <w:pPr>
              <w:jc w:val="right"/>
            </w:pPr>
            <w:r>
              <w:t xml:space="preserve"> </w:t>
            </w:r>
          </w:p>
        </w:tc>
      </w:tr>
      <w:tr w:rsidR="00F037FC" w:rsidTr="00F90E37" w14:paraId="7FB99CE9" w14:textId="77777777">
        <w:trPr>
          <w:trHeight w:val="3676"/>
        </w:trPr>
        <w:tc>
          <w:tcPr>
            <w:tcW w:w="567" w:type="dxa"/>
          </w:tcPr>
          <w:p w:rsidR="00F037FC" w:rsidRDefault="00F037FC" w14:paraId="34B5C3C1" w14:textId="1C6B7AD5">
            <w:r>
              <w:t>6</w:t>
            </w:r>
          </w:p>
        </w:tc>
        <w:tc>
          <w:tcPr>
            <w:tcW w:w="6663" w:type="dxa"/>
          </w:tcPr>
          <w:p w:rsidR="00F037FC" w:rsidRDefault="00F037FC" w14:paraId="7583469C" w14:textId="77777777">
            <w:r>
              <w:t>Kunt u een up-to-date meerjarig overzicht geven van de totale asieltoerekening aan het ODA-budget? Kunt u daarbij ook in percentages aangeven welk aandeel van het ODA-budget naar (eerstejaars)asielopvang gaat, en welk aandeel van de (eerstejaars)asielopvang uit ODA-middelen betaald wordt? Voor de jaren waar u geen realisatie kunt geven, kunt u een raming geven?</w:t>
            </w:r>
          </w:p>
          <w:p w:rsidR="00AC3459" w:rsidRDefault="00AC3459" w14:paraId="4D0B324A" w14:textId="77777777"/>
          <w:p w:rsidRPr="00AC3459" w:rsidR="00F037FC" w:rsidRDefault="00AC3459" w14:paraId="42AB79C8" w14:textId="624DE381">
            <w:pPr>
              <w:rPr>
                <w:b/>
                <w:bCs/>
                <w:u w:val="single"/>
              </w:rPr>
            </w:pPr>
            <w:r w:rsidRPr="00AC3459">
              <w:rPr>
                <w:b/>
                <w:bCs/>
                <w:u w:val="single"/>
              </w:rPr>
              <w:t xml:space="preserve">Antwoord: </w:t>
            </w:r>
          </w:p>
          <w:p w:rsidR="00F037FC" w:rsidP="00F55254" w:rsidRDefault="00F037FC" w14:paraId="1F09874A" w14:textId="0C0D41D5">
            <w:pPr>
              <w:spacing w:line="276" w:lineRule="auto"/>
              <w:rPr>
                <w:b/>
                <w:bCs/>
              </w:rPr>
            </w:pPr>
            <w:bookmarkStart w:name="_Hlk178078571" w:id="1"/>
            <w:r>
              <w:rPr>
                <w:b/>
                <w:bCs/>
              </w:rPr>
              <w:t>Onderstaand overzicht geeft de totale asieltoerekening aan het ODA-</w:t>
            </w:r>
            <w:r w:rsidRPr="00B4346D">
              <w:rPr>
                <w:b/>
                <w:bCs/>
              </w:rPr>
              <w:t>budget weer op basis van het MPP 2024-I</w:t>
            </w:r>
            <w:r w:rsidRPr="00B4346D" w:rsidR="005D0384">
              <w:rPr>
                <w:b/>
                <w:bCs/>
              </w:rPr>
              <w:t xml:space="preserve"> (Meerjaren Productie Prognose voor de migratieketen)</w:t>
            </w:r>
            <w:r w:rsidRPr="00B4346D">
              <w:rPr>
                <w:b/>
                <w:bCs/>
              </w:rPr>
              <w:t>. In de Voorjaarsnota 2024 zijn asielramingen tot en met 2026 verwerkt.</w:t>
            </w:r>
            <w:r>
              <w:rPr>
                <w:b/>
                <w:bCs/>
              </w:rPr>
              <w:t xml:space="preserve"> </w:t>
            </w:r>
          </w:p>
          <w:p w:rsidR="00F037FC" w:rsidP="00F55254" w:rsidRDefault="00F037FC" w14:paraId="0D4439B5" w14:textId="1544497E">
            <w:pPr>
              <w:spacing w:line="276" w:lineRule="auto"/>
              <w:rPr>
                <w:b/>
                <w:bCs/>
              </w:rPr>
            </w:pPr>
            <w:r>
              <w:rPr>
                <w:b/>
                <w:bCs/>
              </w:rPr>
              <w:t xml:space="preserve">Van de uitgaven voor de eerstejaars asielopvang wordt circa 83% uit ODA-middelen betaald. Deze uitgaven betreffen de reguliere kosten, dus zonder noodopvang. De (crisis) noodopvang wordt niet toegerekend. </w:t>
            </w:r>
          </w:p>
          <w:p w:rsidR="00F037FC" w:rsidP="00F55254" w:rsidRDefault="00F037FC" w14:paraId="49099DE9" w14:textId="24BBB25C">
            <w:pPr>
              <w:spacing w:line="276" w:lineRule="auto"/>
              <w:rPr>
                <w:b/>
                <w:bCs/>
              </w:rPr>
            </w:pPr>
            <w:r>
              <w:rPr>
                <w:b/>
                <w:bCs/>
              </w:rPr>
              <w:lastRenderedPageBreak/>
              <w:t xml:space="preserve">Het kabinet heeft in het hoofdlijnenakkoord afgesproken dat vanaf 2027 het ODA-deel van de kosten van de eerstejaars asielopvang maximaal 10% is van het ODA-budget. </w:t>
            </w:r>
          </w:p>
          <w:bookmarkEnd w:id="1"/>
          <w:p w:rsidRPr="000E125B" w:rsidR="00F037FC" w:rsidP="00864C80" w:rsidRDefault="00F037FC" w14:paraId="4A543241" w14:textId="0391D8F7">
            <w:pPr>
              <w:rPr>
                <w:i/>
                <w:iCs/>
                <w:sz w:val="18"/>
                <w:szCs w:val="18"/>
              </w:rPr>
            </w:pPr>
          </w:p>
          <w:tbl>
            <w:tblPr>
              <w:tblStyle w:val="TableGrid"/>
              <w:tblW w:w="6192" w:type="dxa"/>
              <w:tblLayout w:type="fixed"/>
              <w:tblLook w:val="04A0" w:firstRow="1" w:lastRow="0" w:firstColumn="1" w:lastColumn="0" w:noHBand="0" w:noVBand="1"/>
            </w:tblPr>
            <w:tblGrid>
              <w:gridCol w:w="1723"/>
              <w:gridCol w:w="741"/>
              <w:gridCol w:w="741"/>
              <w:gridCol w:w="741"/>
              <w:gridCol w:w="742"/>
              <w:gridCol w:w="741"/>
              <w:gridCol w:w="763"/>
            </w:tblGrid>
            <w:tr w:rsidR="00F037FC" w:rsidTr="00BA1B40" w14:paraId="0CB7BF5B" w14:textId="77777777">
              <w:trPr>
                <w:trHeight w:val="1246"/>
              </w:trPr>
              <w:tc>
                <w:tcPr>
                  <w:tcW w:w="1723" w:type="dxa"/>
                </w:tcPr>
                <w:p w:rsidRPr="00F037FC" w:rsidR="00F037FC" w:rsidP="006E3A32" w:rsidRDefault="00F037FC" w14:paraId="4195589F" w14:textId="759B7B08">
                  <w:pPr>
                    <w:rPr>
                      <w:sz w:val="18"/>
                      <w:szCs w:val="18"/>
                    </w:rPr>
                  </w:pPr>
                  <w:r w:rsidRPr="00F037FC">
                    <w:rPr>
                      <w:i/>
                      <w:iCs/>
                      <w:sz w:val="18"/>
                      <w:szCs w:val="18"/>
                    </w:rPr>
                    <w:t>Bedragen in EUR miljoen</w:t>
                  </w:r>
                </w:p>
              </w:tc>
              <w:tc>
                <w:tcPr>
                  <w:tcW w:w="741" w:type="dxa"/>
                </w:tcPr>
                <w:p w:rsidRPr="00F037FC" w:rsidR="00F037FC" w:rsidP="006E3A32" w:rsidRDefault="00F037FC" w14:paraId="6C3A928E" w14:textId="13802C8C">
                  <w:pPr>
                    <w:rPr>
                      <w:b/>
                      <w:color w:val="000000" w:themeColor="text1"/>
                      <w:sz w:val="18"/>
                      <w:szCs w:val="18"/>
                    </w:rPr>
                  </w:pPr>
                  <w:r w:rsidRPr="00F037FC">
                    <w:rPr>
                      <w:b/>
                      <w:color w:val="000000" w:themeColor="text1"/>
                      <w:sz w:val="18"/>
                      <w:szCs w:val="18"/>
                    </w:rPr>
                    <w:t>2024</w:t>
                  </w:r>
                </w:p>
              </w:tc>
              <w:tc>
                <w:tcPr>
                  <w:tcW w:w="741" w:type="dxa"/>
                </w:tcPr>
                <w:p w:rsidRPr="00F037FC" w:rsidR="00F037FC" w:rsidP="006E3A32" w:rsidRDefault="00F037FC" w14:paraId="1975AB73" w14:textId="259BFCB6">
                  <w:pPr>
                    <w:rPr>
                      <w:b/>
                      <w:sz w:val="18"/>
                      <w:szCs w:val="18"/>
                    </w:rPr>
                  </w:pPr>
                  <w:r w:rsidRPr="00F037FC">
                    <w:rPr>
                      <w:b/>
                      <w:color w:val="000000" w:themeColor="text1"/>
                      <w:sz w:val="18"/>
                      <w:szCs w:val="18"/>
                    </w:rPr>
                    <w:t>2025</w:t>
                  </w:r>
                </w:p>
              </w:tc>
              <w:tc>
                <w:tcPr>
                  <w:tcW w:w="741" w:type="dxa"/>
                </w:tcPr>
                <w:p w:rsidRPr="00F037FC" w:rsidR="00F037FC" w:rsidP="006E3A32" w:rsidRDefault="00F037FC" w14:paraId="523F0C87" w14:textId="05986859">
                  <w:pPr>
                    <w:rPr>
                      <w:b/>
                      <w:sz w:val="18"/>
                      <w:szCs w:val="18"/>
                    </w:rPr>
                  </w:pPr>
                  <w:r w:rsidRPr="00F037FC">
                    <w:rPr>
                      <w:b/>
                      <w:color w:val="000000" w:themeColor="text1"/>
                      <w:sz w:val="18"/>
                      <w:szCs w:val="18"/>
                    </w:rPr>
                    <w:t>2026</w:t>
                  </w:r>
                </w:p>
              </w:tc>
              <w:tc>
                <w:tcPr>
                  <w:tcW w:w="742" w:type="dxa"/>
                </w:tcPr>
                <w:p w:rsidRPr="00F037FC" w:rsidR="00F037FC" w:rsidP="006E3A32" w:rsidRDefault="00F037FC" w14:paraId="57D08842" w14:textId="229DBED4">
                  <w:pPr>
                    <w:rPr>
                      <w:b/>
                      <w:sz w:val="18"/>
                      <w:szCs w:val="18"/>
                    </w:rPr>
                  </w:pPr>
                  <w:r w:rsidRPr="00F037FC">
                    <w:rPr>
                      <w:b/>
                      <w:color w:val="000000"/>
                      <w:sz w:val="18"/>
                      <w:szCs w:val="18"/>
                    </w:rPr>
                    <w:t>2027</w:t>
                  </w:r>
                </w:p>
              </w:tc>
              <w:tc>
                <w:tcPr>
                  <w:tcW w:w="741" w:type="dxa"/>
                </w:tcPr>
                <w:p w:rsidRPr="00F037FC" w:rsidR="00F037FC" w:rsidP="006E3A32" w:rsidRDefault="00F037FC" w14:paraId="7608376C" w14:textId="346104A9">
                  <w:pPr>
                    <w:rPr>
                      <w:b/>
                      <w:sz w:val="18"/>
                      <w:szCs w:val="18"/>
                    </w:rPr>
                  </w:pPr>
                  <w:r w:rsidRPr="00F037FC">
                    <w:rPr>
                      <w:b/>
                      <w:color w:val="000000" w:themeColor="text1"/>
                      <w:sz w:val="18"/>
                      <w:szCs w:val="18"/>
                    </w:rPr>
                    <w:t>2028</w:t>
                  </w:r>
                </w:p>
              </w:tc>
              <w:tc>
                <w:tcPr>
                  <w:tcW w:w="763" w:type="dxa"/>
                </w:tcPr>
                <w:p w:rsidRPr="00F037FC" w:rsidR="00F037FC" w:rsidP="006E3A32" w:rsidRDefault="00F037FC" w14:paraId="34431635" w14:textId="08FC9B78">
                  <w:pPr>
                    <w:rPr>
                      <w:b/>
                      <w:sz w:val="18"/>
                      <w:szCs w:val="18"/>
                    </w:rPr>
                  </w:pPr>
                  <w:r w:rsidRPr="00F037FC">
                    <w:rPr>
                      <w:b/>
                      <w:color w:val="000000" w:themeColor="text1"/>
                      <w:sz w:val="18"/>
                      <w:szCs w:val="18"/>
                    </w:rPr>
                    <w:t>2029</w:t>
                  </w:r>
                </w:p>
              </w:tc>
            </w:tr>
            <w:tr w:rsidR="00F037FC" w:rsidTr="00BA1B40" w14:paraId="23237D23" w14:textId="77777777">
              <w:trPr>
                <w:trHeight w:val="891"/>
              </w:trPr>
              <w:tc>
                <w:tcPr>
                  <w:tcW w:w="1723" w:type="dxa"/>
                </w:tcPr>
                <w:p w:rsidRPr="00F037FC" w:rsidR="00F037FC" w:rsidP="006E3A32" w:rsidRDefault="00F037FC" w14:paraId="0034C035" w14:textId="49984310">
                  <w:pPr>
                    <w:rPr>
                      <w:sz w:val="18"/>
                      <w:szCs w:val="18"/>
                    </w:rPr>
                  </w:pPr>
                  <w:r w:rsidRPr="00F037FC">
                    <w:rPr>
                      <w:b/>
                      <w:color w:val="000000" w:themeColor="text1"/>
                      <w:sz w:val="18"/>
                      <w:szCs w:val="18"/>
                    </w:rPr>
                    <w:t>Totale ODA-toerekening (</w:t>
                  </w:r>
                  <w:proofErr w:type="spellStart"/>
                  <w:r w:rsidRPr="00F037FC">
                    <w:rPr>
                      <w:b/>
                      <w:color w:val="000000" w:themeColor="text1"/>
                      <w:sz w:val="18"/>
                      <w:szCs w:val="18"/>
                    </w:rPr>
                    <w:t>incl</w:t>
                  </w:r>
                  <w:proofErr w:type="spellEnd"/>
                  <w:r w:rsidRPr="00F037FC">
                    <w:rPr>
                      <w:b/>
                      <w:color w:val="000000" w:themeColor="text1"/>
                      <w:sz w:val="18"/>
                      <w:szCs w:val="18"/>
                    </w:rPr>
                    <w:t xml:space="preserve"> OCW-deel)</w:t>
                  </w:r>
                </w:p>
              </w:tc>
              <w:tc>
                <w:tcPr>
                  <w:tcW w:w="741" w:type="dxa"/>
                </w:tcPr>
                <w:p w:rsidRPr="00F037FC" w:rsidR="00F037FC" w:rsidP="006E3A32" w:rsidRDefault="00F037FC" w14:paraId="2FD37C85" w14:textId="258802B9">
                  <w:pPr>
                    <w:rPr>
                      <w:color w:val="000000" w:themeColor="text1"/>
                      <w:sz w:val="18"/>
                      <w:szCs w:val="18"/>
                    </w:rPr>
                  </w:pPr>
                  <w:r w:rsidRPr="00F037FC">
                    <w:rPr>
                      <w:color w:val="000000"/>
                      <w:sz w:val="18"/>
                      <w:szCs w:val="18"/>
                    </w:rPr>
                    <w:t>1.323</w:t>
                  </w:r>
                </w:p>
              </w:tc>
              <w:tc>
                <w:tcPr>
                  <w:tcW w:w="741" w:type="dxa"/>
                </w:tcPr>
                <w:p w:rsidRPr="00F037FC" w:rsidR="00F037FC" w:rsidP="006E3A32" w:rsidRDefault="00F037FC" w14:paraId="02BE62EF" w14:textId="341905F4">
                  <w:pPr>
                    <w:rPr>
                      <w:sz w:val="18"/>
                      <w:szCs w:val="18"/>
                    </w:rPr>
                  </w:pPr>
                  <w:r w:rsidRPr="00F037FC">
                    <w:rPr>
                      <w:color w:val="000000"/>
                      <w:sz w:val="18"/>
                      <w:szCs w:val="18"/>
                    </w:rPr>
                    <w:t>1.874</w:t>
                  </w:r>
                </w:p>
              </w:tc>
              <w:tc>
                <w:tcPr>
                  <w:tcW w:w="741" w:type="dxa"/>
                </w:tcPr>
                <w:p w:rsidRPr="00F037FC" w:rsidR="00F037FC" w:rsidP="006E3A32" w:rsidRDefault="00F037FC" w14:paraId="5CE62EB6" w14:textId="3CF11293">
                  <w:pPr>
                    <w:rPr>
                      <w:sz w:val="18"/>
                      <w:szCs w:val="18"/>
                    </w:rPr>
                  </w:pPr>
                  <w:r w:rsidRPr="00F037FC">
                    <w:rPr>
                      <w:color w:val="000000"/>
                      <w:sz w:val="18"/>
                      <w:szCs w:val="18"/>
                    </w:rPr>
                    <w:t>2.439</w:t>
                  </w:r>
                </w:p>
              </w:tc>
              <w:tc>
                <w:tcPr>
                  <w:tcW w:w="742" w:type="dxa"/>
                </w:tcPr>
                <w:p w:rsidRPr="00F037FC" w:rsidR="00F037FC" w:rsidP="006E3A32" w:rsidRDefault="00F037FC" w14:paraId="059AD3B3" w14:textId="4B094FC1">
                  <w:pPr>
                    <w:rPr>
                      <w:sz w:val="18"/>
                      <w:szCs w:val="18"/>
                      <w:highlight w:val="yellow"/>
                    </w:rPr>
                  </w:pPr>
                  <w:r w:rsidRPr="00F037FC">
                    <w:rPr>
                      <w:color w:val="000000"/>
                      <w:sz w:val="18"/>
                      <w:szCs w:val="18"/>
                    </w:rPr>
                    <w:t>506</w:t>
                  </w:r>
                </w:p>
              </w:tc>
              <w:tc>
                <w:tcPr>
                  <w:tcW w:w="741" w:type="dxa"/>
                </w:tcPr>
                <w:p w:rsidRPr="00F037FC" w:rsidR="00F037FC" w:rsidP="006E3A32" w:rsidRDefault="00F037FC" w14:paraId="1FB83A8B" w14:textId="21482B69">
                  <w:pPr>
                    <w:rPr>
                      <w:sz w:val="18"/>
                      <w:szCs w:val="18"/>
                      <w:highlight w:val="yellow"/>
                    </w:rPr>
                  </w:pPr>
                  <w:r w:rsidRPr="00F037FC">
                    <w:rPr>
                      <w:color w:val="000000"/>
                      <w:sz w:val="18"/>
                      <w:szCs w:val="18"/>
                    </w:rPr>
                    <w:t>377</w:t>
                  </w:r>
                </w:p>
              </w:tc>
              <w:tc>
                <w:tcPr>
                  <w:tcW w:w="763" w:type="dxa"/>
                </w:tcPr>
                <w:p w:rsidRPr="00F037FC" w:rsidR="00F037FC" w:rsidP="00C230B1" w:rsidRDefault="00F037FC" w14:paraId="1AE51AFE" w14:textId="09BCC3AF">
                  <w:pPr>
                    <w:rPr>
                      <w:color w:val="000000"/>
                      <w:sz w:val="18"/>
                      <w:szCs w:val="18"/>
                    </w:rPr>
                  </w:pPr>
                  <w:r w:rsidRPr="00F037FC">
                    <w:rPr>
                      <w:color w:val="000000"/>
                      <w:sz w:val="18"/>
                      <w:szCs w:val="18"/>
                    </w:rPr>
                    <w:t>377</w:t>
                  </w:r>
                </w:p>
                <w:p w:rsidRPr="00F037FC" w:rsidR="00F037FC" w:rsidP="006E3A32" w:rsidRDefault="00F037FC" w14:paraId="79AAA907" w14:textId="7BF39D27">
                  <w:pPr>
                    <w:rPr>
                      <w:sz w:val="18"/>
                      <w:szCs w:val="18"/>
                      <w:highlight w:val="yellow"/>
                    </w:rPr>
                  </w:pPr>
                </w:p>
              </w:tc>
            </w:tr>
            <w:tr w:rsidR="00F037FC" w:rsidTr="00BA1B40" w14:paraId="2C1EE071" w14:textId="77777777">
              <w:trPr>
                <w:trHeight w:val="1246"/>
              </w:trPr>
              <w:tc>
                <w:tcPr>
                  <w:tcW w:w="1723" w:type="dxa"/>
                </w:tcPr>
                <w:p w:rsidRPr="00F037FC" w:rsidR="00F037FC" w:rsidP="006E3A32" w:rsidRDefault="00F037FC" w14:paraId="33097E2A" w14:textId="5AEFDB96">
                  <w:pPr>
                    <w:rPr>
                      <w:b/>
                      <w:color w:val="000000" w:themeColor="text1"/>
                      <w:sz w:val="18"/>
                      <w:szCs w:val="18"/>
                    </w:rPr>
                  </w:pPr>
                  <w:r w:rsidRPr="00F037FC">
                    <w:rPr>
                      <w:b/>
                      <w:color w:val="000000" w:themeColor="text1"/>
                      <w:sz w:val="18"/>
                      <w:szCs w:val="18"/>
                    </w:rPr>
                    <w:t>Percentage van totaal ODA</w:t>
                  </w:r>
                </w:p>
              </w:tc>
              <w:tc>
                <w:tcPr>
                  <w:tcW w:w="741" w:type="dxa"/>
                </w:tcPr>
                <w:p w:rsidRPr="00F037FC" w:rsidR="00F037FC" w:rsidP="006E3A32" w:rsidRDefault="00F037FC" w14:paraId="2B451433" w14:textId="34F0713C">
                  <w:pPr>
                    <w:rPr>
                      <w:color w:val="000000" w:themeColor="text1"/>
                      <w:sz w:val="18"/>
                      <w:szCs w:val="18"/>
                      <w:highlight w:val="yellow"/>
                    </w:rPr>
                  </w:pPr>
                  <w:r w:rsidRPr="00F037FC">
                    <w:rPr>
                      <w:color w:val="000000" w:themeColor="text1"/>
                      <w:sz w:val="18"/>
                      <w:szCs w:val="18"/>
                    </w:rPr>
                    <w:t>18,9</w:t>
                  </w:r>
                </w:p>
              </w:tc>
              <w:tc>
                <w:tcPr>
                  <w:tcW w:w="741" w:type="dxa"/>
                </w:tcPr>
                <w:p w:rsidRPr="00F037FC" w:rsidR="00F037FC" w:rsidP="006E3A32" w:rsidRDefault="00F037FC" w14:paraId="0E39DD50" w14:textId="44072CFF">
                  <w:pPr>
                    <w:rPr>
                      <w:color w:val="000000" w:themeColor="text1"/>
                      <w:sz w:val="18"/>
                      <w:szCs w:val="18"/>
                      <w:highlight w:val="yellow"/>
                    </w:rPr>
                  </w:pPr>
                  <w:r w:rsidRPr="00F037FC">
                    <w:rPr>
                      <w:color w:val="000000" w:themeColor="text1"/>
                      <w:sz w:val="18"/>
                      <w:szCs w:val="18"/>
                    </w:rPr>
                    <w:t>26,1</w:t>
                  </w:r>
                </w:p>
              </w:tc>
              <w:tc>
                <w:tcPr>
                  <w:tcW w:w="741" w:type="dxa"/>
                </w:tcPr>
                <w:p w:rsidRPr="00F037FC" w:rsidR="00F037FC" w:rsidP="006E3A32" w:rsidRDefault="00F037FC" w14:paraId="5CEC078C" w14:textId="4F27DED3">
                  <w:pPr>
                    <w:rPr>
                      <w:color w:val="000000" w:themeColor="text1"/>
                      <w:sz w:val="18"/>
                      <w:szCs w:val="18"/>
                      <w:highlight w:val="yellow"/>
                    </w:rPr>
                  </w:pPr>
                  <w:r w:rsidRPr="00F037FC">
                    <w:rPr>
                      <w:color w:val="000000" w:themeColor="text1"/>
                      <w:sz w:val="18"/>
                      <w:szCs w:val="18"/>
                    </w:rPr>
                    <w:t>33,4</w:t>
                  </w:r>
                </w:p>
              </w:tc>
              <w:tc>
                <w:tcPr>
                  <w:tcW w:w="742" w:type="dxa"/>
                </w:tcPr>
                <w:p w:rsidRPr="00F037FC" w:rsidR="00F037FC" w:rsidP="006E3A32" w:rsidRDefault="00F037FC" w14:paraId="65EA7C9E" w14:textId="1C7F1249">
                  <w:pPr>
                    <w:rPr>
                      <w:color w:val="000000" w:themeColor="text1"/>
                      <w:sz w:val="18"/>
                      <w:szCs w:val="18"/>
                    </w:rPr>
                  </w:pPr>
                  <w:r w:rsidRPr="00F037FC">
                    <w:rPr>
                      <w:color w:val="000000" w:themeColor="text1"/>
                      <w:sz w:val="18"/>
                      <w:szCs w:val="18"/>
                    </w:rPr>
                    <w:t>9,3</w:t>
                  </w:r>
                </w:p>
              </w:tc>
              <w:tc>
                <w:tcPr>
                  <w:tcW w:w="741" w:type="dxa"/>
                </w:tcPr>
                <w:p w:rsidRPr="00F037FC" w:rsidR="00F037FC" w:rsidP="006E3A32" w:rsidRDefault="00F037FC" w14:paraId="6FBBB5C7" w14:textId="4F0D3FC2">
                  <w:pPr>
                    <w:rPr>
                      <w:color w:val="000000" w:themeColor="text1"/>
                      <w:sz w:val="18"/>
                      <w:szCs w:val="18"/>
                    </w:rPr>
                  </w:pPr>
                  <w:r w:rsidRPr="00F037FC">
                    <w:rPr>
                      <w:color w:val="000000" w:themeColor="text1"/>
                      <w:sz w:val="18"/>
                      <w:szCs w:val="18"/>
                    </w:rPr>
                    <w:t>6,8</w:t>
                  </w:r>
                </w:p>
              </w:tc>
              <w:tc>
                <w:tcPr>
                  <w:tcW w:w="763" w:type="dxa"/>
                </w:tcPr>
                <w:p w:rsidRPr="00F037FC" w:rsidR="00F037FC" w:rsidP="006E3A32" w:rsidRDefault="00F037FC" w14:paraId="0F398137" w14:textId="6B23E4AC">
                  <w:pPr>
                    <w:rPr>
                      <w:color w:val="000000" w:themeColor="text1"/>
                      <w:sz w:val="18"/>
                      <w:szCs w:val="18"/>
                    </w:rPr>
                  </w:pPr>
                  <w:r w:rsidRPr="00F037FC">
                    <w:rPr>
                      <w:color w:val="000000" w:themeColor="text1"/>
                      <w:sz w:val="18"/>
                      <w:szCs w:val="18"/>
                    </w:rPr>
                    <w:t>6,3</w:t>
                  </w:r>
                </w:p>
              </w:tc>
            </w:tr>
          </w:tbl>
          <w:p w:rsidR="00F037FC" w:rsidRDefault="00F037FC" w14:paraId="3C238A12" w14:textId="44644F88"/>
        </w:tc>
        <w:tc>
          <w:tcPr>
            <w:tcW w:w="856" w:type="dxa"/>
          </w:tcPr>
          <w:p w:rsidR="00F037FC" w:rsidRDefault="00F037FC" w14:paraId="7058D6E5" w14:textId="77777777">
            <w:pPr>
              <w:jc w:val="right"/>
            </w:pPr>
          </w:p>
        </w:tc>
        <w:tc>
          <w:tcPr>
            <w:tcW w:w="856" w:type="dxa"/>
          </w:tcPr>
          <w:p w:rsidR="00F037FC" w:rsidRDefault="00F037FC" w14:paraId="2966B002" w14:textId="0542D7AE">
            <w:pPr>
              <w:jc w:val="right"/>
            </w:pPr>
          </w:p>
        </w:tc>
        <w:tc>
          <w:tcPr>
            <w:tcW w:w="566" w:type="dxa"/>
          </w:tcPr>
          <w:p w:rsidR="00F037FC" w:rsidRDefault="00F037FC" w14:paraId="637AF944" w14:textId="77777777">
            <w:pPr>
              <w:jc w:val="right"/>
            </w:pPr>
            <w:r>
              <w:t xml:space="preserve"> </w:t>
            </w:r>
          </w:p>
        </w:tc>
      </w:tr>
      <w:tr w:rsidR="00F037FC" w:rsidTr="00F90E37" w14:paraId="68D337F9" w14:textId="77777777">
        <w:tc>
          <w:tcPr>
            <w:tcW w:w="567" w:type="dxa"/>
          </w:tcPr>
          <w:p w:rsidR="00F90E37" w:rsidRDefault="00F90E37" w14:paraId="678AA0EC" w14:textId="77777777"/>
          <w:p w:rsidR="00F037FC" w:rsidRDefault="00F037FC" w14:paraId="0EC5967A" w14:textId="223BB48F">
            <w:r>
              <w:t>7</w:t>
            </w:r>
          </w:p>
        </w:tc>
        <w:tc>
          <w:tcPr>
            <w:tcW w:w="6663" w:type="dxa"/>
          </w:tcPr>
          <w:p w:rsidRPr="00B4346D" w:rsidR="00F90E37" w:rsidP="007B4824" w:rsidRDefault="00F90E37" w14:paraId="447A487D" w14:textId="77777777"/>
          <w:p w:rsidRPr="00B4346D" w:rsidR="00F037FC" w:rsidP="007B4824" w:rsidRDefault="00F037FC" w14:paraId="4B79F9C6" w14:textId="73ACBA76">
            <w:r w:rsidRPr="00B4346D">
              <w:t>Hoeveel steun aan de mensen in Gaza heeft Nederland in totaal sinds 7 oktober 2023 in euro's gegeven?</w:t>
            </w:r>
          </w:p>
          <w:p w:rsidRPr="00B4346D" w:rsidR="00F037FC" w:rsidP="007B4824" w:rsidRDefault="00F037FC" w14:paraId="59F308D1" w14:textId="77777777"/>
          <w:p w:rsidRPr="00B4346D" w:rsidR="00AC3459" w:rsidP="007B4824" w:rsidRDefault="00AC3459" w14:paraId="2A3CC236" w14:textId="20D098AF">
            <w:pPr>
              <w:rPr>
                <w:b/>
                <w:bCs/>
                <w:u w:val="single"/>
              </w:rPr>
            </w:pPr>
            <w:r w:rsidRPr="00B4346D">
              <w:rPr>
                <w:b/>
                <w:bCs/>
                <w:u w:val="single"/>
              </w:rPr>
              <w:t xml:space="preserve">Antwoord: </w:t>
            </w:r>
          </w:p>
          <w:p w:rsidRPr="00B4346D" w:rsidR="00F037FC" w:rsidP="00F55254" w:rsidRDefault="00F037FC" w14:paraId="69B0C1E1" w14:textId="29436044">
            <w:pPr>
              <w:spacing w:line="276" w:lineRule="auto"/>
              <w:rPr>
                <w:b/>
                <w:bCs/>
              </w:rPr>
            </w:pPr>
            <w:r w:rsidRPr="00B4346D">
              <w:rPr>
                <w:b/>
                <w:bCs/>
              </w:rPr>
              <w:t>Nederland heeft vanaf 7 oktober 2023 t/m heden voor in totaal EUR 72,8 miljoen steun verleend, bovenop de algemene vrijwillige bijdrage aan UNRWA van EUR 19 miljoen</w:t>
            </w:r>
            <w:r w:rsidRPr="00B4346D" w:rsidR="00EB1A42">
              <w:rPr>
                <w:b/>
                <w:bCs/>
              </w:rPr>
              <w:t xml:space="preserve"> in 2024</w:t>
            </w:r>
            <w:r w:rsidRPr="00B4346D" w:rsidR="00DB44E4">
              <w:rPr>
                <w:b/>
                <w:bCs/>
              </w:rPr>
              <w:t xml:space="preserve"> (juridisch verplicht tot en met 2025)</w:t>
            </w:r>
            <w:r w:rsidRPr="00B4346D">
              <w:rPr>
                <w:b/>
                <w:bCs/>
              </w:rPr>
              <w:t>,</w:t>
            </w:r>
            <w:r w:rsidRPr="00B4346D">
              <w:t xml:space="preserve"> </w:t>
            </w:r>
            <w:r w:rsidRPr="00B4346D">
              <w:rPr>
                <w:b/>
                <w:bCs/>
              </w:rPr>
              <w:t>die zowel in Gaza als in andere landen ingezet wordt</w:t>
            </w:r>
            <w:r w:rsidRPr="00B4346D" w:rsidR="00F5258C">
              <w:rPr>
                <w:b/>
                <w:bCs/>
              </w:rPr>
              <w:t xml:space="preserve">. </w:t>
            </w:r>
          </w:p>
          <w:p w:rsidRPr="00B4346D" w:rsidR="00F037FC" w:rsidP="00F55254" w:rsidRDefault="00F037FC" w14:paraId="3D0ACC66" w14:textId="75A5306A">
            <w:pPr>
              <w:spacing w:line="276" w:lineRule="auto"/>
              <w:rPr>
                <w:b/>
                <w:bCs/>
              </w:rPr>
            </w:pPr>
            <w:r w:rsidRPr="00B4346D">
              <w:rPr>
                <w:b/>
                <w:bCs/>
              </w:rPr>
              <w:t>Van deze EUR 72,8 miljoen is EUR 66,1 miljoen gefinancierd uit de begroting voor BHO en EUR 6,7 miljoen uit de (ODA-middelen op de) BZ-begroting.</w:t>
            </w:r>
          </w:p>
          <w:p w:rsidRPr="00B4346D" w:rsidR="00F037FC" w:rsidP="007B4824" w:rsidRDefault="00F037FC" w14:paraId="4D2A754D" w14:textId="5664596A"/>
        </w:tc>
        <w:tc>
          <w:tcPr>
            <w:tcW w:w="856" w:type="dxa"/>
          </w:tcPr>
          <w:p w:rsidRPr="00B4346D" w:rsidR="00F037FC" w:rsidP="007B4824" w:rsidRDefault="00F037FC" w14:paraId="4BC60E2E" w14:textId="77777777"/>
        </w:tc>
        <w:tc>
          <w:tcPr>
            <w:tcW w:w="856" w:type="dxa"/>
          </w:tcPr>
          <w:p w:rsidR="00F037FC" w:rsidP="007B4824" w:rsidRDefault="00F037FC" w14:paraId="4ACCF89B" w14:textId="6163C694"/>
        </w:tc>
        <w:tc>
          <w:tcPr>
            <w:tcW w:w="566" w:type="dxa"/>
          </w:tcPr>
          <w:p w:rsidR="00F037FC" w:rsidP="007B4824" w:rsidRDefault="00F037FC" w14:paraId="346A307F" w14:textId="77777777">
            <w:r>
              <w:t xml:space="preserve"> </w:t>
            </w:r>
          </w:p>
        </w:tc>
      </w:tr>
      <w:tr w:rsidR="00F037FC" w:rsidTr="00F90E37" w14:paraId="14D2B424" w14:textId="77777777">
        <w:tc>
          <w:tcPr>
            <w:tcW w:w="567" w:type="dxa"/>
          </w:tcPr>
          <w:p w:rsidR="00F037FC" w:rsidRDefault="00F037FC" w14:paraId="0A17425F" w14:textId="4EB54B1A">
            <w:r>
              <w:t>8</w:t>
            </w:r>
          </w:p>
        </w:tc>
        <w:tc>
          <w:tcPr>
            <w:tcW w:w="6663" w:type="dxa"/>
          </w:tcPr>
          <w:p w:rsidR="00F037FC" w:rsidP="007B4824" w:rsidRDefault="00F037FC" w14:paraId="1D41BE43" w14:textId="77777777">
            <w:r>
              <w:t>Klopt het dat op 10 juni 2024 minister Schreinemacher 10 miljoen extra aan humanitaire hulp beschikbaar heeft gesteld voor Gaza? Kunt u aangeven waar in de tweede suppletoire begroting dit verwerkt is?</w:t>
            </w:r>
          </w:p>
          <w:p w:rsidR="00F037FC" w:rsidP="007B4824" w:rsidRDefault="00F037FC" w14:paraId="2AF68B86" w14:textId="77777777"/>
          <w:p w:rsidRPr="00AC3459" w:rsidR="00AC3459" w:rsidP="007B4824" w:rsidRDefault="00AC3459" w14:paraId="6EE6CCC9" w14:textId="65E4488D">
            <w:pPr>
              <w:rPr>
                <w:b/>
                <w:bCs/>
                <w:u w:val="single"/>
              </w:rPr>
            </w:pPr>
            <w:r w:rsidRPr="00AC3459">
              <w:rPr>
                <w:b/>
                <w:bCs/>
                <w:u w:val="single"/>
              </w:rPr>
              <w:t xml:space="preserve">Antwoord: </w:t>
            </w:r>
          </w:p>
          <w:p w:rsidRPr="00801336" w:rsidR="00F037FC" w:rsidP="00F55254" w:rsidRDefault="00F037FC" w14:paraId="4EAE9836" w14:textId="0B3F6578">
            <w:pPr>
              <w:spacing w:line="276" w:lineRule="auto"/>
              <w:rPr>
                <w:b/>
                <w:bCs/>
              </w:rPr>
            </w:pPr>
            <w:r>
              <w:rPr>
                <w:b/>
                <w:bCs/>
              </w:rPr>
              <w:t xml:space="preserve">Dat klopt. De verschillende aanvullende bijdragen voor Gaza zijn gedaan vanuit de beschikbare budgetten op de BHO-begroting (de bijdrage aan ILO vanuit artikel 1.3 en de bijdragen aan ICRC en WHO vanuit artikel 4.1). Dit leidt daarom niet tot mutaties in deze suppletoire begroting september. </w:t>
            </w:r>
          </w:p>
          <w:p w:rsidR="00F037FC" w:rsidP="007B4824" w:rsidRDefault="00F037FC" w14:paraId="3959F41A" w14:textId="754EFE45"/>
        </w:tc>
        <w:tc>
          <w:tcPr>
            <w:tcW w:w="856" w:type="dxa"/>
          </w:tcPr>
          <w:p w:rsidR="00F037FC" w:rsidP="007B4824" w:rsidRDefault="00F037FC" w14:paraId="29B72046" w14:textId="77777777"/>
        </w:tc>
        <w:tc>
          <w:tcPr>
            <w:tcW w:w="856" w:type="dxa"/>
          </w:tcPr>
          <w:p w:rsidR="00F037FC" w:rsidP="007B4824" w:rsidRDefault="00F037FC" w14:paraId="6B11E4C1" w14:textId="6573E222"/>
        </w:tc>
        <w:tc>
          <w:tcPr>
            <w:tcW w:w="566" w:type="dxa"/>
          </w:tcPr>
          <w:p w:rsidR="00F037FC" w:rsidP="007B4824" w:rsidRDefault="00F037FC" w14:paraId="2881C0EB" w14:textId="77777777">
            <w:r>
              <w:t xml:space="preserve"> </w:t>
            </w:r>
          </w:p>
        </w:tc>
      </w:tr>
      <w:tr w:rsidR="00F037FC" w:rsidTr="00F90E37" w14:paraId="2F4C6ACB" w14:textId="77777777">
        <w:tc>
          <w:tcPr>
            <w:tcW w:w="567" w:type="dxa"/>
          </w:tcPr>
          <w:p w:rsidR="00F037FC" w:rsidRDefault="00F037FC" w14:paraId="72558877" w14:textId="4441157F">
            <w:r>
              <w:t>9</w:t>
            </w:r>
          </w:p>
        </w:tc>
        <w:tc>
          <w:tcPr>
            <w:tcW w:w="6663" w:type="dxa"/>
          </w:tcPr>
          <w:p w:rsidR="00F037FC" w:rsidRDefault="00F037FC" w14:paraId="631EC58C" w14:textId="77777777">
            <w:r>
              <w:t>Waar wordt de 10 miljoen euro die is bestemd voor de Nederlandse Financieringsmaatschappij voor Ontwikkelingslanden (FMO) voor ondersteuning aan de Oekraïense private sector concreet voor ingezet? Welke projecten worden hiermee gefinancierd en op welke wijze worden deze projecten of initiatieven geselecteerd?</w:t>
            </w:r>
          </w:p>
          <w:p w:rsidR="00F037FC" w:rsidRDefault="00F037FC" w14:paraId="0766477F" w14:textId="77777777"/>
          <w:p w:rsidRPr="00AC3459" w:rsidR="00AC3459" w:rsidP="00AC3459" w:rsidRDefault="00AC3459" w14:paraId="0E025AF2" w14:textId="7744B448">
            <w:pPr>
              <w:rPr>
                <w:b/>
                <w:bCs/>
                <w:u w:val="single"/>
              </w:rPr>
            </w:pPr>
            <w:r w:rsidRPr="00AC3459">
              <w:rPr>
                <w:b/>
                <w:bCs/>
                <w:u w:val="single"/>
              </w:rPr>
              <w:t xml:space="preserve">Antwoord: </w:t>
            </w:r>
          </w:p>
          <w:p w:rsidRPr="00DA5AAB" w:rsidR="00F037FC" w:rsidP="00F55254" w:rsidRDefault="00F037FC" w14:paraId="52DED600" w14:textId="6BFAC271">
            <w:pPr>
              <w:spacing w:line="276" w:lineRule="auto"/>
              <w:rPr>
                <w:b/>
                <w:bCs/>
              </w:rPr>
            </w:pPr>
            <w:r w:rsidRPr="00DA5AAB">
              <w:rPr>
                <w:b/>
                <w:bCs/>
              </w:rPr>
              <w:t xml:space="preserve">De </w:t>
            </w:r>
            <w:r>
              <w:rPr>
                <w:b/>
                <w:bCs/>
              </w:rPr>
              <w:t xml:space="preserve">EUR </w:t>
            </w:r>
            <w:r w:rsidRPr="00DA5AAB">
              <w:rPr>
                <w:b/>
                <w:bCs/>
              </w:rPr>
              <w:t>10 miljoen</w:t>
            </w:r>
            <w:r>
              <w:rPr>
                <w:b/>
                <w:bCs/>
              </w:rPr>
              <w:t xml:space="preserve"> </w:t>
            </w:r>
            <w:r w:rsidRPr="00DA5AAB">
              <w:rPr>
                <w:b/>
                <w:bCs/>
              </w:rPr>
              <w:t xml:space="preserve">voor FMO zal worden ingezet ter versterking van de agrarische sector in Oekraïne. Door te investeren in lokale private </w:t>
            </w:r>
            <w:r w:rsidRPr="00DA5AAB">
              <w:rPr>
                <w:b/>
                <w:bCs/>
              </w:rPr>
              <w:lastRenderedPageBreak/>
              <w:t xml:space="preserve">initiatieven worden bestaande banen behouden en nieuwe banen gecreëerd. FMO richt zich daarbij met name op de versterking van waardeketens via investeringen in infrastructuur. Ook zal FMO onderzoeken of de fondsen als hefboom kunnen worden gebruikt om andere EU-financiering aan te trekken. FMO is al jaren actief in Oekraïne, kent de lokale context goed en heeft een uitgebreid netwerk. Via dit netwerk zijn al verschillende voorstellen ontvangen. Deze voorstellen worden volgens de reguliere FMO-processen beoordeeld op kwaliteit, risico’s en relevantie. </w:t>
            </w:r>
          </w:p>
          <w:p w:rsidR="00F037FC" w:rsidRDefault="00F037FC" w14:paraId="566130B2" w14:textId="3BEF5B73"/>
        </w:tc>
        <w:tc>
          <w:tcPr>
            <w:tcW w:w="856" w:type="dxa"/>
          </w:tcPr>
          <w:p w:rsidR="00F037FC" w:rsidRDefault="00F037FC" w14:paraId="7BB15076" w14:textId="77777777">
            <w:pPr>
              <w:jc w:val="right"/>
            </w:pPr>
          </w:p>
        </w:tc>
        <w:tc>
          <w:tcPr>
            <w:tcW w:w="856" w:type="dxa"/>
          </w:tcPr>
          <w:p w:rsidR="00F037FC" w:rsidRDefault="00F037FC" w14:paraId="389A4A7C" w14:textId="748DB6F8">
            <w:pPr>
              <w:jc w:val="right"/>
            </w:pPr>
            <w:r>
              <w:t>7</w:t>
            </w:r>
          </w:p>
        </w:tc>
        <w:tc>
          <w:tcPr>
            <w:tcW w:w="566" w:type="dxa"/>
          </w:tcPr>
          <w:p w:rsidR="00F037FC" w:rsidRDefault="00F037FC" w14:paraId="12284E31" w14:textId="77777777">
            <w:pPr>
              <w:jc w:val="right"/>
            </w:pPr>
            <w:r>
              <w:t xml:space="preserve"> </w:t>
            </w:r>
          </w:p>
        </w:tc>
      </w:tr>
      <w:tr w:rsidR="00F037FC" w:rsidTr="00F90E37" w14:paraId="06808BCD" w14:textId="77777777">
        <w:tc>
          <w:tcPr>
            <w:tcW w:w="567" w:type="dxa"/>
          </w:tcPr>
          <w:p w:rsidR="00F037FC" w:rsidRDefault="00F037FC" w14:paraId="21A9C20B" w14:textId="7D7FFCBE">
            <w:r>
              <w:t>10</w:t>
            </w:r>
          </w:p>
        </w:tc>
        <w:tc>
          <w:tcPr>
            <w:tcW w:w="6663" w:type="dxa"/>
          </w:tcPr>
          <w:p w:rsidR="00F037FC" w:rsidRDefault="00F037FC" w14:paraId="58469AF8" w14:textId="77777777">
            <w:r>
              <w:t>Aan wat voor samenwerking met het Nederlandse bedrijfsleven wordt gedacht bij de inzet van 32,5 miljoen euro ten behoeve van de wederopbouw in Oekraïne en duurzaam herstel van de economie daar? Wordt het hele bedrag van 42,5 miljoen euro gereserveerd ten behoeve van inzet van Nederlandse bedrijven en organsiaties bij de wederopbouw van Oekraïne en op welke wijze worden vraag en aanbod gematched, en welke verschillen zitten er tussen de twee trajecten?</w:t>
            </w:r>
          </w:p>
          <w:p w:rsidR="00AC3459" w:rsidRDefault="00AC3459" w14:paraId="227298B2" w14:textId="77777777"/>
          <w:p w:rsidRPr="00AC3459" w:rsidR="00F037FC" w:rsidRDefault="00AC3459" w14:paraId="28CF6047" w14:textId="7DEDC4CE">
            <w:pPr>
              <w:rPr>
                <w:b/>
                <w:bCs/>
                <w:u w:val="single"/>
              </w:rPr>
            </w:pPr>
            <w:r w:rsidRPr="00AC3459">
              <w:rPr>
                <w:b/>
                <w:bCs/>
                <w:u w:val="single"/>
              </w:rPr>
              <w:t xml:space="preserve">Antwoord: </w:t>
            </w:r>
          </w:p>
          <w:p w:rsidR="00F037FC" w:rsidP="00F55254" w:rsidRDefault="00F037FC" w14:paraId="11AF453C" w14:textId="77777777">
            <w:pPr>
              <w:spacing w:line="276" w:lineRule="auto"/>
              <w:rPr>
                <w:lang w:eastAsia="en-US"/>
              </w:rPr>
            </w:pPr>
            <w:r w:rsidRPr="00B8326F">
              <w:rPr>
                <w:b/>
              </w:rPr>
              <w:t xml:space="preserve">Het gehele bedrag van EUR 32,5 </w:t>
            </w:r>
            <w:r>
              <w:rPr>
                <w:b/>
              </w:rPr>
              <w:t>miljoen</w:t>
            </w:r>
            <w:r w:rsidRPr="00B8326F">
              <w:rPr>
                <w:b/>
              </w:rPr>
              <w:t xml:space="preserve"> is beschikbaar voor het subsidiëren van projecten die inzetten op wederopbouw en/of duurzaam economisch herstel</w:t>
            </w:r>
            <w:r>
              <w:t>.</w:t>
            </w:r>
          </w:p>
          <w:p w:rsidRPr="00567743" w:rsidR="00F037FC" w:rsidP="00507668" w:rsidRDefault="00F037FC" w14:paraId="3377B032" w14:textId="77777777">
            <w:pPr>
              <w:rPr>
                <w:b/>
                <w:bCs/>
              </w:rPr>
            </w:pPr>
          </w:p>
          <w:p w:rsidR="00F037FC" w:rsidP="00F55254" w:rsidRDefault="00F037FC" w14:paraId="3E419ADD" w14:textId="35170D4F">
            <w:pPr>
              <w:spacing w:line="276" w:lineRule="auto"/>
              <w:rPr>
                <w:b/>
                <w:bCs/>
              </w:rPr>
            </w:pPr>
            <w:r w:rsidRPr="132722C4">
              <w:rPr>
                <w:b/>
                <w:bCs/>
              </w:rPr>
              <w:t xml:space="preserve">De minister van BHO stelt met de Oekraïne Partnerschapsfaciliteit middelen beschikbaar voor projecten van partnerschappen van ondernemingen en maatschappelijke organisaties die bijdragen aan wederopbouw in Oekraïne en duurzaam herstel van de Oekraïense economie en samenleving. In een partnerschap zit ten minste één Nederlands bedrijf en één Oekraïense organisatie. Het moet gaan om activiteiten in landbouw, water, gezondheidszorg, duurzame energie of circulaire bouw. Dit zijn sectoren waar de noden in Oekraïne hoog zijn en waar Nederland een toegevoegde waarde kan bieden. Het gaat daarbij om projecten die als gevolg van marktfalen niet op een andere manier realiseerbaar zijn. </w:t>
            </w:r>
          </w:p>
          <w:p w:rsidRPr="00B8326F" w:rsidR="00B4346D" w:rsidP="00F55254" w:rsidRDefault="00B4346D" w14:paraId="41C0F9AE" w14:textId="77777777">
            <w:pPr>
              <w:spacing w:line="276" w:lineRule="auto"/>
              <w:rPr>
                <w:b/>
                <w:bCs/>
              </w:rPr>
            </w:pPr>
          </w:p>
          <w:p w:rsidRPr="002B1FE6" w:rsidR="00F037FC" w:rsidP="00F55254" w:rsidRDefault="00F037FC" w14:paraId="2DC8DB4F" w14:textId="5F5C790F">
            <w:pPr>
              <w:spacing w:line="276" w:lineRule="auto"/>
              <w:rPr>
                <w:b/>
              </w:rPr>
            </w:pPr>
            <w:r w:rsidRPr="00B8326F">
              <w:rPr>
                <w:b/>
              </w:rPr>
              <w:t>Specifiek is het vraaggestuurde subsidieprogramma bedoeld voor projecten met een concreet en tastbaar resultaat aan het einde van het project. De projecten sluiten aan bij de lokale noden en brengen een bredere lokale economische en maatschappelijk ontwikkeling voort. Het project heeft een langetermijneffect op de bredere lokale gemeenschap, keten van ondernemingen of meerdere maatschappelijke organisaties. Te denken valt hierbij aan projecten die bijdragen aan lokale werkgelegenheid, aan de arbeidsinzetbaarheid (kennis, kunde, mentale en fysieke gezondheid) van Oekraïense burgers of aan de reconstructie van voorzieningen die door de oorlog beschadigd of vernietigd zijn. </w:t>
            </w:r>
          </w:p>
          <w:p w:rsidR="00F037FC" w:rsidRDefault="00F037FC" w14:paraId="0885E0BD" w14:textId="0280D52A"/>
        </w:tc>
        <w:tc>
          <w:tcPr>
            <w:tcW w:w="856" w:type="dxa"/>
          </w:tcPr>
          <w:p w:rsidR="00F037FC" w:rsidRDefault="00F037FC" w14:paraId="006905DC" w14:textId="77777777">
            <w:pPr>
              <w:jc w:val="right"/>
            </w:pPr>
          </w:p>
        </w:tc>
        <w:tc>
          <w:tcPr>
            <w:tcW w:w="856" w:type="dxa"/>
          </w:tcPr>
          <w:p w:rsidR="00F037FC" w:rsidRDefault="00F037FC" w14:paraId="36FE2287" w14:textId="4F440B0E">
            <w:pPr>
              <w:jc w:val="right"/>
            </w:pPr>
            <w:r>
              <w:t>7</w:t>
            </w:r>
          </w:p>
        </w:tc>
        <w:tc>
          <w:tcPr>
            <w:tcW w:w="566" w:type="dxa"/>
          </w:tcPr>
          <w:p w:rsidR="00F037FC" w:rsidRDefault="00F037FC" w14:paraId="4E7F58DA" w14:textId="77777777">
            <w:pPr>
              <w:jc w:val="right"/>
            </w:pPr>
            <w:r>
              <w:t xml:space="preserve"> </w:t>
            </w:r>
          </w:p>
        </w:tc>
      </w:tr>
      <w:tr w:rsidR="00F037FC" w:rsidTr="00F90E37" w14:paraId="0C9B6C8E" w14:textId="77777777">
        <w:tc>
          <w:tcPr>
            <w:tcW w:w="567" w:type="dxa"/>
          </w:tcPr>
          <w:p w:rsidR="00F037FC" w:rsidRDefault="00F037FC" w14:paraId="0C7FDA78" w14:textId="2A778179">
            <w:r>
              <w:t>11</w:t>
            </w:r>
          </w:p>
        </w:tc>
        <w:tc>
          <w:tcPr>
            <w:tcW w:w="6663" w:type="dxa"/>
          </w:tcPr>
          <w:p w:rsidR="00F037FC" w:rsidRDefault="00F037FC" w14:paraId="7EAD6CC6" w14:textId="799D1CD2">
            <w:r>
              <w:t>Wat zijn de redenen waarom de verplichtingenplafond worden verhoogd op artikel 2 voor het aangaan van nieuwe verplichtingen voor het Green Climate Fund, terwijl klimaat als ontwikkelingshulp niet in het hoofdlijnenakkoord staat?</w:t>
            </w:r>
          </w:p>
          <w:p w:rsidR="00B4346D" w:rsidRDefault="00B4346D" w14:paraId="20087C37" w14:textId="77777777"/>
          <w:p w:rsidR="00B4346D" w:rsidRDefault="00B4346D" w14:paraId="4BB911BB" w14:textId="77777777"/>
          <w:p w:rsidRPr="00AC3459" w:rsidR="00F037FC" w:rsidRDefault="00AC3459" w14:paraId="2FE5EFF4" w14:textId="55D6248B">
            <w:pPr>
              <w:rPr>
                <w:b/>
                <w:bCs/>
                <w:u w:val="single"/>
              </w:rPr>
            </w:pPr>
            <w:r w:rsidRPr="00AC3459">
              <w:rPr>
                <w:b/>
                <w:bCs/>
                <w:u w:val="single"/>
              </w:rPr>
              <w:t xml:space="preserve">Antwoord: </w:t>
            </w:r>
          </w:p>
          <w:p w:rsidR="00F037FC" w:rsidP="003565EA" w:rsidRDefault="00F037FC" w14:paraId="37B38891" w14:textId="77777777">
            <w:pPr>
              <w:spacing w:line="276" w:lineRule="auto"/>
              <w:rPr>
                <w:b/>
                <w:bCs/>
              </w:rPr>
            </w:pPr>
            <w:r w:rsidRPr="65C9244F">
              <w:rPr>
                <w:b/>
                <w:bCs/>
              </w:rPr>
              <w:t xml:space="preserve">Het Green Climate Fund (GCF) werkt met periodieke </w:t>
            </w:r>
            <w:r w:rsidRPr="3DE23A25">
              <w:rPr>
                <w:b/>
                <w:bCs/>
              </w:rPr>
              <w:t>middelenaanvullingen</w:t>
            </w:r>
            <w:r w:rsidRPr="65C9244F">
              <w:rPr>
                <w:b/>
                <w:bCs/>
              </w:rPr>
              <w:t xml:space="preserve"> met een cyclus van vier jaar. De cyclus waar deze </w:t>
            </w:r>
            <w:r w:rsidRPr="65C9244F">
              <w:rPr>
                <w:b/>
                <w:bCs/>
              </w:rPr>
              <w:lastRenderedPageBreak/>
              <w:t xml:space="preserve">verplichting betrekking op heeft, loopt van 1 januari 2024 tot en met 31 december 2027. Voorafgaand aan de aanvang van de cyclus vond in najaar 2023 de </w:t>
            </w:r>
            <w:r w:rsidRPr="65C9244F">
              <w:rPr>
                <w:b/>
                <w:bCs/>
                <w:i/>
                <w:iCs/>
              </w:rPr>
              <w:t xml:space="preserve">Highlevel Pledging Conference for </w:t>
            </w:r>
            <w:proofErr w:type="spellStart"/>
            <w:r w:rsidRPr="65C9244F">
              <w:rPr>
                <w:b/>
                <w:bCs/>
                <w:i/>
                <w:iCs/>
              </w:rPr>
              <w:t>GCF’s</w:t>
            </w:r>
            <w:proofErr w:type="spellEnd"/>
            <w:r w:rsidRPr="65C9244F">
              <w:rPr>
                <w:b/>
                <w:bCs/>
                <w:i/>
                <w:iCs/>
              </w:rPr>
              <w:t xml:space="preserve"> second replenishment</w:t>
            </w:r>
            <w:r w:rsidRPr="65C9244F">
              <w:rPr>
                <w:b/>
                <w:bCs/>
              </w:rPr>
              <w:t xml:space="preserve"> plaats waarin landen waaronder Nederland hebben aangeven wat zij aan de komende cyclus bijdragen. </w:t>
            </w:r>
            <w:r w:rsidRPr="00F06A9E">
              <w:rPr>
                <w:b/>
                <w:bCs/>
              </w:rPr>
              <w:t>De verplichtingenmutatie in 2024 wordt veroorzaakt doordat de administratieve afhandeling van de verplichting in 2024 plaatsvond in plaats van in 2023</w:t>
            </w:r>
            <w:r>
              <w:t>.</w:t>
            </w:r>
            <w:r w:rsidRPr="65C9244F">
              <w:rPr>
                <w:b/>
                <w:bCs/>
              </w:rPr>
              <w:t xml:space="preserve"> </w:t>
            </w:r>
          </w:p>
          <w:p w:rsidRPr="003565EA" w:rsidR="00B4346D" w:rsidP="003565EA" w:rsidRDefault="00B4346D" w14:paraId="1FECDA67" w14:textId="6CF038E7">
            <w:pPr>
              <w:spacing w:line="276" w:lineRule="auto"/>
              <w:rPr>
                <w:b/>
                <w:bCs/>
              </w:rPr>
            </w:pPr>
          </w:p>
        </w:tc>
        <w:tc>
          <w:tcPr>
            <w:tcW w:w="856" w:type="dxa"/>
          </w:tcPr>
          <w:p w:rsidR="00F037FC" w:rsidRDefault="00F037FC" w14:paraId="00BFDB83" w14:textId="77777777">
            <w:pPr>
              <w:jc w:val="right"/>
            </w:pPr>
          </w:p>
        </w:tc>
        <w:tc>
          <w:tcPr>
            <w:tcW w:w="856" w:type="dxa"/>
          </w:tcPr>
          <w:p w:rsidR="00F037FC" w:rsidRDefault="00F037FC" w14:paraId="38EEBDBD" w14:textId="44DD818D">
            <w:pPr>
              <w:jc w:val="right"/>
            </w:pPr>
            <w:r>
              <w:t>9</w:t>
            </w:r>
          </w:p>
        </w:tc>
        <w:tc>
          <w:tcPr>
            <w:tcW w:w="566" w:type="dxa"/>
          </w:tcPr>
          <w:p w:rsidR="00F037FC" w:rsidRDefault="00F037FC" w14:paraId="39F1CEE8" w14:textId="77777777">
            <w:pPr>
              <w:jc w:val="right"/>
            </w:pPr>
            <w:r>
              <w:t xml:space="preserve"> </w:t>
            </w:r>
          </w:p>
        </w:tc>
      </w:tr>
      <w:tr w:rsidR="00F037FC" w:rsidTr="00F90E37" w14:paraId="2E45BFAD" w14:textId="77777777">
        <w:tc>
          <w:tcPr>
            <w:tcW w:w="567" w:type="dxa"/>
          </w:tcPr>
          <w:p w:rsidR="00F037FC" w:rsidRDefault="00F037FC" w14:paraId="41A047FF" w14:textId="5DA09439">
            <w:r>
              <w:t>12</w:t>
            </w:r>
          </w:p>
        </w:tc>
        <w:tc>
          <w:tcPr>
            <w:tcW w:w="6663" w:type="dxa"/>
          </w:tcPr>
          <w:p w:rsidR="00F037FC" w:rsidRDefault="00F037FC" w14:paraId="49E1F889" w14:textId="77777777">
            <w:r>
              <w:t>Zijn er juridische verplichtingen richting het Green Climate Fund? Kan daar een overzicht van komen zoals afgesproken met een factsheet? Wanneer lopen deze juridische verplichtingen af?</w:t>
            </w:r>
          </w:p>
          <w:p w:rsidR="00F037FC" w:rsidRDefault="00F037FC" w14:paraId="01E555B2" w14:textId="77777777"/>
          <w:p w:rsidRPr="00AC3459" w:rsidR="00AC3459" w:rsidRDefault="00AC3459" w14:paraId="5EEFB4CF" w14:textId="2C93075A">
            <w:pPr>
              <w:rPr>
                <w:b/>
                <w:bCs/>
                <w:u w:val="single"/>
              </w:rPr>
            </w:pPr>
            <w:r w:rsidRPr="00AC3459">
              <w:rPr>
                <w:b/>
                <w:bCs/>
                <w:u w:val="single"/>
              </w:rPr>
              <w:t xml:space="preserve">Antwoord: </w:t>
            </w:r>
          </w:p>
          <w:p w:rsidR="00F037FC" w:rsidP="00F55254" w:rsidRDefault="00F037FC" w14:paraId="1D030218" w14:textId="75D0D2C9">
            <w:pPr>
              <w:spacing w:line="276" w:lineRule="auto"/>
            </w:pPr>
            <w:r w:rsidRPr="65C9244F">
              <w:rPr>
                <w:b/>
                <w:bCs/>
              </w:rPr>
              <w:t xml:space="preserve">Het Green Climate Fund (GCF) is geen revolverend fonds en is derhalve niet opgenomen bij de factsheets over revolverende fondsen. De juridische verplichting </w:t>
            </w:r>
            <w:r>
              <w:rPr>
                <w:b/>
                <w:bCs/>
              </w:rPr>
              <w:t>in 2024</w:t>
            </w:r>
            <w:r w:rsidRPr="65C9244F">
              <w:rPr>
                <w:b/>
                <w:bCs/>
              </w:rPr>
              <w:t xml:space="preserve"> is EUR 140 miljoen: (Kasbudget 2024: EUR 50 miljoen; 2025: EUR 30 miljoen; 2026: EUR 30 miljoen en 2027: EUR 30 miljoen). Het betreft de periode 2024 </w:t>
            </w:r>
            <w:r w:rsidRPr="3DE23A25">
              <w:rPr>
                <w:b/>
                <w:bCs/>
              </w:rPr>
              <w:t>tot en met</w:t>
            </w:r>
            <w:r w:rsidRPr="65C9244F">
              <w:rPr>
                <w:b/>
                <w:bCs/>
              </w:rPr>
              <w:t xml:space="preserve"> 2027.</w:t>
            </w:r>
            <w:r w:rsidRPr="65C9244F">
              <w:t xml:space="preserve"> </w:t>
            </w:r>
          </w:p>
          <w:p w:rsidR="00F037FC" w:rsidRDefault="00F037FC" w14:paraId="3CF6D542" w14:textId="57831FF3"/>
        </w:tc>
        <w:tc>
          <w:tcPr>
            <w:tcW w:w="856" w:type="dxa"/>
          </w:tcPr>
          <w:p w:rsidR="00F037FC" w:rsidRDefault="00F037FC" w14:paraId="2980A2F3" w14:textId="77777777">
            <w:pPr>
              <w:jc w:val="right"/>
            </w:pPr>
          </w:p>
        </w:tc>
        <w:tc>
          <w:tcPr>
            <w:tcW w:w="856" w:type="dxa"/>
          </w:tcPr>
          <w:p w:rsidR="00F037FC" w:rsidRDefault="00F037FC" w14:paraId="54E19CBD" w14:textId="279F68B5">
            <w:pPr>
              <w:jc w:val="right"/>
            </w:pPr>
            <w:r>
              <w:t>9</w:t>
            </w:r>
          </w:p>
        </w:tc>
        <w:tc>
          <w:tcPr>
            <w:tcW w:w="566" w:type="dxa"/>
          </w:tcPr>
          <w:p w:rsidR="00F037FC" w:rsidRDefault="00F037FC" w14:paraId="6E46D427" w14:textId="77777777">
            <w:pPr>
              <w:jc w:val="right"/>
            </w:pPr>
            <w:r>
              <w:t xml:space="preserve"> </w:t>
            </w:r>
          </w:p>
        </w:tc>
      </w:tr>
      <w:tr w:rsidR="00F037FC" w:rsidTr="00F90E37" w14:paraId="0102425F" w14:textId="77777777">
        <w:tc>
          <w:tcPr>
            <w:tcW w:w="567" w:type="dxa"/>
          </w:tcPr>
          <w:p w:rsidR="00F037FC" w:rsidRDefault="00F037FC" w14:paraId="44D70BB7" w14:textId="1CC3A144">
            <w:r>
              <w:t>13</w:t>
            </w:r>
          </w:p>
        </w:tc>
        <w:tc>
          <w:tcPr>
            <w:tcW w:w="6663" w:type="dxa"/>
          </w:tcPr>
          <w:p w:rsidR="00F037FC" w:rsidRDefault="00F037FC" w14:paraId="742036FF" w14:textId="77777777">
            <w:r>
              <w:t>Hoe groot is het gedeelte dat reeds uit het bestaande verplichtingenbudget naar het Green Climate Fund gaat en gaat de ophoging van het verplichtingenbudget nog ten koste van andere prioriteiten? Zo ja welke?</w:t>
            </w:r>
          </w:p>
          <w:p w:rsidR="00F037FC" w:rsidRDefault="00F037FC" w14:paraId="6166B834" w14:textId="77777777"/>
          <w:p w:rsidRPr="00AC3459" w:rsidR="00AC3459" w:rsidRDefault="00AC3459" w14:paraId="1C6EEBDB" w14:textId="0C7A6C7B">
            <w:pPr>
              <w:rPr>
                <w:b/>
                <w:bCs/>
                <w:u w:val="single"/>
              </w:rPr>
            </w:pPr>
            <w:r w:rsidRPr="00AC3459">
              <w:rPr>
                <w:b/>
                <w:bCs/>
                <w:u w:val="single"/>
              </w:rPr>
              <w:t xml:space="preserve">Antwoord: </w:t>
            </w:r>
          </w:p>
          <w:p w:rsidR="00F037FC" w:rsidP="00F55254" w:rsidRDefault="00F037FC" w14:paraId="6BD22D95" w14:textId="616857A4">
            <w:pPr>
              <w:spacing w:line="276" w:lineRule="auto"/>
            </w:pPr>
            <w:r w:rsidRPr="65C9244F">
              <w:rPr>
                <w:b/>
                <w:bCs/>
              </w:rPr>
              <w:t>De verplichting voor het Green Climate Fund (GCF) is voor EUR 66,35 miljoen aangegaan uit het bestaande verplichtingenbudget. Deze verplichtingenmutatie heeft geen gevolgen voor de realisatie van de kasbudgetten van andere beleidsprioriteiten.</w:t>
            </w:r>
          </w:p>
          <w:p w:rsidR="00F037FC" w:rsidRDefault="00F037FC" w14:paraId="08E94A58" w14:textId="0BDAF216"/>
        </w:tc>
        <w:tc>
          <w:tcPr>
            <w:tcW w:w="856" w:type="dxa"/>
          </w:tcPr>
          <w:p w:rsidR="00F037FC" w:rsidRDefault="00F037FC" w14:paraId="785E6DDF" w14:textId="77777777">
            <w:pPr>
              <w:jc w:val="right"/>
            </w:pPr>
          </w:p>
        </w:tc>
        <w:tc>
          <w:tcPr>
            <w:tcW w:w="856" w:type="dxa"/>
          </w:tcPr>
          <w:p w:rsidR="00F037FC" w:rsidRDefault="00F037FC" w14:paraId="3BC53AEF" w14:textId="284BA0A4">
            <w:pPr>
              <w:jc w:val="right"/>
            </w:pPr>
            <w:r>
              <w:t>11</w:t>
            </w:r>
          </w:p>
        </w:tc>
        <w:tc>
          <w:tcPr>
            <w:tcW w:w="566" w:type="dxa"/>
          </w:tcPr>
          <w:p w:rsidR="00F037FC" w:rsidRDefault="00F037FC" w14:paraId="1872A3CA" w14:textId="77777777">
            <w:pPr>
              <w:jc w:val="right"/>
            </w:pPr>
            <w:r>
              <w:t xml:space="preserve"> </w:t>
            </w:r>
          </w:p>
        </w:tc>
      </w:tr>
      <w:tr w:rsidR="00F037FC" w:rsidTr="00F90E37" w14:paraId="72D9D55E" w14:textId="77777777">
        <w:tc>
          <w:tcPr>
            <w:tcW w:w="567" w:type="dxa"/>
          </w:tcPr>
          <w:p w:rsidR="00F037FC" w:rsidRDefault="00F037FC" w14:paraId="4EB8DCA6" w14:textId="7A9BF46A">
            <w:r>
              <w:t>14</w:t>
            </w:r>
          </w:p>
        </w:tc>
        <w:tc>
          <w:tcPr>
            <w:tcW w:w="6663" w:type="dxa"/>
          </w:tcPr>
          <w:p w:rsidR="00F037FC" w:rsidRDefault="00F037FC" w14:paraId="136F30AA" w14:textId="462E48A4">
            <w:r>
              <w:t>Kunt u uitleggen wat het UNFPA supplies programma en het Human Reproduction Program (HRP) van de WHO inhoudt? Kunt u dit uitgebreid toelichten en een overzicht van de uitgaven en verplichtingen op deze punten geven?</w:t>
            </w:r>
          </w:p>
          <w:p w:rsidR="00F037FC" w:rsidP="00507668" w:rsidRDefault="00F037FC" w14:paraId="68424F78" w14:textId="546BAAFE"/>
          <w:p w:rsidRPr="00AC3459" w:rsidR="00AC3459" w:rsidP="00507668" w:rsidRDefault="00AC3459" w14:paraId="5662FB67" w14:textId="4E6F971E">
            <w:pPr>
              <w:rPr>
                <w:b/>
                <w:bCs/>
                <w:u w:val="single"/>
              </w:rPr>
            </w:pPr>
            <w:r w:rsidRPr="00AC3459">
              <w:rPr>
                <w:b/>
                <w:bCs/>
                <w:u w:val="single"/>
              </w:rPr>
              <w:t xml:space="preserve">Antwoord: </w:t>
            </w:r>
          </w:p>
          <w:p w:rsidRPr="00F037FC" w:rsidR="00F037FC" w:rsidP="00F55254" w:rsidRDefault="00F037FC" w14:paraId="1404BC11" w14:textId="77777777">
            <w:pPr>
              <w:spacing w:line="276" w:lineRule="auto"/>
              <w:rPr>
                <w:b/>
                <w:bCs/>
              </w:rPr>
            </w:pPr>
            <w:r w:rsidRPr="00F037FC">
              <w:rPr>
                <w:b/>
                <w:bCs/>
              </w:rPr>
              <w:t xml:space="preserve">Wereldwijd hebben 257 miljoen vrouwen, die dat wel willen, geen toegang tot moderne voorbehoedsmiddelen. Hierdoor sterven per dag nog steeds 800 vrouwen onnodig als gevolg van zwangerschap en geboorte. </w:t>
            </w:r>
          </w:p>
          <w:p w:rsidRPr="00F037FC" w:rsidR="00F037FC" w:rsidP="00F55254" w:rsidRDefault="00F037FC" w14:paraId="27036EB3" w14:textId="34574BD3">
            <w:pPr>
              <w:spacing w:line="276" w:lineRule="auto"/>
              <w:rPr>
                <w:b/>
                <w:bCs/>
              </w:rPr>
            </w:pPr>
            <w:r w:rsidRPr="00F037FC">
              <w:rPr>
                <w:b/>
                <w:bCs/>
              </w:rPr>
              <w:t xml:space="preserve">UNFPA Supplies maakt gezinsplanning voor vrouwen mogelijk en gaat daarmee moeder- en kindersterfte tegen. Dit doet het programma voor het vergroten van de beschikbaarbeid van voorbehoedmiddelen en het versterken van de waardeketens van gezondheidsproducten. </w:t>
            </w:r>
          </w:p>
          <w:p w:rsidRPr="00F037FC" w:rsidR="00F037FC" w:rsidP="00F55254" w:rsidRDefault="00F037FC" w14:paraId="49BAA198" w14:textId="3260356D">
            <w:pPr>
              <w:spacing w:line="276" w:lineRule="auto"/>
              <w:rPr>
                <w:b/>
                <w:bCs/>
              </w:rPr>
            </w:pPr>
            <w:r w:rsidRPr="00F037FC">
              <w:rPr>
                <w:b/>
                <w:bCs/>
              </w:rPr>
              <w:t> </w:t>
            </w:r>
          </w:p>
          <w:p w:rsidRPr="00F037FC" w:rsidR="00F037FC" w:rsidP="00F55254" w:rsidRDefault="00F037FC" w14:paraId="17D61286" w14:textId="5B2495A5">
            <w:pPr>
              <w:spacing w:line="276" w:lineRule="auto"/>
              <w:rPr>
                <w:b/>
                <w:bCs/>
              </w:rPr>
            </w:pPr>
            <w:r w:rsidRPr="00F037FC">
              <w:rPr>
                <w:b/>
                <w:bCs/>
              </w:rPr>
              <w:t xml:space="preserve">IOB concludeerde in hun evaluatie ‘Consistent Efforts, Persisting Challenges - Evaluation of Dutch contributions to Sexual and Reproductive Health and Rights (2012–2022)’ het belang van UNFPA Supplies voor de Nederlandse bijdrage aan betere beschikbaarheid van goede kwaliteit anticonceptie en voorbehoedmiddelen in de wereld. Vanwege hun omvang, bereik en schaalvoordelen kan het programma bijvoorbeeld via gezamenlijke inkoop lagere prijzen bedingen. NL ondersteunt UNFPA </w:t>
            </w:r>
            <w:r w:rsidRPr="00F037FC">
              <w:rPr>
                <w:b/>
                <w:bCs/>
              </w:rPr>
              <w:lastRenderedPageBreak/>
              <w:t>Supplies voor de periode van 2024 t/m 2028 voor een totaalbedrag van USD 119 mln met jaarlijkse betalingen van USD 23,8 mln.</w:t>
            </w:r>
          </w:p>
          <w:p w:rsidRPr="00F037FC" w:rsidR="00F037FC" w:rsidP="00F55254" w:rsidRDefault="00F037FC" w14:paraId="02F8867E" w14:textId="3260356D">
            <w:pPr>
              <w:spacing w:line="276" w:lineRule="auto"/>
              <w:rPr>
                <w:b/>
                <w:bCs/>
              </w:rPr>
            </w:pPr>
          </w:p>
          <w:p w:rsidRPr="00F037FC" w:rsidR="00F037FC" w:rsidP="00F55254" w:rsidRDefault="00F037FC" w14:paraId="134C4AAC" w14:textId="31A5A0B7">
            <w:pPr>
              <w:spacing w:line="276" w:lineRule="auto"/>
              <w:rPr>
                <w:b/>
                <w:bCs/>
              </w:rPr>
            </w:pPr>
            <w:r w:rsidRPr="00F037FC">
              <w:rPr>
                <w:b/>
                <w:bCs/>
              </w:rPr>
              <w:t>Het WHO human reproduction programme (HRP) is een gezamenlijk onderzoeksprogramma van verschillende VN-instellingen op het terrein van Seksuele en Reproductieve Gezondheid en Rechten. Dat gaat vooral over het bieden van een goede basisgezondheidszorg aan moeders en kinderen. En ook over gevoelige onderwerpen die daarbij horen. Het WHO human reproduction programme (HRP) levert bijvoorbeeld vooruitstrevend werk op het terrein van veilige abortus. Jaarlijks sterven 39.000 vrouwen en meisjes aan de gevolgen van een onveilige abortus. Miljoenen houden blijvend letsel. Met alle gevolgen van dien voor hun gezondheid en de maatschappij. Dit is onnodig en te voorkomen. Met richtlijnen en trainingen helpt het programma gezondheidswerkers in ontwikkelingslanden zorg rond zwangerschap en geboorte op een veilige manier aan te bieden. Trainingen aan verpleegsters en gemeenschapswerkers op het terrein vrouwenbesnijdenis helpen in het terugdringen ervan. Hiermee draagt het programma bij aan de vrijheid van vrouwen en meisjes om zelf te bepalen of, met wie en hoeveel kinderen zij krijgen, en aan het tegengaan van moedersterfte. NL steunt WHO HRP van 2024 t/m 2027 met een bedrag van USD 30 mln (jaarlijkse betalingen van USD 7,5 mln.)</w:t>
            </w:r>
          </w:p>
          <w:p w:rsidR="00F037FC" w:rsidRDefault="00F037FC" w14:paraId="24F5B79B" w14:textId="59A81B81"/>
        </w:tc>
        <w:tc>
          <w:tcPr>
            <w:tcW w:w="856" w:type="dxa"/>
          </w:tcPr>
          <w:p w:rsidR="00F037FC" w:rsidRDefault="00F037FC" w14:paraId="63100B98" w14:textId="77777777">
            <w:pPr>
              <w:jc w:val="right"/>
            </w:pPr>
          </w:p>
        </w:tc>
        <w:tc>
          <w:tcPr>
            <w:tcW w:w="856" w:type="dxa"/>
          </w:tcPr>
          <w:p w:rsidR="00F037FC" w:rsidRDefault="00F037FC" w14:paraId="44C67DAA" w14:textId="35359132">
            <w:pPr>
              <w:jc w:val="right"/>
            </w:pPr>
            <w:r>
              <w:t>12</w:t>
            </w:r>
          </w:p>
        </w:tc>
        <w:tc>
          <w:tcPr>
            <w:tcW w:w="566" w:type="dxa"/>
          </w:tcPr>
          <w:p w:rsidR="00F037FC" w:rsidRDefault="00F037FC" w14:paraId="0DCFAAD8" w14:textId="77777777">
            <w:pPr>
              <w:jc w:val="right"/>
            </w:pPr>
            <w:r>
              <w:t xml:space="preserve"> </w:t>
            </w:r>
          </w:p>
        </w:tc>
      </w:tr>
      <w:tr w:rsidR="00F037FC" w:rsidTr="00F90E37" w14:paraId="7D32752E" w14:textId="77777777">
        <w:tc>
          <w:tcPr>
            <w:tcW w:w="567" w:type="dxa"/>
          </w:tcPr>
          <w:p w:rsidR="00F037FC" w:rsidRDefault="00F037FC" w14:paraId="29DB5A21" w14:textId="30E88FF4">
            <w:r>
              <w:t>15</w:t>
            </w:r>
          </w:p>
        </w:tc>
        <w:tc>
          <w:tcPr>
            <w:tcW w:w="6663" w:type="dxa"/>
          </w:tcPr>
          <w:p w:rsidR="00F037FC" w:rsidRDefault="00F037FC" w14:paraId="4849B015" w14:textId="77777777">
            <w:r>
              <w:t>Klopt het dat er in 2024 geen budget meer staat op artikel 5.4 in verband met de inpassing van de kosten voor de eerstejaarsasielopvang? Hoe zijn/worden eventuele tegenvallers verwerkt nu er geen buffer meer is?</w:t>
            </w:r>
          </w:p>
          <w:p w:rsidR="00F037FC" w:rsidRDefault="00F037FC" w14:paraId="6759FE18" w14:textId="77777777"/>
          <w:p w:rsidRPr="00AC3459" w:rsidR="00AC3459" w:rsidRDefault="00AC3459" w14:paraId="2833A214" w14:textId="750F0621">
            <w:pPr>
              <w:rPr>
                <w:b/>
                <w:bCs/>
                <w:u w:val="single"/>
              </w:rPr>
            </w:pPr>
            <w:r w:rsidRPr="00AC3459">
              <w:rPr>
                <w:b/>
                <w:bCs/>
                <w:u w:val="single"/>
              </w:rPr>
              <w:t xml:space="preserve">Antwoord: </w:t>
            </w:r>
          </w:p>
          <w:p w:rsidRPr="00CD728B" w:rsidR="00F037FC" w:rsidP="00F55254" w:rsidRDefault="00F037FC" w14:paraId="1B1C2AC9" w14:textId="5114BAB2">
            <w:pPr>
              <w:spacing w:line="276" w:lineRule="auto"/>
              <w:rPr>
                <w:b/>
              </w:rPr>
            </w:pPr>
            <w:r>
              <w:rPr>
                <w:b/>
              </w:rPr>
              <w:t xml:space="preserve">ODA-budget bedoeld voor eerstejaars asielopvang staat op de begroting van </w:t>
            </w:r>
            <w:r w:rsidR="005E2AB4">
              <w:rPr>
                <w:b/>
              </w:rPr>
              <w:t xml:space="preserve">het ministerie </w:t>
            </w:r>
            <w:r>
              <w:rPr>
                <w:b/>
              </w:rPr>
              <w:t>J</w:t>
            </w:r>
            <w:r w:rsidR="005E2AB4">
              <w:rPr>
                <w:b/>
              </w:rPr>
              <w:t xml:space="preserve">ustitie </w:t>
            </w:r>
            <w:r>
              <w:rPr>
                <w:b/>
              </w:rPr>
              <w:t>en</w:t>
            </w:r>
            <w:r w:rsidR="005E2AB4">
              <w:rPr>
                <w:b/>
              </w:rPr>
              <w:t xml:space="preserve"> </w:t>
            </w:r>
            <w:r>
              <w:rPr>
                <w:b/>
              </w:rPr>
              <w:t>V</w:t>
            </w:r>
            <w:r w:rsidR="005E2AB4">
              <w:rPr>
                <w:b/>
              </w:rPr>
              <w:t>eiligheid</w:t>
            </w:r>
            <w:r>
              <w:rPr>
                <w:b/>
              </w:rPr>
              <w:t xml:space="preserve">. </w:t>
            </w:r>
            <w:r w:rsidRPr="00CD728B">
              <w:rPr>
                <w:b/>
              </w:rPr>
              <w:t xml:space="preserve">De stand op het bufferartikel 5.4 is bij de suppletoire begroting </w:t>
            </w:r>
            <w:r w:rsidRPr="00D5667B">
              <w:rPr>
                <w:b/>
                <w:bCs/>
              </w:rPr>
              <w:t>September</w:t>
            </w:r>
            <w:r w:rsidRPr="00CD728B">
              <w:rPr>
                <w:b/>
              </w:rPr>
              <w:t xml:space="preserve"> </w:t>
            </w:r>
            <w:r>
              <w:rPr>
                <w:b/>
                <w:bCs/>
              </w:rPr>
              <w:t xml:space="preserve">EUR </w:t>
            </w:r>
            <w:r w:rsidRPr="00CD728B">
              <w:rPr>
                <w:b/>
              </w:rPr>
              <w:t>-54,347 miljoen</w:t>
            </w:r>
            <w:r w:rsidRPr="00CD728B">
              <w:rPr>
                <w:b/>
                <w:bCs/>
              </w:rPr>
              <w:t>.</w:t>
            </w:r>
            <w:r w:rsidRPr="00CD728B">
              <w:rPr>
                <w:b/>
              </w:rPr>
              <w:t xml:space="preserve"> Daarmee is er op dit moment sprake van overprogrammering</w:t>
            </w:r>
            <w:r>
              <w:rPr>
                <w:b/>
              </w:rPr>
              <w:t xml:space="preserve"> conform reguliere systematiek</w:t>
            </w:r>
            <w:r w:rsidRPr="00CD728B">
              <w:rPr>
                <w:b/>
              </w:rPr>
              <w:t xml:space="preserve">. Indien er tegenvallers </w:t>
            </w:r>
            <w:r w:rsidRPr="147C79D3">
              <w:rPr>
                <w:b/>
                <w:bCs/>
              </w:rPr>
              <w:t>ontstaa</w:t>
            </w:r>
            <w:r>
              <w:rPr>
                <w:b/>
                <w:bCs/>
              </w:rPr>
              <w:t>n</w:t>
            </w:r>
            <w:r w:rsidRPr="00CD728B">
              <w:rPr>
                <w:b/>
              </w:rPr>
              <w:t xml:space="preserve"> als gevolg van stijgende kosten voor de eerstejaarsasielopvang, dan zullen deze van dekking worden voorzien binnen het ODA-budget. </w:t>
            </w:r>
          </w:p>
          <w:p w:rsidR="00F037FC" w:rsidRDefault="00F037FC" w14:paraId="5F1D7BE1" w14:textId="26C22E18"/>
        </w:tc>
        <w:tc>
          <w:tcPr>
            <w:tcW w:w="856" w:type="dxa"/>
          </w:tcPr>
          <w:p w:rsidR="00F037FC" w:rsidRDefault="00F037FC" w14:paraId="7258B3DB" w14:textId="77777777">
            <w:pPr>
              <w:jc w:val="right"/>
            </w:pPr>
          </w:p>
        </w:tc>
        <w:tc>
          <w:tcPr>
            <w:tcW w:w="856" w:type="dxa"/>
          </w:tcPr>
          <w:p w:rsidR="00F037FC" w:rsidRDefault="00F037FC" w14:paraId="1BE71B2C" w14:textId="1774AE8A">
            <w:pPr>
              <w:jc w:val="right"/>
            </w:pPr>
            <w:r>
              <w:t>12</w:t>
            </w:r>
          </w:p>
        </w:tc>
        <w:tc>
          <w:tcPr>
            <w:tcW w:w="566" w:type="dxa"/>
          </w:tcPr>
          <w:p w:rsidR="00F037FC" w:rsidRDefault="00F037FC" w14:paraId="0C0A2B79" w14:textId="77777777">
            <w:pPr>
              <w:jc w:val="right"/>
            </w:pPr>
            <w:r>
              <w:t xml:space="preserve"> </w:t>
            </w:r>
          </w:p>
        </w:tc>
      </w:tr>
      <w:tr w:rsidR="00F037FC" w:rsidTr="00F90E37" w14:paraId="24D7F881" w14:textId="77777777">
        <w:tc>
          <w:tcPr>
            <w:tcW w:w="567" w:type="dxa"/>
          </w:tcPr>
          <w:p w:rsidR="00F037FC" w:rsidRDefault="00F037FC" w14:paraId="13C656B5" w14:textId="1862073C">
            <w:r>
              <w:t>16</w:t>
            </w:r>
          </w:p>
        </w:tc>
        <w:tc>
          <w:tcPr>
            <w:tcW w:w="6663" w:type="dxa"/>
          </w:tcPr>
          <w:p w:rsidR="00F037FC" w:rsidRDefault="00F037FC" w14:paraId="14ECB515" w14:textId="77777777">
            <w:r>
              <w:t>Klopt het dat de programmamiddelen voor Oekraïne in artikel 5.2 met 147.500.000 euro worden verlaagd omwille van meer middelen voor Oekraïne in andere begrotingsartikelen? Komt de volledige 147.500.000 euro nog steeds ten goede aan Oekraïne? Kan een overzicht worden gegeven van hoe de 147.500.000 euro verdeeld wordt?</w:t>
            </w:r>
          </w:p>
          <w:p w:rsidR="00F037FC" w:rsidRDefault="00F037FC" w14:paraId="75BB2D5F" w14:textId="77777777"/>
          <w:p w:rsidRPr="00AC3459" w:rsidR="00AC3459" w:rsidRDefault="00AC3459" w14:paraId="135D3962" w14:textId="215B78C0">
            <w:pPr>
              <w:rPr>
                <w:b/>
                <w:bCs/>
                <w:u w:val="single"/>
              </w:rPr>
            </w:pPr>
            <w:r w:rsidRPr="00AC3459">
              <w:rPr>
                <w:b/>
                <w:bCs/>
                <w:u w:val="single"/>
              </w:rPr>
              <w:t xml:space="preserve">Antwoord: </w:t>
            </w:r>
          </w:p>
          <w:p w:rsidRPr="00886F5C" w:rsidR="00F037FC" w:rsidP="00F55254" w:rsidRDefault="00F037FC" w14:paraId="0F1B0A53" w14:textId="5CA0C141">
            <w:pPr>
              <w:spacing w:line="276" w:lineRule="auto"/>
              <w:rPr>
                <w:b/>
                <w:bCs/>
              </w:rPr>
            </w:pPr>
            <w:r w:rsidRPr="00886F5C">
              <w:rPr>
                <w:b/>
                <w:bCs/>
              </w:rPr>
              <w:t xml:space="preserve">Ja dat klopt, de programmamiddelen voor Oekraïne op artikel 5.2 worden met </w:t>
            </w:r>
            <w:r w:rsidR="00102E7D">
              <w:rPr>
                <w:b/>
                <w:bCs/>
              </w:rPr>
              <w:t xml:space="preserve">EUR </w:t>
            </w:r>
            <w:r w:rsidRPr="00886F5C">
              <w:rPr>
                <w:b/>
                <w:bCs/>
              </w:rPr>
              <w:t xml:space="preserve">147.500.000 verlaagd. Vervolgens wordt dit bedrag verdeeld over de verschillende begrotingsartikelen op de BHO-begroting waarbij deze middelen nog steeds volledig ten goede komen aan Oekraïne. </w:t>
            </w:r>
          </w:p>
          <w:p w:rsidRPr="00886F5C" w:rsidR="00F037FC" w:rsidP="00F55254" w:rsidRDefault="00F037FC" w14:paraId="76606B4E" w14:textId="7C0C979E">
            <w:pPr>
              <w:spacing w:line="276" w:lineRule="auto"/>
              <w:rPr>
                <w:b/>
                <w:bCs/>
              </w:rPr>
            </w:pPr>
            <w:r w:rsidRPr="132722C4">
              <w:rPr>
                <w:b/>
                <w:bCs/>
              </w:rPr>
              <w:t>Dit bedrag wordt als volgt gealloceerd</w:t>
            </w:r>
            <w:r>
              <w:rPr>
                <w:b/>
                <w:bCs/>
              </w:rPr>
              <w:t xml:space="preserve">, zoals eerder aangekondigd in de Kamerbrief Invulling BHOS-middelen Voorjaarsnota Oekraïne 2024 van 7 juni jl. (Kamerstuknr. </w:t>
            </w:r>
            <w:r w:rsidRPr="00582283">
              <w:rPr>
                <w:b/>
                <w:bCs/>
              </w:rPr>
              <w:t>36045-183</w:t>
            </w:r>
            <w:r>
              <w:rPr>
                <w:b/>
                <w:bCs/>
              </w:rPr>
              <w:t xml:space="preserve">). </w:t>
            </w:r>
            <w:r w:rsidRPr="132722C4">
              <w:rPr>
                <w:b/>
                <w:bCs/>
              </w:rPr>
              <w:t xml:space="preserve"> </w:t>
            </w:r>
          </w:p>
          <w:p w:rsidRPr="00886F5C" w:rsidR="00F037FC" w:rsidP="00F55254" w:rsidRDefault="00F037FC" w14:paraId="6C01862B" w14:textId="77777777">
            <w:pPr>
              <w:pStyle w:val="ListParagraph"/>
              <w:numPr>
                <w:ilvl w:val="0"/>
                <w:numId w:val="1"/>
              </w:numPr>
              <w:spacing w:line="276" w:lineRule="auto"/>
              <w:rPr>
                <w:b/>
                <w:bCs/>
              </w:rPr>
            </w:pPr>
            <w:r w:rsidRPr="00886F5C">
              <w:rPr>
                <w:b/>
                <w:bCs/>
              </w:rPr>
              <w:t>EUR 58 miljoen via het Ukraine Relief, Recovery, Reconstruction and Reform Trust Fund (URTF) van de Wereldbank voor herstelprojecten ten behoeve van het elektriciteitsnet, wegen, bruggen, onderdak, scholen en ziekenhuizen;</w:t>
            </w:r>
          </w:p>
          <w:p w:rsidRPr="00886F5C" w:rsidR="00F037FC" w:rsidP="00F55254" w:rsidRDefault="00F037FC" w14:paraId="11852320" w14:textId="77777777">
            <w:pPr>
              <w:pStyle w:val="ListParagraph"/>
              <w:numPr>
                <w:ilvl w:val="0"/>
                <w:numId w:val="1"/>
              </w:numPr>
              <w:spacing w:line="276" w:lineRule="auto"/>
              <w:rPr>
                <w:b/>
                <w:bCs/>
              </w:rPr>
            </w:pPr>
            <w:r w:rsidRPr="00886F5C">
              <w:rPr>
                <w:b/>
                <w:bCs/>
              </w:rPr>
              <w:t>EUR 20 miljoen via de Europese Bank voor Wederopbouw en Ontwikkeling (EBRD) voor financiële ondersteuning van de Oekraïense netbeheerder Ukrenergo;</w:t>
            </w:r>
          </w:p>
          <w:p w:rsidRPr="00886F5C" w:rsidR="00F037FC" w:rsidP="00F55254" w:rsidRDefault="00F037FC" w14:paraId="3BA12DB6" w14:textId="77777777">
            <w:pPr>
              <w:pStyle w:val="ListParagraph"/>
              <w:numPr>
                <w:ilvl w:val="0"/>
                <w:numId w:val="1"/>
              </w:numPr>
              <w:spacing w:line="276" w:lineRule="auto"/>
              <w:rPr>
                <w:b/>
                <w:bCs/>
                <w:lang w:val="en-US"/>
              </w:rPr>
            </w:pPr>
            <w:r w:rsidRPr="00886F5C">
              <w:rPr>
                <w:b/>
                <w:bCs/>
                <w:lang w:val="en-US"/>
              </w:rPr>
              <w:t>EUR 15 miljoen via het International Committee of the Red Cross (ICRC) t.b.v. humanitaire hulp;</w:t>
            </w:r>
          </w:p>
          <w:p w:rsidRPr="00886F5C" w:rsidR="00F037FC" w:rsidP="00F55254" w:rsidRDefault="00F037FC" w14:paraId="3163639A" w14:textId="77777777">
            <w:pPr>
              <w:pStyle w:val="ListParagraph"/>
              <w:numPr>
                <w:ilvl w:val="0"/>
                <w:numId w:val="1"/>
              </w:numPr>
              <w:spacing w:line="276" w:lineRule="auto"/>
              <w:rPr>
                <w:b/>
                <w:bCs/>
              </w:rPr>
            </w:pPr>
            <w:r w:rsidRPr="00886F5C">
              <w:rPr>
                <w:b/>
                <w:bCs/>
              </w:rPr>
              <w:t>EUR 10 miljoen euro via de Nederlandse Financieringsmaatschappij voor Ontwikkelingslanden (FMO) voor ondersteuning van de Oekraïense private sector;</w:t>
            </w:r>
          </w:p>
          <w:p w:rsidRPr="00886F5C" w:rsidR="00F037FC" w:rsidP="00F55254" w:rsidRDefault="00F037FC" w14:paraId="4CF0E588" w14:textId="77777777">
            <w:pPr>
              <w:pStyle w:val="ListParagraph"/>
              <w:numPr>
                <w:ilvl w:val="0"/>
                <w:numId w:val="1"/>
              </w:numPr>
              <w:spacing w:line="276" w:lineRule="auto"/>
              <w:rPr>
                <w:b/>
                <w:bCs/>
              </w:rPr>
            </w:pPr>
            <w:r w:rsidRPr="00886F5C">
              <w:rPr>
                <w:b/>
                <w:bCs/>
              </w:rPr>
              <w:t>EUR 32,5 miljoen euro via een tweede ronde van de RVO Ukraine Partnership Facility (UPF) voor samenwerking met het Nederlandse bedrijfsleven ten behoeve van de wederopbouw in Oekraïne en duurzaam herstel van de economie;</w:t>
            </w:r>
          </w:p>
          <w:p w:rsidR="00F037FC" w:rsidP="00F55254" w:rsidRDefault="00F037FC" w14:paraId="35861624" w14:textId="581DDFF9">
            <w:pPr>
              <w:pStyle w:val="ListParagraph"/>
              <w:numPr>
                <w:ilvl w:val="0"/>
                <w:numId w:val="1"/>
              </w:numPr>
              <w:spacing w:line="276" w:lineRule="auto"/>
              <w:rPr>
                <w:b/>
                <w:bCs/>
              </w:rPr>
            </w:pPr>
            <w:r w:rsidRPr="00886F5C">
              <w:rPr>
                <w:b/>
                <w:bCs/>
              </w:rPr>
              <w:t xml:space="preserve">EUR 2,5 miljoen voor ondersteuning van maatschappelijke organisaties actief op het gebied van hulpverlening in Oekraïne; </w:t>
            </w:r>
          </w:p>
          <w:p w:rsidRPr="004B5F8B" w:rsidR="00F037FC" w:rsidP="00F55254" w:rsidRDefault="00F037FC" w14:paraId="31F38180" w14:textId="39776C64">
            <w:pPr>
              <w:pStyle w:val="ListParagraph"/>
              <w:numPr>
                <w:ilvl w:val="0"/>
                <w:numId w:val="1"/>
              </w:numPr>
              <w:spacing w:line="276" w:lineRule="auto"/>
              <w:rPr>
                <w:b/>
              </w:rPr>
            </w:pPr>
            <w:r w:rsidRPr="004B5F8B">
              <w:rPr>
                <w:b/>
                <w:bCs/>
              </w:rPr>
              <w:t xml:space="preserve">EUR 9,5 miljoen voor de levering van tweedehands gasturbines via de EBRD. </w:t>
            </w:r>
          </w:p>
          <w:p w:rsidR="00F037FC" w:rsidRDefault="00F037FC" w14:paraId="3AF90DEF" w14:textId="17B2119B"/>
        </w:tc>
        <w:tc>
          <w:tcPr>
            <w:tcW w:w="856" w:type="dxa"/>
          </w:tcPr>
          <w:p w:rsidR="00F037FC" w:rsidRDefault="00F037FC" w14:paraId="324B6D0F" w14:textId="77777777">
            <w:pPr>
              <w:jc w:val="right"/>
            </w:pPr>
          </w:p>
        </w:tc>
        <w:tc>
          <w:tcPr>
            <w:tcW w:w="856" w:type="dxa"/>
          </w:tcPr>
          <w:p w:rsidR="00F037FC" w:rsidRDefault="00F037FC" w14:paraId="13067003" w14:textId="69530DF5">
            <w:pPr>
              <w:jc w:val="right"/>
            </w:pPr>
            <w:r>
              <w:t>13</w:t>
            </w:r>
          </w:p>
        </w:tc>
        <w:tc>
          <w:tcPr>
            <w:tcW w:w="566" w:type="dxa"/>
          </w:tcPr>
          <w:p w:rsidR="00F037FC" w:rsidRDefault="00F037FC" w14:paraId="7903E0E7" w14:textId="77777777">
            <w:pPr>
              <w:jc w:val="right"/>
            </w:pPr>
            <w:r>
              <w:t xml:space="preserve"> </w:t>
            </w:r>
          </w:p>
        </w:tc>
      </w:tr>
      <w:tr w:rsidR="00F037FC" w:rsidTr="00F90E37" w14:paraId="6E6ABDB0" w14:textId="77777777">
        <w:tc>
          <w:tcPr>
            <w:tcW w:w="567" w:type="dxa"/>
          </w:tcPr>
          <w:p w:rsidR="00F037FC" w:rsidRDefault="00F037FC" w14:paraId="0C6526A3" w14:textId="663EC829">
            <w:r>
              <w:t>17</w:t>
            </w:r>
          </w:p>
        </w:tc>
        <w:tc>
          <w:tcPr>
            <w:tcW w:w="6663" w:type="dxa"/>
          </w:tcPr>
          <w:p w:rsidR="00F037FC" w:rsidRDefault="00F037FC" w14:paraId="4CDE5315" w14:textId="77777777">
            <w:r>
              <w:t>Kunt u toelichten waar de steun voor Oekraïne op deze begroting staat, terwijl de afspraak was om de steun voor Oekraïne buiten de BHO begroting te houden?</w:t>
            </w:r>
          </w:p>
          <w:p w:rsidR="00F037FC" w:rsidP="004B5F8B" w:rsidRDefault="00F037FC" w14:paraId="0AE9270A" w14:textId="06A999A0">
            <w:pPr>
              <w:spacing w:line="276" w:lineRule="auto"/>
              <w:rPr>
                <w:b/>
              </w:rPr>
            </w:pPr>
          </w:p>
          <w:p w:rsidRPr="00AC3459" w:rsidR="00AC3459" w:rsidP="00AC3459" w:rsidRDefault="00AC3459" w14:paraId="61ED2B16" w14:textId="041D72DA">
            <w:pPr>
              <w:rPr>
                <w:b/>
                <w:bCs/>
                <w:u w:val="single"/>
              </w:rPr>
            </w:pPr>
            <w:r w:rsidRPr="00AC3459">
              <w:rPr>
                <w:b/>
                <w:bCs/>
                <w:u w:val="single"/>
              </w:rPr>
              <w:t xml:space="preserve">Antwoord: </w:t>
            </w:r>
          </w:p>
          <w:p w:rsidR="00F037FC" w:rsidP="00F55254" w:rsidRDefault="00F037FC" w14:paraId="09BF8417" w14:textId="77777777">
            <w:pPr>
              <w:spacing w:line="276" w:lineRule="auto"/>
              <w:rPr>
                <w:b/>
                <w:bCs/>
              </w:rPr>
            </w:pPr>
            <w:r>
              <w:rPr>
                <w:b/>
                <w:bCs/>
              </w:rPr>
              <w:t>In het HLA is afgesproken dat d</w:t>
            </w:r>
            <w:r>
              <w:t xml:space="preserve">e </w:t>
            </w:r>
            <w:r w:rsidRPr="00F06A9E">
              <w:rPr>
                <w:b/>
                <w:bCs/>
              </w:rPr>
              <w:t>uitgaven aan militaire en humanitaire  steun aan Oekraïne en de binnenlandse opvang van vluchtelingen uit Oekraïne in Nederland niet vallen onder het uitgavenkader.</w:t>
            </w:r>
            <w:r>
              <w:rPr>
                <w:b/>
                <w:bCs/>
              </w:rPr>
              <w:t xml:space="preserve"> Ze worden wel via de begroting geraamd en verantwoord.</w:t>
            </w:r>
          </w:p>
          <w:p w:rsidR="00F037FC" w:rsidP="00F55254" w:rsidRDefault="00F037FC" w14:paraId="133B1231" w14:textId="1AD275E9">
            <w:pPr>
              <w:spacing w:line="276" w:lineRule="auto"/>
              <w:rPr>
                <w:b/>
                <w:bCs/>
              </w:rPr>
            </w:pPr>
            <w:r>
              <w:rPr>
                <w:b/>
                <w:bCs/>
              </w:rPr>
              <w:t>Bij deze suppletoire begroting September zijn de bij Voorjaarsnota verkregen algemene middelen voor Oekraïne nader verdeeld over de begrotingsartikelen van BHO.</w:t>
            </w:r>
          </w:p>
          <w:p w:rsidR="00F037FC" w:rsidP="00F55254" w:rsidRDefault="00F037FC" w14:paraId="218D1A62" w14:textId="170235E7">
            <w:pPr>
              <w:spacing w:line="276" w:lineRule="auto"/>
            </w:pPr>
            <w:r w:rsidRPr="00932812">
              <w:rPr>
                <w:b/>
                <w:bCs/>
              </w:rPr>
              <w:t>De steun voor Oekraïne staat op verschillende begrotingsartikelen op de BHO-begroting, bijvoorbeeld op artikel 1.3, artikel 4.1 en artikel 5.1</w:t>
            </w:r>
            <w:r>
              <w:rPr>
                <w:b/>
                <w:bCs/>
              </w:rPr>
              <w:t>.</w:t>
            </w:r>
          </w:p>
          <w:p w:rsidR="00F037FC" w:rsidRDefault="00F037FC" w14:paraId="1F87F06B" w14:textId="2055B7E0"/>
        </w:tc>
        <w:tc>
          <w:tcPr>
            <w:tcW w:w="856" w:type="dxa"/>
          </w:tcPr>
          <w:p w:rsidR="00F037FC" w:rsidRDefault="00F037FC" w14:paraId="0CCCE779" w14:textId="77777777">
            <w:pPr>
              <w:jc w:val="right"/>
            </w:pPr>
          </w:p>
        </w:tc>
        <w:tc>
          <w:tcPr>
            <w:tcW w:w="856" w:type="dxa"/>
          </w:tcPr>
          <w:p w:rsidR="00F037FC" w:rsidRDefault="00F037FC" w14:paraId="662A2654" w14:textId="2E79AC1F">
            <w:pPr>
              <w:jc w:val="right"/>
            </w:pPr>
            <w:r>
              <w:t>13</w:t>
            </w:r>
          </w:p>
        </w:tc>
        <w:tc>
          <w:tcPr>
            <w:tcW w:w="566" w:type="dxa"/>
          </w:tcPr>
          <w:p w:rsidR="00F037FC" w:rsidRDefault="00F037FC" w14:paraId="7A0D61B8" w14:textId="77777777">
            <w:pPr>
              <w:jc w:val="right"/>
            </w:pPr>
            <w:r>
              <w:t xml:space="preserve">17 </w:t>
            </w:r>
          </w:p>
        </w:tc>
      </w:tr>
      <w:tr w:rsidR="00F037FC" w:rsidTr="00F90E37" w14:paraId="301890C2" w14:textId="77777777">
        <w:tc>
          <w:tcPr>
            <w:tcW w:w="567" w:type="dxa"/>
          </w:tcPr>
          <w:p w:rsidR="00F037FC" w:rsidRDefault="00F037FC" w14:paraId="0FFBEDDF" w14:textId="2087747D">
            <w:r>
              <w:t>18</w:t>
            </w:r>
          </w:p>
        </w:tc>
        <w:tc>
          <w:tcPr>
            <w:tcW w:w="6663" w:type="dxa"/>
          </w:tcPr>
          <w:p w:rsidR="00F037FC" w:rsidRDefault="00F037FC" w14:paraId="34BE5569" w14:textId="77777777">
            <w:r>
              <w:t>Zijn er ook Nederlandse ondernemers betrokken bij de herstelprojecten die worden uitgevoerd door het Ukraine Relief, Recovery, Reconstruction and Reform Trust Fund (URTF) van de Wereldbank en de Europese Bank voor Wederopbouw en Ontwikkeling?</w:t>
            </w:r>
          </w:p>
          <w:p w:rsidR="00F037FC" w:rsidRDefault="00F037FC" w14:paraId="7A7E9EBF" w14:textId="77777777"/>
          <w:p w:rsidRPr="00AC3459" w:rsidR="00AC3459" w:rsidRDefault="00AC3459" w14:paraId="3EE3A8E1" w14:textId="58CAB7CD">
            <w:pPr>
              <w:rPr>
                <w:b/>
                <w:bCs/>
                <w:u w:val="single"/>
              </w:rPr>
            </w:pPr>
            <w:r w:rsidRPr="00AC3459">
              <w:rPr>
                <w:b/>
                <w:bCs/>
                <w:u w:val="single"/>
              </w:rPr>
              <w:t xml:space="preserve">Antwoord: </w:t>
            </w:r>
          </w:p>
          <w:p w:rsidRPr="00DE227A" w:rsidR="00F037FC" w:rsidP="00F55254" w:rsidRDefault="00F037FC" w14:paraId="7C28D597" w14:textId="504B40C8">
            <w:pPr>
              <w:spacing w:line="276" w:lineRule="auto"/>
              <w:rPr>
                <w:b/>
                <w:bCs/>
              </w:rPr>
            </w:pPr>
            <w:r w:rsidRPr="00DE227A">
              <w:rPr>
                <w:b/>
                <w:bCs/>
              </w:rPr>
              <w:t xml:space="preserve">Het Wereldbank </w:t>
            </w:r>
            <w:r w:rsidRPr="00DE227A">
              <w:rPr>
                <w:b/>
                <w:bCs/>
                <w:i/>
                <w:iCs/>
              </w:rPr>
              <w:t>Ukraine Relief, Recovery, Reconstruction and Reform Trust Fund</w:t>
            </w:r>
            <w:r w:rsidRPr="00DE227A">
              <w:rPr>
                <w:b/>
                <w:bCs/>
              </w:rPr>
              <w:t xml:space="preserve"> (hierna: URTF) bestaat uit giften en leningen van donoren aan Oekraïense ministeries. Het URTF kent vijf lopende thematische projecten en richt zich onder meer op herstel van infrastructuur, het elektriciteitsnetwerk en het gezondheidszorgstelsel. Het URTF draagt </w:t>
            </w:r>
            <w:r w:rsidRPr="00DE227A">
              <w:rPr>
                <w:b/>
                <w:bCs/>
              </w:rPr>
              <w:lastRenderedPageBreak/>
              <w:t xml:space="preserve">hiermee bij aan de wederopbouw en ontwikkeling van Oekraïne. Bovendien verstrekt het fonds ook middelen voor advies met betrekking tot de hulp- en wederopbouwspanningen en ondersteunt het daarmee de hervormingsagenda van Oekraïne. Hoewel er geen Nederlandse ondernemers rechtstreeks betrokken zijn bij het URTF, blijkt uit cijfers van de Wereldbank dat Nederlandse bedrijven </w:t>
            </w:r>
            <w:r>
              <w:rPr>
                <w:b/>
                <w:bCs/>
              </w:rPr>
              <w:t>zes</w:t>
            </w:r>
            <w:r w:rsidRPr="00DE227A">
              <w:rPr>
                <w:b/>
                <w:bCs/>
              </w:rPr>
              <w:t xml:space="preserve"> tenders hebben gewonnen in Oekraïne sinds 1 juli 2021, met een totale waarde van USD 17 miljoen. Hiermee staat Nederland in de top 10 van Wereldbank leveranciers aan Oekraïne. </w:t>
            </w:r>
          </w:p>
          <w:p w:rsidRPr="00DE227A" w:rsidR="00F037FC" w:rsidP="00F55254" w:rsidRDefault="00F037FC" w14:paraId="4596FDA3" w14:textId="77777777">
            <w:pPr>
              <w:spacing w:line="276" w:lineRule="auto"/>
              <w:rPr>
                <w:b/>
                <w:bCs/>
              </w:rPr>
            </w:pPr>
            <w:r w:rsidRPr="00DE227A">
              <w:rPr>
                <w:b/>
                <w:bCs/>
              </w:rPr>
              <w:t> </w:t>
            </w:r>
          </w:p>
          <w:p w:rsidRPr="0055535E" w:rsidR="00F037FC" w:rsidP="00F55254" w:rsidRDefault="00F037FC" w14:paraId="4C8D32C0" w14:textId="501BB8BE">
            <w:pPr>
              <w:spacing w:line="276" w:lineRule="auto"/>
              <w:rPr>
                <w:b/>
                <w:bCs/>
                <w:strike/>
                <w:color w:val="FF0000"/>
              </w:rPr>
            </w:pPr>
            <w:r w:rsidRPr="132722C4">
              <w:rPr>
                <w:b/>
                <w:bCs/>
              </w:rPr>
              <w:t xml:space="preserve">De EBRD geeft leningen aan de Oekraïense private sector door een groot deel van zijn fondsen aan lokale banken te lenen die dit geld doorlenen aan lokale bedrijven onder gunstige voorwaarden. De EBRD heeft goede kennis van de particuliere sector in Oekraïne, aangezien de Bank al meer dan 30 jaar actief is in het land en de grootste institutionele investeerder ter plaatse is. De EBRD heeft daarbij in het bijzonder aandacht voor de hervormingsagenda (in lijn met EU-normen) en het herstel van de Oekraïense economie. Er zijn geen Nederlandse ondernemers </w:t>
            </w:r>
            <w:r w:rsidRPr="004B4F70">
              <w:rPr>
                <w:b/>
                <w:bCs/>
              </w:rPr>
              <w:t xml:space="preserve">direct betrokken bij de herstelprojecten van de EBRD, aangezien het doel van de EBRD het economisch herstel van het Oekraïense bedrijfsleven in Oekraïne is. </w:t>
            </w:r>
          </w:p>
          <w:p w:rsidR="00F037FC" w:rsidRDefault="00F037FC" w14:paraId="4EE12AE6" w14:textId="6E2860E0"/>
        </w:tc>
        <w:tc>
          <w:tcPr>
            <w:tcW w:w="856" w:type="dxa"/>
          </w:tcPr>
          <w:p w:rsidR="00F037FC" w:rsidRDefault="00F037FC" w14:paraId="24585A40" w14:textId="77777777">
            <w:pPr>
              <w:jc w:val="right"/>
            </w:pPr>
          </w:p>
        </w:tc>
        <w:tc>
          <w:tcPr>
            <w:tcW w:w="856" w:type="dxa"/>
          </w:tcPr>
          <w:p w:rsidR="00F037FC" w:rsidRDefault="00F037FC" w14:paraId="03ADE964" w14:textId="08AE5DFD">
            <w:pPr>
              <w:jc w:val="right"/>
            </w:pPr>
            <w:r>
              <w:t>16</w:t>
            </w:r>
          </w:p>
        </w:tc>
        <w:tc>
          <w:tcPr>
            <w:tcW w:w="566" w:type="dxa"/>
          </w:tcPr>
          <w:p w:rsidR="00F037FC" w:rsidRDefault="00F037FC" w14:paraId="41DF56FA" w14:textId="77777777">
            <w:pPr>
              <w:jc w:val="right"/>
            </w:pPr>
            <w:r>
              <w:t xml:space="preserve"> </w:t>
            </w:r>
          </w:p>
        </w:tc>
      </w:tr>
    </w:tbl>
    <w:p w:rsidR="00864C80" w:rsidP="00C03F29" w:rsidRDefault="00864C80" w14:paraId="57188A57" w14:textId="77777777"/>
    <w:sectPr w:rsidR="00864C80" w:rsidSect="007E5902">
      <w:footerReference w:type="default" r:id="rId12"/>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72C9" w14:textId="77777777" w:rsidR="001A47AF" w:rsidRDefault="001A47AF">
      <w:pPr>
        <w:spacing w:before="0" w:after="0"/>
      </w:pPr>
      <w:r>
        <w:separator/>
      </w:r>
    </w:p>
  </w:endnote>
  <w:endnote w:type="continuationSeparator" w:id="0">
    <w:p w14:paraId="5F03F384" w14:textId="77777777" w:rsidR="001A47AF" w:rsidRDefault="001A47AF">
      <w:pPr>
        <w:spacing w:before="0" w:after="0"/>
      </w:pPr>
      <w:r>
        <w:continuationSeparator/>
      </w:r>
    </w:p>
  </w:endnote>
  <w:endnote w:type="continuationNotice" w:id="1">
    <w:p w14:paraId="234C38CD" w14:textId="77777777" w:rsidR="00233950" w:rsidRDefault="002339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T Pro">
    <w:altName w:val="Univers LT Pr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14F" w14:textId="77777777" w:rsidR="00085B2C" w:rsidRDefault="001856D0">
    <w:pPr>
      <w:pStyle w:val="Footer"/>
    </w:pPr>
    <w:r>
      <w:t xml:space="preserve">Totaallijst feitelijke vragen Wijziging van de begrotingsstaat van Buitenlandse Handel en Ontwikkelingssamenwerking (XVII) voor het jaar 2024 (wijziging samenhangende met Miljoenennota) (36613-XVII-0)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1AB4" w14:textId="77777777" w:rsidR="001A47AF" w:rsidRDefault="001A47AF">
      <w:pPr>
        <w:spacing w:before="0" w:after="0"/>
      </w:pPr>
      <w:r>
        <w:separator/>
      </w:r>
    </w:p>
  </w:footnote>
  <w:footnote w:type="continuationSeparator" w:id="0">
    <w:p w14:paraId="4A500296" w14:textId="77777777" w:rsidR="001A47AF" w:rsidRDefault="001A47AF">
      <w:pPr>
        <w:spacing w:before="0" w:after="0"/>
      </w:pPr>
      <w:r>
        <w:continuationSeparator/>
      </w:r>
    </w:p>
  </w:footnote>
  <w:footnote w:type="continuationNotice" w:id="1">
    <w:p w14:paraId="1B769E4A" w14:textId="77777777" w:rsidR="00233950" w:rsidRDefault="0023395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538E"/>
    <w:multiLevelType w:val="hybridMultilevel"/>
    <w:tmpl w:val="90824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260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0AA"/>
    <w:rsid w:val="0002444D"/>
    <w:rsid w:val="000349EF"/>
    <w:rsid w:val="000365F2"/>
    <w:rsid w:val="00055323"/>
    <w:rsid w:val="00060145"/>
    <w:rsid w:val="00070804"/>
    <w:rsid w:val="00073E21"/>
    <w:rsid w:val="00075B6E"/>
    <w:rsid w:val="00085B2C"/>
    <w:rsid w:val="00086C0E"/>
    <w:rsid w:val="000926A2"/>
    <w:rsid w:val="00093575"/>
    <w:rsid w:val="00093E33"/>
    <w:rsid w:val="00095058"/>
    <w:rsid w:val="000B2E6B"/>
    <w:rsid w:val="000B2E6C"/>
    <w:rsid w:val="000B3043"/>
    <w:rsid w:val="000C184F"/>
    <w:rsid w:val="000D3CC5"/>
    <w:rsid w:val="000D7A96"/>
    <w:rsid w:val="000E1064"/>
    <w:rsid w:val="000E125B"/>
    <w:rsid w:val="000E499E"/>
    <w:rsid w:val="00102E7D"/>
    <w:rsid w:val="00106CF8"/>
    <w:rsid w:val="00125E4A"/>
    <w:rsid w:val="00133596"/>
    <w:rsid w:val="00140097"/>
    <w:rsid w:val="00140643"/>
    <w:rsid w:val="00140FA4"/>
    <w:rsid w:val="00146525"/>
    <w:rsid w:val="00152977"/>
    <w:rsid w:val="00153251"/>
    <w:rsid w:val="00157B50"/>
    <w:rsid w:val="00157D1D"/>
    <w:rsid w:val="00161152"/>
    <w:rsid w:val="001856D0"/>
    <w:rsid w:val="0019181D"/>
    <w:rsid w:val="0019788C"/>
    <w:rsid w:val="001A47AF"/>
    <w:rsid w:val="001A56AB"/>
    <w:rsid w:val="001A7881"/>
    <w:rsid w:val="001C528E"/>
    <w:rsid w:val="001C7A6D"/>
    <w:rsid w:val="001D059E"/>
    <w:rsid w:val="001E64D1"/>
    <w:rsid w:val="001F4F25"/>
    <w:rsid w:val="0020116A"/>
    <w:rsid w:val="00211333"/>
    <w:rsid w:val="00223099"/>
    <w:rsid w:val="0022343D"/>
    <w:rsid w:val="00233950"/>
    <w:rsid w:val="0026711C"/>
    <w:rsid w:val="002769DE"/>
    <w:rsid w:val="00294541"/>
    <w:rsid w:val="0029612E"/>
    <w:rsid w:val="002A41B1"/>
    <w:rsid w:val="002A7B1C"/>
    <w:rsid w:val="002B1FE6"/>
    <w:rsid w:val="002B3D21"/>
    <w:rsid w:val="002B3FE4"/>
    <w:rsid w:val="002B685F"/>
    <w:rsid w:val="002C311D"/>
    <w:rsid w:val="002C79E1"/>
    <w:rsid w:val="002D1A6E"/>
    <w:rsid w:val="002D6D64"/>
    <w:rsid w:val="002D70FB"/>
    <w:rsid w:val="002E35DF"/>
    <w:rsid w:val="002F3DD4"/>
    <w:rsid w:val="002F635A"/>
    <w:rsid w:val="0031178E"/>
    <w:rsid w:val="003210C8"/>
    <w:rsid w:val="003268CE"/>
    <w:rsid w:val="003478F9"/>
    <w:rsid w:val="003512E1"/>
    <w:rsid w:val="003565EA"/>
    <w:rsid w:val="003672D6"/>
    <w:rsid w:val="003748B4"/>
    <w:rsid w:val="003772D3"/>
    <w:rsid w:val="00382175"/>
    <w:rsid w:val="00385F74"/>
    <w:rsid w:val="00393F92"/>
    <w:rsid w:val="00397B32"/>
    <w:rsid w:val="003A7E6E"/>
    <w:rsid w:val="003B2ECD"/>
    <w:rsid w:val="003B7993"/>
    <w:rsid w:val="003C4011"/>
    <w:rsid w:val="003D2068"/>
    <w:rsid w:val="003D3811"/>
    <w:rsid w:val="003D44DD"/>
    <w:rsid w:val="003E22EE"/>
    <w:rsid w:val="003E38E7"/>
    <w:rsid w:val="003F26D6"/>
    <w:rsid w:val="004066D2"/>
    <w:rsid w:val="00423048"/>
    <w:rsid w:val="00424668"/>
    <w:rsid w:val="004376B1"/>
    <w:rsid w:val="004455BE"/>
    <w:rsid w:val="00450058"/>
    <w:rsid w:val="00452AAB"/>
    <w:rsid w:val="00466814"/>
    <w:rsid w:val="0047177B"/>
    <w:rsid w:val="00472990"/>
    <w:rsid w:val="00495293"/>
    <w:rsid w:val="004B2B22"/>
    <w:rsid w:val="004B4DDA"/>
    <w:rsid w:val="004B4F70"/>
    <w:rsid w:val="004B5F8B"/>
    <w:rsid w:val="004E0E5A"/>
    <w:rsid w:val="004E1BDD"/>
    <w:rsid w:val="004F241E"/>
    <w:rsid w:val="004F4003"/>
    <w:rsid w:val="004F4A4A"/>
    <w:rsid w:val="004F6CD5"/>
    <w:rsid w:val="00507668"/>
    <w:rsid w:val="005342C8"/>
    <w:rsid w:val="00537AC0"/>
    <w:rsid w:val="005543A7"/>
    <w:rsid w:val="0055535E"/>
    <w:rsid w:val="005564D3"/>
    <w:rsid w:val="00567743"/>
    <w:rsid w:val="00582283"/>
    <w:rsid w:val="00585A8C"/>
    <w:rsid w:val="005B60A4"/>
    <w:rsid w:val="005D0384"/>
    <w:rsid w:val="005E2AB4"/>
    <w:rsid w:val="005E7C13"/>
    <w:rsid w:val="00601957"/>
    <w:rsid w:val="0061295E"/>
    <w:rsid w:val="00613FBE"/>
    <w:rsid w:val="0063051F"/>
    <w:rsid w:val="0064729A"/>
    <w:rsid w:val="00653DE1"/>
    <w:rsid w:val="00654CF2"/>
    <w:rsid w:val="006567B9"/>
    <w:rsid w:val="00663040"/>
    <w:rsid w:val="00663199"/>
    <w:rsid w:val="006706D8"/>
    <w:rsid w:val="00680B7C"/>
    <w:rsid w:val="006848C4"/>
    <w:rsid w:val="0068516C"/>
    <w:rsid w:val="006946F7"/>
    <w:rsid w:val="00697800"/>
    <w:rsid w:val="006A11E9"/>
    <w:rsid w:val="006A3DA3"/>
    <w:rsid w:val="006C34CC"/>
    <w:rsid w:val="006E3A32"/>
    <w:rsid w:val="006E62B3"/>
    <w:rsid w:val="006F2D23"/>
    <w:rsid w:val="006F73B9"/>
    <w:rsid w:val="007174BE"/>
    <w:rsid w:val="007229C7"/>
    <w:rsid w:val="007311B2"/>
    <w:rsid w:val="0073307B"/>
    <w:rsid w:val="0074267A"/>
    <w:rsid w:val="00742860"/>
    <w:rsid w:val="00746E88"/>
    <w:rsid w:val="00765A8E"/>
    <w:rsid w:val="00775382"/>
    <w:rsid w:val="00780F01"/>
    <w:rsid w:val="00786195"/>
    <w:rsid w:val="007915D2"/>
    <w:rsid w:val="007B05C7"/>
    <w:rsid w:val="007B2BFC"/>
    <w:rsid w:val="007B4824"/>
    <w:rsid w:val="007D1A68"/>
    <w:rsid w:val="007D40CB"/>
    <w:rsid w:val="007D5455"/>
    <w:rsid w:val="007E26B9"/>
    <w:rsid w:val="007E5902"/>
    <w:rsid w:val="00801336"/>
    <w:rsid w:val="00803F7A"/>
    <w:rsid w:val="0083330A"/>
    <w:rsid w:val="00843DB8"/>
    <w:rsid w:val="00844D53"/>
    <w:rsid w:val="00864C80"/>
    <w:rsid w:val="00865541"/>
    <w:rsid w:val="00866C39"/>
    <w:rsid w:val="00894624"/>
    <w:rsid w:val="008A79E4"/>
    <w:rsid w:val="008B2570"/>
    <w:rsid w:val="008C4653"/>
    <w:rsid w:val="008C491C"/>
    <w:rsid w:val="008D762B"/>
    <w:rsid w:val="009172B7"/>
    <w:rsid w:val="00917F08"/>
    <w:rsid w:val="00921E57"/>
    <w:rsid w:val="00925FDE"/>
    <w:rsid w:val="00927473"/>
    <w:rsid w:val="00932953"/>
    <w:rsid w:val="0094359D"/>
    <w:rsid w:val="009513F5"/>
    <w:rsid w:val="0095188B"/>
    <w:rsid w:val="00954681"/>
    <w:rsid w:val="0097046A"/>
    <w:rsid w:val="00971E1D"/>
    <w:rsid w:val="00977F20"/>
    <w:rsid w:val="009A1B47"/>
    <w:rsid w:val="009C3AE6"/>
    <w:rsid w:val="009D7D93"/>
    <w:rsid w:val="009E452A"/>
    <w:rsid w:val="009F3269"/>
    <w:rsid w:val="009F36FC"/>
    <w:rsid w:val="00A0012A"/>
    <w:rsid w:val="00A050DE"/>
    <w:rsid w:val="00A14502"/>
    <w:rsid w:val="00A1645C"/>
    <w:rsid w:val="00A21380"/>
    <w:rsid w:val="00A21CD8"/>
    <w:rsid w:val="00A26AF2"/>
    <w:rsid w:val="00A707C2"/>
    <w:rsid w:val="00A77114"/>
    <w:rsid w:val="00A77C3E"/>
    <w:rsid w:val="00AA17A6"/>
    <w:rsid w:val="00AB1B5C"/>
    <w:rsid w:val="00AB7A23"/>
    <w:rsid w:val="00AC3459"/>
    <w:rsid w:val="00AC369B"/>
    <w:rsid w:val="00AE2595"/>
    <w:rsid w:val="00AE6732"/>
    <w:rsid w:val="00B03C51"/>
    <w:rsid w:val="00B2516A"/>
    <w:rsid w:val="00B33268"/>
    <w:rsid w:val="00B34559"/>
    <w:rsid w:val="00B37DF3"/>
    <w:rsid w:val="00B40F43"/>
    <w:rsid w:val="00B4346D"/>
    <w:rsid w:val="00B509CE"/>
    <w:rsid w:val="00B5647C"/>
    <w:rsid w:val="00B65323"/>
    <w:rsid w:val="00B818B9"/>
    <w:rsid w:val="00B915EC"/>
    <w:rsid w:val="00B91F46"/>
    <w:rsid w:val="00B969C5"/>
    <w:rsid w:val="00BA1B40"/>
    <w:rsid w:val="00BB5CB9"/>
    <w:rsid w:val="00BB66E1"/>
    <w:rsid w:val="00BC4B46"/>
    <w:rsid w:val="00BC677B"/>
    <w:rsid w:val="00BD04B2"/>
    <w:rsid w:val="00BD55DD"/>
    <w:rsid w:val="00BE0508"/>
    <w:rsid w:val="00BE163D"/>
    <w:rsid w:val="00BF36A7"/>
    <w:rsid w:val="00C005C2"/>
    <w:rsid w:val="00C03F29"/>
    <w:rsid w:val="00C100DE"/>
    <w:rsid w:val="00C222D0"/>
    <w:rsid w:val="00C230B1"/>
    <w:rsid w:val="00C268C6"/>
    <w:rsid w:val="00C3294D"/>
    <w:rsid w:val="00C35CBF"/>
    <w:rsid w:val="00C37D1F"/>
    <w:rsid w:val="00C43DF0"/>
    <w:rsid w:val="00C510EA"/>
    <w:rsid w:val="00C621D9"/>
    <w:rsid w:val="00C74D34"/>
    <w:rsid w:val="00C77897"/>
    <w:rsid w:val="00C81567"/>
    <w:rsid w:val="00CA0B85"/>
    <w:rsid w:val="00CA0FCD"/>
    <w:rsid w:val="00CA1702"/>
    <w:rsid w:val="00CC4AA3"/>
    <w:rsid w:val="00CD728B"/>
    <w:rsid w:val="00CE1C50"/>
    <w:rsid w:val="00CF534A"/>
    <w:rsid w:val="00CF65C8"/>
    <w:rsid w:val="00D17139"/>
    <w:rsid w:val="00D42069"/>
    <w:rsid w:val="00D44ED5"/>
    <w:rsid w:val="00D5092A"/>
    <w:rsid w:val="00D5667B"/>
    <w:rsid w:val="00D6752B"/>
    <w:rsid w:val="00D737D5"/>
    <w:rsid w:val="00D73B5A"/>
    <w:rsid w:val="00D74CC8"/>
    <w:rsid w:val="00D850D7"/>
    <w:rsid w:val="00D97127"/>
    <w:rsid w:val="00DA34F0"/>
    <w:rsid w:val="00DA374C"/>
    <w:rsid w:val="00DA5AAB"/>
    <w:rsid w:val="00DB44E4"/>
    <w:rsid w:val="00DB6268"/>
    <w:rsid w:val="00DC5139"/>
    <w:rsid w:val="00DF0D28"/>
    <w:rsid w:val="00E05A6D"/>
    <w:rsid w:val="00E15A9F"/>
    <w:rsid w:val="00E221A3"/>
    <w:rsid w:val="00E26601"/>
    <w:rsid w:val="00E45B86"/>
    <w:rsid w:val="00E515D2"/>
    <w:rsid w:val="00E61D08"/>
    <w:rsid w:val="00E70AA6"/>
    <w:rsid w:val="00E7153D"/>
    <w:rsid w:val="00E7367D"/>
    <w:rsid w:val="00E935D9"/>
    <w:rsid w:val="00E97D22"/>
    <w:rsid w:val="00EB02EF"/>
    <w:rsid w:val="00EB1A42"/>
    <w:rsid w:val="00EB45D8"/>
    <w:rsid w:val="00EB510C"/>
    <w:rsid w:val="00EC2105"/>
    <w:rsid w:val="00F01CF3"/>
    <w:rsid w:val="00F037FC"/>
    <w:rsid w:val="00F06519"/>
    <w:rsid w:val="00F120AD"/>
    <w:rsid w:val="00F253E7"/>
    <w:rsid w:val="00F258E3"/>
    <w:rsid w:val="00F3123D"/>
    <w:rsid w:val="00F51491"/>
    <w:rsid w:val="00F5258C"/>
    <w:rsid w:val="00F55254"/>
    <w:rsid w:val="00F56A3A"/>
    <w:rsid w:val="00F60F51"/>
    <w:rsid w:val="00F76F22"/>
    <w:rsid w:val="00F84026"/>
    <w:rsid w:val="00F87409"/>
    <w:rsid w:val="00F90E37"/>
    <w:rsid w:val="00F91607"/>
    <w:rsid w:val="00F93BF8"/>
    <w:rsid w:val="00F96142"/>
    <w:rsid w:val="00F976E1"/>
    <w:rsid w:val="00FA1389"/>
    <w:rsid w:val="00FA75DB"/>
    <w:rsid w:val="00FB11C8"/>
    <w:rsid w:val="00FB1E83"/>
    <w:rsid w:val="00FC7D9C"/>
    <w:rsid w:val="00FD4795"/>
    <w:rsid w:val="00FD6C2E"/>
    <w:rsid w:val="00FF3460"/>
    <w:rsid w:val="03639B7B"/>
    <w:rsid w:val="064703A8"/>
    <w:rsid w:val="079575BD"/>
    <w:rsid w:val="11EE43C7"/>
    <w:rsid w:val="12D7B82A"/>
    <w:rsid w:val="132722C4"/>
    <w:rsid w:val="147C79D3"/>
    <w:rsid w:val="19FB5FF0"/>
    <w:rsid w:val="1F4AD286"/>
    <w:rsid w:val="1F776B61"/>
    <w:rsid w:val="2745C676"/>
    <w:rsid w:val="367EA6D4"/>
    <w:rsid w:val="3DE23A25"/>
    <w:rsid w:val="3DF85C17"/>
    <w:rsid w:val="48448944"/>
    <w:rsid w:val="48FCE778"/>
    <w:rsid w:val="4A0EDF33"/>
    <w:rsid w:val="5211D1BC"/>
    <w:rsid w:val="5CE119F4"/>
    <w:rsid w:val="615FDADA"/>
    <w:rsid w:val="6215FBF9"/>
    <w:rsid w:val="65C9244F"/>
    <w:rsid w:val="6E834946"/>
    <w:rsid w:val="7B77A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38D87F6"/>
  <w15:docId w15:val="{C2064AD8-D0F7-4168-9EEA-456146EE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656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4D3"/>
    <w:pPr>
      <w:ind w:left="720"/>
      <w:contextualSpacing/>
    </w:pPr>
  </w:style>
  <w:style w:type="paragraph" w:styleId="FootnoteText">
    <w:name w:val="footnote text"/>
    <w:basedOn w:val="Normal"/>
    <w:link w:val="FootnoteTextChar"/>
    <w:uiPriority w:val="99"/>
    <w:semiHidden/>
    <w:unhideWhenUsed/>
    <w:rsid w:val="00864C80"/>
    <w:pPr>
      <w:spacing w:before="0" w:after="0"/>
    </w:pPr>
    <w:rPr>
      <w:rFonts w:asciiTheme="minorHAnsi" w:eastAsiaTheme="minorHAnsi" w:hAnsiTheme="minorHAnsi" w:cstheme="minorBidi"/>
      <w:kern w:val="2"/>
      <w:lang w:eastAsia="en-US"/>
      <w14:ligatures w14:val="standardContextual"/>
    </w:rPr>
  </w:style>
  <w:style w:type="character" w:customStyle="1" w:styleId="FootnoteTextChar">
    <w:name w:val="Footnote Text Char"/>
    <w:basedOn w:val="DefaultParagraphFont"/>
    <w:link w:val="FootnoteText"/>
    <w:uiPriority w:val="99"/>
    <w:semiHidden/>
    <w:rsid w:val="00864C80"/>
    <w:rPr>
      <w:rFonts w:eastAsia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864C80"/>
    <w:rPr>
      <w:vertAlign w:val="superscript"/>
    </w:rPr>
  </w:style>
  <w:style w:type="character" w:styleId="CommentReference">
    <w:name w:val="annotation reference"/>
    <w:basedOn w:val="DefaultParagraphFont"/>
    <w:uiPriority w:val="99"/>
    <w:semiHidden/>
    <w:unhideWhenUsed/>
    <w:rsid w:val="000349EF"/>
    <w:rPr>
      <w:sz w:val="16"/>
      <w:szCs w:val="16"/>
    </w:rPr>
  </w:style>
  <w:style w:type="paragraph" w:styleId="CommentText">
    <w:name w:val="annotation text"/>
    <w:basedOn w:val="Normal"/>
    <w:link w:val="CommentTextChar"/>
    <w:uiPriority w:val="99"/>
    <w:unhideWhenUsed/>
    <w:rsid w:val="000349EF"/>
  </w:style>
  <w:style w:type="character" w:customStyle="1" w:styleId="CommentTextChar">
    <w:name w:val="Comment Text Char"/>
    <w:basedOn w:val="DefaultParagraphFont"/>
    <w:link w:val="CommentText"/>
    <w:uiPriority w:val="99"/>
    <w:rsid w:val="000349EF"/>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0349EF"/>
    <w:rPr>
      <w:b/>
      <w:bCs/>
    </w:rPr>
  </w:style>
  <w:style w:type="character" w:customStyle="1" w:styleId="CommentSubjectChar">
    <w:name w:val="Comment Subject Char"/>
    <w:basedOn w:val="CommentTextChar"/>
    <w:link w:val="CommentSubject"/>
    <w:uiPriority w:val="99"/>
    <w:semiHidden/>
    <w:rsid w:val="000349EF"/>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3512E1"/>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3508">
      <w:bodyDiv w:val="1"/>
      <w:marLeft w:val="0"/>
      <w:marRight w:val="0"/>
      <w:marTop w:val="0"/>
      <w:marBottom w:val="0"/>
      <w:divBdr>
        <w:top w:val="none" w:sz="0" w:space="0" w:color="auto"/>
        <w:left w:val="none" w:sz="0" w:space="0" w:color="auto"/>
        <w:bottom w:val="none" w:sz="0" w:space="0" w:color="auto"/>
        <w:right w:val="none" w:sz="0" w:space="0" w:color="auto"/>
      </w:divBdr>
    </w:div>
    <w:div w:id="210924393">
      <w:bodyDiv w:val="1"/>
      <w:marLeft w:val="0"/>
      <w:marRight w:val="0"/>
      <w:marTop w:val="0"/>
      <w:marBottom w:val="0"/>
      <w:divBdr>
        <w:top w:val="none" w:sz="0" w:space="0" w:color="auto"/>
        <w:left w:val="none" w:sz="0" w:space="0" w:color="auto"/>
        <w:bottom w:val="none" w:sz="0" w:space="0" w:color="auto"/>
        <w:right w:val="none" w:sz="0" w:space="0" w:color="auto"/>
      </w:divBdr>
    </w:div>
    <w:div w:id="264263966">
      <w:bodyDiv w:val="1"/>
      <w:marLeft w:val="0"/>
      <w:marRight w:val="0"/>
      <w:marTop w:val="0"/>
      <w:marBottom w:val="0"/>
      <w:divBdr>
        <w:top w:val="none" w:sz="0" w:space="0" w:color="auto"/>
        <w:left w:val="none" w:sz="0" w:space="0" w:color="auto"/>
        <w:bottom w:val="none" w:sz="0" w:space="0" w:color="auto"/>
        <w:right w:val="none" w:sz="0" w:space="0" w:color="auto"/>
      </w:divBdr>
    </w:div>
    <w:div w:id="352389452">
      <w:bodyDiv w:val="1"/>
      <w:marLeft w:val="0"/>
      <w:marRight w:val="0"/>
      <w:marTop w:val="0"/>
      <w:marBottom w:val="0"/>
      <w:divBdr>
        <w:top w:val="none" w:sz="0" w:space="0" w:color="auto"/>
        <w:left w:val="none" w:sz="0" w:space="0" w:color="auto"/>
        <w:bottom w:val="none" w:sz="0" w:space="0" w:color="auto"/>
        <w:right w:val="none" w:sz="0" w:space="0" w:color="auto"/>
      </w:divBdr>
    </w:div>
    <w:div w:id="556016930">
      <w:bodyDiv w:val="1"/>
      <w:marLeft w:val="0"/>
      <w:marRight w:val="0"/>
      <w:marTop w:val="0"/>
      <w:marBottom w:val="0"/>
      <w:divBdr>
        <w:top w:val="none" w:sz="0" w:space="0" w:color="auto"/>
        <w:left w:val="none" w:sz="0" w:space="0" w:color="auto"/>
        <w:bottom w:val="none" w:sz="0" w:space="0" w:color="auto"/>
        <w:right w:val="none" w:sz="0" w:space="0" w:color="auto"/>
      </w:divBdr>
    </w:div>
    <w:div w:id="1309552005">
      <w:bodyDiv w:val="1"/>
      <w:marLeft w:val="0"/>
      <w:marRight w:val="0"/>
      <w:marTop w:val="0"/>
      <w:marBottom w:val="0"/>
      <w:divBdr>
        <w:top w:val="none" w:sz="0" w:space="0" w:color="auto"/>
        <w:left w:val="none" w:sz="0" w:space="0" w:color="auto"/>
        <w:bottom w:val="none" w:sz="0" w:space="0" w:color="auto"/>
        <w:right w:val="none" w:sz="0" w:space="0" w:color="auto"/>
      </w:divBdr>
    </w:div>
    <w:div w:id="1475949246">
      <w:bodyDiv w:val="1"/>
      <w:marLeft w:val="0"/>
      <w:marRight w:val="0"/>
      <w:marTop w:val="0"/>
      <w:marBottom w:val="0"/>
      <w:divBdr>
        <w:top w:val="none" w:sz="0" w:space="0" w:color="auto"/>
        <w:left w:val="none" w:sz="0" w:space="0" w:color="auto"/>
        <w:bottom w:val="none" w:sz="0" w:space="0" w:color="auto"/>
        <w:right w:val="none" w:sz="0" w:space="0" w:color="auto"/>
      </w:divBdr>
    </w:div>
    <w:div w:id="1783300699">
      <w:bodyDiv w:val="1"/>
      <w:marLeft w:val="0"/>
      <w:marRight w:val="0"/>
      <w:marTop w:val="0"/>
      <w:marBottom w:val="0"/>
      <w:divBdr>
        <w:top w:val="none" w:sz="0" w:space="0" w:color="auto"/>
        <w:left w:val="none" w:sz="0" w:space="0" w:color="auto"/>
        <w:bottom w:val="none" w:sz="0" w:space="0" w:color="auto"/>
        <w:right w:val="none" w:sz="0" w:space="0" w:color="auto"/>
      </w:divBdr>
    </w:div>
    <w:div w:id="1807238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charts/_rels/chart1.xml.rels><?xml version="1.0" encoding="UTF-8" standalone="yes"?>
<Relationships xmlns="http://schemas.openxmlformats.org/package/2006/relationships"><Relationship Id="rId3" Type="http://schemas.openxmlformats.org/officeDocument/2006/relationships/oleObject" Target="file:///\\bz.ad.minbuza.local\Data\Users\haasnoot.mirjam\My%20Documents\Begrotingscyclus\Kamervraag%202%20SBS%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a:t>Ontwikkeling uitgaven (bedragen x EUR 1.000)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Sheet1!$A$2</c:f>
              <c:strCache>
                <c:ptCount val="1"/>
                <c:pt idx="0">
                  <c:v>Onderwijs</c:v>
                </c:pt>
              </c:strCache>
            </c:strRef>
          </c:tx>
          <c:spPr>
            <a:ln w="28575" cap="rnd">
              <a:solidFill>
                <a:schemeClr val="accent1"/>
              </a:solidFill>
              <a:round/>
            </a:ln>
            <a:effectLst/>
          </c:spPr>
          <c:marker>
            <c:symbol val="none"/>
          </c:marker>
          <c:cat>
            <c:numRef>
              <c:f>Sheet1!$B$1:$L$1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Sheet1!$B$2:$L$2</c:f>
              <c:numCache>
                <c:formatCode>#,##0</c:formatCode>
                <c:ptCount val="11"/>
                <c:pt idx="0">
                  <c:v>43333</c:v>
                </c:pt>
                <c:pt idx="1">
                  <c:v>30893</c:v>
                </c:pt>
                <c:pt idx="2">
                  <c:v>87578</c:v>
                </c:pt>
                <c:pt idx="3">
                  <c:v>75814</c:v>
                </c:pt>
                <c:pt idx="4">
                  <c:v>79762</c:v>
                </c:pt>
                <c:pt idx="5">
                  <c:v>74042</c:v>
                </c:pt>
                <c:pt idx="6">
                  <c:v>69815</c:v>
                </c:pt>
                <c:pt idx="7">
                  <c:v>57097</c:v>
                </c:pt>
                <c:pt idx="8">
                  <c:v>63993</c:v>
                </c:pt>
                <c:pt idx="9">
                  <c:v>52202</c:v>
                </c:pt>
                <c:pt idx="10">
                  <c:v>48453</c:v>
                </c:pt>
              </c:numCache>
            </c:numRef>
          </c:val>
          <c:smooth val="0"/>
          <c:extLst>
            <c:ext xmlns:c16="http://schemas.microsoft.com/office/drawing/2014/chart" uri="{C3380CC4-5D6E-409C-BE32-E72D297353CC}">
              <c16:uniqueId val="{00000000-824C-4997-8DE3-6FD0671AB951}"/>
            </c:ext>
          </c:extLst>
        </c:ser>
        <c:ser>
          <c:idx val="1"/>
          <c:order val="1"/>
          <c:tx>
            <c:strRef>
              <c:f>Sheet1!$A$3</c:f>
              <c:strCache>
                <c:ptCount val="1"/>
                <c:pt idx="0">
                  <c:v>Mondiale Gezondheid en SRGR</c:v>
                </c:pt>
              </c:strCache>
            </c:strRef>
          </c:tx>
          <c:spPr>
            <a:ln w="28575" cap="rnd">
              <a:solidFill>
                <a:schemeClr val="accent2"/>
              </a:solidFill>
              <a:round/>
            </a:ln>
            <a:effectLst/>
          </c:spPr>
          <c:marker>
            <c:symbol val="none"/>
          </c:marker>
          <c:cat>
            <c:numRef>
              <c:f>Sheet1!$B$1:$L$1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Sheet1!$B$3:$L$3</c:f>
              <c:numCache>
                <c:formatCode>#,##0</c:formatCode>
                <c:ptCount val="11"/>
                <c:pt idx="0">
                  <c:v>424010</c:v>
                </c:pt>
                <c:pt idx="1">
                  <c:v>432331</c:v>
                </c:pt>
                <c:pt idx="2">
                  <c:v>445026</c:v>
                </c:pt>
                <c:pt idx="3">
                  <c:v>438689</c:v>
                </c:pt>
                <c:pt idx="4">
                  <c:v>423151</c:v>
                </c:pt>
                <c:pt idx="5">
                  <c:v>533472</c:v>
                </c:pt>
                <c:pt idx="6">
                  <c:v>579156</c:v>
                </c:pt>
                <c:pt idx="7">
                  <c:v>515235</c:v>
                </c:pt>
                <c:pt idx="8">
                  <c:v>510262</c:v>
                </c:pt>
                <c:pt idx="9">
                  <c:v>447355</c:v>
                </c:pt>
                <c:pt idx="10">
                  <c:v>403822</c:v>
                </c:pt>
              </c:numCache>
            </c:numRef>
          </c:val>
          <c:smooth val="0"/>
          <c:extLst>
            <c:ext xmlns:c16="http://schemas.microsoft.com/office/drawing/2014/chart" uri="{C3380CC4-5D6E-409C-BE32-E72D297353CC}">
              <c16:uniqueId val="{00000001-824C-4997-8DE3-6FD0671AB951}"/>
            </c:ext>
          </c:extLst>
        </c:ser>
        <c:ser>
          <c:idx val="2"/>
          <c:order val="2"/>
          <c:tx>
            <c:strRef>
              <c:f>Sheet1!$A$4</c:f>
              <c:strCache>
                <c:ptCount val="1"/>
                <c:pt idx="0">
                  <c:v>Klimaat</c:v>
                </c:pt>
              </c:strCache>
            </c:strRef>
          </c:tx>
          <c:spPr>
            <a:ln w="28575" cap="rnd">
              <a:solidFill>
                <a:schemeClr val="accent3"/>
              </a:solidFill>
              <a:round/>
            </a:ln>
            <a:effectLst/>
          </c:spPr>
          <c:marker>
            <c:symbol val="none"/>
          </c:marker>
          <c:cat>
            <c:numRef>
              <c:f>Sheet1!$B$1:$L$1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Sheet1!$B$4:$L$4</c:f>
              <c:numCache>
                <c:formatCode>#,##0</c:formatCode>
                <c:ptCount val="11"/>
                <c:pt idx="0">
                  <c:v>118697</c:v>
                </c:pt>
                <c:pt idx="1">
                  <c:v>127820</c:v>
                </c:pt>
                <c:pt idx="2">
                  <c:v>176247</c:v>
                </c:pt>
                <c:pt idx="3">
                  <c:v>197637</c:v>
                </c:pt>
                <c:pt idx="4">
                  <c:v>211466</c:v>
                </c:pt>
                <c:pt idx="5">
                  <c:v>238681</c:v>
                </c:pt>
                <c:pt idx="6">
                  <c:v>289824</c:v>
                </c:pt>
                <c:pt idx="7">
                  <c:v>307055</c:v>
                </c:pt>
                <c:pt idx="8">
                  <c:v>350480</c:v>
                </c:pt>
                <c:pt idx="9">
                  <c:v>379937</c:v>
                </c:pt>
                <c:pt idx="10">
                  <c:v>360353</c:v>
                </c:pt>
              </c:numCache>
            </c:numRef>
          </c:val>
          <c:smooth val="0"/>
          <c:extLst>
            <c:ext xmlns:c16="http://schemas.microsoft.com/office/drawing/2014/chart" uri="{C3380CC4-5D6E-409C-BE32-E72D297353CC}">
              <c16:uniqueId val="{00000002-824C-4997-8DE3-6FD0671AB951}"/>
            </c:ext>
          </c:extLst>
        </c:ser>
        <c:ser>
          <c:idx val="3"/>
          <c:order val="3"/>
          <c:tx>
            <c:strRef>
              <c:f>Sheet1!$A$5</c:f>
              <c:strCache>
                <c:ptCount val="1"/>
                <c:pt idx="0">
                  <c:v>Water</c:v>
                </c:pt>
              </c:strCache>
            </c:strRef>
          </c:tx>
          <c:spPr>
            <a:ln w="28575" cap="rnd">
              <a:solidFill>
                <a:schemeClr val="accent4"/>
              </a:solidFill>
              <a:round/>
            </a:ln>
            <a:effectLst/>
          </c:spPr>
          <c:marker>
            <c:symbol val="none"/>
          </c:marker>
          <c:cat>
            <c:numRef>
              <c:f>Sheet1!$B$1:$L$1</c:f>
              <c:numCache>
                <c:formatCode>General</c:formatCode>
                <c:ptCount val="11"/>
                <c:pt idx="0">
                  <c:v>2016</c:v>
                </c:pt>
                <c:pt idx="1">
                  <c:v>2017</c:v>
                </c:pt>
                <c:pt idx="2">
                  <c:v>2018</c:v>
                </c:pt>
                <c:pt idx="3">
                  <c:v>2019</c:v>
                </c:pt>
                <c:pt idx="4">
                  <c:v>2020</c:v>
                </c:pt>
                <c:pt idx="5">
                  <c:v>2021</c:v>
                </c:pt>
                <c:pt idx="6">
                  <c:v>2022</c:v>
                </c:pt>
                <c:pt idx="7">
                  <c:v>2023</c:v>
                </c:pt>
                <c:pt idx="8">
                  <c:v>2024</c:v>
                </c:pt>
                <c:pt idx="9">
                  <c:v>2025</c:v>
                </c:pt>
                <c:pt idx="10">
                  <c:v>2026</c:v>
                </c:pt>
              </c:numCache>
            </c:numRef>
          </c:cat>
          <c:val>
            <c:numRef>
              <c:f>Sheet1!$B$5:$L$5</c:f>
              <c:numCache>
                <c:formatCode>#,##0</c:formatCode>
                <c:ptCount val="11"/>
                <c:pt idx="0">
                  <c:v>194457</c:v>
                </c:pt>
                <c:pt idx="1">
                  <c:v>195426</c:v>
                </c:pt>
                <c:pt idx="2">
                  <c:v>210602</c:v>
                </c:pt>
                <c:pt idx="3">
                  <c:v>189043</c:v>
                </c:pt>
                <c:pt idx="4">
                  <c:v>196249</c:v>
                </c:pt>
                <c:pt idx="5">
                  <c:v>189997</c:v>
                </c:pt>
                <c:pt idx="6">
                  <c:v>186866</c:v>
                </c:pt>
                <c:pt idx="7">
                  <c:v>201682</c:v>
                </c:pt>
                <c:pt idx="8">
                  <c:v>192107</c:v>
                </c:pt>
                <c:pt idx="9">
                  <c:v>170330</c:v>
                </c:pt>
                <c:pt idx="10">
                  <c:v>164934</c:v>
                </c:pt>
              </c:numCache>
            </c:numRef>
          </c:val>
          <c:smooth val="0"/>
          <c:extLst>
            <c:ext xmlns:c16="http://schemas.microsoft.com/office/drawing/2014/chart" uri="{C3380CC4-5D6E-409C-BE32-E72D297353CC}">
              <c16:uniqueId val="{00000003-824C-4997-8DE3-6FD0671AB951}"/>
            </c:ext>
          </c:extLst>
        </c:ser>
        <c:dLbls>
          <c:showLegendKey val="0"/>
          <c:showVal val="0"/>
          <c:showCatName val="0"/>
          <c:showSerName val="0"/>
          <c:showPercent val="0"/>
          <c:showBubbleSize val="0"/>
        </c:dLbls>
        <c:smooth val="0"/>
        <c:axId val="1821455455"/>
        <c:axId val="1896811039"/>
      </c:lineChart>
      <c:catAx>
        <c:axId val="182145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96811039"/>
        <c:crosses val="autoZero"/>
        <c:auto val="1"/>
        <c:lblAlgn val="ctr"/>
        <c:lblOffset val="100"/>
        <c:noMultiLvlLbl val="0"/>
      </c:catAx>
      <c:valAx>
        <c:axId val="1896811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21455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3172</ap:Words>
  <ap:Characters>17448</ap:Characters>
  <ap:DocSecurity>0</ap:DocSecurity>
  <ap:Lines>145</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2024-09-27T10:06:00.0000000Z</lastPrinted>
  <dcterms:created xsi:type="dcterms:W3CDTF">2024-09-27T11:46:00.0000000Z</dcterms:created>
  <dcterms:modified xsi:type="dcterms:W3CDTF">2024-09-27T11:46:00.0000000Z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5bd3e85d-1da7-4a5e-9d59-fd5d9a0e8378</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