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2053" w:rsidR="00241BB9" w:rsidP="00641C3D" w:rsidRDefault="00241BB9" w14:paraId="5CF5AC94" w14:textId="77777777">
      <w:pPr>
        <w:rPr>
          <w:szCs w:val="18"/>
        </w:rPr>
      </w:pPr>
    </w:p>
    <w:p w:rsidR="00CD5856" w:rsidP="00641C3D" w:rsidRDefault="00CD5856" w14:paraId="57EA9B0E" w14:textId="77777777">
      <w:pPr>
        <w:spacing w:line="240" w:lineRule="atLeast"/>
        <w:rPr>
          <w:szCs w:val="18"/>
        </w:rPr>
      </w:pPr>
    </w:p>
    <w:p w:rsidRPr="00282053" w:rsidR="00CE33DF" w:rsidP="00641C3D" w:rsidRDefault="00CE33DF" w14:paraId="5E4B5A80" w14:textId="77777777">
      <w:pPr>
        <w:spacing w:line="240" w:lineRule="atLeast"/>
        <w:rPr>
          <w:szCs w:val="18"/>
        </w:rPr>
        <w:sectPr w:rsidRPr="00282053" w:rsidR="00CE33DF"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7137C6" w:rsidR="009B1591" w:rsidP="00641C3D" w:rsidRDefault="009B1591" w14:paraId="0BDBC85B" w14:textId="77777777">
      <w:pPr>
        <w:pStyle w:val="Huisstijl-Aanhef"/>
        <w:spacing w:line="240" w:lineRule="atLeast"/>
        <w:rPr>
          <w:szCs w:val="18"/>
        </w:rPr>
      </w:pPr>
      <w:r w:rsidRPr="007137C6">
        <w:rPr>
          <w:szCs w:val="18"/>
        </w:rPr>
        <w:t>Geachte Voorzitter,</w:t>
      </w:r>
    </w:p>
    <w:p w:rsidRPr="007137C6" w:rsidR="009B1591" w:rsidP="00641C3D" w:rsidRDefault="009B1591" w14:paraId="09A1F519" w14:textId="2F99860D">
      <w:pPr>
        <w:widowControl/>
        <w:autoSpaceDN/>
        <w:spacing w:after="160" w:line="240" w:lineRule="atLeast"/>
        <w:textAlignment w:val="auto"/>
        <w:rPr>
          <w:rFonts w:eastAsia="Calibri" w:cs="Times New Roman"/>
          <w:kern w:val="2"/>
          <w:szCs w:val="18"/>
          <w:lang w:eastAsia="en-US" w:bidi="ar-SA"/>
        </w:rPr>
      </w:pPr>
      <w:bookmarkStart w:name="Text1" w:id="1"/>
      <w:r w:rsidRPr="007137C6">
        <w:rPr>
          <w:rFonts w:eastAsia="Calibri" w:cs="Times New Roman"/>
          <w:kern w:val="2"/>
          <w:szCs w:val="18"/>
          <w:lang w:eastAsia="en-US" w:bidi="ar-SA"/>
        </w:rPr>
        <w:t>Op 6 juni 2024 publiceerde de Gezondheidsraad het advies ‘</w:t>
      </w:r>
      <w:r w:rsidRPr="007137C6">
        <w:rPr>
          <w:rFonts w:eastAsia="Calibri" w:cs="Times New Roman"/>
          <w:i/>
          <w:iCs/>
          <w:kern w:val="2"/>
          <w:szCs w:val="18"/>
          <w:lang w:eastAsia="en-US" w:bidi="ar-SA"/>
        </w:rPr>
        <w:t>Resistentie ondermijnt de behandeling van schimmelinfecties’</w:t>
      </w:r>
      <w:r w:rsidRPr="007137C6">
        <w:rPr>
          <w:rFonts w:eastAsia="Calibri" w:cs="Times New Roman"/>
          <w:kern w:val="2"/>
          <w:szCs w:val="18"/>
          <w:lang w:eastAsia="en-US" w:bidi="ar-SA"/>
        </w:rPr>
        <w:t>. Naast de</w:t>
      </w:r>
      <w:r w:rsidR="00057129">
        <w:rPr>
          <w:rFonts w:eastAsia="Calibri" w:cs="Times New Roman"/>
          <w:kern w:val="2"/>
          <w:szCs w:val="18"/>
          <w:lang w:eastAsia="en-US" w:bidi="ar-SA"/>
        </w:rPr>
        <w:t xml:space="preserve"> voormalig</w:t>
      </w:r>
      <w:r w:rsidRPr="007137C6">
        <w:rPr>
          <w:rFonts w:eastAsia="Calibri" w:cs="Times New Roman"/>
          <w:kern w:val="2"/>
          <w:szCs w:val="18"/>
          <w:lang w:eastAsia="en-US" w:bidi="ar-SA"/>
        </w:rPr>
        <w:t xml:space="preserve"> minister voor Medische Zorg (Volksgezondheid, Welzijn en Sport) hebben ook de </w:t>
      </w:r>
      <w:r w:rsidR="00057129">
        <w:rPr>
          <w:rFonts w:eastAsia="Calibri" w:cs="Times New Roman"/>
          <w:kern w:val="2"/>
          <w:szCs w:val="18"/>
          <w:lang w:eastAsia="en-US" w:bidi="ar-SA"/>
        </w:rPr>
        <w:t xml:space="preserve">voormalig </w:t>
      </w:r>
      <w:r w:rsidRPr="007137C6">
        <w:rPr>
          <w:rFonts w:eastAsia="Calibri" w:cs="Times New Roman"/>
          <w:kern w:val="2"/>
          <w:szCs w:val="18"/>
          <w:lang w:eastAsia="en-US" w:bidi="ar-SA"/>
        </w:rPr>
        <w:t>bewindspersonen van Landbouw, Visserij, Voedselzekerheid en Natuur (LVVN) en Infrastructuur en Waterstaat (</w:t>
      </w:r>
      <w:proofErr w:type="spellStart"/>
      <w:r w:rsidRPr="007137C6">
        <w:rPr>
          <w:rFonts w:eastAsia="Calibri" w:cs="Times New Roman"/>
          <w:kern w:val="2"/>
          <w:szCs w:val="18"/>
          <w:lang w:eastAsia="en-US" w:bidi="ar-SA"/>
        </w:rPr>
        <w:t>IenW</w:t>
      </w:r>
      <w:proofErr w:type="spellEnd"/>
      <w:r w:rsidRPr="007137C6">
        <w:rPr>
          <w:rFonts w:eastAsia="Calibri" w:cs="Times New Roman"/>
          <w:kern w:val="2"/>
          <w:szCs w:val="18"/>
          <w:lang w:eastAsia="en-US" w:bidi="ar-SA"/>
        </w:rPr>
        <w:t xml:space="preserve">) dit advies ontvangen. </w:t>
      </w:r>
      <w:r w:rsidR="0097763D">
        <w:rPr>
          <w:rFonts w:eastAsia="Calibri" w:cs="Times New Roman"/>
          <w:kern w:val="2"/>
          <w:szCs w:val="18"/>
          <w:lang w:eastAsia="en-US" w:bidi="ar-SA"/>
        </w:rPr>
        <w:t xml:space="preserve">De </w:t>
      </w:r>
      <w:r w:rsidR="00057129">
        <w:rPr>
          <w:rFonts w:eastAsia="Calibri" w:cs="Times New Roman"/>
          <w:kern w:val="2"/>
          <w:szCs w:val="18"/>
          <w:lang w:eastAsia="en-US" w:bidi="ar-SA"/>
        </w:rPr>
        <w:t xml:space="preserve">voormalig </w:t>
      </w:r>
      <w:r w:rsidR="0097763D">
        <w:rPr>
          <w:rFonts w:eastAsia="Calibri" w:cs="Times New Roman"/>
          <w:kern w:val="2"/>
          <w:szCs w:val="18"/>
          <w:lang w:eastAsia="en-US" w:bidi="ar-SA"/>
        </w:rPr>
        <w:t xml:space="preserve">minister </w:t>
      </w:r>
      <w:r w:rsidR="00057129">
        <w:rPr>
          <w:rFonts w:eastAsia="Calibri" w:cs="Times New Roman"/>
          <w:kern w:val="2"/>
          <w:szCs w:val="18"/>
          <w:lang w:eastAsia="en-US" w:bidi="ar-SA"/>
        </w:rPr>
        <w:t>voor</w:t>
      </w:r>
      <w:r w:rsidR="0097763D">
        <w:rPr>
          <w:rFonts w:eastAsia="Calibri" w:cs="Times New Roman"/>
          <w:kern w:val="2"/>
          <w:szCs w:val="18"/>
          <w:lang w:eastAsia="en-US" w:bidi="ar-SA"/>
        </w:rPr>
        <w:t xml:space="preserve"> Medische Zorg</w:t>
      </w:r>
      <w:r w:rsidRPr="007137C6">
        <w:rPr>
          <w:rFonts w:eastAsia="Calibri" w:cs="Times New Roman"/>
          <w:kern w:val="2"/>
          <w:szCs w:val="18"/>
          <w:lang w:eastAsia="en-US" w:bidi="ar-SA"/>
        </w:rPr>
        <w:t xml:space="preserve"> stuurde uw Kamer op 17 juni jl. dit advies met een begeleidende brief.</w:t>
      </w:r>
      <w:r w:rsidRPr="007137C6">
        <w:rPr>
          <w:rStyle w:val="Voetnootmarkering"/>
          <w:rFonts w:eastAsia="Calibri" w:cs="Times New Roman"/>
          <w:kern w:val="2"/>
          <w:szCs w:val="18"/>
          <w:lang w:eastAsia="en-US" w:bidi="ar-SA"/>
        </w:rPr>
        <w:footnoteReference w:id="1"/>
      </w:r>
      <w:r w:rsidRPr="007137C6">
        <w:rPr>
          <w:rFonts w:eastAsia="Calibri" w:cs="Times New Roman"/>
          <w:kern w:val="2"/>
          <w:szCs w:val="18"/>
          <w:lang w:eastAsia="en-US" w:bidi="ar-SA"/>
        </w:rPr>
        <w:t xml:space="preserve"> Hierin gaf zij, mede namens de twee andere betrokken ministeries (LVVN en </w:t>
      </w:r>
      <w:proofErr w:type="spellStart"/>
      <w:r w:rsidRPr="007137C6">
        <w:rPr>
          <w:rFonts w:eastAsia="Calibri" w:cs="Times New Roman"/>
          <w:kern w:val="2"/>
          <w:szCs w:val="18"/>
          <w:lang w:eastAsia="en-US" w:bidi="ar-SA"/>
        </w:rPr>
        <w:t>IenW</w:t>
      </w:r>
      <w:proofErr w:type="spellEnd"/>
      <w:r w:rsidRPr="007137C6">
        <w:rPr>
          <w:rFonts w:eastAsia="Calibri" w:cs="Times New Roman"/>
          <w:kern w:val="2"/>
          <w:szCs w:val="18"/>
          <w:lang w:eastAsia="en-US" w:bidi="ar-SA"/>
        </w:rPr>
        <w:t>), aan dat uw Kamer binnen drie maanden een beleidsreactie mag verwachten. Met deze brief wordt gevolg gegeven aan deze toezegging.</w:t>
      </w:r>
    </w:p>
    <w:p w:rsidRPr="00CE33DF" w:rsidR="009B1591" w:rsidP="00641C3D" w:rsidRDefault="009B1591" w14:paraId="25446FBD" w14:textId="77777777">
      <w:pPr>
        <w:widowControl/>
        <w:autoSpaceDN/>
        <w:spacing w:before="100" w:beforeAutospacing="1" w:after="100" w:afterAutospacing="1" w:line="240" w:lineRule="atLeast"/>
        <w:textAlignment w:val="auto"/>
        <w:rPr>
          <w:rFonts w:eastAsia="Times New Roman" w:cs="Calibri"/>
          <w:kern w:val="0"/>
          <w:szCs w:val="18"/>
          <w:lang w:eastAsia="nl-NL" w:bidi="ar-SA"/>
        </w:rPr>
      </w:pPr>
      <w:r w:rsidRPr="007137C6">
        <w:rPr>
          <w:rFonts w:eastAsia="Times New Roman" w:cs="Calibri"/>
          <w:kern w:val="0"/>
          <w:szCs w:val="18"/>
          <w:lang w:eastAsia="nl-NL" w:bidi="ar-SA"/>
        </w:rPr>
        <w:t xml:space="preserve">In dit advies gaat de Gezondheidsraad in op de ontwikkelingen rondom resistentie tegen antischimmelmiddelen (antimycotica) en de gevolgen hiervan voor de volksgezondheid. Ook doet ze aanbevelingen aan de overheid om dit probleem aan te pakken. De Gezondheidsraad signaleert in haar advies dat de resistentie tegen antimycotica bij veel schimmelsoorten de laatste jaren toeneemt door het niet-medisch gebruik van schimmelbestrijders in de landbouw en andere brede toepassingen, zoals houtconservering. Steeds meer nieuwe besmettelijke, multiresistente schimmelsoorten komen in beeld, zoals </w:t>
      </w:r>
      <w:proofErr w:type="spellStart"/>
      <w:r w:rsidRPr="007137C6">
        <w:rPr>
          <w:rFonts w:eastAsia="Times New Roman" w:cs="Calibri"/>
          <w:i/>
          <w:iCs/>
          <w:kern w:val="0"/>
          <w:szCs w:val="18"/>
          <w:lang w:eastAsia="nl-NL" w:bidi="ar-SA"/>
        </w:rPr>
        <w:t>Aspergillus</w:t>
      </w:r>
      <w:proofErr w:type="spellEnd"/>
      <w:r w:rsidRPr="007137C6">
        <w:rPr>
          <w:rFonts w:eastAsia="Times New Roman" w:cs="Calibri"/>
          <w:i/>
          <w:iCs/>
          <w:kern w:val="0"/>
          <w:szCs w:val="18"/>
          <w:lang w:eastAsia="nl-NL" w:bidi="ar-SA"/>
        </w:rPr>
        <w:t xml:space="preserve"> </w:t>
      </w:r>
      <w:proofErr w:type="spellStart"/>
      <w:r w:rsidRPr="007137C6">
        <w:rPr>
          <w:rFonts w:eastAsia="Times New Roman" w:cs="Calibri"/>
          <w:i/>
          <w:iCs/>
          <w:kern w:val="0"/>
          <w:szCs w:val="18"/>
          <w:lang w:eastAsia="nl-NL" w:bidi="ar-SA"/>
        </w:rPr>
        <w:t>fumigatus</w:t>
      </w:r>
      <w:proofErr w:type="spellEnd"/>
      <w:r w:rsidRPr="007137C6">
        <w:rPr>
          <w:rFonts w:eastAsia="Times New Roman" w:cs="Calibri"/>
          <w:i/>
          <w:iCs/>
          <w:kern w:val="0"/>
          <w:szCs w:val="18"/>
          <w:lang w:eastAsia="nl-NL" w:bidi="ar-SA"/>
        </w:rPr>
        <w:t xml:space="preserve">, </w:t>
      </w:r>
      <w:r w:rsidRPr="007137C6">
        <w:rPr>
          <w:rFonts w:eastAsia="Times New Roman" w:cs="Calibri"/>
          <w:kern w:val="0"/>
          <w:szCs w:val="18"/>
          <w:lang w:eastAsia="nl-NL" w:bidi="ar-SA"/>
        </w:rPr>
        <w:t xml:space="preserve">de gist </w:t>
      </w:r>
      <w:r w:rsidRPr="007137C6">
        <w:rPr>
          <w:rFonts w:eastAsia="Times New Roman" w:cs="Calibri"/>
          <w:i/>
          <w:iCs/>
          <w:kern w:val="0"/>
          <w:szCs w:val="18"/>
          <w:lang w:eastAsia="nl-NL" w:bidi="ar-SA"/>
        </w:rPr>
        <w:t xml:space="preserve">Candida </w:t>
      </w:r>
      <w:proofErr w:type="spellStart"/>
      <w:r w:rsidRPr="007137C6">
        <w:rPr>
          <w:rFonts w:eastAsia="Times New Roman" w:cs="Calibri"/>
          <w:i/>
          <w:iCs/>
          <w:kern w:val="0"/>
          <w:szCs w:val="18"/>
          <w:lang w:eastAsia="nl-NL" w:bidi="ar-SA"/>
        </w:rPr>
        <w:t>auris</w:t>
      </w:r>
      <w:proofErr w:type="spellEnd"/>
      <w:r w:rsidRPr="007137C6">
        <w:rPr>
          <w:rFonts w:eastAsia="Times New Roman" w:cs="Calibri"/>
          <w:kern w:val="0"/>
          <w:szCs w:val="18"/>
          <w:lang w:eastAsia="nl-NL" w:bidi="ar-SA"/>
        </w:rPr>
        <w:t xml:space="preserve"> en de huidschimmel </w:t>
      </w:r>
      <w:proofErr w:type="spellStart"/>
      <w:r w:rsidRPr="007137C6">
        <w:rPr>
          <w:rFonts w:eastAsia="Times New Roman" w:cs="Calibri"/>
          <w:i/>
          <w:iCs/>
          <w:kern w:val="0"/>
          <w:szCs w:val="18"/>
          <w:lang w:eastAsia="nl-NL" w:bidi="ar-SA"/>
        </w:rPr>
        <w:t>Trichophyton</w:t>
      </w:r>
      <w:proofErr w:type="spellEnd"/>
      <w:r w:rsidRPr="007137C6">
        <w:rPr>
          <w:rFonts w:eastAsia="Times New Roman" w:cs="Calibri"/>
          <w:i/>
          <w:iCs/>
          <w:kern w:val="0"/>
          <w:szCs w:val="18"/>
          <w:lang w:eastAsia="nl-NL" w:bidi="ar-SA"/>
        </w:rPr>
        <w:t xml:space="preserve"> </w:t>
      </w:r>
      <w:proofErr w:type="spellStart"/>
      <w:r w:rsidRPr="007137C6">
        <w:rPr>
          <w:rFonts w:eastAsia="Times New Roman" w:cs="Calibri"/>
          <w:i/>
          <w:iCs/>
          <w:kern w:val="0"/>
          <w:szCs w:val="18"/>
          <w:lang w:eastAsia="nl-NL" w:bidi="ar-SA"/>
        </w:rPr>
        <w:t>indotineae</w:t>
      </w:r>
      <w:proofErr w:type="spellEnd"/>
      <w:r w:rsidRPr="007137C6">
        <w:rPr>
          <w:rFonts w:eastAsia="Times New Roman" w:cs="Calibri"/>
          <w:i/>
          <w:iCs/>
          <w:kern w:val="0"/>
          <w:szCs w:val="18"/>
          <w:lang w:eastAsia="nl-NL" w:bidi="ar-SA"/>
        </w:rPr>
        <w:t>.</w:t>
      </w:r>
      <w:r w:rsidRPr="007137C6">
        <w:rPr>
          <w:rFonts w:eastAsia="Times New Roman" w:cs="Calibri"/>
          <w:kern w:val="0"/>
          <w:szCs w:val="18"/>
          <w:lang w:eastAsia="nl-NL" w:bidi="ar-SA"/>
        </w:rPr>
        <w:t xml:space="preserve"> Globalisering, internationale conflicten, brede toepassing van gewasbeschermingsmiddelen en biociden en klimaatverandering spelen een rol bij de ontwikkeling en verspreiding van resistentie. Deze schimmels kunnen ernstige gevolgen hebben voor de gezondheid. Het inademen van de sporen van de milieuschimmel </w:t>
      </w:r>
      <w:proofErr w:type="spellStart"/>
      <w:r w:rsidRPr="007137C6">
        <w:rPr>
          <w:rFonts w:eastAsia="Times New Roman" w:cs="Calibri"/>
          <w:i/>
          <w:iCs/>
          <w:kern w:val="0"/>
          <w:szCs w:val="18"/>
          <w:lang w:eastAsia="nl-NL" w:bidi="ar-SA"/>
        </w:rPr>
        <w:t>Aspergillus</w:t>
      </w:r>
      <w:proofErr w:type="spellEnd"/>
      <w:r w:rsidRPr="007137C6">
        <w:rPr>
          <w:rFonts w:eastAsia="Times New Roman" w:cs="Calibri"/>
          <w:i/>
          <w:iCs/>
          <w:kern w:val="0"/>
          <w:szCs w:val="18"/>
          <w:lang w:eastAsia="nl-NL" w:bidi="ar-SA"/>
        </w:rPr>
        <w:t xml:space="preserve"> </w:t>
      </w:r>
      <w:proofErr w:type="spellStart"/>
      <w:r w:rsidRPr="007137C6">
        <w:rPr>
          <w:rFonts w:eastAsia="Times New Roman" w:cs="Calibri"/>
          <w:i/>
          <w:iCs/>
          <w:kern w:val="0"/>
          <w:szCs w:val="18"/>
          <w:lang w:eastAsia="nl-NL" w:bidi="ar-SA"/>
        </w:rPr>
        <w:t>fumigatus</w:t>
      </w:r>
      <w:proofErr w:type="spellEnd"/>
      <w:r w:rsidRPr="007137C6">
        <w:rPr>
          <w:rFonts w:eastAsia="Times New Roman" w:cs="Calibri"/>
          <w:kern w:val="0"/>
          <w:szCs w:val="18"/>
          <w:lang w:eastAsia="nl-NL" w:bidi="ar-SA"/>
        </w:rPr>
        <w:t xml:space="preserve"> kan bijvoorbeeld leiden tot een levensbedreigende infectie in de longen bij patiënten met een verzwakt immuunsysteem, ernstige griep, Covid-19 of met al bestaande afwijkingen in de longen. Het feit dat deze schimmel steeds vaker resistent is tegen medicijnen, maakt de behandeling van infecties moeilijker. </w:t>
      </w:r>
    </w:p>
    <w:p w:rsidR="00CE33DF" w:rsidP="00641C3D" w:rsidRDefault="00CE33DF" w14:paraId="4D7F6D37" w14:textId="77777777">
      <w:pPr>
        <w:widowControl/>
        <w:autoSpaceDN/>
        <w:spacing w:after="160" w:line="240" w:lineRule="atLeast"/>
        <w:textAlignment w:val="auto"/>
        <w:rPr>
          <w:rFonts w:eastAsia="Calibri" w:cs="Times New Roman"/>
          <w:b/>
          <w:bCs/>
          <w:kern w:val="2"/>
          <w:szCs w:val="18"/>
          <w:lang w:eastAsia="en-US" w:bidi="ar-SA"/>
        </w:rPr>
      </w:pPr>
    </w:p>
    <w:p w:rsidR="00CE33DF" w:rsidP="00641C3D" w:rsidRDefault="00CE33DF" w14:paraId="2C8DC2BB" w14:textId="77777777">
      <w:pPr>
        <w:widowControl/>
        <w:autoSpaceDN/>
        <w:spacing w:after="160" w:line="240" w:lineRule="atLeast"/>
        <w:textAlignment w:val="auto"/>
        <w:rPr>
          <w:rFonts w:eastAsia="Calibri" w:cs="Times New Roman"/>
          <w:b/>
          <w:bCs/>
          <w:kern w:val="2"/>
          <w:szCs w:val="18"/>
          <w:lang w:eastAsia="en-US" w:bidi="ar-SA"/>
        </w:rPr>
      </w:pPr>
    </w:p>
    <w:p w:rsidRPr="007137C6" w:rsidR="009B1591" w:rsidP="00641C3D" w:rsidRDefault="009B1591" w14:paraId="55743B0D" w14:textId="77777777">
      <w:pPr>
        <w:widowControl/>
        <w:autoSpaceDN/>
        <w:spacing w:after="160" w:line="240" w:lineRule="atLeast"/>
        <w:textAlignment w:val="auto"/>
        <w:rPr>
          <w:rFonts w:eastAsia="Calibri" w:cs="Times New Roman"/>
          <w:b/>
          <w:bCs/>
          <w:kern w:val="2"/>
          <w:szCs w:val="18"/>
          <w:lang w:eastAsia="en-US" w:bidi="ar-SA"/>
        </w:rPr>
      </w:pPr>
      <w:r w:rsidRPr="007137C6">
        <w:rPr>
          <w:rFonts w:eastAsia="Calibri" w:cs="Times New Roman"/>
          <w:b/>
          <w:bCs/>
          <w:kern w:val="2"/>
          <w:szCs w:val="18"/>
          <w:lang w:eastAsia="en-US" w:bidi="ar-SA"/>
        </w:rPr>
        <w:t>Nieuw beleid in Nederland</w:t>
      </w:r>
    </w:p>
    <w:p w:rsidRPr="007137C6" w:rsidR="009B1591" w:rsidP="00641C3D" w:rsidRDefault="009B1591" w14:paraId="670A47A0"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Het kabinet deelt de zorgen van de Gezondheidsraad ten aanzien van het stijgen van de gezondheidsbedreigingen vanwege resistente schimmels en houdt de ontwikkeling van resistentie die de behandeling van infecties - waaronder schimmelinfecties - bemoeilijkt, nauwlettend in de gaten. </w:t>
      </w:r>
    </w:p>
    <w:p w:rsidRPr="007137C6" w:rsidR="009B1591" w:rsidP="00641C3D" w:rsidRDefault="009B1591" w14:paraId="106AA02B"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In de strijd tegen antimicrobiële resistentie (AMR), waarin Nederland al jarenlang een prominente rol als aanjager en voortrekker speelt, was aanvankelijk vooral aandacht voor antibioticaresistentie. Maar ook bij andere soorten micro-organismen, zoals schimmels, virussen en eencellige parasieten, kan resistentie tegen veelgebruikte antimicrobiële middelen ontstaan en zich verspreiden. Uw Kamer heeft in mei het Nederlands Actieplan voor het terugdringen van antimicrobiële resistentie 2024-2030 ontvangen.</w:t>
      </w:r>
      <w:r w:rsidRPr="007137C6">
        <w:rPr>
          <w:rStyle w:val="Voetnootmarkering"/>
          <w:rFonts w:eastAsia="Calibri" w:cs="Times New Roman"/>
          <w:kern w:val="2"/>
          <w:szCs w:val="18"/>
          <w:lang w:eastAsia="en-US" w:bidi="ar-SA"/>
        </w:rPr>
        <w:footnoteReference w:id="2"/>
      </w:r>
      <w:r w:rsidRPr="007137C6">
        <w:rPr>
          <w:rFonts w:eastAsia="Calibri" w:cs="Times New Roman"/>
          <w:kern w:val="2"/>
          <w:szCs w:val="18"/>
          <w:lang w:eastAsia="en-US" w:bidi="ar-SA"/>
        </w:rPr>
        <w:t xml:space="preserve"> Middels dit nationaal actieplan zetten de drie betrokken ministeries, VWS, </w:t>
      </w:r>
      <w:proofErr w:type="spellStart"/>
      <w:r w:rsidRPr="007137C6">
        <w:rPr>
          <w:rFonts w:eastAsia="Calibri" w:cs="Times New Roman"/>
          <w:kern w:val="2"/>
          <w:szCs w:val="18"/>
          <w:lang w:eastAsia="en-US" w:bidi="ar-SA"/>
        </w:rPr>
        <w:t>IenW</w:t>
      </w:r>
      <w:proofErr w:type="spellEnd"/>
      <w:r w:rsidRPr="007137C6">
        <w:rPr>
          <w:rFonts w:eastAsia="Calibri" w:cs="Times New Roman"/>
          <w:kern w:val="2"/>
          <w:szCs w:val="18"/>
          <w:lang w:eastAsia="en-US" w:bidi="ar-SA"/>
        </w:rPr>
        <w:t xml:space="preserve"> en LVVN, gezamenlijk en in nauwe samenwerking met de stakeholders hun schouders onder een totaal van 104 acties. Het ministerie van VWS pakt hierbij de rol van trekker en aanjager. De verbreding van de focus van resistentie van antibioticaresistentie naar resistentie tegen andere antimicrobiële middelen, waaronder antischimmelmiddelen, is één van de drie nieuwe accenten in het beleid. </w:t>
      </w:r>
    </w:p>
    <w:p w:rsidRPr="007137C6" w:rsidR="009B1591" w:rsidP="00641C3D" w:rsidRDefault="009B1591" w14:paraId="658F3955"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Net als de WHO en Europese Unie, werkt Nederland vanuit een </w:t>
      </w:r>
      <w:proofErr w:type="spellStart"/>
      <w:r w:rsidRPr="007137C6">
        <w:rPr>
          <w:rFonts w:eastAsia="Calibri" w:cs="Times New Roman"/>
          <w:i/>
          <w:iCs/>
          <w:kern w:val="2"/>
          <w:szCs w:val="18"/>
          <w:lang w:eastAsia="en-US" w:bidi="ar-SA"/>
        </w:rPr>
        <w:t>One</w:t>
      </w:r>
      <w:proofErr w:type="spellEnd"/>
      <w:r w:rsidRPr="007137C6">
        <w:rPr>
          <w:rFonts w:eastAsia="Calibri" w:cs="Times New Roman"/>
          <w:i/>
          <w:iCs/>
          <w:kern w:val="2"/>
          <w:szCs w:val="18"/>
          <w:lang w:eastAsia="en-US" w:bidi="ar-SA"/>
        </w:rPr>
        <w:t xml:space="preserve"> Health</w:t>
      </w:r>
      <w:r w:rsidRPr="007137C6">
        <w:rPr>
          <w:rFonts w:eastAsia="Calibri" w:cs="Times New Roman"/>
          <w:kern w:val="2"/>
          <w:szCs w:val="18"/>
          <w:lang w:eastAsia="en-US" w:bidi="ar-SA"/>
        </w:rPr>
        <w:t xml:space="preserve"> aanpak om de verspreiding en gevolgen van antimicrobiële resistentie tegen te gaan. De </w:t>
      </w:r>
      <w:proofErr w:type="spellStart"/>
      <w:r w:rsidRPr="007137C6">
        <w:rPr>
          <w:rFonts w:eastAsia="Calibri" w:cs="Times New Roman"/>
          <w:i/>
          <w:iCs/>
          <w:kern w:val="2"/>
          <w:szCs w:val="18"/>
          <w:lang w:eastAsia="en-US" w:bidi="ar-SA"/>
        </w:rPr>
        <w:t>One</w:t>
      </w:r>
      <w:proofErr w:type="spellEnd"/>
      <w:r w:rsidRPr="007137C6">
        <w:rPr>
          <w:rFonts w:eastAsia="Calibri" w:cs="Times New Roman"/>
          <w:i/>
          <w:iCs/>
          <w:kern w:val="2"/>
          <w:szCs w:val="18"/>
          <w:lang w:eastAsia="en-US" w:bidi="ar-SA"/>
        </w:rPr>
        <w:t xml:space="preserve"> Health</w:t>
      </w:r>
      <w:r w:rsidRPr="007137C6">
        <w:rPr>
          <w:rFonts w:eastAsia="Calibri" w:cs="Times New Roman"/>
          <w:kern w:val="2"/>
          <w:szCs w:val="18"/>
          <w:lang w:eastAsia="en-US" w:bidi="ar-SA"/>
        </w:rPr>
        <w:t xml:space="preserve"> aanpak zet verbondenheid en verwevenheid tussen de gezondheid van mensen, dieren en planten centraal. Transmissie van micro-organismen vindt plaats binnen en tussen deze drie domeinen, waarbinnen organismen in ecosystemen samenleven. Samenwerking tussen domeinen en de hiervoor relevante economische sectoren vormt daarom een belangrijke pijler onder de </w:t>
      </w:r>
      <w:proofErr w:type="spellStart"/>
      <w:r w:rsidRPr="007137C6">
        <w:rPr>
          <w:rFonts w:eastAsia="Calibri" w:cs="Times New Roman"/>
          <w:i/>
          <w:iCs/>
          <w:kern w:val="2"/>
          <w:szCs w:val="18"/>
          <w:lang w:eastAsia="en-US" w:bidi="ar-SA"/>
        </w:rPr>
        <w:t>One</w:t>
      </w:r>
      <w:proofErr w:type="spellEnd"/>
      <w:r w:rsidRPr="007137C6">
        <w:rPr>
          <w:rFonts w:eastAsia="Calibri" w:cs="Times New Roman"/>
          <w:i/>
          <w:iCs/>
          <w:kern w:val="2"/>
          <w:szCs w:val="18"/>
          <w:lang w:eastAsia="en-US" w:bidi="ar-SA"/>
        </w:rPr>
        <w:t xml:space="preserve"> Health</w:t>
      </w:r>
      <w:r w:rsidRPr="007137C6">
        <w:rPr>
          <w:rFonts w:eastAsia="Calibri" w:cs="Times New Roman"/>
          <w:kern w:val="2"/>
          <w:szCs w:val="18"/>
          <w:lang w:eastAsia="en-US" w:bidi="ar-SA"/>
        </w:rPr>
        <w:t>-aanpak.</w:t>
      </w:r>
    </w:p>
    <w:p w:rsidRPr="007137C6" w:rsidR="009B1591" w:rsidP="00641C3D" w:rsidRDefault="009B1591" w14:paraId="4297560F"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Naast nieuwe acties wordt ook eerder ingezet beleid bestendigd. Zo wordt de eerder genoemde ontwikkeling van resistentie bij de schimmel </w:t>
      </w:r>
      <w:proofErr w:type="spellStart"/>
      <w:r w:rsidRPr="007137C6">
        <w:rPr>
          <w:rFonts w:eastAsia="Calibri" w:cs="Times New Roman"/>
          <w:i/>
          <w:iCs/>
          <w:kern w:val="2"/>
          <w:szCs w:val="18"/>
          <w:lang w:eastAsia="en-US" w:bidi="ar-SA"/>
        </w:rPr>
        <w:t>Aspergillus</w:t>
      </w:r>
      <w:proofErr w:type="spellEnd"/>
      <w:r w:rsidRPr="007137C6">
        <w:rPr>
          <w:rFonts w:eastAsia="Calibri" w:cs="Times New Roman"/>
          <w:i/>
          <w:iCs/>
          <w:kern w:val="2"/>
          <w:szCs w:val="18"/>
          <w:lang w:eastAsia="en-US" w:bidi="ar-SA"/>
        </w:rPr>
        <w:t xml:space="preserve"> </w:t>
      </w:r>
      <w:proofErr w:type="spellStart"/>
      <w:r w:rsidRPr="007137C6">
        <w:rPr>
          <w:rFonts w:eastAsia="Calibri" w:cs="Times New Roman"/>
          <w:i/>
          <w:iCs/>
          <w:kern w:val="2"/>
          <w:szCs w:val="18"/>
          <w:lang w:eastAsia="en-US" w:bidi="ar-SA"/>
        </w:rPr>
        <w:t>fumigatus</w:t>
      </w:r>
      <w:proofErr w:type="spellEnd"/>
      <w:r w:rsidRPr="007137C6">
        <w:rPr>
          <w:rFonts w:eastAsia="Calibri" w:cs="Times New Roman"/>
          <w:kern w:val="2"/>
          <w:szCs w:val="18"/>
          <w:lang w:eastAsia="en-US" w:bidi="ar-SA"/>
        </w:rPr>
        <w:t xml:space="preserve"> bijvoorbeeld al nauwlettend in de gaten gehouden. Uw Kamer is daarover regelmatig geïnformeerd.</w:t>
      </w:r>
      <w:r w:rsidRPr="007137C6">
        <w:rPr>
          <w:rStyle w:val="Voetnootmarkering"/>
          <w:rFonts w:eastAsia="Calibri" w:cs="Times New Roman"/>
          <w:kern w:val="2"/>
          <w:szCs w:val="18"/>
          <w:lang w:eastAsia="en-US" w:bidi="ar-SA"/>
        </w:rPr>
        <w:footnoteReference w:id="3"/>
      </w:r>
    </w:p>
    <w:p w:rsidRPr="007137C6" w:rsidR="009B1591" w:rsidP="00641C3D" w:rsidRDefault="009B1591" w14:paraId="42CD51AB" w14:textId="77777777">
      <w:pPr>
        <w:widowControl/>
        <w:autoSpaceDN/>
        <w:spacing w:after="160" w:line="240" w:lineRule="atLeast"/>
        <w:textAlignment w:val="auto"/>
        <w:rPr>
          <w:rFonts w:eastAsia="Calibri" w:cs="Times New Roman"/>
          <w:b/>
          <w:bCs/>
          <w:kern w:val="2"/>
          <w:szCs w:val="18"/>
          <w:lang w:eastAsia="en-US" w:bidi="ar-SA"/>
        </w:rPr>
      </w:pPr>
      <w:r w:rsidRPr="007137C6">
        <w:rPr>
          <w:rFonts w:eastAsia="Calibri" w:cs="Times New Roman"/>
          <w:b/>
          <w:bCs/>
          <w:kern w:val="2"/>
          <w:szCs w:val="18"/>
          <w:lang w:eastAsia="en-US" w:bidi="ar-SA"/>
        </w:rPr>
        <w:t>Het internationaal perspectief</w:t>
      </w:r>
    </w:p>
    <w:p w:rsidRPr="007137C6" w:rsidR="009B1591" w:rsidP="00641C3D" w:rsidRDefault="009B1591" w14:paraId="59C2ED41"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Een ander belangrijk accent van het Nederlands Actieplan AMR 2024-2030 is de versterking van samenwerking en integratie, van regionaal tot mondiaal niveau. Resistente microben zijn niet gebonden aan grenzen. Omdat Nederland een knooppunt is van grote internationale handels- en reizigersstromen, is het risico op introductie van resistentie van buitenaf reëel. Het is daarom van cruciaal belang dat internationale samenwerking een belangrijke plek heeft in het beleid, bijvoorbeeld door het onderwerp hoog op de internationale politieke agenda te houden en onze nationale ervaring, kennis en expertise uit te wisselen met internationale partners. </w:t>
      </w:r>
    </w:p>
    <w:p w:rsidRPr="007137C6" w:rsidR="009B1591" w:rsidP="00641C3D" w:rsidRDefault="009B1591" w14:paraId="2614B22D"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Het gebruik van antischimmelmiddelen in de landbouw op Europees en mondiaal niveau is daarbij een bijzonder aandachtspunt. Een geneesmiddel dat hard nodig is vanwege de groeiende resistentieproblematiek, kan snel zijn werking verliezen als de unieke stoffen in dit middel ook worden benut voor toepassingen buiten de </w:t>
      </w:r>
      <w:r w:rsidRPr="007137C6">
        <w:rPr>
          <w:rFonts w:eastAsia="Calibri" w:cs="Times New Roman"/>
          <w:kern w:val="2"/>
          <w:szCs w:val="18"/>
          <w:lang w:eastAsia="en-US" w:bidi="ar-SA"/>
        </w:rPr>
        <w:lastRenderedPageBreak/>
        <w:t xml:space="preserve">humane geneeskunde. Een voorbeeld hiervan is een nieuw geneesmiddel dat in ontwikkeling is en waarvan hoge verwachtingen zijn voor de behandeling van resistente schimmelinfecties, terwijl parallel hieraan ook stoffen met een vergelijkbaar werkingsmechanisme worden ontwikkeld voor andere doeleinden, zoals gewasbescherming, waardoor zogenoemde kruisresistentie tussen verschillende middelen kan ontstaan. Vanuit Nederland is de inzet om - in en buiten Europa - bewustwording te creëren ten aanzien van dit gevaar van kruisresistentie, goede en tijdige uitwisseling van informatie tussen betrokken toelatingsautoriteiten te bepleiten en in internationaal verband de handen ervoor op elkaar te krijgen om nieuwe klassen essentiële antischimmelmiddelen exclusief voor de humane geneeskunde te </w:t>
      </w:r>
      <w:bookmarkStart w:name="_Hlk175235483" w:id="2"/>
      <w:r w:rsidRPr="007137C6">
        <w:rPr>
          <w:rFonts w:eastAsia="Calibri" w:cs="Times New Roman"/>
          <w:kern w:val="2"/>
          <w:szCs w:val="18"/>
          <w:lang w:eastAsia="en-US" w:bidi="ar-SA"/>
        </w:rPr>
        <w:t>behouden.</w:t>
      </w:r>
    </w:p>
    <w:p w:rsidRPr="007137C6" w:rsidR="009B1591" w:rsidP="00641C3D" w:rsidRDefault="009B1591" w14:paraId="030440D8" w14:textId="77777777">
      <w:pPr>
        <w:widowControl/>
        <w:autoSpaceDN/>
        <w:spacing w:after="160" w:line="240" w:lineRule="atLeast"/>
        <w:textAlignment w:val="auto"/>
        <w:rPr>
          <w:rFonts w:eastAsia="Calibri" w:cs="Times New Roman"/>
          <w:b/>
          <w:bCs/>
          <w:kern w:val="2"/>
          <w:szCs w:val="18"/>
          <w:lang w:eastAsia="en-US" w:bidi="ar-SA"/>
        </w:rPr>
      </w:pPr>
      <w:r w:rsidRPr="007137C6">
        <w:rPr>
          <w:rFonts w:eastAsia="Calibri" w:cs="Times New Roman"/>
          <w:b/>
          <w:bCs/>
          <w:kern w:val="2"/>
          <w:szCs w:val="18"/>
          <w:lang w:eastAsia="en-US" w:bidi="ar-SA"/>
        </w:rPr>
        <w:t>Aanbevelingen van de Gezondheidsraad met reactie</w:t>
      </w:r>
    </w:p>
    <w:p w:rsidRPr="007137C6" w:rsidR="009B1591" w:rsidP="00641C3D" w:rsidRDefault="009B1591" w14:paraId="55383F70"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De Gezondheidsraad </w:t>
      </w:r>
      <w:bookmarkEnd w:id="2"/>
      <w:r w:rsidRPr="007137C6">
        <w:rPr>
          <w:rFonts w:eastAsia="Calibri" w:cs="Times New Roman"/>
          <w:kern w:val="2"/>
          <w:szCs w:val="18"/>
          <w:lang w:eastAsia="en-US" w:bidi="ar-SA"/>
        </w:rPr>
        <w:t>doet acht concrete aanbevelingen die kunnen bijdragen aan het beperken van de problematiek van antimycoticaresistentie. Deze aanbevelingen en onze reactie erop worden hieronder puntsgewijs aangegeven.</w:t>
      </w:r>
    </w:p>
    <w:p w:rsidRPr="007137C6" w:rsidR="009B1591" w:rsidP="00641C3D" w:rsidRDefault="009B1591" w14:paraId="69E68288"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u w:val="single"/>
          <w:lang w:eastAsia="en-US" w:bidi="ar-SA"/>
        </w:rPr>
        <w:t>1. Wijs een coördinator voor de aanpak van het probleem aan</w:t>
      </w:r>
    </w:p>
    <w:p w:rsidRPr="007137C6" w:rsidR="009B1591" w:rsidP="00641C3D" w:rsidRDefault="009B1591" w14:paraId="4B2A79E4"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De Gezondheidsraad adviseert de trekkersrol voor dit vraagstuk bij één departement te leggen in nauwe samenspraak met andere betrokken departementen. De minister van VWS is op interdepartementaal niveau al trekker van het dossier AMR, waar schimmelresistentie nu ook expliciet onder valt. Dit is ook conform de aanbevelingen van de Sociaaleconomische Raad (SER) over domein-overstijgend gezondheidsbeleid en </w:t>
      </w:r>
      <w:r w:rsidRPr="007137C6">
        <w:rPr>
          <w:rFonts w:eastAsia="Calibri" w:cs="Times New Roman"/>
          <w:i/>
          <w:iCs/>
          <w:kern w:val="2"/>
          <w:szCs w:val="18"/>
          <w:lang w:eastAsia="en-US" w:bidi="ar-SA"/>
        </w:rPr>
        <w:t xml:space="preserve">Health in </w:t>
      </w:r>
      <w:proofErr w:type="spellStart"/>
      <w:r w:rsidRPr="007137C6">
        <w:rPr>
          <w:rFonts w:eastAsia="Calibri" w:cs="Times New Roman"/>
          <w:i/>
          <w:iCs/>
          <w:kern w:val="2"/>
          <w:szCs w:val="18"/>
          <w:lang w:eastAsia="en-US" w:bidi="ar-SA"/>
        </w:rPr>
        <w:t>all</w:t>
      </w:r>
      <w:proofErr w:type="spellEnd"/>
      <w:r w:rsidRPr="007137C6">
        <w:rPr>
          <w:rFonts w:eastAsia="Calibri" w:cs="Times New Roman"/>
          <w:i/>
          <w:iCs/>
          <w:kern w:val="2"/>
          <w:szCs w:val="18"/>
          <w:lang w:eastAsia="en-US" w:bidi="ar-SA"/>
        </w:rPr>
        <w:t xml:space="preserve"> </w:t>
      </w:r>
      <w:proofErr w:type="spellStart"/>
      <w:r w:rsidRPr="007137C6">
        <w:rPr>
          <w:rFonts w:eastAsia="Calibri" w:cs="Times New Roman"/>
          <w:i/>
          <w:iCs/>
          <w:kern w:val="2"/>
          <w:szCs w:val="18"/>
          <w:lang w:eastAsia="en-US" w:bidi="ar-SA"/>
        </w:rPr>
        <w:t>policies</w:t>
      </w:r>
      <w:proofErr w:type="spellEnd"/>
      <w:r w:rsidRPr="007137C6">
        <w:rPr>
          <w:rFonts w:eastAsia="Calibri" w:cs="Times New Roman"/>
          <w:i/>
          <w:iCs/>
          <w:kern w:val="2"/>
          <w:szCs w:val="18"/>
          <w:lang w:eastAsia="en-US" w:bidi="ar-SA"/>
        </w:rPr>
        <w:t>.</w:t>
      </w:r>
    </w:p>
    <w:p w:rsidRPr="007137C6" w:rsidR="009B1591" w:rsidP="00641C3D" w:rsidRDefault="009B1591" w14:paraId="3792FB8B" w14:textId="77777777">
      <w:pPr>
        <w:widowControl/>
        <w:autoSpaceDN/>
        <w:spacing w:after="160" w:line="240" w:lineRule="atLeast"/>
        <w:textAlignment w:val="auto"/>
        <w:rPr>
          <w:rFonts w:eastAsia="Calibri" w:cs="Times New Roman"/>
          <w:kern w:val="2"/>
          <w:szCs w:val="18"/>
          <w:u w:val="single"/>
          <w:lang w:eastAsia="en-US" w:bidi="ar-SA"/>
        </w:rPr>
      </w:pPr>
      <w:r w:rsidRPr="007137C6">
        <w:rPr>
          <w:rFonts w:eastAsia="Calibri" w:cs="Times New Roman"/>
          <w:kern w:val="2"/>
          <w:szCs w:val="18"/>
          <w:u w:val="single"/>
          <w:lang w:eastAsia="en-US" w:bidi="ar-SA"/>
        </w:rPr>
        <w:t>2. Benut de bestaande expertise op het gebied van schimmelinfecties, versterk en bundel deze</w:t>
      </w:r>
    </w:p>
    <w:p w:rsidRPr="007137C6" w:rsidR="009B1591" w:rsidP="00641C3D" w:rsidRDefault="009B1591" w14:paraId="1CC8C390"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De Gezondheidsraad adviseert dat de infrastructuur op het gebied van schimmelinfecties bij het RIVM wordt versterkt, en dat de bestaande expertise op dit gebied wordt gebundeld middels een Kennisplatform Schimmelziekten. </w:t>
      </w:r>
    </w:p>
    <w:p w:rsidRPr="007137C6" w:rsidR="009B1591" w:rsidP="00641C3D" w:rsidRDefault="009B1591" w14:paraId="5D032A67"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Om verder gevolg te geven aan het Nederlands Actieplan AMR, wordt momenteel binnen VWS gewerkt aan een geschikte implementatiestructuur om de actiepunten op de verschillende thema’s ten uitvoering te brengen. Gezien bestrijding van schimmelresistentie als specifiek aandachtspunt is opgenomen in het Nationaal Actieplan AMR met daar bijbehorende acties, zal dit thema dus ook onderdeel vormen van de uitvoeringsagenda. Hiervoor zullen experts vanuit diverse kennisinstituten en beoordelingsinstanties - inclusief het RIVM, de WUR en het </w:t>
      </w:r>
      <w:proofErr w:type="spellStart"/>
      <w:r w:rsidRPr="007137C6">
        <w:rPr>
          <w:rFonts w:eastAsia="Calibri" w:cs="Times New Roman"/>
          <w:kern w:val="2"/>
          <w:szCs w:val="18"/>
          <w:lang w:eastAsia="en-US" w:bidi="ar-SA"/>
        </w:rPr>
        <w:t>Ctgb</w:t>
      </w:r>
      <w:proofErr w:type="spellEnd"/>
      <w:r w:rsidRPr="007137C6">
        <w:rPr>
          <w:rFonts w:eastAsia="Calibri" w:cs="Times New Roman"/>
          <w:kern w:val="2"/>
          <w:szCs w:val="18"/>
          <w:lang w:eastAsia="en-US" w:bidi="ar-SA"/>
        </w:rPr>
        <w:t xml:space="preserve"> - en de betrokken sectoren en beleidmakers bijeen worden gebracht. Doel is om vanuit een </w:t>
      </w:r>
      <w:proofErr w:type="spellStart"/>
      <w:r w:rsidRPr="007137C6">
        <w:rPr>
          <w:rFonts w:eastAsia="Calibri" w:cs="Times New Roman"/>
          <w:kern w:val="2"/>
          <w:szCs w:val="18"/>
          <w:lang w:eastAsia="en-US" w:bidi="ar-SA"/>
        </w:rPr>
        <w:t>One</w:t>
      </w:r>
      <w:proofErr w:type="spellEnd"/>
      <w:r w:rsidRPr="007137C6">
        <w:rPr>
          <w:rFonts w:eastAsia="Calibri" w:cs="Times New Roman"/>
          <w:kern w:val="2"/>
          <w:szCs w:val="18"/>
          <w:lang w:eastAsia="en-US" w:bidi="ar-SA"/>
        </w:rPr>
        <w:t xml:space="preserve"> Health aanpak kennis uit te wisselen, te bundelen, te verspreiden en bij te dragen aan het uitvoeren van de voorgenomen acties vanuit het Nederlands Actieplan AMR en het advies van de Gezondheidsraad. </w:t>
      </w:r>
    </w:p>
    <w:p w:rsidR="009B1591" w:rsidP="00641C3D" w:rsidRDefault="009B1591" w14:paraId="5D7E8902"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De bestaande samenwerking van het RIVM met het </w:t>
      </w:r>
      <w:proofErr w:type="spellStart"/>
      <w:r w:rsidRPr="007137C6">
        <w:rPr>
          <w:rFonts w:eastAsia="Calibri" w:cs="Times New Roman"/>
          <w:kern w:val="2"/>
          <w:szCs w:val="18"/>
          <w:lang w:eastAsia="en-US" w:bidi="ar-SA"/>
        </w:rPr>
        <w:t>Radboudumc</w:t>
      </w:r>
      <w:proofErr w:type="spellEnd"/>
      <w:r w:rsidRPr="007137C6">
        <w:rPr>
          <w:rFonts w:eastAsia="Calibri" w:cs="Times New Roman"/>
          <w:kern w:val="2"/>
          <w:szCs w:val="18"/>
          <w:lang w:eastAsia="en-US" w:bidi="ar-SA"/>
        </w:rPr>
        <w:t xml:space="preserve">, dat referentielaboratorium is voor schimmelinfecties, vormt daarmee nu al een waardevol kennisnetwerk waar verder op kan worden doorgebouwd binnen de context van het Actieplan. Veel schimmelinfecties zijn complex en vereisen gespecialiseerde kennis. Artsen komen deze problematiek niet frequent tegen. Zij kunnen voor advies ook nu al terecht bij het bij het NFU Expertisecentrum schimmelinfecties in het </w:t>
      </w:r>
      <w:proofErr w:type="spellStart"/>
      <w:r w:rsidRPr="007137C6">
        <w:rPr>
          <w:rFonts w:eastAsia="Calibri" w:cs="Times New Roman"/>
          <w:kern w:val="2"/>
          <w:szCs w:val="18"/>
          <w:lang w:eastAsia="en-US" w:bidi="ar-SA"/>
        </w:rPr>
        <w:t>Radboudumc</w:t>
      </w:r>
      <w:proofErr w:type="spellEnd"/>
      <w:r w:rsidRPr="007137C6">
        <w:rPr>
          <w:rFonts w:eastAsia="Calibri" w:cs="Times New Roman"/>
          <w:kern w:val="2"/>
          <w:szCs w:val="18"/>
          <w:lang w:eastAsia="en-US" w:bidi="ar-SA"/>
        </w:rPr>
        <w:t>.</w:t>
      </w:r>
    </w:p>
    <w:p w:rsidR="00CE33DF" w:rsidP="00641C3D" w:rsidRDefault="00CE33DF" w14:paraId="5A5AF887" w14:textId="77777777">
      <w:pPr>
        <w:widowControl/>
        <w:autoSpaceDN/>
        <w:spacing w:after="160" w:line="240" w:lineRule="atLeast"/>
        <w:textAlignment w:val="auto"/>
        <w:rPr>
          <w:rFonts w:eastAsia="Calibri" w:cs="Times New Roman"/>
          <w:kern w:val="2"/>
          <w:szCs w:val="18"/>
          <w:lang w:eastAsia="en-US" w:bidi="ar-SA"/>
        </w:rPr>
      </w:pPr>
    </w:p>
    <w:p w:rsidRPr="007137C6" w:rsidR="00CE33DF" w:rsidP="00641C3D" w:rsidRDefault="00CE33DF" w14:paraId="6EFD34F9" w14:textId="77777777">
      <w:pPr>
        <w:widowControl/>
        <w:autoSpaceDN/>
        <w:spacing w:after="160" w:line="240" w:lineRule="atLeast"/>
        <w:textAlignment w:val="auto"/>
        <w:rPr>
          <w:rFonts w:eastAsia="Calibri" w:cs="Times New Roman"/>
          <w:kern w:val="2"/>
          <w:szCs w:val="18"/>
          <w:lang w:eastAsia="en-US" w:bidi="ar-SA"/>
        </w:rPr>
      </w:pPr>
    </w:p>
    <w:p w:rsidRPr="007137C6" w:rsidR="009B1591" w:rsidP="00641C3D" w:rsidRDefault="009B1591" w14:paraId="02E61DCF" w14:textId="77777777">
      <w:pPr>
        <w:widowControl/>
        <w:autoSpaceDN/>
        <w:spacing w:after="160" w:line="240" w:lineRule="atLeast"/>
        <w:textAlignment w:val="auto"/>
        <w:rPr>
          <w:rFonts w:eastAsia="Calibri" w:cs="Times New Roman"/>
          <w:i/>
          <w:iCs/>
          <w:kern w:val="2"/>
          <w:szCs w:val="18"/>
          <w:u w:val="single"/>
          <w:lang w:eastAsia="en-US" w:bidi="ar-SA"/>
        </w:rPr>
      </w:pPr>
      <w:r w:rsidRPr="007137C6">
        <w:rPr>
          <w:rFonts w:eastAsia="Calibri" w:cs="Times New Roman"/>
          <w:kern w:val="2"/>
          <w:szCs w:val="18"/>
          <w:u w:val="single"/>
          <w:lang w:eastAsia="en-US" w:bidi="ar-SA"/>
        </w:rPr>
        <w:t>3. Voeg schimmels toe aan bestaande programma’s voor AMR-surveillance</w:t>
      </w:r>
    </w:p>
    <w:p w:rsidRPr="007137C6" w:rsidR="009B1591" w:rsidP="00641C3D" w:rsidRDefault="009B1591" w14:paraId="511250A9"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De Gezondheidsraad adviseert dat bestaande AMR surveillance wordt uitgebreid met ziekteverwekkende schimmels, en, in het licht van </w:t>
      </w:r>
      <w:proofErr w:type="spellStart"/>
      <w:r w:rsidRPr="007137C6">
        <w:rPr>
          <w:rFonts w:eastAsia="Calibri" w:cs="Times New Roman"/>
          <w:kern w:val="2"/>
          <w:szCs w:val="18"/>
          <w:lang w:eastAsia="en-US" w:bidi="ar-SA"/>
        </w:rPr>
        <w:t>van</w:t>
      </w:r>
      <w:proofErr w:type="spellEnd"/>
      <w:r w:rsidRPr="007137C6">
        <w:rPr>
          <w:rFonts w:eastAsia="Calibri" w:cs="Times New Roman"/>
          <w:kern w:val="2"/>
          <w:szCs w:val="18"/>
          <w:lang w:eastAsia="en-US" w:bidi="ar-SA"/>
        </w:rPr>
        <w:t xml:space="preserve"> een </w:t>
      </w:r>
      <w:proofErr w:type="spellStart"/>
      <w:r w:rsidRPr="007137C6">
        <w:rPr>
          <w:rFonts w:eastAsia="Calibri" w:cs="Times New Roman"/>
          <w:i/>
          <w:iCs/>
          <w:kern w:val="2"/>
          <w:szCs w:val="18"/>
          <w:lang w:eastAsia="en-US" w:bidi="ar-SA"/>
        </w:rPr>
        <w:t>One</w:t>
      </w:r>
      <w:proofErr w:type="spellEnd"/>
      <w:r w:rsidRPr="007137C6">
        <w:rPr>
          <w:rFonts w:eastAsia="Calibri" w:cs="Times New Roman"/>
          <w:i/>
          <w:iCs/>
          <w:kern w:val="2"/>
          <w:szCs w:val="18"/>
          <w:lang w:eastAsia="en-US" w:bidi="ar-SA"/>
        </w:rPr>
        <w:t xml:space="preserve"> Health</w:t>
      </w:r>
      <w:r w:rsidRPr="007137C6">
        <w:rPr>
          <w:rFonts w:eastAsia="Calibri" w:cs="Times New Roman"/>
          <w:kern w:val="2"/>
          <w:szCs w:val="18"/>
          <w:lang w:eastAsia="en-US" w:bidi="ar-SA"/>
        </w:rPr>
        <w:t xml:space="preserve"> aanpak ook milieusurveillance en veterinaire surveillance omvat. In het Nederlands Actieplan AMR 2024-2030 worden de monitoring en surveillance verbreed en verbeterd, waarbij als specifieke actie benoemd wordt dat de AMR surveillance in het humane domein wordt uitgebreid met de monitoring van resistentie tegen onder meer antischimmelmiddelen. </w:t>
      </w:r>
    </w:p>
    <w:p w:rsidRPr="007137C6" w:rsidR="009B1591" w:rsidP="00641C3D" w:rsidRDefault="009B1591" w14:paraId="46AD41A8"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Momenteel wordt alleen een zeer beperkte surveillance uitgevoerd naar de schimmel </w:t>
      </w:r>
      <w:proofErr w:type="spellStart"/>
      <w:r w:rsidRPr="007137C6">
        <w:rPr>
          <w:rFonts w:eastAsia="Calibri" w:cs="Times New Roman"/>
          <w:i/>
          <w:iCs/>
          <w:kern w:val="2"/>
          <w:szCs w:val="18"/>
          <w:lang w:eastAsia="en-US" w:bidi="ar-SA"/>
        </w:rPr>
        <w:t>Aspergillus</w:t>
      </w:r>
      <w:proofErr w:type="spellEnd"/>
      <w:r w:rsidRPr="007137C6">
        <w:rPr>
          <w:rFonts w:eastAsia="Calibri" w:cs="Times New Roman"/>
          <w:i/>
          <w:iCs/>
          <w:kern w:val="2"/>
          <w:szCs w:val="18"/>
          <w:lang w:eastAsia="en-US" w:bidi="ar-SA"/>
        </w:rPr>
        <w:t xml:space="preserve"> </w:t>
      </w:r>
      <w:proofErr w:type="spellStart"/>
      <w:r w:rsidRPr="007137C6">
        <w:rPr>
          <w:rFonts w:eastAsia="Calibri" w:cs="Times New Roman"/>
          <w:i/>
          <w:iCs/>
          <w:kern w:val="2"/>
          <w:szCs w:val="18"/>
          <w:lang w:eastAsia="en-US" w:bidi="ar-SA"/>
        </w:rPr>
        <w:t>fumigatus</w:t>
      </w:r>
      <w:proofErr w:type="spellEnd"/>
      <w:r w:rsidRPr="007137C6">
        <w:rPr>
          <w:rFonts w:eastAsia="Calibri" w:cs="Times New Roman"/>
          <w:kern w:val="2"/>
          <w:szCs w:val="18"/>
          <w:lang w:eastAsia="en-US" w:bidi="ar-SA"/>
        </w:rPr>
        <w:t xml:space="preserve">. Ontwikkeling van optimale surveillance vereist een inventarisatie van wat nodig is en wat de kosten daarvan zijn. Hierbij moeten het belang en de mogelijkheden van uitbreiding van surveillance naar andere schimmelinfecties – anders dan </w:t>
      </w:r>
      <w:proofErr w:type="spellStart"/>
      <w:r w:rsidRPr="007137C6">
        <w:rPr>
          <w:rFonts w:eastAsia="Calibri" w:cs="Times New Roman"/>
          <w:i/>
          <w:iCs/>
          <w:kern w:val="2"/>
          <w:szCs w:val="18"/>
          <w:lang w:eastAsia="en-US" w:bidi="ar-SA"/>
        </w:rPr>
        <w:t>Aspergillus</w:t>
      </w:r>
      <w:proofErr w:type="spellEnd"/>
      <w:r w:rsidRPr="007137C6">
        <w:rPr>
          <w:rFonts w:eastAsia="Calibri" w:cs="Times New Roman"/>
          <w:i/>
          <w:iCs/>
          <w:kern w:val="2"/>
          <w:szCs w:val="18"/>
          <w:lang w:eastAsia="en-US" w:bidi="ar-SA"/>
        </w:rPr>
        <w:t xml:space="preserve"> </w:t>
      </w:r>
      <w:proofErr w:type="spellStart"/>
      <w:r w:rsidRPr="007137C6">
        <w:rPr>
          <w:rFonts w:eastAsia="Calibri" w:cs="Times New Roman"/>
          <w:i/>
          <w:iCs/>
          <w:kern w:val="2"/>
          <w:szCs w:val="18"/>
          <w:lang w:eastAsia="en-US" w:bidi="ar-SA"/>
        </w:rPr>
        <w:t>fumigatus</w:t>
      </w:r>
      <w:proofErr w:type="spellEnd"/>
      <w:r w:rsidRPr="007137C6">
        <w:rPr>
          <w:rFonts w:eastAsia="Calibri" w:cs="Times New Roman"/>
          <w:kern w:val="2"/>
          <w:szCs w:val="18"/>
          <w:lang w:eastAsia="en-US" w:bidi="ar-SA"/>
        </w:rPr>
        <w:t xml:space="preserve"> - worden onderzocht, evenals de invulling en toegevoegde waarde van surveillance. Dit is geadresseerd in het Nederlands Actieplan AMR, maar hiervoor zijn op dit moment geen financiële middelen beschikbaar.</w:t>
      </w:r>
    </w:p>
    <w:p w:rsidRPr="007137C6" w:rsidR="009B1591" w:rsidP="00641C3D" w:rsidRDefault="009B1591" w14:paraId="7FBCA7D7" w14:textId="77777777">
      <w:pPr>
        <w:widowControl/>
        <w:autoSpaceDN/>
        <w:spacing w:after="160" w:line="240" w:lineRule="atLeast"/>
        <w:textAlignment w:val="auto"/>
        <w:rPr>
          <w:rFonts w:eastAsia="Calibri" w:cs="Times New Roman"/>
          <w:kern w:val="2"/>
          <w:szCs w:val="18"/>
          <w:u w:val="single"/>
          <w:lang w:eastAsia="en-US" w:bidi="ar-SA"/>
        </w:rPr>
      </w:pPr>
      <w:r w:rsidRPr="007137C6">
        <w:rPr>
          <w:rFonts w:eastAsia="Calibri" w:cs="Times New Roman"/>
          <w:kern w:val="2"/>
          <w:szCs w:val="18"/>
          <w:u w:val="single"/>
          <w:lang w:eastAsia="en-US" w:bidi="ar-SA"/>
        </w:rPr>
        <w:t>4. Pak bronnen van resistentievorming voortvarend aan en identificeer nog onbekende bronnen</w:t>
      </w:r>
    </w:p>
    <w:p w:rsidRPr="007137C6" w:rsidR="009B1591" w:rsidP="00641C3D" w:rsidRDefault="009B1591" w14:paraId="037FCCD5"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De Gezondheidsraad formuleert een aantal acties om bronnen van resistentievorming aan te pakken, waaronder onderzoek naar onbekende bronnen en naar de effectiviteit van bestrijdingsmaatregelen.  </w:t>
      </w:r>
    </w:p>
    <w:p w:rsidRPr="007137C6" w:rsidR="009B1591" w:rsidP="00641C3D" w:rsidRDefault="009B1591" w14:paraId="58E1C63E"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De Kamer is eerder geïnformeerd over onderzoek waarbij </w:t>
      </w:r>
      <w:r w:rsidRPr="007137C6">
        <w:rPr>
          <w:rFonts w:eastAsia="Calibri" w:cs="Times New Roman"/>
          <w:i/>
          <w:iCs/>
          <w:kern w:val="2"/>
          <w:szCs w:val="18"/>
          <w:lang w:eastAsia="en-US" w:bidi="ar-SA"/>
        </w:rPr>
        <w:t>hotspots</w:t>
      </w:r>
      <w:r w:rsidRPr="007137C6">
        <w:rPr>
          <w:rFonts w:eastAsia="Calibri" w:cs="Times New Roman"/>
          <w:kern w:val="2"/>
          <w:szCs w:val="18"/>
          <w:lang w:eastAsia="en-US" w:bidi="ar-SA"/>
        </w:rPr>
        <w:t xml:space="preserve"> van resistentieontwikkeling van </w:t>
      </w:r>
      <w:proofErr w:type="spellStart"/>
      <w:r w:rsidRPr="007137C6">
        <w:rPr>
          <w:rFonts w:eastAsia="Calibri" w:cs="Times New Roman"/>
          <w:i/>
          <w:iCs/>
          <w:kern w:val="2"/>
          <w:szCs w:val="18"/>
          <w:lang w:eastAsia="en-US" w:bidi="ar-SA"/>
        </w:rPr>
        <w:t>Aspergillus</w:t>
      </w:r>
      <w:proofErr w:type="spellEnd"/>
      <w:r w:rsidRPr="007137C6">
        <w:rPr>
          <w:rFonts w:eastAsia="Calibri" w:cs="Times New Roman"/>
          <w:i/>
          <w:iCs/>
          <w:kern w:val="2"/>
          <w:szCs w:val="18"/>
          <w:lang w:eastAsia="en-US" w:bidi="ar-SA"/>
        </w:rPr>
        <w:t xml:space="preserve"> </w:t>
      </w:r>
      <w:proofErr w:type="spellStart"/>
      <w:r w:rsidRPr="007137C6">
        <w:rPr>
          <w:rFonts w:eastAsia="Calibri" w:cs="Times New Roman"/>
          <w:i/>
          <w:iCs/>
          <w:kern w:val="2"/>
          <w:szCs w:val="18"/>
          <w:lang w:eastAsia="en-US" w:bidi="ar-SA"/>
        </w:rPr>
        <w:t>fumigatus</w:t>
      </w:r>
      <w:proofErr w:type="spellEnd"/>
      <w:r w:rsidRPr="007137C6">
        <w:rPr>
          <w:rFonts w:eastAsia="Calibri" w:cs="Times New Roman"/>
          <w:i/>
          <w:iCs/>
          <w:kern w:val="2"/>
          <w:szCs w:val="18"/>
          <w:lang w:eastAsia="en-US" w:bidi="ar-SA"/>
        </w:rPr>
        <w:t xml:space="preserve"> </w:t>
      </w:r>
      <w:r w:rsidRPr="007137C6">
        <w:rPr>
          <w:rFonts w:eastAsia="Calibri" w:cs="Times New Roman"/>
          <w:kern w:val="2"/>
          <w:szCs w:val="18"/>
          <w:lang w:eastAsia="en-US" w:bidi="ar-SA"/>
        </w:rPr>
        <w:t>zijn geïdentificeerd bij bloembollenafval, in de teelt van aardbeien, aardappelen, uien, groenafval en behandeld houtafval.</w:t>
      </w:r>
      <w:r w:rsidRPr="007137C6">
        <w:rPr>
          <w:rStyle w:val="Voetnootmarkering"/>
          <w:rFonts w:eastAsia="Calibri" w:cs="Times New Roman"/>
          <w:kern w:val="2"/>
          <w:szCs w:val="18"/>
          <w:lang w:eastAsia="en-US" w:bidi="ar-SA"/>
        </w:rPr>
        <w:footnoteReference w:id="4"/>
      </w:r>
      <w:r w:rsidRPr="007137C6">
        <w:rPr>
          <w:rFonts w:eastAsia="Calibri" w:cs="Times New Roman"/>
          <w:kern w:val="2"/>
          <w:szCs w:val="18"/>
          <w:lang w:eastAsia="en-US" w:bidi="ar-SA"/>
        </w:rPr>
        <w:t xml:space="preserve"> Ook loopt er momenteel nog verdiepend onderzoek in opdracht van </w:t>
      </w:r>
      <w:proofErr w:type="spellStart"/>
      <w:r w:rsidRPr="007137C6">
        <w:rPr>
          <w:rFonts w:eastAsia="Calibri" w:cs="Times New Roman"/>
          <w:kern w:val="2"/>
          <w:szCs w:val="18"/>
          <w:lang w:eastAsia="en-US" w:bidi="ar-SA"/>
        </w:rPr>
        <w:t>IenW</w:t>
      </w:r>
      <w:proofErr w:type="spellEnd"/>
      <w:r w:rsidRPr="007137C6">
        <w:rPr>
          <w:rFonts w:eastAsia="Calibri" w:cs="Times New Roman"/>
          <w:kern w:val="2"/>
          <w:szCs w:val="18"/>
          <w:lang w:eastAsia="en-US" w:bidi="ar-SA"/>
        </w:rPr>
        <w:t xml:space="preserve"> naar </w:t>
      </w:r>
      <w:r w:rsidRPr="007137C6">
        <w:rPr>
          <w:rFonts w:eastAsia="Calibri" w:cs="Times New Roman"/>
          <w:i/>
          <w:iCs/>
          <w:kern w:val="2"/>
          <w:szCs w:val="18"/>
          <w:lang w:eastAsia="en-US" w:bidi="ar-SA"/>
        </w:rPr>
        <w:t>hotspots</w:t>
      </w:r>
      <w:r w:rsidRPr="007137C6">
        <w:rPr>
          <w:rFonts w:eastAsia="Calibri" w:cs="Times New Roman"/>
          <w:kern w:val="2"/>
          <w:szCs w:val="18"/>
          <w:lang w:eastAsia="en-US" w:bidi="ar-SA"/>
        </w:rPr>
        <w:t xml:space="preserve"> in groenafval. Gelet op deze problematiek houdt het kabinet de ontwikkeling van azolenresistentie bij </w:t>
      </w:r>
      <w:proofErr w:type="spellStart"/>
      <w:r w:rsidRPr="007137C6">
        <w:rPr>
          <w:rFonts w:eastAsia="Calibri" w:cs="Times New Roman"/>
          <w:i/>
          <w:iCs/>
          <w:kern w:val="2"/>
          <w:szCs w:val="18"/>
          <w:lang w:eastAsia="en-US" w:bidi="ar-SA"/>
        </w:rPr>
        <w:t>Aspergillus</w:t>
      </w:r>
      <w:proofErr w:type="spellEnd"/>
      <w:r w:rsidRPr="007137C6">
        <w:rPr>
          <w:rFonts w:eastAsia="Calibri" w:cs="Times New Roman"/>
          <w:i/>
          <w:iCs/>
          <w:kern w:val="2"/>
          <w:szCs w:val="18"/>
          <w:lang w:eastAsia="en-US" w:bidi="ar-SA"/>
        </w:rPr>
        <w:t xml:space="preserve"> </w:t>
      </w:r>
      <w:proofErr w:type="spellStart"/>
      <w:r w:rsidRPr="007137C6">
        <w:rPr>
          <w:rFonts w:eastAsia="Calibri" w:cs="Times New Roman"/>
          <w:i/>
          <w:iCs/>
          <w:kern w:val="2"/>
          <w:szCs w:val="18"/>
          <w:lang w:eastAsia="en-US" w:bidi="ar-SA"/>
        </w:rPr>
        <w:t>fumigatus</w:t>
      </w:r>
      <w:proofErr w:type="spellEnd"/>
      <w:r w:rsidRPr="007137C6">
        <w:rPr>
          <w:rFonts w:eastAsia="Calibri" w:cs="Times New Roman"/>
          <w:kern w:val="2"/>
          <w:szCs w:val="18"/>
          <w:lang w:eastAsia="en-US" w:bidi="ar-SA"/>
        </w:rPr>
        <w:t xml:space="preserve"> nauwlettend in de gaten, en zal de Kamer op de hoogte worden gehouden van nieuwe bevindingen van lopend onderzoek. </w:t>
      </w:r>
    </w:p>
    <w:p w:rsidRPr="007137C6" w:rsidR="009B1591" w:rsidP="00641C3D" w:rsidRDefault="009B1591" w14:paraId="687F2192"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De Europese Commissie heeft in 2022 op aandringen van Nederland, vijf Europese agentschappen (EFSA, ECHA, EMA, ECDC en EEA</w:t>
      </w:r>
      <w:r w:rsidRPr="007137C6">
        <w:rPr>
          <w:rFonts w:eastAsia="Calibri" w:cs="Times New Roman"/>
          <w:kern w:val="2"/>
          <w:szCs w:val="18"/>
          <w:vertAlign w:val="superscript"/>
          <w:lang w:eastAsia="en-US" w:bidi="ar-SA"/>
        </w:rPr>
        <w:footnoteReference w:id="5"/>
      </w:r>
      <w:r w:rsidRPr="007137C6">
        <w:rPr>
          <w:rFonts w:eastAsia="Calibri" w:cs="Times New Roman"/>
          <w:kern w:val="2"/>
          <w:szCs w:val="18"/>
          <w:lang w:eastAsia="en-US" w:bidi="ar-SA"/>
        </w:rPr>
        <w:t xml:space="preserve">) verzocht om gezamenlijk een wetenschappelijk rapport te schrijven over de impact van het gebruik van azolen, niet zijnde geneesmiddelen, op de ontwikkeling van azolenresistente </w:t>
      </w:r>
      <w:proofErr w:type="spellStart"/>
      <w:r w:rsidRPr="007137C6">
        <w:rPr>
          <w:rFonts w:eastAsia="Calibri" w:cs="Times New Roman"/>
          <w:i/>
          <w:iCs/>
          <w:kern w:val="2"/>
          <w:szCs w:val="18"/>
          <w:lang w:eastAsia="en-US" w:bidi="ar-SA"/>
        </w:rPr>
        <w:t>Aspergillus</w:t>
      </w:r>
      <w:proofErr w:type="spellEnd"/>
      <w:r w:rsidRPr="007137C6">
        <w:rPr>
          <w:rFonts w:eastAsia="Calibri" w:cs="Times New Roman"/>
          <w:i/>
          <w:iCs/>
          <w:kern w:val="2"/>
          <w:szCs w:val="18"/>
          <w:lang w:eastAsia="en-US" w:bidi="ar-SA"/>
        </w:rPr>
        <w:t xml:space="preserve"> </w:t>
      </w:r>
      <w:proofErr w:type="spellStart"/>
      <w:r w:rsidRPr="007137C6">
        <w:rPr>
          <w:rFonts w:eastAsia="Calibri" w:cs="Times New Roman"/>
          <w:i/>
          <w:iCs/>
          <w:kern w:val="2"/>
          <w:szCs w:val="18"/>
          <w:lang w:eastAsia="en-US" w:bidi="ar-SA"/>
        </w:rPr>
        <w:t>fumigatus</w:t>
      </w:r>
      <w:proofErr w:type="spellEnd"/>
      <w:r w:rsidRPr="007137C6">
        <w:rPr>
          <w:rFonts w:eastAsia="Calibri" w:cs="Times New Roman"/>
          <w:kern w:val="2"/>
          <w:szCs w:val="18"/>
          <w:lang w:eastAsia="en-US" w:bidi="ar-SA"/>
        </w:rPr>
        <w:t>. EFSA coördineert de uitvoering van dit mandaat</w:t>
      </w:r>
      <w:r w:rsidRPr="007137C6">
        <w:rPr>
          <w:rFonts w:eastAsia="Calibri" w:cs="Times New Roman"/>
          <w:kern w:val="2"/>
          <w:szCs w:val="18"/>
          <w:vertAlign w:val="superscript"/>
          <w:lang w:eastAsia="en-US" w:bidi="ar-SA"/>
        </w:rPr>
        <w:footnoteReference w:id="6"/>
      </w:r>
      <w:r w:rsidRPr="007137C6">
        <w:rPr>
          <w:rFonts w:eastAsia="Calibri" w:cs="Times New Roman"/>
          <w:kern w:val="2"/>
          <w:szCs w:val="18"/>
          <w:lang w:eastAsia="en-US" w:bidi="ar-SA"/>
        </w:rPr>
        <w:t xml:space="preserve">. Denemarken en Nederland zijn gevraagd om mee te denken en te ondersteunen aangezien deze lidstaten voorop lopen in het onderzoek op dit gebied. Vanuit Nederland nemen het ministerie van LVVN, het </w:t>
      </w:r>
      <w:proofErr w:type="spellStart"/>
      <w:r w:rsidRPr="007137C6">
        <w:rPr>
          <w:rFonts w:eastAsia="Calibri" w:cs="Times New Roman"/>
          <w:kern w:val="2"/>
          <w:szCs w:val="18"/>
          <w:lang w:eastAsia="en-US" w:bidi="ar-SA"/>
        </w:rPr>
        <w:t>Ctgb</w:t>
      </w:r>
      <w:proofErr w:type="spellEnd"/>
      <w:r w:rsidRPr="007137C6">
        <w:rPr>
          <w:rFonts w:eastAsia="Calibri" w:cs="Times New Roman"/>
          <w:kern w:val="2"/>
          <w:szCs w:val="18"/>
          <w:lang w:eastAsia="en-US" w:bidi="ar-SA"/>
        </w:rPr>
        <w:t xml:space="preserve"> en experts op het gebied van schimmelresistentie deel aan de overleggen van een aantal werkgroepen binnen het onderzoek. Omdat er nog niet veel bekend is over resistentievorming en -verspreiding om de bronnen van resistentievorming aan te kunnen pakken, is de </w:t>
      </w:r>
      <w:r w:rsidRPr="007137C6">
        <w:rPr>
          <w:rFonts w:eastAsia="Calibri" w:cs="Times New Roman"/>
          <w:kern w:val="2"/>
          <w:szCs w:val="18"/>
          <w:lang w:eastAsia="en-US" w:bidi="ar-SA"/>
        </w:rPr>
        <w:lastRenderedPageBreak/>
        <w:t xml:space="preserve">huidige inzet om het onderzoek van de vijf Europese agentschappen naar de ontwikkeling van azolenresistente </w:t>
      </w:r>
      <w:proofErr w:type="spellStart"/>
      <w:r w:rsidRPr="007137C6">
        <w:rPr>
          <w:rFonts w:eastAsia="Calibri" w:cs="Times New Roman"/>
          <w:i/>
          <w:iCs/>
          <w:kern w:val="2"/>
          <w:szCs w:val="18"/>
          <w:lang w:eastAsia="en-US" w:bidi="ar-SA"/>
        </w:rPr>
        <w:t>Aspergillus</w:t>
      </w:r>
      <w:proofErr w:type="spellEnd"/>
      <w:r w:rsidRPr="007137C6">
        <w:rPr>
          <w:rFonts w:eastAsia="Calibri" w:cs="Times New Roman"/>
          <w:kern w:val="2"/>
          <w:szCs w:val="18"/>
          <w:lang w:eastAsia="en-US" w:bidi="ar-SA"/>
        </w:rPr>
        <w:t>-schimmels af te wachten.</w:t>
      </w:r>
    </w:p>
    <w:p w:rsidRPr="007137C6" w:rsidR="009B1591" w:rsidP="00641C3D" w:rsidRDefault="009B1591" w14:paraId="7037D134" w14:textId="77777777">
      <w:pPr>
        <w:widowControl/>
        <w:autoSpaceDN/>
        <w:spacing w:after="160" w:line="240" w:lineRule="atLeast"/>
        <w:textAlignment w:val="auto"/>
        <w:rPr>
          <w:rFonts w:eastAsia="Calibri" w:cs="Times New Roman"/>
          <w:kern w:val="2"/>
          <w:szCs w:val="18"/>
          <w:u w:val="single"/>
          <w:lang w:eastAsia="en-US" w:bidi="ar-SA"/>
        </w:rPr>
      </w:pPr>
      <w:r w:rsidRPr="007137C6">
        <w:rPr>
          <w:rFonts w:eastAsia="Calibri" w:cs="Times New Roman"/>
          <w:kern w:val="2"/>
          <w:szCs w:val="18"/>
          <w:u w:val="single"/>
          <w:lang w:eastAsia="en-US" w:bidi="ar-SA"/>
        </w:rPr>
        <w:t>5. Voorkom het gelijktijdig gebruik van verwante middelen in landbouw of andere brede toepassingen zoals houtconservering en geneeskunde zo veel mogelijk</w:t>
      </w:r>
    </w:p>
    <w:p w:rsidRPr="007137C6" w:rsidR="009B1591" w:rsidP="00641C3D" w:rsidRDefault="009B1591" w14:paraId="286198B3"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In lijn met het advies van de Gezondheidsraad, is in het actieplan vastgelegd dat Nederland in Europese en mondiale fora bepleit dat nieuw ontwikkelde antischimmelmiddelen worden gereserveerd voor humaan gebruik. Dit houdt onder meer in om er vanuit Nederland bij de Europese Commissie op aan te dringen om te onderzoeken op welke manier dit kan worden gerealiseerd. Daarnaast is de inzet van het kabinet om op Europees niveau te bezien wat de mogelijkheden zijn voor het meewegen van het risico van kruisresistentie bij de Europese goedkeuring van werkzame stoffen en bij de nationale toelating van biociden en gewasbeschermingsmiddelen.</w:t>
      </w:r>
    </w:p>
    <w:p w:rsidRPr="007137C6" w:rsidR="009B1591" w:rsidP="00641C3D" w:rsidRDefault="009B1591" w14:paraId="432BD894"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Daarnaast richt een onderdeel van het eerder genoemde Europese onderzoeksproject onder leiding van EFSA zich op het identificeren van soorten studies voor risicobeoordeling die toelatingshouders kunnen aanleveren bij de aanvraag van schimmelwerende middelen. Hierbij wordt gekeken welke methodologieën gebruikt kunnen worden om kruisresistentie in de risicobeoordeling mee te nemen. In afwachting van de resultaten worden hierover al verkennende gesprekken gevoerd met het RIVM en </w:t>
      </w:r>
      <w:proofErr w:type="spellStart"/>
      <w:r w:rsidRPr="007137C6">
        <w:rPr>
          <w:rFonts w:eastAsia="Calibri" w:cs="Times New Roman"/>
          <w:kern w:val="2"/>
          <w:szCs w:val="18"/>
          <w:lang w:eastAsia="en-US" w:bidi="ar-SA"/>
        </w:rPr>
        <w:t>Ctgb</w:t>
      </w:r>
      <w:proofErr w:type="spellEnd"/>
      <w:r w:rsidRPr="007137C6">
        <w:rPr>
          <w:rFonts w:eastAsia="Calibri" w:cs="Times New Roman"/>
          <w:kern w:val="2"/>
          <w:szCs w:val="18"/>
          <w:lang w:eastAsia="en-US" w:bidi="ar-SA"/>
        </w:rPr>
        <w:t xml:space="preserve">. </w:t>
      </w:r>
    </w:p>
    <w:p w:rsidRPr="007137C6" w:rsidR="009B1591" w:rsidP="00641C3D" w:rsidRDefault="009B1591" w14:paraId="04207F89" w14:textId="77777777">
      <w:pPr>
        <w:widowControl/>
        <w:autoSpaceDN/>
        <w:spacing w:after="160" w:line="240" w:lineRule="atLeast"/>
        <w:textAlignment w:val="auto"/>
        <w:rPr>
          <w:rFonts w:eastAsia="Calibri" w:cs="Times New Roman"/>
          <w:kern w:val="2"/>
          <w:szCs w:val="18"/>
          <w:u w:val="single"/>
          <w:lang w:eastAsia="en-US" w:bidi="ar-SA"/>
        </w:rPr>
      </w:pPr>
      <w:r w:rsidRPr="007137C6">
        <w:rPr>
          <w:rFonts w:eastAsia="Calibri" w:cs="Times New Roman"/>
          <w:kern w:val="2"/>
          <w:szCs w:val="18"/>
          <w:u w:val="single"/>
          <w:lang w:eastAsia="en-US" w:bidi="ar-SA"/>
        </w:rPr>
        <w:t xml:space="preserve">6. Bevorder geïntegreerde plaagdierbestrijding (IPM) en antimicrobieel </w:t>
      </w:r>
      <w:proofErr w:type="spellStart"/>
      <w:r w:rsidRPr="007137C6">
        <w:rPr>
          <w:rFonts w:eastAsia="Calibri" w:cs="Times New Roman"/>
          <w:kern w:val="2"/>
          <w:szCs w:val="18"/>
          <w:u w:val="single"/>
          <w:lang w:eastAsia="en-US" w:bidi="ar-SA"/>
        </w:rPr>
        <w:t>stewardship</w:t>
      </w:r>
      <w:proofErr w:type="spellEnd"/>
    </w:p>
    <w:p w:rsidRPr="007137C6" w:rsidR="009B1591" w:rsidP="00641C3D" w:rsidRDefault="009B1591" w14:paraId="6DC94F1B"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De Gezondheidsraad adviseert om het gebruik van gewasbeschermingsmiddelen en biociden in Nederland terug te dringen, onder meer middels geïntegreerde plaagbestrijding.</w:t>
      </w:r>
      <w:r w:rsidRPr="007137C6">
        <w:rPr>
          <w:rFonts w:eastAsia="Calibri" w:cs="Times New Roman"/>
          <w:kern w:val="2"/>
          <w:szCs w:val="18"/>
          <w:vertAlign w:val="superscript"/>
          <w:lang w:eastAsia="en-US" w:bidi="ar-SA"/>
        </w:rPr>
        <w:footnoteReference w:id="7"/>
      </w:r>
      <w:r w:rsidRPr="007137C6">
        <w:rPr>
          <w:rFonts w:eastAsia="Calibri" w:cs="Times New Roman"/>
          <w:kern w:val="2"/>
          <w:szCs w:val="18"/>
          <w:lang w:eastAsia="en-US" w:bidi="ar-SA"/>
        </w:rPr>
        <w:t xml:space="preserve"> Daarnaast wordt geadviseerd om verstandig gebruik van </w:t>
      </w:r>
      <w:proofErr w:type="spellStart"/>
      <w:r w:rsidRPr="007137C6">
        <w:rPr>
          <w:rFonts w:eastAsia="Calibri" w:cs="Times New Roman"/>
          <w:kern w:val="2"/>
          <w:szCs w:val="18"/>
          <w:lang w:eastAsia="en-US" w:bidi="ar-SA"/>
        </w:rPr>
        <w:t>schimmelbestrijdende</w:t>
      </w:r>
      <w:proofErr w:type="spellEnd"/>
      <w:r w:rsidRPr="007137C6">
        <w:rPr>
          <w:rFonts w:eastAsia="Calibri" w:cs="Times New Roman"/>
          <w:kern w:val="2"/>
          <w:szCs w:val="18"/>
          <w:lang w:eastAsia="en-US" w:bidi="ar-SA"/>
        </w:rPr>
        <w:t xml:space="preserve"> geneesmiddelen te stimuleren in de zorg.</w:t>
      </w:r>
    </w:p>
    <w:p w:rsidRPr="007137C6" w:rsidR="009B1591" w:rsidP="00641C3D" w:rsidRDefault="009B1591" w14:paraId="5EECC2AE"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In lijn met dit advies, beschrijft het Nederlands Actieplan AMR de inzet van het Kabinet om het verantwoord gebruik van antimicrobiële middelen te bevorderen in alle relevante sectoren, zoals de gewasteelt en industriële schimmelbestrijding. Ook in het Strategisch kader voor de inzet van biociden bij het voorkomen en beheersen van ongewenste organismen (Kamerstuk 27858, nr. 638) staat het toepassen van de IPM methode centraal, met als doel om vermijdbaar gebruik te voorkomen. Met het Uitvoeringsprogramma Toekomstvisie Gewasbescherming 2030 wordt gewerkt aan een transitie naar weerbare planten en teeltsystemen, waardoor ziekten en plagen veel minder kansen krijgen en het gebruik van gewasbeschermingsmiddelen zo veel mogelijk kan worden beperkt.  Geïntegreerde plaagdierbestrijding dient als basis voor dit beleid en zorgt voor een vermindering van de afhankelijkheid van chemische gewasbeschermingsmiddelen.</w:t>
      </w:r>
    </w:p>
    <w:p w:rsidRPr="007137C6" w:rsidR="009B1591" w:rsidP="00641C3D" w:rsidRDefault="009B1591" w14:paraId="3BF5816D"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Ten aanzien van het advies over verstandig gebruik van antimycotica in eerstelijnszorg, beschrijft het Nederlands Actieplan AMR de doelstelling van het verhogen van het bewustzijn en het kennisniveau over de volle breedte met als basis een overkoepelende communicatiestrategie die zal resulteren in domeingerichte en concrete communicatieactiviteiten. Een belangrijk instrument in de strijd tegen resistentie zijn de regionale AMR zorgnetwerken. Deze acht netwerken zetten zich in voor het voorkomen van antimicrobiële resistentie en het </w:t>
      </w:r>
      <w:r w:rsidRPr="007137C6">
        <w:rPr>
          <w:rFonts w:eastAsia="Calibri" w:cs="Times New Roman"/>
          <w:kern w:val="2"/>
          <w:szCs w:val="18"/>
          <w:lang w:eastAsia="en-US" w:bidi="ar-SA"/>
        </w:rPr>
        <w:lastRenderedPageBreak/>
        <w:t xml:space="preserve">bestrijden van de verspreiding op regionaal niveau. Activiteiten op gebied van antimicrobieel </w:t>
      </w:r>
      <w:proofErr w:type="spellStart"/>
      <w:r w:rsidRPr="007137C6">
        <w:rPr>
          <w:rFonts w:eastAsia="Calibri" w:cs="Times New Roman"/>
          <w:kern w:val="2"/>
          <w:szCs w:val="18"/>
          <w:lang w:eastAsia="en-US" w:bidi="ar-SA"/>
        </w:rPr>
        <w:t>stewardship</w:t>
      </w:r>
      <w:proofErr w:type="spellEnd"/>
      <w:r w:rsidRPr="007137C6">
        <w:rPr>
          <w:rFonts w:eastAsia="Calibri" w:cs="Times New Roman"/>
          <w:kern w:val="2"/>
          <w:szCs w:val="18"/>
          <w:lang w:eastAsia="en-US" w:bidi="ar-SA"/>
        </w:rPr>
        <w:t xml:space="preserve"> in de netwerken richten zich met name op eerste lijn. </w:t>
      </w:r>
    </w:p>
    <w:p w:rsidRPr="00CE33DF" w:rsidR="00CE33DF" w:rsidP="00641C3D" w:rsidRDefault="009B1591" w14:paraId="547301DF"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Ten aanzien van het beperken van de vrije verkrijgbaarheid van middelen in de drogisterij of supermarkt zal het ministerie van VWS een gesprek initiëren met betrokken stakeholders, om een afweging te kunnen maken in hoeverre het inperken van deze vrije verkrijgbaarheid realistisch, wenselijk en proportioneel is in relatie tot extra administratieve lasten, kosten en belasting van de zorg.</w:t>
      </w:r>
    </w:p>
    <w:p w:rsidRPr="007137C6" w:rsidR="009B1591" w:rsidP="00641C3D" w:rsidRDefault="009B1591" w14:paraId="5B1BA898" w14:textId="77777777">
      <w:pPr>
        <w:widowControl/>
        <w:autoSpaceDN/>
        <w:spacing w:after="160" w:line="240" w:lineRule="atLeast"/>
        <w:textAlignment w:val="auto"/>
        <w:rPr>
          <w:rFonts w:eastAsia="Calibri" w:cs="Times New Roman"/>
          <w:kern w:val="2"/>
          <w:szCs w:val="18"/>
          <w:u w:val="single"/>
          <w:lang w:eastAsia="en-US" w:bidi="ar-SA"/>
        </w:rPr>
      </w:pPr>
      <w:r w:rsidRPr="007137C6">
        <w:rPr>
          <w:rFonts w:eastAsia="Calibri" w:cs="Times New Roman"/>
          <w:kern w:val="2"/>
          <w:szCs w:val="18"/>
          <w:u w:val="single"/>
          <w:lang w:eastAsia="en-US" w:bidi="ar-SA"/>
        </w:rPr>
        <w:t>7. Stimuleer onderzoek naar aanvullende medische interventies</w:t>
      </w:r>
    </w:p>
    <w:p w:rsidRPr="007137C6" w:rsidR="009B1591" w:rsidP="00641C3D" w:rsidRDefault="009B1591" w14:paraId="4F1FAE3A"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Onderzoek naar nieuwe aangrijpingspunten voor nieuwe antimicrobiële middelen en nieuwe geneesmiddelen is van groot belang en een zeer kostbaar en langdurig proces. In lijn met het advies van de Gezondheidsraad financiert Nederland langlopende onderzoeksprogramma’s met een focus op het ontwikkelen van nieuwe antimicrobiële middelen en alternatieve therapieën, zoals vastgelegd in het Nederlands Actieplan AMR. Vanuit de nationale overheden worden hiertoe verschillende initiatieven gefinancierd, zoals het NACTAR</w:t>
      </w:r>
      <w:r w:rsidRPr="007137C6">
        <w:rPr>
          <w:rFonts w:eastAsia="Calibri" w:cs="Times New Roman"/>
          <w:kern w:val="2"/>
          <w:szCs w:val="18"/>
          <w:vertAlign w:val="superscript"/>
          <w:lang w:eastAsia="en-US" w:bidi="ar-SA"/>
        </w:rPr>
        <w:footnoteReference w:id="8"/>
      </w:r>
      <w:r w:rsidRPr="007137C6">
        <w:rPr>
          <w:rFonts w:eastAsia="Calibri" w:cs="Times New Roman"/>
          <w:kern w:val="2"/>
          <w:szCs w:val="18"/>
          <w:lang w:eastAsia="en-US" w:bidi="ar-SA"/>
        </w:rPr>
        <w:t xml:space="preserve">-programma van NWO en GARDP op internationaal niveau. Daarnaast moet worden ingezet op aanvullende medische interventies, zoals de Gezondheidsraad suggereert, waarbij gekeken kan worden naar innovatieve benaderingen zoals immuuntherapieën en </w:t>
      </w:r>
      <w:proofErr w:type="spellStart"/>
      <w:r w:rsidRPr="007137C6">
        <w:rPr>
          <w:rFonts w:eastAsia="Calibri" w:cs="Times New Roman"/>
          <w:kern w:val="2"/>
          <w:szCs w:val="18"/>
          <w:lang w:eastAsia="en-US" w:bidi="ar-SA"/>
        </w:rPr>
        <w:t>microbioom</w:t>
      </w:r>
      <w:proofErr w:type="spellEnd"/>
      <w:r w:rsidRPr="007137C6">
        <w:rPr>
          <w:rFonts w:eastAsia="Calibri" w:cs="Times New Roman"/>
          <w:kern w:val="2"/>
          <w:szCs w:val="18"/>
          <w:vertAlign w:val="superscript"/>
          <w:lang w:eastAsia="en-US" w:bidi="ar-SA"/>
        </w:rPr>
        <w:footnoteReference w:id="9"/>
      </w:r>
      <w:r w:rsidRPr="007137C6">
        <w:rPr>
          <w:rFonts w:eastAsia="Calibri" w:cs="Times New Roman"/>
          <w:kern w:val="2"/>
          <w:szCs w:val="18"/>
          <w:lang w:eastAsia="en-US" w:bidi="ar-SA"/>
        </w:rPr>
        <w:t xml:space="preserve">-strategieën. We zullen dit meenemen bij ontwikkeling van nieuwe programma’s, zoals die van ZonMw en NWO, en bespreken in welke huidige onderzoeksprogramma’s dit passend is. </w:t>
      </w:r>
    </w:p>
    <w:p w:rsidRPr="007137C6" w:rsidR="009B1591" w:rsidP="00641C3D" w:rsidRDefault="009B1591" w14:paraId="0D6BCD33" w14:textId="77777777">
      <w:pPr>
        <w:widowControl/>
        <w:autoSpaceDN/>
        <w:spacing w:after="160" w:line="240" w:lineRule="atLeast"/>
        <w:textAlignment w:val="auto"/>
        <w:rPr>
          <w:rFonts w:eastAsia="Calibri" w:cs="Times New Roman"/>
          <w:kern w:val="2"/>
          <w:szCs w:val="18"/>
          <w:u w:val="single"/>
          <w:lang w:eastAsia="en-US" w:bidi="ar-SA"/>
        </w:rPr>
      </w:pPr>
      <w:r w:rsidRPr="007137C6">
        <w:rPr>
          <w:rFonts w:eastAsia="Calibri" w:cs="Times New Roman"/>
          <w:kern w:val="2"/>
          <w:szCs w:val="18"/>
          <w:u w:val="single"/>
          <w:lang w:eastAsia="en-US" w:bidi="ar-SA"/>
        </w:rPr>
        <w:t>8. Laat een nationaal actieplan schimmelziekten opstellen (integratie in actieplan AMR)</w:t>
      </w:r>
    </w:p>
    <w:p w:rsidR="00CE33DF" w:rsidP="00641C3D" w:rsidRDefault="009B1591" w14:paraId="7BABE71B"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Calibri"/>
          <w:kern w:val="2"/>
          <w:szCs w:val="18"/>
          <w:lang w:eastAsia="en-US" w:bidi="ar-SA"/>
        </w:rPr>
        <w:t>De Gezondheidsraad adviseert een nationaal actieplan schimmelziekten op te zetten, waarin bovenstaande adviezen worden uitgewerkt. Verbreding van de focus naar antimicrobiële middelen, waaronder de schimmels, is een belangrijk thema in het recent verschenen Nederlands Actieplan AMR 2024-2030. Een separaat actieplan voor schimmels is daarom niet nodig. De betrokken departementen delen de bevinding van de Gezondheidsraad dat schimmelresistentie een belangrijk onderdeel is van het beleid om resistentie tegen te gaan en hebben er daarom ook voor gekozen om dit nieuwe thema nadrukkelijk een plek te geven in het Nederlands Actieplan AMR 2024-2030.</w:t>
      </w:r>
      <w:r w:rsidRPr="007137C6">
        <w:rPr>
          <w:rFonts w:eastAsia="Calibri" w:cs="Times New Roman"/>
          <w:kern w:val="2"/>
          <w:szCs w:val="18"/>
          <w:lang w:eastAsia="en-US" w:bidi="ar-SA"/>
        </w:rPr>
        <w:t xml:space="preserve"> </w:t>
      </w:r>
    </w:p>
    <w:p w:rsidR="008420C6" w:rsidP="00641C3D" w:rsidRDefault="008420C6" w14:paraId="0CCDDEE3" w14:textId="77777777">
      <w:pPr>
        <w:spacing w:line="240" w:lineRule="auto"/>
        <w:rPr>
          <w:rFonts w:eastAsia="Calibri" w:cs="Times New Roman"/>
          <w:kern w:val="2"/>
          <w:szCs w:val="18"/>
          <w:lang w:eastAsia="en-US" w:bidi="ar-SA"/>
        </w:rPr>
      </w:pPr>
      <w:r>
        <w:rPr>
          <w:rFonts w:eastAsia="Calibri" w:cs="Times New Roman"/>
          <w:kern w:val="2"/>
          <w:szCs w:val="18"/>
          <w:lang w:eastAsia="en-US" w:bidi="ar-SA"/>
        </w:rPr>
        <w:br w:type="page"/>
      </w:r>
    </w:p>
    <w:p w:rsidRPr="007137C6" w:rsidR="009B1591" w:rsidP="00641C3D" w:rsidRDefault="009B1591" w14:paraId="50EC697B" w14:textId="77777777">
      <w:pPr>
        <w:widowControl/>
        <w:autoSpaceDN/>
        <w:spacing w:after="160" w:line="240" w:lineRule="atLeast"/>
        <w:textAlignment w:val="auto"/>
        <w:rPr>
          <w:rFonts w:eastAsia="Calibri" w:cs="Times New Roman"/>
          <w:b/>
          <w:bCs/>
          <w:kern w:val="2"/>
          <w:szCs w:val="18"/>
          <w:lang w:eastAsia="en-US" w:bidi="ar-SA"/>
        </w:rPr>
      </w:pPr>
      <w:r w:rsidRPr="007137C6">
        <w:rPr>
          <w:rFonts w:eastAsia="Calibri" w:cs="Times New Roman"/>
          <w:b/>
          <w:bCs/>
          <w:kern w:val="2"/>
          <w:szCs w:val="18"/>
          <w:lang w:eastAsia="en-US" w:bidi="ar-SA"/>
        </w:rPr>
        <w:lastRenderedPageBreak/>
        <w:t>Afsluitend</w:t>
      </w:r>
    </w:p>
    <w:p w:rsidR="00CE33DF" w:rsidP="00641C3D" w:rsidRDefault="009B1591" w14:paraId="1897644F" w14:textId="77777777">
      <w:pPr>
        <w:widowControl/>
        <w:autoSpaceDN/>
        <w:spacing w:after="160" w:line="240" w:lineRule="atLeast"/>
        <w:textAlignment w:val="auto"/>
        <w:rPr>
          <w:rFonts w:eastAsia="Calibri" w:cs="Times New Roman"/>
          <w:kern w:val="2"/>
          <w:szCs w:val="18"/>
          <w:lang w:eastAsia="en-US" w:bidi="ar-SA"/>
        </w:rPr>
      </w:pPr>
      <w:r w:rsidRPr="007137C6">
        <w:rPr>
          <w:rFonts w:eastAsia="Calibri" w:cs="Times New Roman"/>
          <w:kern w:val="2"/>
          <w:szCs w:val="18"/>
          <w:lang w:eastAsia="en-US" w:bidi="ar-SA"/>
        </w:rPr>
        <w:t xml:space="preserve">De uitwerking van dit actieplan is inmiddels gestart. Het Nederlands Actieplan AMR 2024-2030 wordt in 2027 geëvalueerd, waarbij duidelijk zal worden in hoeverre de acties, ambities en doelstellingen ten aanzien van het beleid inzake schimmels en resistentie op schema liggen. Uw Kamer zal hierover te zijner tijd worden geïnformeerd. </w:t>
      </w:r>
      <w:bookmarkStart w:name="_Hlk168993446" w:id="3"/>
      <w:bookmarkStart w:name="_Hlk155879847" w:id="4"/>
      <w:bookmarkEnd w:id="1"/>
    </w:p>
    <w:p w:rsidR="00496D34" w:rsidP="00641C3D" w:rsidRDefault="00496D34" w14:paraId="02EFEF43" w14:textId="77777777">
      <w:pPr>
        <w:pStyle w:val="Huisstijl-Slotzin"/>
        <w:contextualSpacing/>
      </w:pPr>
      <w:r>
        <w:t>Hoogachtend,</w:t>
      </w:r>
    </w:p>
    <w:p w:rsidR="00496D34" w:rsidP="00641C3D" w:rsidRDefault="00496D34" w14:paraId="49BA9888" w14:textId="77777777">
      <w:pPr>
        <w:pStyle w:val="Huisstijl-Ondertekeningvervolg"/>
        <w:contextualSpacing/>
        <w:rPr>
          <w:i w:val="0"/>
          <w:iCs/>
        </w:rPr>
      </w:pPr>
    </w:p>
    <w:p w:rsidRPr="00641C3D" w:rsidR="00641C3D" w:rsidP="00641C3D" w:rsidRDefault="00496D34" w14:paraId="167A8648" w14:textId="77777777">
      <w:pPr>
        <w:pStyle w:val="Huisstijl-Ondertekeningvervolg"/>
        <w:contextualSpacing/>
        <w:rPr>
          <w:i w:val="0"/>
          <w:szCs w:val="18"/>
        </w:rPr>
      </w:pPr>
      <w:r w:rsidRPr="00313F54">
        <w:rPr>
          <w:i w:val="0"/>
          <w:iCs/>
        </w:rPr>
        <w:t xml:space="preserve">de minister </w:t>
      </w:r>
      <w:r>
        <w:rPr>
          <w:i w:val="0"/>
          <w:iCs/>
        </w:rPr>
        <w:t xml:space="preserve">van </w:t>
      </w:r>
      <w:r w:rsidRPr="00313F54">
        <w:rPr>
          <w:i w:val="0"/>
          <w:iCs/>
        </w:rPr>
        <w:t>Volksgezondheid,</w:t>
      </w:r>
      <w:r w:rsidR="00641C3D">
        <w:rPr>
          <w:i w:val="0"/>
          <w:iCs/>
        </w:rPr>
        <w:tab/>
      </w:r>
      <w:r w:rsidR="00641C3D">
        <w:rPr>
          <w:i w:val="0"/>
          <w:iCs/>
        </w:rPr>
        <w:tab/>
      </w:r>
      <w:r w:rsidR="00641C3D">
        <w:rPr>
          <w:i w:val="0"/>
          <w:iCs/>
        </w:rPr>
        <w:tab/>
      </w:r>
      <w:r w:rsidR="00641C3D">
        <w:rPr>
          <w:i w:val="0"/>
          <w:iCs/>
        </w:rPr>
        <w:tab/>
      </w:r>
      <w:r w:rsidRPr="00641C3D" w:rsidR="00641C3D">
        <w:rPr>
          <w:i w:val="0"/>
          <w:szCs w:val="18"/>
        </w:rPr>
        <w:t>de staatssecretaris</w:t>
      </w:r>
      <w:r w:rsidR="00641C3D">
        <w:rPr>
          <w:i w:val="0"/>
          <w:szCs w:val="18"/>
        </w:rPr>
        <w:t xml:space="preserve"> van Landbo</w:t>
      </w:r>
      <w:r w:rsidR="0047417F">
        <w:rPr>
          <w:i w:val="0"/>
          <w:szCs w:val="18"/>
        </w:rPr>
        <w:t xml:space="preserve">uw </w:t>
      </w:r>
      <w:r w:rsidR="00641C3D">
        <w:rPr>
          <w:i w:val="0"/>
          <w:szCs w:val="18"/>
        </w:rPr>
        <w:t>Visserij,</w:t>
      </w:r>
    </w:p>
    <w:p w:rsidRPr="00313F54" w:rsidR="00496D34" w:rsidP="00641C3D" w:rsidRDefault="00496D34" w14:paraId="757E3FB6" w14:textId="77777777">
      <w:pPr>
        <w:pStyle w:val="Huisstijl-Ondertekeningvervolg"/>
        <w:rPr>
          <w:i w:val="0"/>
          <w:iCs/>
        </w:rPr>
      </w:pPr>
      <w:r w:rsidRPr="00313F54">
        <w:rPr>
          <w:i w:val="0"/>
          <w:iCs/>
        </w:rPr>
        <w:t>Welzijn en Sport,</w:t>
      </w:r>
      <w:r w:rsidR="00641C3D">
        <w:rPr>
          <w:i w:val="0"/>
          <w:iCs/>
        </w:rPr>
        <w:tab/>
      </w:r>
      <w:r w:rsidR="00641C3D">
        <w:rPr>
          <w:i w:val="0"/>
          <w:iCs/>
        </w:rPr>
        <w:tab/>
      </w:r>
      <w:r w:rsidR="00641C3D">
        <w:rPr>
          <w:i w:val="0"/>
          <w:iCs/>
        </w:rPr>
        <w:tab/>
      </w:r>
      <w:r w:rsidR="00641C3D">
        <w:rPr>
          <w:i w:val="0"/>
          <w:iCs/>
        </w:rPr>
        <w:tab/>
      </w:r>
      <w:r w:rsidR="00641C3D">
        <w:rPr>
          <w:i w:val="0"/>
          <w:iCs/>
        </w:rPr>
        <w:tab/>
      </w:r>
      <w:r w:rsidR="00641C3D">
        <w:rPr>
          <w:i w:val="0"/>
          <w:iCs/>
        </w:rPr>
        <w:tab/>
      </w:r>
      <w:r w:rsidR="00641C3D">
        <w:rPr>
          <w:i w:val="0"/>
          <w:iCs/>
        </w:rPr>
        <w:tab/>
      </w:r>
      <w:r w:rsidR="00641C3D">
        <w:rPr>
          <w:i w:val="0"/>
          <w:iCs/>
        </w:rPr>
        <w:tab/>
      </w:r>
      <w:r w:rsidR="00641C3D">
        <w:rPr>
          <w:i w:val="0"/>
          <w:iCs/>
        </w:rPr>
        <w:tab/>
      </w:r>
      <w:r w:rsidR="00641C3D">
        <w:rPr>
          <w:i w:val="0"/>
          <w:iCs/>
        </w:rPr>
        <w:tab/>
      </w:r>
      <w:r w:rsidR="00641C3D">
        <w:rPr>
          <w:i w:val="0"/>
          <w:iCs/>
        </w:rPr>
        <w:tab/>
      </w:r>
      <w:r w:rsidR="00641C3D">
        <w:rPr>
          <w:i w:val="0"/>
          <w:iCs/>
        </w:rPr>
        <w:tab/>
        <w:t>Voedselzekerheid en Natuur,</w:t>
      </w:r>
    </w:p>
    <w:p w:rsidRPr="00691361" w:rsidR="00496D34" w:rsidP="00641C3D" w:rsidRDefault="00496D34" w14:paraId="075F14DE" w14:textId="77777777">
      <w:pPr>
        <w:pStyle w:val="Huisstijl-Ondertekening"/>
      </w:pPr>
    </w:p>
    <w:p w:rsidRPr="00691361" w:rsidR="00496D34" w:rsidP="00641C3D" w:rsidRDefault="00496D34" w14:paraId="65B043EA" w14:textId="77777777">
      <w:pPr>
        <w:pStyle w:val="Huisstijl-Ondertekeningvervolg"/>
        <w:rPr>
          <w:i w:val="0"/>
        </w:rPr>
      </w:pPr>
    </w:p>
    <w:p w:rsidRPr="00691361" w:rsidR="00496D34" w:rsidP="00641C3D" w:rsidRDefault="00496D34" w14:paraId="362A5BD9" w14:textId="77777777">
      <w:pPr>
        <w:pStyle w:val="Huisstijl-Ondertekeningvervolg"/>
        <w:rPr>
          <w:i w:val="0"/>
        </w:rPr>
      </w:pPr>
    </w:p>
    <w:p w:rsidRPr="00691361" w:rsidR="00496D34" w:rsidP="00641C3D" w:rsidRDefault="00496D34" w14:paraId="121266A2" w14:textId="77777777">
      <w:pPr>
        <w:pStyle w:val="Huisstijl-Ondertekeningvervolg"/>
        <w:rPr>
          <w:i w:val="0"/>
        </w:rPr>
      </w:pPr>
    </w:p>
    <w:p w:rsidRPr="00691361" w:rsidR="00496D34" w:rsidP="00641C3D" w:rsidRDefault="00496D34" w14:paraId="66F7FD50" w14:textId="77777777">
      <w:pPr>
        <w:pStyle w:val="Huisstijl-Ondertekeningvervolg"/>
        <w:rPr>
          <w:i w:val="0"/>
          <w:u w:val="single"/>
        </w:rPr>
      </w:pPr>
    </w:p>
    <w:p w:rsidRPr="00691361" w:rsidR="00496D34" w:rsidP="00641C3D" w:rsidRDefault="00496D34" w14:paraId="52BDC333" w14:textId="77777777">
      <w:pPr>
        <w:pStyle w:val="Huisstijl-Ondertekeningvervolg"/>
        <w:rPr>
          <w:i w:val="0"/>
        </w:rPr>
      </w:pPr>
    </w:p>
    <w:p w:rsidR="00641C3D" w:rsidP="00641C3D" w:rsidRDefault="00496D34" w14:paraId="54F64CE6" w14:textId="77777777">
      <w:pPr>
        <w:spacing w:line="240" w:lineRule="auto"/>
        <w:rPr>
          <w:rFonts w:cs="Calibri"/>
          <w:szCs w:val="18"/>
        </w:rPr>
      </w:pPr>
      <w:r w:rsidRPr="00DE17B0">
        <w:rPr>
          <w:rFonts w:cs="Calibri"/>
          <w:sz w:val="19"/>
          <w:szCs w:val="19"/>
        </w:rPr>
        <w:t xml:space="preserve">Fleur </w:t>
      </w:r>
      <w:proofErr w:type="spellStart"/>
      <w:r w:rsidRPr="00DE17B0">
        <w:rPr>
          <w:rFonts w:cs="Calibri"/>
          <w:sz w:val="19"/>
          <w:szCs w:val="19"/>
        </w:rPr>
        <w:t>Agema</w:t>
      </w:r>
      <w:proofErr w:type="spellEnd"/>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00641C3D">
        <w:rPr>
          <w:rFonts w:cs="Calibri"/>
          <w:sz w:val="19"/>
          <w:szCs w:val="19"/>
        </w:rPr>
        <w:tab/>
      </w:r>
      <w:r w:rsidRPr="008420C6" w:rsidR="00641C3D">
        <w:rPr>
          <w:rFonts w:cs="Calibri"/>
          <w:szCs w:val="18"/>
        </w:rPr>
        <w:t xml:space="preserve">Jean </w:t>
      </w:r>
      <w:proofErr w:type="spellStart"/>
      <w:r w:rsidRPr="008420C6" w:rsidR="00641C3D">
        <w:rPr>
          <w:rFonts w:cs="Calibri"/>
          <w:szCs w:val="18"/>
        </w:rPr>
        <w:t>Rummenie</w:t>
      </w:r>
      <w:proofErr w:type="spellEnd"/>
    </w:p>
    <w:p w:rsidR="00641C3D" w:rsidP="00641C3D" w:rsidRDefault="00641C3D" w14:paraId="07F0F770" w14:textId="77777777">
      <w:pPr>
        <w:spacing w:line="240" w:lineRule="auto"/>
        <w:rPr>
          <w:rFonts w:cs="Calibri"/>
          <w:szCs w:val="18"/>
        </w:rPr>
      </w:pPr>
    </w:p>
    <w:p w:rsidR="00641C3D" w:rsidP="00641C3D" w:rsidRDefault="00641C3D" w14:paraId="42513C09" w14:textId="77777777">
      <w:pPr>
        <w:spacing w:line="240" w:lineRule="auto"/>
        <w:rPr>
          <w:rFonts w:cs="Calibri"/>
          <w:szCs w:val="18"/>
        </w:rPr>
      </w:pPr>
    </w:p>
    <w:p w:rsidR="00641C3D" w:rsidP="00641C3D" w:rsidRDefault="00641C3D" w14:paraId="4178EF86" w14:textId="77777777">
      <w:pPr>
        <w:spacing w:line="240" w:lineRule="auto"/>
        <w:rPr>
          <w:rFonts w:cs="Calibri"/>
          <w:szCs w:val="18"/>
        </w:rPr>
      </w:pPr>
    </w:p>
    <w:p w:rsidR="00641C3D" w:rsidP="00641C3D" w:rsidRDefault="00641C3D" w14:paraId="5789C1BE" w14:textId="77777777">
      <w:pPr>
        <w:spacing w:line="240" w:lineRule="auto"/>
        <w:rPr>
          <w:rFonts w:cs="Calibri"/>
          <w:szCs w:val="18"/>
        </w:rPr>
      </w:pPr>
      <w:r w:rsidRPr="008420C6">
        <w:rPr>
          <w:rFonts w:cs="Calibri"/>
          <w:szCs w:val="18"/>
        </w:rPr>
        <w:t>de staatssecretaris van</w:t>
      </w:r>
      <w:r>
        <w:rPr>
          <w:rFonts w:cs="Calibri"/>
          <w:szCs w:val="18"/>
        </w:rPr>
        <w:t xml:space="preserve"> </w:t>
      </w:r>
      <w:r w:rsidRPr="008420C6">
        <w:rPr>
          <w:rFonts w:cs="Calibri"/>
          <w:szCs w:val="18"/>
        </w:rPr>
        <w:t>Openbaar Vervoer</w:t>
      </w:r>
    </w:p>
    <w:p w:rsidR="00641C3D" w:rsidP="00641C3D" w:rsidRDefault="00641C3D" w14:paraId="5ADA7C99" w14:textId="77777777">
      <w:pPr>
        <w:spacing w:line="240" w:lineRule="auto"/>
        <w:rPr>
          <w:rFonts w:cs="Calibri"/>
          <w:szCs w:val="18"/>
        </w:rPr>
      </w:pPr>
      <w:r w:rsidRPr="008420C6">
        <w:rPr>
          <w:rFonts w:cs="Calibri"/>
          <w:szCs w:val="18"/>
        </w:rPr>
        <w:t>en</w:t>
      </w:r>
      <w:r>
        <w:rPr>
          <w:rFonts w:cs="Calibri"/>
          <w:szCs w:val="18"/>
        </w:rPr>
        <w:t xml:space="preserve"> </w:t>
      </w:r>
      <w:r w:rsidRPr="008420C6">
        <w:rPr>
          <w:rFonts w:cs="Calibri"/>
          <w:szCs w:val="18"/>
        </w:rPr>
        <w:t>Milieu,</w:t>
      </w:r>
    </w:p>
    <w:p w:rsidR="00641C3D" w:rsidP="00641C3D" w:rsidRDefault="00641C3D" w14:paraId="0AEAECFA" w14:textId="77777777">
      <w:pPr>
        <w:spacing w:line="240" w:lineRule="auto"/>
        <w:rPr>
          <w:rFonts w:cs="Calibri"/>
          <w:szCs w:val="18"/>
        </w:rPr>
      </w:pPr>
    </w:p>
    <w:p w:rsidR="00641C3D" w:rsidP="00641C3D" w:rsidRDefault="00641C3D" w14:paraId="7191DBCE" w14:textId="77777777">
      <w:pPr>
        <w:spacing w:line="240" w:lineRule="auto"/>
        <w:rPr>
          <w:rFonts w:cs="Calibri"/>
          <w:szCs w:val="18"/>
        </w:rPr>
      </w:pPr>
    </w:p>
    <w:p w:rsidR="00641C3D" w:rsidP="00641C3D" w:rsidRDefault="00641C3D" w14:paraId="03AA5564" w14:textId="77777777">
      <w:pPr>
        <w:spacing w:line="240" w:lineRule="auto"/>
        <w:rPr>
          <w:rFonts w:cs="Calibri"/>
          <w:szCs w:val="18"/>
        </w:rPr>
      </w:pPr>
    </w:p>
    <w:p w:rsidR="00641C3D" w:rsidP="00641C3D" w:rsidRDefault="00641C3D" w14:paraId="389A9201" w14:textId="77777777">
      <w:pPr>
        <w:spacing w:line="240" w:lineRule="auto"/>
        <w:rPr>
          <w:rFonts w:cs="Calibri"/>
          <w:szCs w:val="18"/>
        </w:rPr>
      </w:pPr>
    </w:p>
    <w:p w:rsidR="00641C3D" w:rsidP="00641C3D" w:rsidRDefault="00641C3D" w14:paraId="1CDFFE71" w14:textId="77777777">
      <w:pPr>
        <w:spacing w:line="240" w:lineRule="auto"/>
        <w:rPr>
          <w:rFonts w:cs="Calibri"/>
          <w:szCs w:val="18"/>
        </w:rPr>
      </w:pPr>
    </w:p>
    <w:p w:rsidR="00641C3D" w:rsidP="00641C3D" w:rsidRDefault="00641C3D" w14:paraId="5830F2DE" w14:textId="77777777">
      <w:pPr>
        <w:spacing w:line="240" w:lineRule="auto"/>
        <w:rPr>
          <w:rFonts w:cs="Calibri"/>
          <w:szCs w:val="18"/>
        </w:rPr>
      </w:pPr>
    </w:p>
    <w:p w:rsidRPr="00CE33DF" w:rsidR="00641C3D" w:rsidP="00641C3D" w:rsidRDefault="00641C3D" w14:paraId="68E202DE" w14:textId="77777777">
      <w:pPr>
        <w:spacing w:line="240" w:lineRule="auto"/>
        <w:rPr>
          <w:rFonts w:cs="Calibri"/>
          <w:sz w:val="17"/>
          <w:szCs w:val="17"/>
        </w:rPr>
      </w:pPr>
      <w:r w:rsidRPr="008420C6">
        <w:rPr>
          <w:rFonts w:cs="Calibri"/>
          <w:szCs w:val="18"/>
        </w:rPr>
        <w:t>Chris Jansen</w:t>
      </w:r>
    </w:p>
    <w:bookmarkEnd w:id="3"/>
    <w:bookmarkEnd w:id="4"/>
    <w:p w:rsidRPr="00CE33DF" w:rsidR="00CE33DF" w:rsidP="00641C3D" w:rsidRDefault="00CE33DF" w14:paraId="4194DEC8" w14:textId="77777777">
      <w:pPr>
        <w:spacing w:line="240" w:lineRule="auto"/>
        <w:rPr>
          <w:rFonts w:cs="Calibri"/>
          <w:sz w:val="16"/>
          <w:szCs w:val="16"/>
        </w:rPr>
      </w:pPr>
    </w:p>
    <w:p w:rsidRPr="00CE33DF" w:rsidR="00CE33DF" w:rsidP="00641C3D" w:rsidRDefault="00CE33DF" w14:paraId="07337A39" w14:textId="77777777">
      <w:pPr>
        <w:widowControl/>
        <w:autoSpaceDN/>
        <w:spacing w:after="160" w:line="240" w:lineRule="atLeast"/>
        <w:textAlignment w:val="auto"/>
        <w:rPr>
          <w:szCs w:val="18"/>
        </w:rPr>
        <w:sectPr w:rsidRPr="00CE33DF" w:rsidR="00CE33D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sectPr>
      </w:pPr>
    </w:p>
    <w:p w:rsidR="00CE33DF" w:rsidP="00641C3D" w:rsidRDefault="00CE33DF" w14:paraId="5CE48ED5" w14:textId="77777777">
      <w:pPr>
        <w:spacing w:line="240" w:lineRule="auto"/>
        <w:rPr>
          <w:rFonts w:cs="Calibri"/>
          <w:sz w:val="16"/>
          <w:szCs w:val="16"/>
        </w:rPr>
        <w:sectPr w:rsidR="00CE33DF" w:rsidSect="00CE33DF">
          <w:type w:val="continuous"/>
          <w:pgSz w:w="11905" w:h="16837"/>
          <w:pgMar w:top="2948" w:right="2778" w:bottom="1049" w:left="1588" w:header="2750" w:footer="709" w:gutter="0"/>
          <w:pgNumType w:start="1"/>
          <w:cols w:space="708" w:num="3"/>
          <w:titlePg/>
          <w:docGrid w:linePitch="326"/>
        </w:sectPr>
      </w:pPr>
    </w:p>
    <w:p w:rsidRPr="00CE33DF" w:rsidR="009B1591" w:rsidP="00641C3D" w:rsidRDefault="009B1591" w14:paraId="47486F13" w14:textId="77777777">
      <w:pPr>
        <w:spacing w:line="240" w:lineRule="auto"/>
        <w:rPr>
          <w:rFonts w:cs="Calibri"/>
          <w:sz w:val="16"/>
          <w:szCs w:val="16"/>
        </w:rPr>
      </w:pPr>
    </w:p>
    <w:p w:rsidRPr="00282053" w:rsidR="00235AED" w:rsidP="00641C3D" w:rsidRDefault="00235AED" w14:paraId="40DA02BF" w14:textId="77777777">
      <w:pPr>
        <w:pStyle w:val="Huisstijl-Aanhef"/>
        <w:spacing w:line="240" w:lineRule="atLeast"/>
        <w:rPr>
          <w:noProof/>
          <w:szCs w:val="18"/>
        </w:rPr>
      </w:pPr>
    </w:p>
    <w:sectPr w:rsidRPr="00282053" w:rsidR="00235AED" w:rsidSect="008D59C5">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C122" w14:textId="77777777" w:rsidR="00237438" w:rsidRDefault="00237438">
      <w:pPr>
        <w:spacing w:line="240" w:lineRule="auto"/>
      </w:pPr>
      <w:r>
        <w:separator/>
      </w:r>
    </w:p>
  </w:endnote>
  <w:endnote w:type="continuationSeparator" w:id="0">
    <w:p w14:paraId="25BEEB38" w14:textId="77777777" w:rsidR="00237438" w:rsidRDefault="00237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2D20" w14:textId="77777777" w:rsidR="00DC7639" w:rsidRDefault="00000000">
    <w:pPr>
      <w:pStyle w:val="Voettekst"/>
    </w:pPr>
    <w:r>
      <w:rPr>
        <w:noProof/>
        <w:lang w:val="en-US" w:eastAsia="en-US" w:bidi="ar-SA"/>
      </w:rPr>
      <w:pict w14:anchorId="6F1099BF">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4571C4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E114" w14:textId="77777777" w:rsidR="00237438" w:rsidRDefault="00237438">
      <w:pPr>
        <w:spacing w:line="240" w:lineRule="auto"/>
      </w:pPr>
      <w:r>
        <w:separator/>
      </w:r>
    </w:p>
  </w:footnote>
  <w:footnote w:type="continuationSeparator" w:id="0">
    <w:p w14:paraId="63943321" w14:textId="77777777" w:rsidR="00237438" w:rsidRDefault="00237438">
      <w:pPr>
        <w:spacing w:line="240" w:lineRule="auto"/>
      </w:pPr>
      <w:r>
        <w:continuationSeparator/>
      </w:r>
    </w:p>
  </w:footnote>
  <w:footnote w:id="1">
    <w:p w14:paraId="799D4484" w14:textId="77777777" w:rsidR="009B1591" w:rsidRPr="006F47B9" w:rsidRDefault="009B1591" w:rsidP="009B1591">
      <w:pPr>
        <w:pStyle w:val="Voetnoottekst"/>
        <w:rPr>
          <w:sz w:val="16"/>
          <w:szCs w:val="16"/>
        </w:rPr>
      </w:pPr>
      <w:r w:rsidRPr="006F47B9">
        <w:rPr>
          <w:rStyle w:val="Voetnootmarkering"/>
          <w:sz w:val="16"/>
          <w:szCs w:val="16"/>
        </w:rPr>
        <w:footnoteRef/>
      </w:r>
      <w:r w:rsidRPr="006F47B9">
        <w:rPr>
          <w:sz w:val="16"/>
          <w:szCs w:val="16"/>
        </w:rPr>
        <w:t xml:space="preserve"> Kamerstukken II 2023/2024, 32793, nr. 776.</w:t>
      </w:r>
    </w:p>
  </w:footnote>
  <w:footnote w:id="2">
    <w:p w14:paraId="215A87FF" w14:textId="77777777" w:rsidR="009B1591" w:rsidRDefault="009B1591" w:rsidP="009B1591">
      <w:pPr>
        <w:pStyle w:val="Voetnoottekst"/>
      </w:pPr>
      <w:r>
        <w:rPr>
          <w:rStyle w:val="Voetnootmarkering"/>
        </w:rPr>
        <w:footnoteRef/>
      </w:r>
      <w:r>
        <w:t xml:space="preserve"> </w:t>
      </w:r>
      <w:r w:rsidRPr="006F47B9">
        <w:rPr>
          <w:sz w:val="16"/>
          <w:szCs w:val="16"/>
        </w:rPr>
        <w:t>Kamerstukken II 2023/2024,</w:t>
      </w:r>
      <w:r>
        <w:rPr>
          <w:sz w:val="16"/>
          <w:szCs w:val="16"/>
        </w:rPr>
        <w:t xml:space="preserve"> </w:t>
      </w:r>
      <w:r w:rsidRPr="006F47B9">
        <w:rPr>
          <w:sz w:val="16"/>
          <w:szCs w:val="16"/>
        </w:rPr>
        <w:t>32793, nr. 753</w:t>
      </w:r>
      <w:r>
        <w:rPr>
          <w:sz w:val="16"/>
          <w:szCs w:val="16"/>
        </w:rPr>
        <w:t>.</w:t>
      </w:r>
    </w:p>
  </w:footnote>
  <w:footnote w:id="3">
    <w:p w14:paraId="292007D9" w14:textId="77777777" w:rsidR="009B1591" w:rsidRDefault="009B1591" w:rsidP="009B1591">
      <w:pPr>
        <w:pStyle w:val="Voetnoottekst"/>
      </w:pPr>
      <w:r>
        <w:rPr>
          <w:rStyle w:val="Voetnootmarkering"/>
        </w:rPr>
        <w:footnoteRef/>
      </w:r>
      <w:r>
        <w:t xml:space="preserve"> </w:t>
      </w:r>
      <w:r w:rsidRPr="006F47B9">
        <w:rPr>
          <w:sz w:val="16"/>
          <w:szCs w:val="16"/>
        </w:rPr>
        <w:t>Kamerstukken II 2023/2024,</w:t>
      </w:r>
      <w:r>
        <w:rPr>
          <w:sz w:val="16"/>
          <w:szCs w:val="16"/>
        </w:rPr>
        <w:t xml:space="preserve"> </w:t>
      </w:r>
      <w:r w:rsidRPr="006F47B9">
        <w:rPr>
          <w:sz w:val="16"/>
          <w:szCs w:val="16"/>
        </w:rPr>
        <w:t xml:space="preserve">27858, </w:t>
      </w:r>
      <w:proofErr w:type="spellStart"/>
      <w:r w:rsidRPr="006F47B9">
        <w:rPr>
          <w:sz w:val="16"/>
          <w:szCs w:val="16"/>
        </w:rPr>
        <w:t>nrs</w:t>
      </w:r>
      <w:proofErr w:type="spellEnd"/>
      <w:r w:rsidRPr="006F47B9">
        <w:rPr>
          <w:sz w:val="16"/>
          <w:szCs w:val="16"/>
        </w:rPr>
        <w:t>. 225, 229, 411, 460, 486, 559</w:t>
      </w:r>
      <w:r>
        <w:rPr>
          <w:sz w:val="16"/>
          <w:szCs w:val="16"/>
        </w:rPr>
        <w:t>.</w:t>
      </w:r>
    </w:p>
  </w:footnote>
  <w:footnote w:id="4">
    <w:p w14:paraId="4CD9CAE0" w14:textId="77777777" w:rsidR="009B1591" w:rsidRDefault="009B1591" w:rsidP="009B1591">
      <w:pPr>
        <w:pStyle w:val="Voetnoottekst"/>
      </w:pPr>
      <w:r>
        <w:rPr>
          <w:rStyle w:val="Voetnootmarkering"/>
        </w:rPr>
        <w:footnoteRef/>
      </w:r>
      <w:r>
        <w:t xml:space="preserve"> </w:t>
      </w:r>
      <w:r w:rsidRPr="006F47B9">
        <w:rPr>
          <w:sz w:val="16"/>
          <w:szCs w:val="16"/>
        </w:rPr>
        <w:t>Kamerstukken II 2023/2024,</w:t>
      </w:r>
      <w:r>
        <w:rPr>
          <w:sz w:val="16"/>
          <w:szCs w:val="16"/>
        </w:rPr>
        <w:t xml:space="preserve"> </w:t>
      </w:r>
      <w:r w:rsidRPr="006F47B9">
        <w:rPr>
          <w:sz w:val="16"/>
          <w:szCs w:val="16"/>
        </w:rPr>
        <w:t xml:space="preserve">27858, </w:t>
      </w:r>
      <w:proofErr w:type="spellStart"/>
      <w:r w:rsidRPr="006F47B9">
        <w:rPr>
          <w:sz w:val="16"/>
          <w:szCs w:val="16"/>
        </w:rPr>
        <w:t>nrs</w:t>
      </w:r>
      <w:proofErr w:type="spellEnd"/>
      <w:r>
        <w:rPr>
          <w:sz w:val="16"/>
          <w:szCs w:val="16"/>
        </w:rPr>
        <w:t xml:space="preserve"> </w:t>
      </w:r>
      <w:r w:rsidRPr="006F47B9">
        <w:rPr>
          <w:sz w:val="16"/>
          <w:szCs w:val="16"/>
        </w:rPr>
        <w:t>529, 559</w:t>
      </w:r>
      <w:r>
        <w:rPr>
          <w:sz w:val="16"/>
          <w:szCs w:val="16"/>
        </w:rPr>
        <w:t>.</w:t>
      </w:r>
    </w:p>
  </w:footnote>
  <w:footnote w:id="5">
    <w:p w14:paraId="5A48D24F" w14:textId="77777777" w:rsidR="009B1591" w:rsidRPr="006F47B9" w:rsidRDefault="009B1591" w:rsidP="009B1591">
      <w:pPr>
        <w:pStyle w:val="Voetnoottekst1"/>
        <w:rPr>
          <w:rFonts w:ascii="Verdana" w:hAnsi="Verdana"/>
          <w:sz w:val="16"/>
          <w:szCs w:val="16"/>
        </w:rPr>
      </w:pPr>
      <w:r w:rsidRPr="006F47B9">
        <w:rPr>
          <w:rStyle w:val="Voetnootmarkering"/>
          <w:rFonts w:ascii="Verdana" w:hAnsi="Verdana"/>
          <w:sz w:val="16"/>
          <w:szCs w:val="16"/>
        </w:rPr>
        <w:footnoteRef/>
      </w:r>
      <w:r w:rsidRPr="006F47B9">
        <w:rPr>
          <w:rFonts w:ascii="Verdana" w:hAnsi="Verdana"/>
          <w:sz w:val="16"/>
          <w:szCs w:val="16"/>
        </w:rPr>
        <w:t xml:space="preserve"> European Food Safety Agency (EFSA), European </w:t>
      </w:r>
      <w:proofErr w:type="spellStart"/>
      <w:r w:rsidRPr="006F47B9">
        <w:rPr>
          <w:rFonts w:ascii="Verdana" w:hAnsi="Verdana"/>
          <w:sz w:val="16"/>
          <w:szCs w:val="16"/>
        </w:rPr>
        <w:t>Chemicals</w:t>
      </w:r>
      <w:proofErr w:type="spellEnd"/>
      <w:r w:rsidRPr="006F47B9">
        <w:rPr>
          <w:rFonts w:ascii="Verdana" w:hAnsi="Verdana"/>
          <w:sz w:val="16"/>
          <w:szCs w:val="16"/>
        </w:rPr>
        <w:t xml:space="preserve"> Agency (ECHA), European </w:t>
      </w:r>
      <w:proofErr w:type="spellStart"/>
      <w:r w:rsidRPr="006F47B9">
        <w:rPr>
          <w:rFonts w:ascii="Verdana" w:hAnsi="Verdana"/>
          <w:sz w:val="16"/>
          <w:szCs w:val="16"/>
        </w:rPr>
        <w:t>Medicines</w:t>
      </w:r>
      <w:proofErr w:type="spellEnd"/>
      <w:r w:rsidRPr="006F47B9">
        <w:rPr>
          <w:rFonts w:ascii="Verdana" w:hAnsi="Verdana"/>
          <w:sz w:val="16"/>
          <w:szCs w:val="16"/>
        </w:rPr>
        <w:t xml:space="preserve"> Agency (EMA), European Centre </w:t>
      </w:r>
      <w:proofErr w:type="spellStart"/>
      <w:r w:rsidRPr="006F47B9">
        <w:rPr>
          <w:rFonts w:ascii="Verdana" w:hAnsi="Verdana"/>
          <w:sz w:val="16"/>
          <w:szCs w:val="16"/>
        </w:rPr>
        <w:t>for</w:t>
      </w:r>
      <w:proofErr w:type="spellEnd"/>
      <w:r w:rsidRPr="006F47B9">
        <w:rPr>
          <w:rFonts w:ascii="Verdana" w:hAnsi="Verdana"/>
          <w:sz w:val="16"/>
          <w:szCs w:val="16"/>
        </w:rPr>
        <w:t xml:space="preserve"> </w:t>
      </w:r>
      <w:proofErr w:type="spellStart"/>
      <w:r w:rsidRPr="006F47B9">
        <w:rPr>
          <w:rFonts w:ascii="Verdana" w:hAnsi="Verdana"/>
          <w:sz w:val="16"/>
          <w:szCs w:val="16"/>
        </w:rPr>
        <w:t>Disease</w:t>
      </w:r>
      <w:proofErr w:type="spellEnd"/>
      <w:r w:rsidRPr="006F47B9">
        <w:rPr>
          <w:rFonts w:ascii="Verdana" w:hAnsi="Verdana"/>
          <w:sz w:val="16"/>
          <w:szCs w:val="16"/>
        </w:rPr>
        <w:t xml:space="preserve"> prevention </w:t>
      </w:r>
      <w:proofErr w:type="spellStart"/>
      <w:r w:rsidRPr="006F47B9">
        <w:rPr>
          <w:rFonts w:ascii="Verdana" w:hAnsi="Verdana"/>
          <w:sz w:val="16"/>
          <w:szCs w:val="16"/>
        </w:rPr>
        <w:t>and</w:t>
      </w:r>
      <w:proofErr w:type="spellEnd"/>
      <w:r w:rsidRPr="006F47B9">
        <w:rPr>
          <w:rFonts w:ascii="Verdana" w:hAnsi="Verdana"/>
          <w:sz w:val="16"/>
          <w:szCs w:val="16"/>
        </w:rPr>
        <w:t xml:space="preserve"> Control (ECDC) en European Environment Agency (EEA). </w:t>
      </w:r>
    </w:p>
  </w:footnote>
  <w:footnote w:id="6">
    <w:p w14:paraId="36B8FFDC" w14:textId="77777777" w:rsidR="009B1591" w:rsidRPr="006F47B9" w:rsidRDefault="009B1591" w:rsidP="009B1591">
      <w:pPr>
        <w:pStyle w:val="Voetnoottekst1"/>
        <w:rPr>
          <w:sz w:val="16"/>
          <w:szCs w:val="16"/>
          <w:lang w:val="en-US"/>
        </w:rPr>
      </w:pPr>
      <w:r w:rsidRPr="006F47B9">
        <w:rPr>
          <w:rStyle w:val="Voetnootmarkering"/>
          <w:rFonts w:ascii="Verdana" w:hAnsi="Verdana"/>
          <w:sz w:val="16"/>
          <w:szCs w:val="16"/>
        </w:rPr>
        <w:footnoteRef/>
      </w:r>
      <w:r w:rsidRPr="006F47B9">
        <w:rPr>
          <w:rFonts w:ascii="Verdana" w:hAnsi="Verdana"/>
          <w:sz w:val="16"/>
          <w:szCs w:val="16"/>
          <w:lang w:val="en-US"/>
        </w:rPr>
        <w:t xml:space="preserve"> </w:t>
      </w:r>
      <w:hyperlink r:id="rId1" w:history="1">
        <w:r w:rsidRPr="006F47B9">
          <w:rPr>
            <w:rStyle w:val="Hyperlink1"/>
            <w:rFonts w:ascii="Verdana" w:hAnsi="Verdana"/>
            <w:sz w:val="16"/>
            <w:szCs w:val="16"/>
            <w:lang w:val="en-US"/>
          </w:rPr>
          <w:t>Request for a Scientific Report on the impact of the use of azole fungicides, European Commission (2022)</w:t>
        </w:r>
      </w:hyperlink>
      <w:r w:rsidRPr="006F47B9">
        <w:rPr>
          <w:rStyle w:val="Hyperlink1"/>
          <w:rFonts w:ascii="Verdana" w:hAnsi="Verdana"/>
          <w:sz w:val="16"/>
          <w:szCs w:val="16"/>
          <w:lang w:val="en-US"/>
        </w:rPr>
        <w:t>.</w:t>
      </w:r>
    </w:p>
  </w:footnote>
  <w:footnote w:id="7">
    <w:p w14:paraId="723C689F" w14:textId="77777777" w:rsidR="009B1591" w:rsidRPr="006F47B9" w:rsidRDefault="009B1591" w:rsidP="009B1591">
      <w:pPr>
        <w:pStyle w:val="Voetnoottekst1"/>
        <w:rPr>
          <w:rFonts w:ascii="Verdana" w:hAnsi="Verdana"/>
          <w:sz w:val="16"/>
          <w:szCs w:val="16"/>
        </w:rPr>
      </w:pPr>
      <w:r w:rsidRPr="006F47B9">
        <w:rPr>
          <w:rStyle w:val="Voetnootmarkering"/>
          <w:rFonts w:ascii="Verdana" w:hAnsi="Verdana"/>
          <w:sz w:val="16"/>
          <w:szCs w:val="16"/>
        </w:rPr>
        <w:footnoteRef/>
      </w:r>
      <w:r w:rsidRPr="006F47B9">
        <w:rPr>
          <w:rFonts w:ascii="Verdana" w:hAnsi="Verdana"/>
          <w:sz w:val="16"/>
          <w:szCs w:val="16"/>
        </w:rPr>
        <w:t xml:space="preserve"> </w:t>
      </w:r>
      <w:hyperlink r:id="rId2" w:history="1">
        <w:proofErr w:type="spellStart"/>
        <w:r w:rsidRPr="006F47B9">
          <w:rPr>
            <w:rStyle w:val="Hyperlink1"/>
            <w:rFonts w:ascii="Verdana" w:hAnsi="Verdana"/>
            <w:sz w:val="16"/>
            <w:szCs w:val="16"/>
          </w:rPr>
          <w:t>Integrated</w:t>
        </w:r>
        <w:proofErr w:type="spellEnd"/>
        <w:r w:rsidRPr="006F47B9">
          <w:rPr>
            <w:rStyle w:val="Hyperlink1"/>
            <w:rFonts w:ascii="Verdana" w:hAnsi="Verdana"/>
            <w:sz w:val="16"/>
            <w:szCs w:val="16"/>
          </w:rPr>
          <w:t xml:space="preserve"> Pest Management (IPM) is een methode om plaagdieren aan te pakken. Hierbij ligt de nadruk op het voorkomen van overlast, in plaats van op bestrijden.</w:t>
        </w:r>
      </w:hyperlink>
    </w:p>
  </w:footnote>
  <w:footnote w:id="8">
    <w:p w14:paraId="12868377" w14:textId="77777777" w:rsidR="009B1591" w:rsidRPr="006F47B9" w:rsidRDefault="009B1591" w:rsidP="009B1591">
      <w:pPr>
        <w:pStyle w:val="Voetnoottekst1"/>
        <w:rPr>
          <w:sz w:val="16"/>
          <w:szCs w:val="16"/>
          <w:lang w:val="en-US"/>
        </w:rPr>
      </w:pPr>
      <w:r w:rsidRPr="006F47B9">
        <w:rPr>
          <w:rStyle w:val="Voetnootmarkering"/>
          <w:rFonts w:ascii="Verdana" w:hAnsi="Verdana"/>
          <w:sz w:val="16"/>
          <w:szCs w:val="16"/>
        </w:rPr>
        <w:footnoteRef/>
      </w:r>
      <w:r w:rsidRPr="006F47B9">
        <w:rPr>
          <w:rFonts w:ascii="Verdana" w:hAnsi="Verdana"/>
          <w:sz w:val="16"/>
          <w:szCs w:val="16"/>
          <w:lang w:val="en-US"/>
        </w:rPr>
        <w:t xml:space="preserve"> </w:t>
      </w:r>
      <w:hyperlink r:id="rId3" w:history="1">
        <w:r w:rsidRPr="006F47B9">
          <w:rPr>
            <w:rStyle w:val="Hyperlink1"/>
            <w:rFonts w:ascii="Verdana" w:hAnsi="Verdana"/>
            <w:sz w:val="16"/>
            <w:szCs w:val="16"/>
            <w:lang w:val="en-US"/>
          </w:rPr>
          <w:t xml:space="preserve">Novel antibacterial Compounds and Therapies </w:t>
        </w:r>
        <w:proofErr w:type="spellStart"/>
        <w:r w:rsidRPr="006F47B9">
          <w:rPr>
            <w:rStyle w:val="Hyperlink1"/>
            <w:rFonts w:ascii="Verdana" w:hAnsi="Verdana"/>
            <w:sz w:val="16"/>
            <w:szCs w:val="16"/>
            <w:lang w:val="en-US"/>
          </w:rPr>
          <w:t>Antagonising</w:t>
        </w:r>
        <w:proofErr w:type="spellEnd"/>
        <w:r w:rsidRPr="006F47B9">
          <w:rPr>
            <w:rStyle w:val="Hyperlink1"/>
            <w:rFonts w:ascii="Verdana" w:hAnsi="Verdana"/>
            <w:sz w:val="16"/>
            <w:szCs w:val="16"/>
            <w:lang w:val="en-US"/>
          </w:rPr>
          <w:t xml:space="preserve"> Resistance (NACTAR)</w:t>
        </w:r>
      </w:hyperlink>
      <w:r>
        <w:rPr>
          <w:rStyle w:val="Hyperlink1"/>
          <w:rFonts w:ascii="Verdana" w:hAnsi="Verdana"/>
          <w:sz w:val="16"/>
          <w:szCs w:val="16"/>
          <w:lang w:val="en-US"/>
        </w:rPr>
        <w:t>.</w:t>
      </w:r>
    </w:p>
  </w:footnote>
  <w:footnote w:id="9">
    <w:p w14:paraId="4D6E2EB1" w14:textId="77777777" w:rsidR="009B1591" w:rsidRPr="006F47B9" w:rsidRDefault="009B1591" w:rsidP="009B1591">
      <w:pPr>
        <w:pStyle w:val="Voetnoottekst1"/>
        <w:rPr>
          <w:rFonts w:ascii="Verdana" w:hAnsi="Verdana"/>
          <w:sz w:val="16"/>
          <w:szCs w:val="16"/>
        </w:rPr>
      </w:pPr>
      <w:r w:rsidRPr="006F47B9">
        <w:rPr>
          <w:rStyle w:val="Voetnootmarkering"/>
          <w:rFonts w:ascii="Verdana" w:hAnsi="Verdana"/>
          <w:sz w:val="16"/>
          <w:szCs w:val="16"/>
        </w:rPr>
        <w:footnoteRef/>
      </w:r>
      <w:r w:rsidRPr="006F47B9">
        <w:rPr>
          <w:rFonts w:ascii="Verdana" w:hAnsi="Verdana"/>
          <w:sz w:val="16"/>
          <w:szCs w:val="16"/>
        </w:rPr>
        <w:t xml:space="preserve"> De verzameling van alle micro-organismen die het menselijk lichaam bevolken.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FF70" w14:textId="77777777" w:rsidR="00CD5856" w:rsidRDefault="00000000">
    <w:pPr>
      <w:pStyle w:val="Koptekst"/>
    </w:pPr>
    <w:r>
      <w:rPr>
        <w:lang w:eastAsia="nl-NL" w:bidi="ar-SA"/>
      </w:rPr>
      <w:pict w14:anchorId="182784A8">
        <v:shapetype id="_x0000_t202" coordsize="21600,21600" o:spt="202" path="m,l,21600r21600,l21600,xe">
          <v:stroke joinstyle="miter"/>
          <v:path gradientshapeok="t" o:connecttype="rect"/>
        </v:shapetype>
        <v:shape id="Text Box 29" o:spid="_x0000_s3074" type="#_x0000_t202" style="position:absolute;margin-left:79.65pt;margin-top:296.85pt;width:360.65pt;height:60.75pt;z-index:251657216;visibility:visible;mso-position-horizontal-relative:page;mso-position-vertical-relative:page;mso-width-relative:margin;mso-height-relative:margin" strokecolor="white">
          <v:textbox style="mso-fit-shape-to-text:t" inset="0,0,0,0">
            <w:txbxContent>
              <w:p w14:paraId="46C1CD1F" w14:textId="31330E5D" w:rsidR="00CD5856" w:rsidRDefault="00000000">
                <w:pPr>
                  <w:pStyle w:val="Huisstijl-Datumenbetreft"/>
                  <w:tabs>
                    <w:tab w:val="clear" w:pos="737"/>
                    <w:tab w:val="left" w:pos="-5954"/>
                    <w:tab w:val="left" w:pos="-5670"/>
                    <w:tab w:val="left" w:pos="1134"/>
                  </w:tabs>
                </w:pPr>
                <w:r>
                  <w:t>Datum</w:t>
                </w:r>
                <w:r w:rsidR="00E1490C">
                  <w:tab/>
                </w:r>
                <w:r w:rsidR="00057129">
                  <w:t>20 september 2024</w:t>
                </w:r>
              </w:p>
              <w:p w14:paraId="13E6EAB1" w14:textId="77777777" w:rsidR="00CD5856" w:rsidRPr="00C8021C" w:rsidRDefault="00000000">
                <w:pPr>
                  <w:pStyle w:val="Huisstijl-Datumenbetreft"/>
                  <w:tabs>
                    <w:tab w:val="clear" w:pos="737"/>
                    <w:tab w:val="left" w:pos="-5954"/>
                    <w:tab w:val="left" w:pos="-5670"/>
                    <w:tab w:val="left" w:pos="1134"/>
                  </w:tabs>
                </w:pPr>
                <w:r>
                  <w:t>Betreft</w:t>
                </w:r>
                <w:r w:rsidR="00E1490C">
                  <w:tab/>
                </w:r>
                <w:r w:rsidR="003E072B" w:rsidRPr="00C8021C">
                  <w:t>Beleidsreactie op het advies van de Gezondheidsraad</w:t>
                </w:r>
              </w:p>
              <w:p w14:paraId="1CC64645" w14:textId="77777777" w:rsidR="0018028F" w:rsidRPr="0018028F" w:rsidRDefault="00000000" w:rsidP="0018028F">
                <w:pPr>
                  <w:pStyle w:val="Huisstijl-Datumenbetreft"/>
                  <w:tabs>
                    <w:tab w:val="clear" w:pos="737"/>
                    <w:tab w:val="left" w:pos="-5954"/>
                    <w:tab w:val="left" w:pos="-5670"/>
                    <w:tab w:val="left" w:pos="1134"/>
                  </w:tabs>
                  <w:ind w:left="1134"/>
                  <w:rPr>
                    <w:i/>
                    <w:iCs/>
                  </w:rPr>
                </w:pPr>
                <w:r w:rsidRPr="00C8021C">
                  <w:t>Resistentie ondermijnt de behandeling van schimmelinfecties</w:t>
                </w:r>
              </w:p>
              <w:p w14:paraId="7D8280DB" w14:textId="77777777" w:rsidR="00CD5856" w:rsidRDefault="00CD5856">
                <w:pPr>
                  <w:pStyle w:val="Huisstijl-Datumenbetreft"/>
                  <w:tabs>
                    <w:tab w:val="left" w:pos="-5954"/>
                    <w:tab w:val="left" w:pos="-5670"/>
                  </w:tabs>
                </w:pPr>
              </w:p>
            </w:txbxContent>
          </v:textbox>
          <w10:wrap anchorx="page" anchory="page"/>
        </v:shape>
      </w:pict>
    </w:r>
    <w:r w:rsidR="00C8021C">
      <w:rPr>
        <w:noProof/>
        <w:lang w:eastAsia="nl-NL" w:bidi="ar-SA"/>
      </w:rPr>
      <w:drawing>
        <wp:anchor distT="0" distB="0" distL="114300" distR="114300" simplePos="0" relativeHeight="251652096" behindDoc="1" locked="0" layoutInCell="1" allowOverlap="1" wp14:anchorId="3F18EC2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C8021C">
      <w:rPr>
        <w:noProof/>
        <w:lang w:eastAsia="nl-NL" w:bidi="ar-SA"/>
      </w:rPr>
      <w:drawing>
        <wp:anchor distT="0" distB="0" distL="114300" distR="114300" simplePos="0" relativeHeight="251651072" behindDoc="0" locked="0" layoutInCell="1" allowOverlap="1" wp14:anchorId="3A29A80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6B201664">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B80BAF3" w14:textId="77777777" w:rsidR="00CD5856" w:rsidRDefault="00000000">
                <w:pPr>
                  <w:pStyle w:val="Huisstijl-AfzendgegevensW1"/>
                </w:pPr>
                <w:r>
                  <w:t>Bezoekadres</w:t>
                </w:r>
              </w:p>
              <w:p w14:paraId="0490D4B2" w14:textId="77777777" w:rsidR="00CD5856" w:rsidRDefault="00000000">
                <w:pPr>
                  <w:pStyle w:val="Huisstijl-Afzendgegevens"/>
                </w:pPr>
                <w:r>
                  <w:t>Parnassusplein 5</w:t>
                </w:r>
              </w:p>
              <w:p w14:paraId="433C7107"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0C8F483" w14:textId="77777777" w:rsidR="00CD5856" w:rsidRDefault="00000000">
                <w:pPr>
                  <w:pStyle w:val="Huisstijl-Afzendgegevens"/>
                </w:pPr>
                <w:r w:rsidRPr="008D59C5">
                  <w:t>www.rijksoverheid.nl</w:t>
                </w:r>
              </w:p>
              <w:p w14:paraId="3858E656" w14:textId="77777777" w:rsidR="00CD5856" w:rsidRDefault="00000000">
                <w:pPr>
                  <w:pStyle w:val="Huisstijl-ReferentiegegevenskopW2"/>
                </w:pPr>
                <w:r w:rsidRPr="008D59C5">
                  <w:t>Kenmerk</w:t>
                </w:r>
              </w:p>
              <w:p w14:paraId="4589332E" w14:textId="77777777" w:rsidR="00CD5856" w:rsidRDefault="00000000">
                <w:pPr>
                  <w:pStyle w:val="Huisstijl-Referentiegegevens"/>
                </w:pPr>
                <w:bookmarkStart w:id="0" w:name="_Hlk117784077"/>
                <w:r>
                  <w:t>3958089-1069406-IZB</w:t>
                </w:r>
              </w:p>
              <w:bookmarkEnd w:id="0"/>
              <w:p w14:paraId="3B7D4B05" w14:textId="77777777" w:rsidR="00CD5856" w:rsidRPr="002B504F" w:rsidRDefault="00000000">
                <w:pPr>
                  <w:pStyle w:val="Huisstijl-ReferentiegegevenskopW1"/>
                </w:pPr>
                <w:r w:rsidRPr="008D59C5">
                  <w:t>Bijlage(n)</w:t>
                </w:r>
              </w:p>
              <w:p w14:paraId="50B3DA74" w14:textId="77777777" w:rsidR="00215CB5" w:rsidRDefault="00000000">
                <w:pPr>
                  <w:pStyle w:val="Huisstijl-ReferentiegegevenskopW1"/>
                </w:pPr>
                <w:r>
                  <w:t>-</w:t>
                </w:r>
              </w:p>
              <w:p w14:paraId="1ED0739A" w14:textId="77777777" w:rsidR="00CD5856" w:rsidRDefault="00000000">
                <w:pPr>
                  <w:pStyle w:val="Huisstijl-ReferentiegegevenskopW1"/>
                </w:pPr>
                <w:r>
                  <w:t>Kenmerk afzender</w:t>
                </w:r>
              </w:p>
              <w:p w14:paraId="3DEF9E28" w14:textId="77777777" w:rsidR="00CD5856" w:rsidRDefault="00CD5856">
                <w:pPr>
                  <w:pStyle w:val="Huisstijl-Referentiegegevens"/>
                </w:pPr>
              </w:p>
              <w:p w14:paraId="2C933BC0" w14:textId="77777777" w:rsidR="00CD5856" w:rsidRDefault="00000000">
                <w:pPr>
                  <w:pStyle w:val="Huisstijl-Algemenevoorwaarden"/>
                </w:pPr>
                <w:r>
                  <w:t>Correspondentie uitsluitend richten aan het retouradres met vermelding van de datum en het kenmerk van deze brief.</w:t>
                </w:r>
              </w:p>
              <w:p w14:paraId="2767F8B6" w14:textId="77777777" w:rsidR="00CD5856" w:rsidRDefault="00CD5856"/>
            </w:txbxContent>
          </v:textbox>
          <w10:wrap anchorx="page" anchory="page"/>
        </v:shape>
      </w:pict>
    </w:r>
    <w:r>
      <w:rPr>
        <w:lang w:eastAsia="nl-NL" w:bidi="ar-SA"/>
      </w:rPr>
      <w:pict w14:anchorId="4907F237">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26A5B45C" w14:textId="77777777" w:rsidR="00CD5856" w:rsidRDefault="00CD5856">
                <w:pPr>
                  <w:pStyle w:val="Huisstijl-Toezendgegevens"/>
                </w:pPr>
              </w:p>
            </w:txbxContent>
          </v:textbox>
          <w10:wrap anchorx="page" anchory="page"/>
        </v:shape>
      </w:pict>
    </w:r>
    <w:r>
      <w:rPr>
        <w:lang w:eastAsia="nl-NL" w:bidi="ar-SA"/>
      </w:rPr>
      <w:pict w14:anchorId="50E3F36F">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111513A"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3FEBFCA">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59EF7E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B2BE" w14:textId="77777777" w:rsidR="00CD5856" w:rsidRDefault="00000000">
    <w:pPr>
      <w:pStyle w:val="Koptekst"/>
    </w:pPr>
    <w:r>
      <w:rPr>
        <w:lang w:eastAsia="nl-NL" w:bidi="ar-SA"/>
      </w:rPr>
      <w:pict w14:anchorId="6AE72DC5">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style="mso-next-textbox:#Text Box 5" inset="0,0,0,0">
            <w:txbxContent>
              <w:p w14:paraId="338D662E" w14:textId="77777777" w:rsidR="00CD5856" w:rsidRDefault="00000000">
                <w:pPr>
                  <w:pStyle w:val="Huisstijl-ReferentiegegevenskopW2"/>
                </w:pPr>
                <w:r w:rsidRPr="008D59C5">
                  <w:t>Kenmerk</w:t>
                </w:r>
              </w:p>
              <w:p w14:paraId="5295CB0D" w14:textId="77777777" w:rsidR="00C95CA9" w:rsidRPr="00C95CA9" w:rsidRDefault="00000000" w:rsidP="00C95CA9">
                <w:pPr>
                  <w:pStyle w:val="Huisstijl-Referentiegegevens"/>
                </w:pPr>
                <w:r w:rsidRPr="00C95CA9">
                  <w:t>3958089-1069406-IZB</w:t>
                </w:r>
              </w:p>
              <w:p w14:paraId="579B917B" w14:textId="77777777" w:rsidR="00CD5856" w:rsidRDefault="00CD5856">
                <w:pPr>
                  <w:pStyle w:val="Huisstijl-Referentiegegevens"/>
                </w:pPr>
              </w:p>
            </w:txbxContent>
          </v:textbox>
          <w10:wrap anchorx="page" anchory="page"/>
        </v:shape>
      </w:pict>
    </w:r>
    <w:r>
      <w:rPr>
        <w:lang w:eastAsia="nl-NL" w:bidi="ar-SA"/>
      </w:rPr>
      <w:pict w14:anchorId="41D3C24C">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style="mso-next-textbox:#Text Box 18" inset="0,0,0,0">
            <w:txbxContent>
              <w:p w14:paraId="6D291E4C" w14:textId="6CEBE71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B084E">
                  <w:fldChar w:fldCharType="begin"/>
                </w:r>
                <w:r>
                  <w:instrText xml:space="preserve"> SECTIONPAGES  \* Arabic  \* MERGEFORMAT </w:instrText>
                </w:r>
                <w:r w:rsidR="002B084E">
                  <w:fldChar w:fldCharType="separate"/>
                </w:r>
                <w:r w:rsidR="00057129">
                  <w:rPr>
                    <w:noProof/>
                  </w:rPr>
                  <w:t>7</w:t>
                </w:r>
                <w:r w:rsidR="002B084E">
                  <w:rPr>
                    <w:noProof/>
                  </w:rPr>
                  <w:fldChar w:fldCharType="end"/>
                </w:r>
              </w:p>
              <w:p w14:paraId="5D7C356E" w14:textId="77777777" w:rsidR="00CD5856" w:rsidRDefault="00CD5856"/>
              <w:p w14:paraId="011AA57D" w14:textId="77777777" w:rsidR="00CD5856" w:rsidRDefault="00CD5856">
                <w:pPr>
                  <w:pStyle w:val="Huisstijl-Paginanummer"/>
                </w:pPr>
              </w:p>
              <w:p w14:paraId="764B6ECB"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E6E" w14:textId="77777777" w:rsidR="00CD5856" w:rsidRDefault="00000000">
    <w:pPr>
      <w:pStyle w:val="Koptekst"/>
    </w:pPr>
    <w:r>
      <w:rPr>
        <w:lang w:eastAsia="nl-NL" w:bidi="ar-SA"/>
      </w:rPr>
      <w:pict w14:anchorId="73D1AE7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next-textbox:#Text Box 16;mso-fit-shape-to-text:t" inset="0,0,0,0">
            <w:txbxContent>
              <w:p w14:paraId="0EE6C8F7"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8021C">
                      <w:t>26 juni 2014</w:t>
                    </w:r>
                  </w:sdtContent>
                </w:sdt>
              </w:p>
              <w:p w14:paraId="46B85757" w14:textId="77777777" w:rsidR="00CD5856" w:rsidRDefault="00000000">
                <w:pPr>
                  <w:pStyle w:val="Huisstijl-Datumenbetreft"/>
                  <w:tabs>
                    <w:tab w:val="left" w:pos="-5954"/>
                    <w:tab w:val="left" w:pos="-5670"/>
                  </w:tabs>
                </w:pPr>
                <w:r>
                  <w:t>Betreft</w:t>
                </w:r>
                <w:r>
                  <w:tab/>
                </w:r>
                <w:r w:rsidR="008D59C5">
                  <w:t>BETREFT</w:t>
                </w:r>
              </w:p>
              <w:p w14:paraId="28FB7382"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4E1E97F8">
          <wp:simplePos x="0" y="0"/>
          <wp:positionH relativeFrom="page">
            <wp:posOffset>3542665</wp:posOffset>
          </wp:positionH>
          <wp:positionV relativeFrom="page">
            <wp:posOffset>0</wp:posOffset>
          </wp:positionV>
          <wp:extent cx="464400" cy="1580400"/>
          <wp:effectExtent l="0" t="0" r="0" b="0"/>
          <wp:wrapNone/>
          <wp:docPr id="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6B8DA71">
          <wp:simplePos x="0" y="0"/>
          <wp:positionH relativeFrom="page">
            <wp:posOffset>4010660</wp:posOffset>
          </wp:positionH>
          <wp:positionV relativeFrom="page">
            <wp:posOffset>0</wp:posOffset>
          </wp:positionV>
          <wp:extent cx="2336400" cy="1580400"/>
          <wp:effectExtent l="0" t="0" r="0" b="0"/>
          <wp:wrapNone/>
          <wp:docPr id="2" name="Afbeelding 2"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CA0D041">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style="mso-next-textbox:#_x0000_s3082" inset="0,0,0,0">
            <w:txbxContent>
              <w:p w14:paraId="5C8A9A58" w14:textId="77777777" w:rsidR="00CD5856" w:rsidRDefault="00000000">
                <w:pPr>
                  <w:pStyle w:val="Huisstijl-Afzendgegevens"/>
                </w:pPr>
                <w:r w:rsidRPr="008D59C5">
                  <w:t>Rijnstraat 50</w:t>
                </w:r>
              </w:p>
              <w:p w14:paraId="4C500639" w14:textId="77777777" w:rsidR="00CD5856" w:rsidRDefault="00000000">
                <w:pPr>
                  <w:pStyle w:val="Huisstijl-Afzendgegevens"/>
                </w:pPr>
                <w:r w:rsidRPr="008D59C5">
                  <w:t>Den Haag</w:t>
                </w:r>
              </w:p>
              <w:p w14:paraId="350B93E5" w14:textId="77777777" w:rsidR="00CD5856" w:rsidRDefault="00000000">
                <w:pPr>
                  <w:pStyle w:val="Huisstijl-Afzendgegevens"/>
                </w:pPr>
                <w:r w:rsidRPr="008D59C5">
                  <w:t>www.rijksoverheid.nl</w:t>
                </w:r>
              </w:p>
              <w:p w14:paraId="18359435" w14:textId="77777777" w:rsidR="00CD5856" w:rsidRDefault="00000000">
                <w:pPr>
                  <w:pStyle w:val="Huisstijl-AfzendgegevenskopW1"/>
                </w:pPr>
                <w:r>
                  <w:t>Contactpersoon</w:t>
                </w:r>
              </w:p>
              <w:p w14:paraId="5A836AD4" w14:textId="77777777" w:rsidR="00CD5856" w:rsidRDefault="00000000">
                <w:pPr>
                  <w:pStyle w:val="Huisstijl-Afzendgegevens"/>
                </w:pPr>
                <w:r w:rsidRPr="008D59C5">
                  <w:t>ing. J.A. Ramlal</w:t>
                </w:r>
              </w:p>
              <w:p w14:paraId="7EA61BFB" w14:textId="77777777" w:rsidR="00CD5856" w:rsidRDefault="00000000">
                <w:pPr>
                  <w:pStyle w:val="Huisstijl-Afzendgegevens"/>
                </w:pPr>
                <w:r w:rsidRPr="008D59C5">
                  <w:t>ja.ramlal@minvws.nl</w:t>
                </w:r>
              </w:p>
              <w:p w14:paraId="458C6BA3" w14:textId="77777777" w:rsidR="00CD5856" w:rsidRDefault="00000000">
                <w:pPr>
                  <w:pStyle w:val="Huisstijl-ReferentiegegevenskopW2"/>
                </w:pPr>
                <w:r>
                  <w:t>Ons kenmerk</w:t>
                </w:r>
              </w:p>
              <w:p w14:paraId="370A2501" w14:textId="77777777" w:rsidR="00CD5856" w:rsidRDefault="00000000">
                <w:pPr>
                  <w:pStyle w:val="Huisstijl-Referentiegegevens"/>
                </w:pPr>
                <w:r>
                  <w:t>KENMERK</w:t>
                </w:r>
              </w:p>
              <w:p w14:paraId="1B3A7A92" w14:textId="77777777" w:rsidR="00CD5856" w:rsidRDefault="00000000">
                <w:pPr>
                  <w:pStyle w:val="Huisstijl-ReferentiegegevenskopW1"/>
                </w:pPr>
                <w:r>
                  <w:t>Uw kenmerk</w:t>
                </w:r>
              </w:p>
              <w:p w14:paraId="2D7CF966" w14:textId="77777777" w:rsidR="00CD5856" w:rsidRDefault="00000000">
                <w:pPr>
                  <w:pStyle w:val="Huisstijl-Referentiegegevens"/>
                </w:pPr>
                <w:r>
                  <w:t>UW BRIEF</w:t>
                </w:r>
              </w:p>
            </w:txbxContent>
          </v:textbox>
          <w10:wrap anchorx="page" anchory="page"/>
        </v:shape>
      </w:pict>
    </w:r>
    <w:r>
      <w:rPr>
        <w:lang w:eastAsia="nl-NL" w:bidi="ar-SA"/>
      </w:rPr>
      <w:pict w14:anchorId="4062381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style="mso-next-textbox:#_x0000_s3083" inset="0,0,0,0">
            <w:txbxContent>
              <w:p w14:paraId="60E13AF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30E822E">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style="mso-next-textbox:#_x0000_s3084" inset="0,0,0,0">
            <w:txbxContent>
              <w:p w14:paraId="7CDF9D7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641C3D">
                  <w:rPr>
                    <w:noProof/>
                  </w:rPr>
                  <w:t>1</w:t>
                </w:r>
                <w:r w:rsidR="009F419D">
                  <w:rPr>
                    <w:noProof/>
                  </w:rPr>
                  <w:fldChar w:fldCharType="end"/>
                </w:r>
              </w:p>
            </w:txbxContent>
          </v:textbox>
          <w10:wrap anchorx="page" anchory="page"/>
          <w10:anchorlock/>
        </v:shape>
      </w:pict>
    </w:r>
    <w:r>
      <w:rPr>
        <w:lang w:eastAsia="nl-NL" w:bidi="ar-SA"/>
      </w:rPr>
      <w:pict w14:anchorId="2EA4DE8D">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style="mso-next-textbox:#_x0000_s3085" inset="0,0,0,0">
            <w:txbxContent>
              <w:p w14:paraId="3351F236" w14:textId="77777777" w:rsidR="00CD5856" w:rsidRDefault="00CD5856">
                <w:pPr>
                  <w:pStyle w:val="Huisstijl-Toezendgegevens"/>
                </w:pPr>
              </w:p>
            </w:txbxContent>
          </v:textbox>
          <w10:wrap anchorx="page" anchory="page"/>
        </v:shape>
      </w:pict>
    </w:r>
    <w:r>
      <w:rPr>
        <w:lang w:eastAsia="nl-NL" w:bidi="ar-SA"/>
      </w:rPr>
      <w:pict w14:anchorId="05FA97C6">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style="mso-next-textbox:#_x0000_s3086" inset="0,0,0,0">
            <w:txbxContent>
              <w:p w14:paraId="63FA2646"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346B24C">
      <w:numFmt w:val="bullet"/>
      <w:lvlText w:val=""/>
      <w:lvlJc w:val="left"/>
      <w:pPr>
        <w:ind w:left="720" w:hanging="360"/>
      </w:pPr>
      <w:rPr>
        <w:rFonts w:ascii="Wingdings" w:eastAsia="DejaVu Sans" w:hAnsi="Wingdings" w:cs="Lohit Hindi" w:hint="default"/>
      </w:rPr>
    </w:lvl>
    <w:lvl w:ilvl="1" w:tplc="7C900F00" w:tentative="1">
      <w:start w:val="1"/>
      <w:numFmt w:val="bullet"/>
      <w:lvlText w:val="o"/>
      <w:lvlJc w:val="left"/>
      <w:pPr>
        <w:ind w:left="1440" w:hanging="360"/>
      </w:pPr>
      <w:rPr>
        <w:rFonts w:ascii="Courier New" w:hAnsi="Courier New" w:cs="Courier New" w:hint="default"/>
      </w:rPr>
    </w:lvl>
    <w:lvl w:ilvl="2" w:tplc="D124E476" w:tentative="1">
      <w:start w:val="1"/>
      <w:numFmt w:val="bullet"/>
      <w:lvlText w:val=""/>
      <w:lvlJc w:val="left"/>
      <w:pPr>
        <w:ind w:left="2160" w:hanging="360"/>
      </w:pPr>
      <w:rPr>
        <w:rFonts w:ascii="Wingdings" w:hAnsi="Wingdings" w:hint="default"/>
      </w:rPr>
    </w:lvl>
    <w:lvl w:ilvl="3" w:tplc="43E4EA40" w:tentative="1">
      <w:start w:val="1"/>
      <w:numFmt w:val="bullet"/>
      <w:lvlText w:val=""/>
      <w:lvlJc w:val="left"/>
      <w:pPr>
        <w:ind w:left="2880" w:hanging="360"/>
      </w:pPr>
      <w:rPr>
        <w:rFonts w:ascii="Symbol" w:hAnsi="Symbol" w:hint="default"/>
      </w:rPr>
    </w:lvl>
    <w:lvl w:ilvl="4" w:tplc="48BE238E" w:tentative="1">
      <w:start w:val="1"/>
      <w:numFmt w:val="bullet"/>
      <w:lvlText w:val="o"/>
      <w:lvlJc w:val="left"/>
      <w:pPr>
        <w:ind w:left="3600" w:hanging="360"/>
      </w:pPr>
      <w:rPr>
        <w:rFonts w:ascii="Courier New" w:hAnsi="Courier New" w:cs="Courier New" w:hint="default"/>
      </w:rPr>
    </w:lvl>
    <w:lvl w:ilvl="5" w:tplc="481E1794" w:tentative="1">
      <w:start w:val="1"/>
      <w:numFmt w:val="bullet"/>
      <w:lvlText w:val=""/>
      <w:lvlJc w:val="left"/>
      <w:pPr>
        <w:ind w:left="4320" w:hanging="360"/>
      </w:pPr>
      <w:rPr>
        <w:rFonts w:ascii="Wingdings" w:hAnsi="Wingdings" w:hint="default"/>
      </w:rPr>
    </w:lvl>
    <w:lvl w:ilvl="6" w:tplc="DB3AD324" w:tentative="1">
      <w:start w:val="1"/>
      <w:numFmt w:val="bullet"/>
      <w:lvlText w:val=""/>
      <w:lvlJc w:val="left"/>
      <w:pPr>
        <w:ind w:left="5040" w:hanging="360"/>
      </w:pPr>
      <w:rPr>
        <w:rFonts w:ascii="Symbol" w:hAnsi="Symbol" w:hint="default"/>
      </w:rPr>
    </w:lvl>
    <w:lvl w:ilvl="7" w:tplc="B7D032CA" w:tentative="1">
      <w:start w:val="1"/>
      <w:numFmt w:val="bullet"/>
      <w:lvlText w:val="o"/>
      <w:lvlJc w:val="left"/>
      <w:pPr>
        <w:ind w:left="5760" w:hanging="360"/>
      </w:pPr>
      <w:rPr>
        <w:rFonts w:ascii="Courier New" w:hAnsi="Courier New" w:cs="Courier New" w:hint="default"/>
      </w:rPr>
    </w:lvl>
    <w:lvl w:ilvl="8" w:tplc="C166FB16" w:tentative="1">
      <w:start w:val="1"/>
      <w:numFmt w:val="bullet"/>
      <w:lvlText w:val=""/>
      <w:lvlJc w:val="left"/>
      <w:pPr>
        <w:ind w:left="6480" w:hanging="360"/>
      </w:pPr>
      <w:rPr>
        <w:rFonts w:ascii="Wingdings" w:hAnsi="Wingdings" w:hint="default"/>
      </w:rPr>
    </w:lvl>
  </w:abstractNum>
  <w:num w:numId="1" w16cid:durableId="212777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0930"/>
    <w:rsid w:val="00034261"/>
    <w:rsid w:val="000344CB"/>
    <w:rsid w:val="00050D5B"/>
    <w:rsid w:val="00057129"/>
    <w:rsid w:val="000952C2"/>
    <w:rsid w:val="000957B5"/>
    <w:rsid w:val="000B1832"/>
    <w:rsid w:val="000B45B1"/>
    <w:rsid w:val="000C29E1"/>
    <w:rsid w:val="000D0CCB"/>
    <w:rsid w:val="000D6D8A"/>
    <w:rsid w:val="000E2F12"/>
    <w:rsid w:val="000E54B6"/>
    <w:rsid w:val="00113778"/>
    <w:rsid w:val="00125BDF"/>
    <w:rsid w:val="00136258"/>
    <w:rsid w:val="00172CD9"/>
    <w:rsid w:val="0018028F"/>
    <w:rsid w:val="001A5012"/>
    <w:rsid w:val="001B41E1"/>
    <w:rsid w:val="001B7303"/>
    <w:rsid w:val="001F6E85"/>
    <w:rsid w:val="00211256"/>
    <w:rsid w:val="00215CB5"/>
    <w:rsid w:val="00235AED"/>
    <w:rsid w:val="00237438"/>
    <w:rsid w:val="00241BB9"/>
    <w:rsid w:val="00282053"/>
    <w:rsid w:val="00297795"/>
    <w:rsid w:val="002B084E"/>
    <w:rsid w:val="002B1D9F"/>
    <w:rsid w:val="002B504F"/>
    <w:rsid w:val="002F4886"/>
    <w:rsid w:val="00334C45"/>
    <w:rsid w:val="003451E2"/>
    <w:rsid w:val="00347F1B"/>
    <w:rsid w:val="003521AF"/>
    <w:rsid w:val="003B0C30"/>
    <w:rsid w:val="003B287C"/>
    <w:rsid w:val="003B48D4"/>
    <w:rsid w:val="003C0206"/>
    <w:rsid w:val="003C472B"/>
    <w:rsid w:val="003C6ED5"/>
    <w:rsid w:val="003C700C"/>
    <w:rsid w:val="003C7185"/>
    <w:rsid w:val="003D27F8"/>
    <w:rsid w:val="003E072B"/>
    <w:rsid w:val="003F3A47"/>
    <w:rsid w:val="0043480A"/>
    <w:rsid w:val="00437B5F"/>
    <w:rsid w:val="004509BE"/>
    <w:rsid w:val="0045486D"/>
    <w:rsid w:val="00463DBC"/>
    <w:rsid w:val="0047417F"/>
    <w:rsid w:val="004934A8"/>
    <w:rsid w:val="00496D34"/>
    <w:rsid w:val="004F0B09"/>
    <w:rsid w:val="00516D6A"/>
    <w:rsid w:val="00523C02"/>
    <w:rsid w:val="00544135"/>
    <w:rsid w:val="005600D7"/>
    <w:rsid w:val="005677D6"/>
    <w:rsid w:val="00582E97"/>
    <w:rsid w:val="00587714"/>
    <w:rsid w:val="005C3CD4"/>
    <w:rsid w:val="005D327A"/>
    <w:rsid w:val="0063555A"/>
    <w:rsid w:val="00641C3D"/>
    <w:rsid w:val="00677F7A"/>
    <w:rsid w:val="00685B09"/>
    <w:rsid w:val="00686885"/>
    <w:rsid w:val="00690FD3"/>
    <w:rsid w:val="006922AC"/>
    <w:rsid w:val="00697032"/>
    <w:rsid w:val="006B16C1"/>
    <w:rsid w:val="006B2ACE"/>
    <w:rsid w:val="006F47B9"/>
    <w:rsid w:val="007306A2"/>
    <w:rsid w:val="0074764C"/>
    <w:rsid w:val="007521DD"/>
    <w:rsid w:val="00763E81"/>
    <w:rsid w:val="00776965"/>
    <w:rsid w:val="007A4F37"/>
    <w:rsid w:val="007B028B"/>
    <w:rsid w:val="007B6A41"/>
    <w:rsid w:val="007D0F21"/>
    <w:rsid w:val="007D23C6"/>
    <w:rsid w:val="007E36BA"/>
    <w:rsid w:val="007F380D"/>
    <w:rsid w:val="007F4A98"/>
    <w:rsid w:val="007F4E2F"/>
    <w:rsid w:val="008420C6"/>
    <w:rsid w:val="00852935"/>
    <w:rsid w:val="008642A8"/>
    <w:rsid w:val="0087691C"/>
    <w:rsid w:val="00893C24"/>
    <w:rsid w:val="008A21F4"/>
    <w:rsid w:val="008A3467"/>
    <w:rsid w:val="008C377C"/>
    <w:rsid w:val="008D59C5"/>
    <w:rsid w:val="008D618A"/>
    <w:rsid w:val="008E210E"/>
    <w:rsid w:val="008E481C"/>
    <w:rsid w:val="008E4B89"/>
    <w:rsid w:val="008F33AD"/>
    <w:rsid w:val="00913F9A"/>
    <w:rsid w:val="009150AF"/>
    <w:rsid w:val="0095468D"/>
    <w:rsid w:val="00960E2B"/>
    <w:rsid w:val="0097763D"/>
    <w:rsid w:val="00985A65"/>
    <w:rsid w:val="0098673A"/>
    <w:rsid w:val="009A20D9"/>
    <w:rsid w:val="009A31BF"/>
    <w:rsid w:val="009B1591"/>
    <w:rsid w:val="009B2459"/>
    <w:rsid w:val="009C4777"/>
    <w:rsid w:val="009D3C77"/>
    <w:rsid w:val="009D7D63"/>
    <w:rsid w:val="009F419D"/>
    <w:rsid w:val="00A358B7"/>
    <w:rsid w:val="00A52DBE"/>
    <w:rsid w:val="00A83BE3"/>
    <w:rsid w:val="00A86BC7"/>
    <w:rsid w:val="00AA61EA"/>
    <w:rsid w:val="00AF6BEC"/>
    <w:rsid w:val="00B050D0"/>
    <w:rsid w:val="00B31DC2"/>
    <w:rsid w:val="00B8296E"/>
    <w:rsid w:val="00B82F43"/>
    <w:rsid w:val="00BA0082"/>
    <w:rsid w:val="00BA7566"/>
    <w:rsid w:val="00BC481F"/>
    <w:rsid w:val="00BD6585"/>
    <w:rsid w:val="00BD75C1"/>
    <w:rsid w:val="00BE7C5D"/>
    <w:rsid w:val="00C3438D"/>
    <w:rsid w:val="00C62B6C"/>
    <w:rsid w:val="00C8021C"/>
    <w:rsid w:val="00C81260"/>
    <w:rsid w:val="00C95CA9"/>
    <w:rsid w:val="00CA061B"/>
    <w:rsid w:val="00CC7A2F"/>
    <w:rsid w:val="00CD4AED"/>
    <w:rsid w:val="00CD5856"/>
    <w:rsid w:val="00CE33DF"/>
    <w:rsid w:val="00CF0F2E"/>
    <w:rsid w:val="00CF1FC4"/>
    <w:rsid w:val="00CF3E82"/>
    <w:rsid w:val="00D54679"/>
    <w:rsid w:val="00D67BAF"/>
    <w:rsid w:val="00D70CCF"/>
    <w:rsid w:val="00D729F9"/>
    <w:rsid w:val="00DA15A1"/>
    <w:rsid w:val="00DC7639"/>
    <w:rsid w:val="00E1490C"/>
    <w:rsid w:val="00E37122"/>
    <w:rsid w:val="00E72BF0"/>
    <w:rsid w:val="00E85195"/>
    <w:rsid w:val="00EA275E"/>
    <w:rsid w:val="00ED7806"/>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53573E85"/>
  <w15:docId w15:val="{60AD1ACE-8DF5-48DC-BE3A-2D91666E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Voetnoottekst1">
    <w:name w:val="Voetnoottekst1"/>
    <w:basedOn w:val="Standaard"/>
    <w:next w:val="Voetnoottekst"/>
    <w:link w:val="VoetnoottekstChar"/>
    <w:uiPriority w:val="99"/>
    <w:semiHidden/>
    <w:unhideWhenUsed/>
    <w:rsid w:val="009A20D9"/>
    <w:pPr>
      <w:widowControl/>
      <w:suppressAutoHyphens w:val="0"/>
      <w:autoSpaceDN/>
      <w:spacing w:line="240" w:lineRule="auto"/>
      <w:textAlignment w:val="auto"/>
    </w:pPr>
    <w:rPr>
      <w:rFonts w:ascii="Times New Roman" w:hAnsi="Times New Roman"/>
      <w:sz w:val="20"/>
      <w:szCs w:val="20"/>
    </w:rPr>
  </w:style>
  <w:style w:type="character" w:customStyle="1" w:styleId="VoetnoottekstChar">
    <w:name w:val="Voetnoottekst Char"/>
    <w:basedOn w:val="Standaardalinea-lettertype"/>
    <w:link w:val="Voetnoottekst1"/>
    <w:uiPriority w:val="99"/>
    <w:semiHidden/>
    <w:rsid w:val="009A20D9"/>
    <w:rPr>
      <w:sz w:val="20"/>
      <w:szCs w:val="20"/>
    </w:rPr>
  </w:style>
  <w:style w:type="character" w:styleId="Voetnootmarkering">
    <w:name w:val="footnote reference"/>
    <w:basedOn w:val="Standaardalinea-lettertype"/>
    <w:uiPriority w:val="99"/>
    <w:semiHidden/>
    <w:unhideWhenUsed/>
    <w:rsid w:val="009A20D9"/>
    <w:rPr>
      <w:vertAlign w:val="superscript"/>
    </w:rPr>
  </w:style>
  <w:style w:type="character" w:customStyle="1" w:styleId="Hyperlink1">
    <w:name w:val="Hyperlink1"/>
    <w:basedOn w:val="Standaardalinea-lettertype"/>
    <w:uiPriority w:val="99"/>
    <w:unhideWhenUsed/>
    <w:rsid w:val="009A20D9"/>
    <w:rPr>
      <w:color w:val="0563C1"/>
      <w:u w:val="single"/>
    </w:rPr>
  </w:style>
  <w:style w:type="paragraph" w:styleId="Voetnoottekst">
    <w:name w:val="footnote text"/>
    <w:basedOn w:val="Standaard"/>
    <w:link w:val="VoetnoottekstChar1"/>
    <w:uiPriority w:val="99"/>
    <w:semiHidden/>
    <w:unhideWhenUsed/>
    <w:rsid w:val="009A20D9"/>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9A20D9"/>
    <w:rPr>
      <w:rFonts w:ascii="Verdana" w:hAnsi="Verdana" w:cs="Mangal"/>
      <w:sz w:val="20"/>
      <w:szCs w:val="18"/>
    </w:rPr>
  </w:style>
  <w:style w:type="character" w:styleId="Hyperlink">
    <w:name w:val="Hyperlink"/>
    <w:basedOn w:val="Standaardalinea-lettertype"/>
    <w:uiPriority w:val="99"/>
    <w:semiHidden/>
    <w:unhideWhenUsed/>
    <w:rsid w:val="009A20D9"/>
    <w:rPr>
      <w:color w:val="0000FF" w:themeColor="hyperlink"/>
      <w:u w:val="single"/>
    </w:rPr>
  </w:style>
  <w:style w:type="character" w:styleId="Verwijzingopmerking">
    <w:name w:val="annotation reference"/>
    <w:basedOn w:val="Standaardalinea-lettertype"/>
    <w:uiPriority w:val="99"/>
    <w:semiHidden/>
    <w:unhideWhenUsed/>
    <w:rsid w:val="00282053"/>
    <w:rPr>
      <w:sz w:val="16"/>
      <w:szCs w:val="16"/>
    </w:rPr>
  </w:style>
  <w:style w:type="paragraph" w:styleId="Tekstopmerking">
    <w:name w:val="annotation text"/>
    <w:basedOn w:val="Standaard"/>
    <w:link w:val="TekstopmerkingChar"/>
    <w:uiPriority w:val="99"/>
    <w:unhideWhenUsed/>
    <w:rsid w:val="00282053"/>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282053"/>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82053"/>
    <w:rPr>
      <w:b/>
      <w:bCs/>
    </w:rPr>
  </w:style>
  <w:style w:type="character" w:customStyle="1" w:styleId="OnderwerpvanopmerkingChar">
    <w:name w:val="Onderwerp van opmerking Char"/>
    <w:basedOn w:val="TekstopmerkingChar"/>
    <w:link w:val="Onderwerpvanopmerking"/>
    <w:uiPriority w:val="99"/>
    <w:semiHidden/>
    <w:rsid w:val="00282053"/>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wo.nl/onderzoeksprogrammas/novel-antibacterial-compounds-and-therapies-antagonising-resistance-nactar" TargetMode="External"/><Relationship Id="rId2" Type="http://schemas.openxmlformats.org/officeDocument/2006/relationships/hyperlink" Target="https://www.nvwa.nl/onderwerpen/muizen-en-andere-plaagdieren-bestrijden/integrated-pest-management" TargetMode="External"/><Relationship Id="rId1" Type="http://schemas.openxmlformats.org/officeDocument/2006/relationships/hyperlink" Target="https://echa.europa.eu/documents/10162/2166576/azole+resistance+of+aspergillus_mandate_en.pdf/e8c494fb-abf9-a09b-0dbb-af175135e995?t=16770547624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2659</ap:Words>
  <ap:Characters>14630</ap:Characters>
  <ap:DocSecurity>0</ap:DocSecurity>
  <ap:Lines>121</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2024-09-19T15:16:00.0000000Z</lastPrinted>
  <dcterms:created xsi:type="dcterms:W3CDTF">2014-06-26T12:56:00.0000000Z</dcterms:created>
  <dcterms:modified xsi:type="dcterms:W3CDTF">2024-09-19T15:18:00.0000000Z</dcterms:modified>
  <dc:creator/>
  <dc:description>------------------------</dc:description>
  <dc:subject/>
  <dc:title/>
  <keywords/>
  <version/>
  <category/>
</coreProperties>
</file>