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F0B56" w:rsidR="004F0B56" w:rsidRDefault="00D604E0" w14:paraId="74BB9B22" w14:textId="77777777">
      <w:pPr>
        <w:rPr>
          <w:rFonts w:cstheme="minorHAnsi"/>
        </w:rPr>
      </w:pPr>
      <w:r w:rsidRPr="004F0B56">
        <w:rPr>
          <w:rFonts w:cstheme="minorHAnsi"/>
        </w:rPr>
        <w:t>36600</w:t>
      </w:r>
      <w:r w:rsidRPr="004F0B56" w:rsidR="004F0B56">
        <w:rPr>
          <w:rFonts w:cstheme="minorHAnsi"/>
        </w:rPr>
        <w:tab/>
      </w:r>
      <w:r w:rsidRPr="004F0B56" w:rsidR="004F0B56">
        <w:rPr>
          <w:rFonts w:cstheme="minorHAnsi"/>
        </w:rPr>
        <w:tab/>
      </w:r>
      <w:r w:rsidRPr="004F0B56" w:rsidR="004F0B56">
        <w:rPr>
          <w:rFonts w:cstheme="minorHAnsi"/>
        </w:rPr>
        <w:tab/>
        <w:t>Nota over de toestand van ’s Rijks Financiën</w:t>
      </w:r>
    </w:p>
    <w:p w:rsidRPr="004F0B56" w:rsidR="004F0B56" w:rsidRDefault="00D604E0" w14:paraId="712E2016" w14:textId="77777777">
      <w:pPr>
        <w:rPr>
          <w:rFonts w:cstheme="minorHAnsi"/>
        </w:rPr>
      </w:pPr>
      <w:r w:rsidRPr="004F0B56">
        <w:rPr>
          <w:rFonts w:cstheme="minorHAnsi"/>
        </w:rPr>
        <w:t>33650</w:t>
      </w:r>
      <w:r w:rsidRPr="004F0B56" w:rsidR="004F0B56">
        <w:rPr>
          <w:rFonts w:cstheme="minorHAnsi"/>
        </w:rPr>
        <w:tab/>
      </w:r>
      <w:r w:rsidRPr="004F0B56" w:rsidR="004F0B56">
        <w:rPr>
          <w:rFonts w:cstheme="minorHAnsi"/>
        </w:rPr>
        <w:tab/>
      </w:r>
      <w:r w:rsidRPr="004F0B56" w:rsidR="004F0B56">
        <w:rPr>
          <w:rFonts w:cstheme="minorHAnsi"/>
        </w:rPr>
        <w:tab/>
        <w:t>Subsidiebeleid Onderwijs, Cultuur en Wetenschap (OCW)</w:t>
      </w:r>
    </w:p>
    <w:p w:rsidRPr="004F0B56" w:rsidR="004F0B56" w:rsidP="004F0B56" w:rsidRDefault="004F0B56" w14:paraId="67A03D7A" w14:textId="543F3E9E">
      <w:pPr>
        <w:ind w:left="2124" w:hanging="2124"/>
        <w:rPr>
          <w:rFonts w:cstheme="minorHAnsi"/>
        </w:rPr>
      </w:pPr>
      <w:r w:rsidRPr="004F0B56">
        <w:rPr>
          <w:rFonts w:cstheme="minorHAnsi"/>
        </w:rPr>
        <w:t xml:space="preserve">Nr. </w:t>
      </w:r>
      <w:r w:rsidRPr="004F0B56">
        <w:rPr>
          <w:rFonts w:cstheme="minorHAnsi"/>
        </w:rPr>
        <w:t>8</w:t>
      </w:r>
      <w:r w:rsidRPr="004F0B56">
        <w:rPr>
          <w:rFonts w:cstheme="minorHAnsi"/>
        </w:rPr>
        <w:tab/>
        <w:t>Brief van de minister en staatssecretaris van Onderwijs, Cultuur en Wetenschap</w:t>
      </w:r>
    </w:p>
    <w:p w:rsidRPr="004F0B56" w:rsidR="004F0B56" w:rsidP="0012150B" w:rsidRDefault="004F0B56" w14:paraId="766C50F1" w14:textId="330F08EE">
      <w:pPr>
        <w:spacing w:line="240" w:lineRule="auto"/>
        <w:rPr>
          <w:rFonts w:cstheme="minorHAnsi"/>
        </w:rPr>
      </w:pPr>
      <w:r w:rsidRPr="004F0B56">
        <w:rPr>
          <w:rFonts w:cstheme="minorHAnsi"/>
        </w:rPr>
        <w:t>Aan de Voorzitter van de Tweede Kamer der Staten-Generaal</w:t>
      </w:r>
    </w:p>
    <w:p w:rsidRPr="004F0B56" w:rsidR="004F0B56" w:rsidP="0012150B" w:rsidRDefault="004F0B56" w14:paraId="5702B7C6" w14:textId="571DABB8">
      <w:pPr>
        <w:spacing w:line="240" w:lineRule="auto"/>
        <w:rPr>
          <w:rFonts w:cstheme="minorHAnsi"/>
        </w:rPr>
      </w:pPr>
      <w:r w:rsidRPr="004F0B56">
        <w:rPr>
          <w:rFonts w:cstheme="minorHAnsi"/>
        </w:rPr>
        <w:t>Den Haag, 19 september 2024</w:t>
      </w:r>
    </w:p>
    <w:p w:rsidRPr="004F0B56" w:rsidR="0012150B" w:rsidP="0012150B" w:rsidRDefault="0012150B" w14:paraId="69BFEE3C" w14:textId="77777777">
      <w:pPr>
        <w:spacing w:line="240" w:lineRule="auto"/>
        <w:rPr>
          <w:rFonts w:cstheme="minorHAnsi"/>
        </w:rPr>
      </w:pPr>
    </w:p>
    <w:p w:rsidRPr="004F0B56" w:rsidR="0012150B" w:rsidP="0012150B" w:rsidRDefault="0012150B" w14:paraId="38B1BEBF" w14:textId="3CFDA56C">
      <w:pPr>
        <w:spacing w:line="240" w:lineRule="auto"/>
        <w:rPr>
          <w:rFonts w:cstheme="minorHAnsi"/>
        </w:rPr>
      </w:pPr>
      <w:r w:rsidRPr="004F0B56">
        <w:rPr>
          <w:rFonts w:cstheme="minorHAnsi"/>
        </w:rPr>
        <w:t>Hierbij stuur ik u een reactie op het verzoek van het lid Jetten voorafgaand aan de Algemene Politieke Beschouwingen over de invulling van de subsidietaakstelling van OCW.</w:t>
      </w:r>
    </w:p>
    <w:p w:rsidRPr="004F0B56" w:rsidR="0012150B" w:rsidP="0012150B" w:rsidRDefault="0012150B" w14:paraId="1F53FCD5" w14:textId="311BEDF0">
      <w:pPr>
        <w:spacing w:line="240" w:lineRule="auto"/>
        <w:rPr>
          <w:rFonts w:cstheme="minorHAnsi"/>
        </w:rPr>
      </w:pPr>
      <w:r w:rsidRPr="004F0B56">
        <w:rPr>
          <w:rFonts w:cstheme="minorHAnsi"/>
        </w:rPr>
        <w:t>In het hoofdlijnenakkoord Hoop, Lef en Trots</w:t>
      </w:r>
      <w:r w:rsidRPr="004F0B56" w:rsidR="00D604E0">
        <w:rPr>
          <w:rFonts w:cstheme="minorHAnsi"/>
        </w:rPr>
        <w:t xml:space="preserve"> (bijlage bij Kamerstuk 36471, nr. 37)</w:t>
      </w:r>
      <w:r w:rsidRPr="004F0B56">
        <w:rPr>
          <w:rFonts w:cstheme="minorHAnsi"/>
        </w:rPr>
        <w:t xml:space="preserve"> is besloten tot een </w:t>
      </w:r>
      <w:proofErr w:type="spellStart"/>
      <w:r w:rsidRPr="004F0B56">
        <w:rPr>
          <w:rFonts w:cstheme="minorHAnsi"/>
        </w:rPr>
        <w:t>rijksbrede</w:t>
      </w:r>
      <w:proofErr w:type="spellEnd"/>
      <w:r w:rsidRPr="004F0B56">
        <w:rPr>
          <w:rFonts w:cstheme="minorHAnsi"/>
        </w:rPr>
        <w:t xml:space="preserve"> taakstelling op subsidies van structureel € 1 miljard. Deze taakstelling is verdeeld naar rato van de subsidiegrondslag op de begrotingen waarbij de grondslag eerst wordt verlaagd met de specifieke budgetkortingen uit het hoofdlijnenakkoord. Dit resulteert in een subsidietaakstelling van structureel € 361 miljoen voor het ministerie van OCW.</w:t>
      </w:r>
    </w:p>
    <w:p w:rsidRPr="004F0B56" w:rsidR="0012150B" w:rsidP="0012150B" w:rsidRDefault="0012150B" w14:paraId="7417284E" w14:textId="77777777">
      <w:pPr>
        <w:spacing w:line="240" w:lineRule="auto"/>
        <w:ind w:left="4254" w:firstLine="709"/>
        <w:jc w:val="center"/>
        <w:rPr>
          <w:rFonts w:cstheme="minorHAnsi"/>
          <w:i/>
          <w:iCs/>
        </w:rPr>
      </w:pPr>
      <w:r w:rsidRPr="004F0B56">
        <w:rPr>
          <w:rFonts w:cstheme="minorHAnsi"/>
          <w:i/>
          <w:iCs/>
        </w:rPr>
        <w:t>Bedragen x € 1.000.000</w:t>
      </w:r>
    </w:p>
    <w:tbl>
      <w:tblPr>
        <w:tblStyle w:val="Tabelraster"/>
        <w:tblW w:w="7375" w:type="dxa"/>
        <w:tblLook w:val="04A0" w:firstRow="1" w:lastRow="0" w:firstColumn="1" w:lastColumn="0" w:noHBand="0" w:noVBand="1"/>
      </w:tblPr>
      <w:tblGrid>
        <w:gridCol w:w="1847"/>
        <w:gridCol w:w="1430"/>
        <w:gridCol w:w="1055"/>
        <w:gridCol w:w="1055"/>
        <w:gridCol w:w="1055"/>
        <w:gridCol w:w="933"/>
      </w:tblGrid>
      <w:tr w:rsidRPr="004F0B56" w:rsidR="0012150B" w:rsidTr="00B1792D" w14:paraId="0E7B4F10" w14:textId="77777777">
        <w:trPr>
          <w:trHeight w:val="206"/>
        </w:trPr>
        <w:tc>
          <w:tcPr>
            <w:tcW w:w="1847" w:type="dxa"/>
            <w:noWrap/>
            <w:hideMark/>
          </w:tcPr>
          <w:p w:rsidRPr="004F0B56" w:rsidR="0012150B" w:rsidP="00B1792D" w:rsidRDefault="0012150B" w14:paraId="377229A1" w14:textId="77777777">
            <w:pPr>
              <w:rPr>
                <w:rFonts w:asciiTheme="minorHAnsi" w:hAnsiTheme="minorHAnsi" w:cstheme="minorHAnsi"/>
                <w:b/>
                <w:bCs/>
                <w:sz w:val="22"/>
                <w:szCs w:val="22"/>
              </w:rPr>
            </w:pPr>
          </w:p>
        </w:tc>
        <w:tc>
          <w:tcPr>
            <w:tcW w:w="1430" w:type="dxa"/>
            <w:noWrap/>
            <w:hideMark/>
          </w:tcPr>
          <w:p w:rsidRPr="004F0B56" w:rsidR="0012150B" w:rsidP="00B1792D" w:rsidRDefault="0012150B" w14:paraId="31B3D18B" w14:textId="77777777">
            <w:pPr>
              <w:jc w:val="right"/>
              <w:rPr>
                <w:rFonts w:asciiTheme="minorHAnsi" w:hAnsiTheme="minorHAnsi" w:cstheme="minorHAnsi"/>
                <w:b/>
                <w:bCs/>
                <w:color w:val="000000"/>
                <w:sz w:val="22"/>
                <w:szCs w:val="22"/>
              </w:rPr>
            </w:pPr>
            <w:r w:rsidRPr="004F0B56">
              <w:rPr>
                <w:rFonts w:asciiTheme="minorHAnsi" w:hAnsiTheme="minorHAnsi" w:cstheme="minorHAnsi"/>
                <w:b/>
                <w:bCs/>
                <w:color w:val="000000"/>
                <w:sz w:val="22"/>
                <w:szCs w:val="22"/>
              </w:rPr>
              <w:t>2025</w:t>
            </w:r>
          </w:p>
        </w:tc>
        <w:tc>
          <w:tcPr>
            <w:tcW w:w="1055" w:type="dxa"/>
            <w:noWrap/>
            <w:hideMark/>
          </w:tcPr>
          <w:p w:rsidRPr="004F0B56" w:rsidR="0012150B" w:rsidP="00B1792D" w:rsidRDefault="0012150B" w14:paraId="5A7A82FB" w14:textId="77777777">
            <w:pPr>
              <w:jc w:val="right"/>
              <w:rPr>
                <w:rFonts w:asciiTheme="minorHAnsi" w:hAnsiTheme="minorHAnsi" w:cstheme="minorHAnsi"/>
                <w:b/>
                <w:bCs/>
                <w:color w:val="000000"/>
                <w:sz w:val="22"/>
                <w:szCs w:val="22"/>
              </w:rPr>
            </w:pPr>
            <w:r w:rsidRPr="004F0B56">
              <w:rPr>
                <w:rFonts w:asciiTheme="minorHAnsi" w:hAnsiTheme="minorHAnsi" w:cstheme="minorHAnsi"/>
                <w:b/>
                <w:bCs/>
                <w:color w:val="000000"/>
                <w:sz w:val="22"/>
                <w:szCs w:val="22"/>
              </w:rPr>
              <w:t>2026</w:t>
            </w:r>
          </w:p>
        </w:tc>
        <w:tc>
          <w:tcPr>
            <w:tcW w:w="1055" w:type="dxa"/>
            <w:noWrap/>
            <w:hideMark/>
          </w:tcPr>
          <w:p w:rsidRPr="004F0B56" w:rsidR="0012150B" w:rsidP="00B1792D" w:rsidRDefault="0012150B" w14:paraId="28FFCDF2" w14:textId="77777777">
            <w:pPr>
              <w:jc w:val="right"/>
              <w:rPr>
                <w:rFonts w:asciiTheme="minorHAnsi" w:hAnsiTheme="minorHAnsi" w:cstheme="minorHAnsi"/>
                <w:b/>
                <w:bCs/>
                <w:color w:val="000000"/>
                <w:sz w:val="22"/>
                <w:szCs w:val="22"/>
              </w:rPr>
            </w:pPr>
            <w:r w:rsidRPr="004F0B56">
              <w:rPr>
                <w:rFonts w:asciiTheme="minorHAnsi" w:hAnsiTheme="minorHAnsi" w:cstheme="minorHAnsi"/>
                <w:b/>
                <w:bCs/>
                <w:color w:val="000000"/>
                <w:sz w:val="22"/>
                <w:szCs w:val="22"/>
              </w:rPr>
              <w:t>2027</w:t>
            </w:r>
          </w:p>
        </w:tc>
        <w:tc>
          <w:tcPr>
            <w:tcW w:w="1055" w:type="dxa"/>
            <w:noWrap/>
            <w:hideMark/>
          </w:tcPr>
          <w:p w:rsidRPr="004F0B56" w:rsidR="0012150B" w:rsidP="00B1792D" w:rsidRDefault="0012150B" w14:paraId="788C92EE" w14:textId="77777777">
            <w:pPr>
              <w:jc w:val="right"/>
              <w:rPr>
                <w:rFonts w:asciiTheme="minorHAnsi" w:hAnsiTheme="minorHAnsi" w:cstheme="minorHAnsi"/>
                <w:b/>
                <w:bCs/>
                <w:color w:val="000000"/>
                <w:sz w:val="22"/>
                <w:szCs w:val="22"/>
              </w:rPr>
            </w:pPr>
            <w:r w:rsidRPr="004F0B56">
              <w:rPr>
                <w:rFonts w:asciiTheme="minorHAnsi" w:hAnsiTheme="minorHAnsi" w:cstheme="minorHAnsi"/>
                <w:b/>
                <w:bCs/>
                <w:color w:val="000000"/>
                <w:sz w:val="22"/>
                <w:szCs w:val="22"/>
              </w:rPr>
              <w:t>2028</w:t>
            </w:r>
          </w:p>
        </w:tc>
        <w:tc>
          <w:tcPr>
            <w:tcW w:w="933" w:type="dxa"/>
            <w:noWrap/>
            <w:hideMark/>
          </w:tcPr>
          <w:p w:rsidRPr="004F0B56" w:rsidR="0012150B" w:rsidP="00B1792D" w:rsidRDefault="0012150B" w14:paraId="43EDA261" w14:textId="77777777">
            <w:pPr>
              <w:jc w:val="right"/>
              <w:rPr>
                <w:rFonts w:asciiTheme="minorHAnsi" w:hAnsiTheme="minorHAnsi" w:cstheme="minorHAnsi"/>
                <w:b/>
                <w:bCs/>
                <w:color w:val="000000"/>
                <w:sz w:val="22"/>
                <w:szCs w:val="22"/>
              </w:rPr>
            </w:pPr>
            <w:r w:rsidRPr="004F0B56">
              <w:rPr>
                <w:rFonts w:asciiTheme="minorHAnsi" w:hAnsiTheme="minorHAnsi" w:cstheme="minorHAnsi"/>
                <w:b/>
                <w:bCs/>
                <w:color w:val="000000"/>
                <w:sz w:val="22"/>
                <w:szCs w:val="22"/>
              </w:rPr>
              <w:t>2029</w:t>
            </w:r>
          </w:p>
        </w:tc>
      </w:tr>
      <w:tr w:rsidRPr="004F0B56" w:rsidR="0012150B" w:rsidTr="00B1792D" w14:paraId="2E977998" w14:textId="77777777">
        <w:trPr>
          <w:trHeight w:val="139"/>
        </w:trPr>
        <w:tc>
          <w:tcPr>
            <w:tcW w:w="1847" w:type="dxa"/>
            <w:noWrap/>
            <w:hideMark/>
          </w:tcPr>
          <w:p w:rsidRPr="004F0B56" w:rsidR="0012150B" w:rsidP="00B1792D" w:rsidRDefault="0012150B" w14:paraId="2B94DAE7" w14:textId="77777777">
            <w:pPr>
              <w:rPr>
                <w:rFonts w:asciiTheme="minorHAnsi" w:hAnsiTheme="minorHAnsi" w:cstheme="minorHAnsi"/>
                <w:b/>
                <w:bCs/>
                <w:color w:val="000000"/>
                <w:sz w:val="22"/>
                <w:szCs w:val="22"/>
              </w:rPr>
            </w:pPr>
            <w:proofErr w:type="spellStart"/>
            <w:r w:rsidRPr="004F0B56">
              <w:rPr>
                <w:rFonts w:asciiTheme="minorHAnsi" w:hAnsiTheme="minorHAnsi" w:cstheme="minorHAnsi"/>
                <w:color w:val="000000"/>
                <w:sz w:val="22"/>
                <w:szCs w:val="22"/>
              </w:rPr>
              <w:t>Rijksbreed</w:t>
            </w:r>
            <w:proofErr w:type="spellEnd"/>
          </w:p>
        </w:tc>
        <w:tc>
          <w:tcPr>
            <w:tcW w:w="1430" w:type="dxa"/>
            <w:noWrap/>
            <w:hideMark/>
          </w:tcPr>
          <w:p w:rsidRPr="004F0B56" w:rsidR="0012150B" w:rsidP="00B1792D" w:rsidRDefault="0012150B" w14:paraId="089E8B57" w14:textId="77777777">
            <w:pPr>
              <w:jc w:val="right"/>
              <w:rPr>
                <w:rFonts w:asciiTheme="minorHAnsi" w:hAnsiTheme="minorHAnsi" w:cstheme="minorHAnsi"/>
                <w:color w:val="000000"/>
                <w:sz w:val="22"/>
                <w:szCs w:val="22"/>
              </w:rPr>
            </w:pPr>
            <w:r w:rsidRPr="004F0B56">
              <w:rPr>
                <w:rFonts w:asciiTheme="minorHAnsi" w:hAnsiTheme="minorHAnsi" w:cstheme="minorHAnsi"/>
                <w:color w:val="000000"/>
                <w:sz w:val="22"/>
                <w:szCs w:val="22"/>
              </w:rPr>
              <w:t xml:space="preserve">        275 </w:t>
            </w:r>
          </w:p>
        </w:tc>
        <w:tc>
          <w:tcPr>
            <w:tcW w:w="1055" w:type="dxa"/>
            <w:noWrap/>
            <w:hideMark/>
          </w:tcPr>
          <w:p w:rsidRPr="004F0B56" w:rsidR="0012150B" w:rsidP="00B1792D" w:rsidRDefault="0012150B" w14:paraId="45543DA8" w14:textId="77777777">
            <w:pPr>
              <w:jc w:val="right"/>
              <w:rPr>
                <w:rFonts w:asciiTheme="minorHAnsi" w:hAnsiTheme="minorHAnsi" w:cstheme="minorHAnsi"/>
                <w:color w:val="000000"/>
                <w:sz w:val="22"/>
                <w:szCs w:val="22"/>
              </w:rPr>
            </w:pPr>
            <w:r w:rsidRPr="004F0B56">
              <w:rPr>
                <w:rFonts w:asciiTheme="minorHAnsi" w:hAnsiTheme="minorHAnsi" w:cstheme="minorHAnsi"/>
                <w:color w:val="000000"/>
                <w:sz w:val="22"/>
                <w:szCs w:val="22"/>
              </w:rPr>
              <w:t xml:space="preserve">        550 </w:t>
            </w:r>
          </w:p>
        </w:tc>
        <w:tc>
          <w:tcPr>
            <w:tcW w:w="1055" w:type="dxa"/>
            <w:noWrap/>
            <w:hideMark/>
          </w:tcPr>
          <w:p w:rsidRPr="004F0B56" w:rsidR="0012150B" w:rsidP="00B1792D" w:rsidRDefault="0012150B" w14:paraId="4BCE2096" w14:textId="77777777">
            <w:pPr>
              <w:jc w:val="right"/>
              <w:rPr>
                <w:rFonts w:asciiTheme="minorHAnsi" w:hAnsiTheme="minorHAnsi" w:cstheme="minorHAnsi"/>
                <w:color w:val="000000"/>
                <w:sz w:val="22"/>
                <w:szCs w:val="22"/>
              </w:rPr>
            </w:pPr>
            <w:r w:rsidRPr="004F0B56">
              <w:rPr>
                <w:rFonts w:asciiTheme="minorHAnsi" w:hAnsiTheme="minorHAnsi" w:cstheme="minorHAnsi"/>
                <w:color w:val="000000"/>
                <w:sz w:val="22"/>
                <w:szCs w:val="22"/>
              </w:rPr>
              <w:t xml:space="preserve">        800 </w:t>
            </w:r>
          </w:p>
        </w:tc>
        <w:tc>
          <w:tcPr>
            <w:tcW w:w="1055" w:type="dxa"/>
            <w:noWrap/>
            <w:hideMark/>
          </w:tcPr>
          <w:p w:rsidRPr="004F0B56" w:rsidR="0012150B" w:rsidP="00B1792D" w:rsidRDefault="0012150B" w14:paraId="3DC4EA11" w14:textId="77777777">
            <w:pPr>
              <w:jc w:val="right"/>
              <w:rPr>
                <w:rFonts w:asciiTheme="minorHAnsi" w:hAnsiTheme="minorHAnsi" w:cstheme="minorHAnsi"/>
                <w:color w:val="000000"/>
                <w:sz w:val="22"/>
                <w:szCs w:val="22"/>
              </w:rPr>
            </w:pPr>
            <w:r w:rsidRPr="004F0B56">
              <w:rPr>
                <w:rFonts w:asciiTheme="minorHAnsi" w:hAnsiTheme="minorHAnsi" w:cstheme="minorHAnsi"/>
                <w:color w:val="000000"/>
                <w:sz w:val="22"/>
                <w:szCs w:val="22"/>
              </w:rPr>
              <w:t xml:space="preserve">     1.000 </w:t>
            </w:r>
          </w:p>
        </w:tc>
        <w:tc>
          <w:tcPr>
            <w:tcW w:w="933" w:type="dxa"/>
            <w:noWrap/>
            <w:hideMark/>
          </w:tcPr>
          <w:p w:rsidRPr="004F0B56" w:rsidR="0012150B" w:rsidP="00B1792D" w:rsidRDefault="0012150B" w14:paraId="46546445" w14:textId="77777777">
            <w:pPr>
              <w:jc w:val="right"/>
              <w:rPr>
                <w:rFonts w:asciiTheme="minorHAnsi" w:hAnsiTheme="minorHAnsi" w:cstheme="minorHAnsi"/>
                <w:color w:val="000000"/>
                <w:sz w:val="22"/>
                <w:szCs w:val="22"/>
              </w:rPr>
            </w:pPr>
            <w:r w:rsidRPr="004F0B56">
              <w:rPr>
                <w:rFonts w:asciiTheme="minorHAnsi" w:hAnsiTheme="minorHAnsi" w:cstheme="minorHAnsi"/>
                <w:color w:val="000000"/>
                <w:sz w:val="22"/>
                <w:szCs w:val="22"/>
              </w:rPr>
              <w:t xml:space="preserve">    1.000 </w:t>
            </w:r>
          </w:p>
        </w:tc>
      </w:tr>
      <w:tr w:rsidRPr="004F0B56" w:rsidR="0012150B" w:rsidTr="00B1792D" w14:paraId="476EFD40" w14:textId="77777777">
        <w:trPr>
          <w:trHeight w:val="115"/>
        </w:trPr>
        <w:tc>
          <w:tcPr>
            <w:tcW w:w="1847" w:type="dxa"/>
            <w:noWrap/>
          </w:tcPr>
          <w:p w:rsidRPr="004F0B56" w:rsidR="0012150B" w:rsidP="00B1792D" w:rsidRDefault="0012150B" w14:paraId="04207D7C" w14:textId="77777777">
            <w:pPr>
              <w:rPr>
                <w:rFonts w:asciiTheme="minorHAnsi" w:hAnsiTheme="minorHAnsi" w:cstheme="minorHAnsi"/>
                <w:color w:val="000000"/>
                <w:sz w:val="22"/>
                <w:szCs w:val="22"/>
              </w:rPr>
            </w:pPr>
            <w:r w:rsidRPr="004F0B56">
              <w:rPr>
                <w:rFonts w:asciiTheme="minorHAnsi" w:hAnsiTheme="minorHAnsi" w:cstheme="minorHAnsi"/>
                <w:color w:val="000000"/>
                <w:sz w:val="22"/>
                <w:szCs w:val="22"/>
              </w:rPr>
              <w:t>OCW</w:t>
            </w:r>
          </w:p>
        </w:tc>
        <w:tc>
          <w:tcPr>
            <w:tcW w:w="1430" w:type="dxa"/>
            <w:noWrap/>
          </w:tcPr>
          <w:p w:rsidRPr="004F0B56" w:rsidR="0012150B" w:rsidP="00B1792D" w:rsidRDefault="0012150B" w14:paraId="6D7AB98A" w14:textId="77777777">
            <w:pPr>
              <w:jc w:val="right"/>
              <w:rPr>
                <w:rFonts w:asciiTheme="minorHAnsi" w:hAnsiTheme="minorHAnsi" w:cstheme="minorHAnsi"/>
                <w:color w:val="000000"/>
                <w:sz w:val="22"/>
                <w:szCs w:val="22"/>
              </w:rPr>
            </w:pPr>
            <w:r w:rsidRPr="004F0B56">
              <w:rPr>
                <w:rFonts w:asciiTheme="minorHAnsi" w:hAnsiTheme="minorHAnsi" w:cstheme="minorHAnsi"/>
                <w:color w:val="000000"/>
                <w:sz w:val="22"/>
                <w:szCs w:val="22"/>
              </w:rPr>
              <w:t>75</w:t>
            </w:r>
          </w:p>
        </w:tc>
        <w:tc>
          <w:tcPr>
            <w:tcW w:w="1055" w:type="dxa"/>
            <w:noWrap/>
          </w:tcPr>
          <w:p w:rsidRPr="004F0B56" w:rsidR="0012150B" w:rsidP="00B1792D" w:rsidRDefault="0012150B" w14:paraId="182CC584" w14:textId="77777777">
            <w:pPr>
              <w:jc w:val="right"/>
              <w:rPr>
                <w:rFonts w:asciiTheme="minorHAnsi" w:hAnsiTheme="minorHAnsi" w:cstheme="minorHAnsi"/>
                <w:color w:val="000000"/>
                <w:sz w:val="22"/>
                <w:szCs w:val="22"/>
              </w:rPr>
            </w:pPr>
            <w:r w:rsidRPr="004F0B56">
              <w:rPr>
                <w:rFonts w:asciiTheme="minorHAnsi" w:hAnsiTheme="minorHAnsi" w:cstheme="minorHAnsi"/>
                <w:color w:val="000000"/>
                <w:sz w:val="22"/>
                <w:szCs w:val="22"/>
              </w:rPr>
              <w:t>138</w:t>
            </w:r>
          </w:p>
        </w:tc>
        <w:tc>
          <w:tcPr>
            <w:tcW w:w="1055" w:type="dxa"/>
            <w:noWrap/>
          </w:tcPr>
          <w:p w:rsidRPr="004F0B56" w:rsidR="0012150B" w:rsidP="00B1792D" w:rsidRDefault="0012150B" w14:paraId="08A21F77" w14:textId="77777777">
            <w:pPr>
              <w:jc w:val="right"/>
              <w:rPr>
                <w:rFonts w:asciiTheme="minorHAnsi" w:hAnsiTheme="minorHAnsi" w:cstheme="minorHAnsi"/>
                <w:color w:val="000000"/>
                <w:sz w:val="22"/>
                <w:szCs w:val="22"/>
              </w:rPr>
            </w:pPr>
            <w:r w:rsidRPr="004F0B56">
              <w:rPr>
                <w:rFonts w:asciiTheme="minorHAnsi" w:hAnsiTheme="minorHAnsi" w:cstheme="minorHAnsi"/>
                <w:color w:val="000000"/>
                <w:sz w:val="22"/>
                <w:szCs w:val="22"/>
              </w:rPr>
              <w:t>255</w:t>
            </w:r>
          </w:p>
        </w:tc>
        <w:tc>
          <w:tcPr>
            <w:tcW w:w="1055" w:type="dxa"/>
            <w:noWrap/>
          </w:tcPr>
          <w:p w:rsidRPr="004F0B56" w:rsidR="0012150B" w:rsidP="00B1792D" w:rsidRDefault="0012150B" w14:paraId="4E9DC8C9" w14:textId="77777777">
            <w:pPr>
              <w:jc w:val="right"/>
              <w:rPr>
                <w:rFonts w:asciiTheme="minorHAnsi" w:hAnsiTheme="minorHAnsi" w:cstheme="minorHAnsi"/>
                <w:color w:val="000000"/>
                <w:sz w:val="22"/>
                <w:szCs w:val="22"/>
              </w:rPr>
            </w:pPr>
            <w:r w:rsidRPr="004F0B56">
              <w:rPr>
                <w:rFonts w:asciiTheme="minorHAnsi" w:hAnsiTheme="minorHAnsi" w:cstheme="minorHAnsi"/>
                <w:color w:val="000000"/>
                <w:sz w:val="22"/>
                <w:szCs w:val="22"/>
              </w:rPr>
              <w:t>317</w:t>
            </w:r>
          </w:p>
        </w:tc>
        <w:tc>
          <w:tcPr>
            <w:tcW w:w="933" w:type="dxa"/>
            <w:noWrap/>
          </w:tcPr>
          <w:p w:rsidRPr="004F0B56" w:rsidR="0012150B" w:rsidP="00B1792D" w:rsidRDefault="0012150B" w14:paraId="162C9579" w14:textId="77777777">
            <w:pPr>
              <w:jc w:val="right"/>
              <w:rPr>
                <w:rFonts w:asciiTheme="minorHAnsi" w:hAnsiTheme="minorHAnsi" w:cstheme="minorHAnsi"/>
                <w:color w:val="000000"/>
                <w:sz w:val="22"/>
                <w:szCs w:val="22"/>
              </w:rPr>
            </w:pPr>
            <w:r w:rsidRPr="004F0B56">
              <w:rPr>
                <w:rFonts w:asciiTheme="minorHAnsi" w:hAnsiTheme="minorHAnsi" w:cstheme="minorHAnsi"/>
                <w:color w:val="000000"/>
                <w:sz w:val="22"/>
                <w:szCs w:val="22"/>
              </w:rPr>
              <w:t>361</w:t>
            </w:r>
          </w:p>
        </w:tc>
      </w:tr>
    </w:tbl>
    <w:p w:rsidRPr="004F0B56" w:rsidR="0012150B" w:rsidP="0012150B" w:rsidRDefault="0012150B" w14:paraId="07F6663B" w14:textId="77777777">
      <w:pPr>
        <w:spacing w:line="240" w:lineRule="auto"/>
        <w:rPr>
          <w:rFonts w:cstheme="minorHAnsi"/>
        </w:rPr>
      </w:pPr>
    </w:p>
    <w:p w:rsidRPr="004F0B56" w:rsidR="0012150B" w:rsidP="0012150B" w:rsidRDefault="0012150B" w14:paraId="12BCA114" w14:textId="77777777">
      <w:pPr>
        <w:spacing w:line="240" w:lineRule="auto"/>
        <w:rPr>
          <w:rFonts w:cstheme="minorHAnsi"/>
        </w:rPr>
      </w:pPr>
      <w:r w:rsidRPr="004F0B56">
        <w:rPr>
          <w:rFonts w:cstheme="minorHAnsi"/>
        </w:rPr>
        <w:t xml:space="preserve">Voor het jaar 2025 zijn alle maatregelen uit het hoofdlijnenakkoord concreet verwerkt in de ontwerpbegroting 2025 die op Prinsjesdag aan de Tweede Kamer is aangeboden. Ook de subsidietaakstelling is voor 2025 concreet ingevuld. </w:t>
      </w:r>
    </w:p>
    <w:p w:rsidRPr="004F0B56" w:rsidR="0012150B" w:rsidP="0012150B" w:rsidRDefault="0012150B" w14:paraId="5F9EB6E5" w14:textId="77777777">
      <w:pPr>
        <w:spacing w:line="240" w:lineRule="auto"/>
        <w:rPr>
          <w:rFonts w:cstheme="minorHAnsi"/>
        </w:rPr>
      </w:pPr>
      <w:r w:rsidRPr="004F0B56">
        <w:rPr>
          <w:rFonts w:cstheme="minorHAnsi"/>
        </w:rPr>
        <w:t xml:space="preserve">Gezien de aanzienlijke omvang vraagt de invulling van de subsidietaakstelling voor 2026 en verder een zorgvuldige weging. De invulling zal in de praktijk immers vaak raken aan leerlingen en studenten; de deskundige professionals in onderwijs en onderzoek; en de makers in de culturele en creatieve sector. Om die zorgvuldige afweging te kunnen maken is de subsidietaakstelling vanaf 2026 voorlopig verwerkt op drie grote subsidiebudgetten op de OCW-begroting, te weten het budget voor Overige subsidies op Begrotingsartikel 1 (Primair Onderwijs), het budget voor Overige subsidies op Begrotingsartikel 3 (Voortgezet Onderwijs) en het budget voor de Regeling praktijkleren op Begrotingsartikel 4 (Middelbaar beroepsonderwijs). </w:t>
      </w:r>
    </w:p>
    <w:p w:rsidRPr="004F0B56" w:rsidR="0012150B" w:rsidP="0012150B" w:rsidRDefault="0012150B" w14:paraId="09EE9725" w14:textId="77777777">
      <w:pPr>
        <w:spacing w:line="240" w:lineRule="auto"/>
        <w:rPr>
          <w:rFonts w:cstheme="minorHAnsi"/>
        </w:rPr>
      </w:pPr>
      <w:r w:rsidRPr="004F0B56">
        <w:rPr>
          <w:rFonts w:cstheme="minorHAnsi"/>
        </w:rPr>
        <w:t>Dat de subsidietaakstelling in deze ontwerpbegroting voorlopig is verwerkt betekent dat alleen budgetten worden verlaagd en er nu dus nog geen inhoudelijke keuzes over de concrete invulling worden gemaakt. Onderstaande tabel bevat een overzicht van de voorlopige verwerking, waarbij het lid Jetten in zijn verzoek waarschijnlijk doelde op de optelling van de budgetverlagingen op de Begrotingsartikelen 1  en 3.</w:t>
      </w:r>
    </w:p>
    <w:p w:rsidRPr="004F0B56" w:rsidR="0012150B" w:rsidP="0012150B" w:rsidRDefault="0012150B" w14:paraId="21291D84" w14:textId="77777777">
      <w:pPr>
        <w:spacing w:line="240" w:lineRule="auto"/>
        <w:rPr>
          <w:rFonts w:cstheme="minorHAnsi"/>
        </w:rPr>
      </w:pPr>
    </w:p>
    <w:p w:rsidRPr="004F0B56" w:rsidR="0012150B" w:rsidP="0012150B" w:rsidRDefault="0012150B" w14:paraId="415E17D6" w14:textId="77777777">
      <w:pPr>
        <w:spacing w:line="240" w:lineRule="auto"/>
        <w:ind w:left="4963" w:firstLine="709"/>
        <w:rPr>
          <w:rFonts w:cstheme="minorHAnsi"/>
          <w:i/>
          <w:iCs/>
        </w:rPr>
      </w:pPr>
      <w:r w:rsidRPr="004F0B56">
        <w:rPr>
          <w:rFonts w:cstheme="minorHAnsi"/>
          <w:i/>
          <w:iCs/>
        </w:rPr>
        <w:t>Bedragen x € 1.000</w:t>
      </w:r>
    </w:p>
    <w:tbl>
      <w:tblPr>
        <w:tblStyle w:val="Tabelraster"/>
        <w:tblW w:w="0" w:type="auto"/>
        <w:tblLayout w:type="fixed"/>
        <w:tblLook w:val="04A0" w:firstRow="1" w:lastRow="0" w:firstColumn="1" w:lastColumn="0" w:noHBand="0" w:noVBand="1"/>
      </w:tblPr>
      <w:tblGrid>
        <w:gridCol w:w="1696"/>
        <w:gridCol w:w="1582"/>
        <w:gridCol w:w="1053"/>
        <w:gridCol w:w="1053"/>
        <w:gridCol w:w="1053"/>
        <w:gridCol w:w="1053"/>
      </w:tblGrid>
      <w:tr w:rsidRPr="004F0B56" w:rsidR="0012150B" w:rsidTr="00B1792D" w14:paraId="7FE06F82" w14:textId="77777777">
        <w:trPr>
          <w:trHeight w:val="121"/>
        </w:trPr>
        <w:tc>
          <w:tcPr>
            <w:tcW w:w="1696" w:type="dxa"/>
            <w:noWrap/>
            <w:hideMark/>
          </w:tcPr>
          <w:p w:rsidRPr="004F0B56" w:rsidR="0012150B" w:rsidP="00B1792D" w:rsidRDefault="0012150B" w14:paraId="51C54023" w14:textId="77777777">
            <w:pPr>
              <w:rPr>
                <w:rFonts w:asciiTheme="minorHAnsi" w:hAnsiTheme="minorHAnsi" w:cstheme="minorHAnsi"/>
                <w:b/>
                <w:bCs/>
                <w:sz w:val="22"/>
                <w:szCs w:val="22"/>
              </w:rPr>
            </w:pPr>
            <w:r w:rsidRPr="004F0B56">
              <w:rPr>
                <w:rFonts w:asciiTheme="minorHAnsi" w:hAnsiTheme="minorHAnsi" w:cstheme="minorHAnsi"/>
                <w:b/>
                <w:bCs/>
                <w:sz w:val="22"/>
                <w:szCs w:val="22"/>
              </w:rPr>
              <w:t>Art.</w:t>
            </w:r>
          </w:p>
        </w:tc>
        <w:tc>
          <w:tcPr>
            <w:tcW w:w="1582" w:type="dxa"/>
            <w:hideMark/>
          </w:tcPr>
          <w:p w:rsidRPr="004F0B56" w:rsidR="0012150B" w:rsidP="00B1792D" w:rsidRDefault="0012150B" w14:paraId="173A5EED" w14:textId="77777777">
            <w:pPr>
              <w:rPr>
                <w:rFonts w:asciiTheme="minorHAnsi" w:hAnsiTheme="minorHAnsi" w:cstheme="minorHAnsi"/>
                <w:b/>
                <w:bCs/>
                <w:color w:val="FFFFFF" w:themeColor="background1"/>
                <w:sz w:val="22"/>
                <w:szCs w:val="22"/>
              </w:rPr>
            </w:pPr>
            <w:proofErr w:type="spellStart"/>
            <w:r w:rsidRPr="004F0B56">
              <w:rPr>
                <w:rFonts w:asciiTheme="minorHAnsi" w:hAnsiTheme="minorHAnsi" w:cstheme="minorHAnsi"/>
                <w:b/>
                <w:bCs/>
                <w:sz w:val="22"/>
                <w:szCs w:val="22"/>
              </w:rPr>
              <w:t>Subsidie</w:t>
            </w:r>
            <w:proofErr w:type="spellEnd"/>
          </w:p>
        </w:tc>
        <w:tc>
          <w:tcPr>
            <w:tcW w:w="1053" w:type="dxa"/>
            <w:hideMark/>
          </w:tcPr>
          <w:p w:rsidRPr="004F0B56" w:rsidR="0012150B" w:rsidP="00B1792D" w:rsidRDefault="0012150B" w14:paraId="35586644" w14:textId="77777777">
            <w:pPr>
              <w:jc w:val="right"/>
              <w:rPr>
                <w:rFonts w:asciiTheme="minorHAnsi" w:hAnsiTheme="minorHAnsi" w:cstheme="minorHAnsi"/>
                <w:b/>
                <w:bCs/>
                <w:sz w:val="22"/>
                <w:szCs w:val="22"/>
              </w:rPr>
            </w:pPr>
            <w:r w:rsidRPr="004F0B56">
              <w:rPr>
                <w:rFonts w:asciiTheme="minorHAnsi" w:hAnsiTheme="minorHAnsi" w:cstheme="minorHAnsi"/>
                <w:b/>
                <w:bCs/>
                <w:sz w:val="22"/>
                <w:szCs w:val="22"/>
              </w:rPr>
              <w:t>2026</w:t>
            </w:r>
          </w:p>
        </w:tc>
        <w:tc>
          <w:tcPr>
            <w:tcW w:w="1053" w:type="dxa"/>
            <w:hideMark/>
          </w:tcPr>
          <w:p w:rsidRPr="004F0B56" w:rsidR="0012150B" w:rsidP="00B1792D" w:rsidRDefault="0012150B" w14:paraId="1B581313" w14:textId="77777777">
            <w:pPr>
              <w:jc w:val="right"/>
              <w:rPr>
                <w:rFonts w:asciiTheme="minorHAnsi" w:hAnsiTheme="minorHAnsi" w:cstheme="minorHAnsi"/>
                <w:b/>
                <w:bCs/>
                <w:sz w:val="22"/>
                <w:szCs w:val="22"/>
              </w:rPr>
            </w:pPr>
            <w:r w:rsidRPr="004F0B56">
              <w:rPr>
                <w:rFonts w:asciiTheme="minorHAnsi" w:hAnsiTheme="minorHAnsi" w:cstheme="minorHAnsi"/>
                <w:b/>
                <w:bCs/>
                <w:sz w:val="22"/>
                <w:szCs w:val="22"/>
              </w:rPr>
              <w:t>2027</w:t>
            </w:r>
          </w:p>
        </w:tc>
        <w:tc>
          <w:tcPr>
            <w:tcW w:w="1053" w:type="dxa"/>
            <w:hideMark/>
          </w:tcPr>
          <w:p w:rsidRPr="004F0B56" w:rsidR="0012150B" w:rsidP="00B1792D" w:rsidRDefault="0012150B" w14:paraId="1CE0879C" w14:textId="77777777">
            <w:pPr>
              <w:jc w:val="right"/>
              <w:rPr>
                <w:rFonts w:asciiTheme="minorHAnsi" w:hAnsiTheme="minorHAnsi" w:cstheme="minorHAnsi"/>
                <w:b/>
                <w:bCs/>
                <w:sz w:val="22"/>
                <w:szCs w:val="22"/>
              </w:rPr>
            </w:pPr>
            <w:r w:rsidRPr="004F0B56">
              <w:rPr>
                <w:rFonts w:asciiTheme="minorHAnsi" w:hAnsiTheme="minorHAnsi" w:cstheme="minorHAnsi"/>
                <w:b/>
                <w:bCs/>
                <w:sz w:val="22"/>
                <w:szCs w:val="22"/>
              </w:rPr>
              <w:t>2028</w:t>
            </w:r>
          </w:p>
        </w:tc>
        <w:tc>
          <w:tcPr>
            <w:tcW w:w="1053" w:type="dxa"/>
            <w:hideMark/>
          </w:tcPr>
          <w:p w:rsidRPr="004F0B56" w:rsidR="0012150B" w:rsidP="00B1792D" w:rsidRDefault="0012150B" w14:paraId="6CBF3EFD" w14:textId="77777777">
            <w:pPr>
              <w:jc w:val="right"/>
              <w:rPr>
                <w:rFonts w:asciiTheme="minorHAnsi" w:hAnsiTheme="minorHAnsi" w:cstheme="minorHAnsi"/>
                <w:b/>
                <w:bCs/>
                <w:sz w:val="22"/>
                <w:szCs w:val="22"/>
              </w:rPr>
            </w:pPr>
            <w:r w:rsidRPr="004F0B56">
              <w:rPr>
                <w:rFonts w:asciiTheme="minorHAnsi" w:hAnsiTheme="minorHAnsi" w:cstheme="minorHAnsi"/>
                <w:b/>
                <w:bCs/>
                <w:sz w:val="22"/>
                <w:szCs w:val="22"/>
              </w:rPr>
              <w:t>2029</w:t>
            </w:r>
          </w:p>
        </w:tc>
      </w:tr>
      <w:tr w:rsidRPr="004F0B56" w:rsidR="0012150B" w:rsidTr="00B1792D" w14:paraId="386FEE76" w14:textId="77777777">
        <w:trPr>
          <w:trHeight w:val="47"/>
        </w:trPr>
        <w:tc>
          <w:tcPr>
            <w:tcW w:w="1696" w:type="dxa"/>
            <w:noWrap/>
          </w:tcPr>
          <w:p w:rsidRPr="004F0B56" w:rsidR="0012150B" w:rsidP="00B1792D" w:rsidRDefault="0012150B" w14:paraId="6022DB51" w14:textId="77777777">
            <w:pPr>
              <w:rPr>
                <w:rFonts w:asciiTheme="minorHAnsi" w:hAnsiTheme="minorHAnsi" w:cstheme="minorHAnsi"/>
                <w:sz w:val="22"/>
                <w:szCs w:val="22"/>
              </w:rPr>
            </w:pPr>
            <w:r w:rsidRPr="004F0B56">
              <w:rPr>
                <w:rFonts w:asciiTheme="minorHAnsi" w:hAnsiTheme="minorHAnsi" w:cstheme="minorHAnsi"/>
                <w:sz w:val="22"/>
                <w:szCs w:val="22"/>
              </w:rPr>
              <w:t>1. Po</w:t>
            </w:r>
          </w:p>
        </w:tc>
        <w:tc>
          <w:tcPr>
            <w:tcW w:w="1582" w:type="dxa"/>
          </w:tcPr>
          <w:p w:rsidRPr="004F0B56" w:rsidR="0012150B" w:rsidP="00B1792D" w:rsidRDefault="0012150B" w14:paraId="34448D77" w14:textId="77777777">
            <w:pPr>
              <w:rPr>
                <w:rFonts w:asciiTheme="minorHAnsi" w:hAnsiTheme="minorHAnsi" w:cstheme="minorHAnsi"/>
                <w:b/>
                <w:bCs/>
                <w:sz w:val="22"/>
                <w:szCs w:val="22"/>
              </w:rPr>
            </w:pPr>
            <w:proofErr w:type="spellStart"/>
            <w:r w:rsidRPr="004F0B56">
              <w:rPr>
                <w:rFonts w:asciiTheme="minorHAnsi" w:hAnsiTheme="minorHAnsi" w:cstheme="minorHAnsi"/>
                <w:sz w:val="22"/>
                <w:szCs w:val="22"/>
              </w:rPr>
              <w:t>Overige</w:t>
            </w:r>
            <w:proofErr w:type="spellEnd"/>
            <w:r w:rsidRPr="004F0B56">
              <w:rPr>
                <w:rFonts w:asciiTheme="minorHAnsi" w:hAnsiTheme="minorHAnsi" w:cstheme="minorHAnsi"/>
                <w:sz w:val="22"/>
                <w:szCs w:val="22"/>
              </w:rPr>
              <w:t xml:space="preserve"> subsidies</w:t>
            </w:r>
          </w:p>
        </w:tc>
        <w:tc>
          <w:tcPr>
            <w:tcW w:w="1053" w:type="dxa"/>
          </w:tcPr>
          <w:p w:rsidRPr="004F0B56" w:rsidR="0012150B" w:rsidP="00B1792D" w:rsidRDefault="0012150B" w14:paraId="44F3DC4E" w14:textId="77777777">
            <w:pPr>
              <w:jc w:val="right"/>
              <w:rPr>
                <w:rFonts w:asciiTheme="minorHAnsi" w:hAnsiTheme="minorHAnsi" w:cstheme="minorHAnsi"/>
                <w:sz w:val="22"/>
                <w:szCs w:val="22"/>
              </w:rPr>
            </w:pPr>
            <w:r w:rsidRPr="004F0B56">
              <w:rPr>
                <w:rFonts w:asciiTheme="minorHAnsi" w:hAnsiTheme="minorHAnsi" w:cstheme="minorHAnsi"/>
                <w:sz w:val="22"/>
                <w:szCs w:val="22"/>
              </w:rPr>
              <w:t>40.000</w:t>
            </w:r>
          </w:p>
        </w:tc>
        <w:tc>
          <w:tcPr>
            <w:tcW w:w="1053" w:type="dxa"/>
          </w:tcPr>
          <w:p w:rsidRPr="004F0B56" w:rsidR="0012150B" w:rsidP="00B1792D" w:rsidRDefault="0012150B" w14:paraId="5A578084" w14:textId="77777777">
            <w:pPr>
              <w:jc w:val="right"/>
              <w:rPr>
                <w:rFonts w:asciiTheme="minorHAnsi" w:hAnsiTheme="minorHAnsi" w:cstheme="minorHAnsi"/>
                <w:sz w:val="22"/>
                <w:szCs w:val="22"/>
              </w:rPr>
            </w:pPr>
            <w:r w:rsidRPr="004F0B56">
              <w:rPr>
                <w:rFonts w:asciiTheme="minorHAnsi" w:hAnsiTheme="minorHAnsi" w:cstheme="minorHAnsi"/>
                <w:sz w:val="22"/>
                <w:szCs w:val="22"/>
              </w:rPr>
              <w:t>74.000</w:t>
            </w:r>
          </w:p>
        </w:tc>
        <w:tc>
          <w:tcPr>
            <w:tcW w:w="1053" w:type="dxa"/>
          </w:tcPr>
          <w:p w:rsidRPr="004F0B56" w:rsidR="0012150B" w:rsidP="00B1792D" w:rsidRDefault="0012150B" w14:paraId="69EA1C2C" w14:textId="77777777">
            <w:pPr>
              <w:jc w:val="right"/>
              <w:rPr>
                <w:rFonts w:asciiTheme="minorHAnsi" w:hAnsiTheme="minorHAnsi" w:cstheme="minorHAnsi"/>
                <w:sz w:val="22"/>
                <w:szCs w:val="22"/>
              </w:rPr>
            </w:pPr>
            <w:r w:rsidRPr="004F0B56">
              <w:rPr>
                <w:rFonts w:asciiTheme="minorHAnsi" w:hAnsiTheme="minorHAnsi" w:cstheme="minorHAnsi"/>
                <w:sz w:val="22"/>
                <w:szCs w:val="22"/>
              </w:rPr>
              <w:t>92.000</w:t>
            </w:r>
          </w:p>
        </w:tc>
        <w:tc>
          <w:tcPr>
            <w:tcW w:w="1053" w:type="dxa"/>
          </w:tcPr>
          <w:p w:rsidRPr="004F0B56" w:rsidR="0012150B" w:rsidP="00B1792D" w:rsidRDefault="0012150B" w14:paraId="5547A41E" w14:textId="77777777">
            <w:pPr>
              <w:jc w:val="right"/>
              <w:rPr>
                <w:rFonts w:asciiTheme="minorHAnsi" w:hAnsiTheme="minorHAnsi" w:cstheme="minorHAnsi"/>
                <w:sz w:val="22"/>
                <w:szCs w:val="22"/>
              </w:rPr>
            </w:pPr>
            <w:r w:rsidRPr="004F0B56">
              <w:rPr>
                <w:rFonts w:asciiTheme="minorHAnsi" w:hAnsiTheme="minorHAnsi" w:cstheme="minorHAnsi"/>
                <w:sz w:val="22"/>
                <w:szCs w:val="22"/>
              </w:rPr>
              <w:t>104.500</w:t>
            </w:r>
          </w:p>
        </w:tc>
      </w:tr>
      <w:tr w:rsidRPr="004F0B56" w:rsidR="0012150B" w:rsidTr="00B1792D" w14:paraId="25868894" w14:textId="77777777">
        <w:trPr>
          <w:trHeight w:val="141"/>
        </w:trPr>
        <w:tc>
          <w:tcPr>
            <w:tcW w:w="1696" w:type="dxa"/>
            <w:noWrap/>
            <w:hideMark/>
          </w:tcPr>
          <w:p w:rsidRPr="004F0B56" w:rsidR="0012150B" w:rsidP="00B1792D" w:rsidRDefault="0012150B" w14:paraId="391BFD5C" w14:textId="77777777">
            <w:pPr>
              <w:rPr>
                <w:rFonts w:asciiTheme="minorHAnsi" w:hAnsiTheme="minorHAnsi" w:cstheme="minorHAnsi"/>
                <w:sz w:val="22"/>
                <w:szCs w:val="22"/>
              </w:rPr>
            </w:pPr>
            <w:r w:rsidRPr="004F0B56">
              <w:rPr>
                <w:rFonts w:asciiTheme="minorHAnsi" w:hAnsiTheme="minorHAnsi" w:cstheme="minorHAnsi"/>
                <w:sz w:val="22"/>
                <w:szCs w:val="22"/>
              </w:rPr>
              <w:t>3. Vo</w:t>
            </w:r>
          </w:p>
        </w:tc>
        <w:tc>
          <w:tcPr>
            <w:tcW w:w="1582" w:type="dxa"/>
            <w:hideMark/>
          </w:tcPr>
          <w:p w:rsidRPr="004F0B56" w:rsidR="0012150B" w:rsidP="00B1792D" w:rsidRDefault="0012150B" w14:paraId="01D379C2" w14:textId="77777777">
            <w:pPr>
              <w:rPr>
                <w:rFonts w:asciiTheme="minorHAnsi" w:hAnsiTheme="minorHAnsi" w:cstheme="minorHAnsi"/>
                <w:sz w:val="22"/>
                <w:szCs w:val="22"/>
              </w:rPr>
            </w:pPr>
            <w:proofErr w:type="spellStart"/>
            <w:r w:rsidRPr="004F0B56">
              <w:rPr>
                <w:rFonts w:asciiTheme="minorHAnsi" w:hAnsiTheme="minorHAnsi" w:cstheme="minorHAnsi"/>
                <w:sz w:val="22"/>
                <w:szCs w:val="22"/>
              </w:rPr>
              <w:t>Overige</w:t>
            </w:r>
            <w:proofErr w:type="spellEnd"/>
            <w:r w:rsidRPr="004F0B56">
              <w:rPr>
                <w:rFonts w:asciiTheme="minorHAnsi" w:hAnsiTheme="minorHAnsi" w:cstheme="minorHAnsi"/>
                <w:sz w:val="22"/>
                <w:szCs w:val="22"/>
              </w:rPr>
              <w:t xml:space="preserve"> subsidies</w:t>
            </w:r>
          </w:p>
        </w:tc>
        <w:tc>
          <w:tcPr>
            <w:tcW w:w="1053" w:type="dxa"/>
          </w:tcPr>
          <w:p w:rsidRPr="004F0B56" w:rsidR="0012150B" w:rsidP="00B1792D" w:rsidRDefault="0012150B" w14:paraId="28F2B7F5" w14:textId="77777777">
            <w:pPr>
              <w:jc w:val="right"/>
              <w:rPr>
                <w:rFonts w:asciiTheme="minorHAnsi" w:hAnsiTheme="minorHAnsi" w:cstheme="minorHAnsi"/>
                <w:sz w:val="22"/>
                <w:szCs w:val="22"/>
              </w:rPr>
            </w:pPr>
            <w:r w:rsidRPr="004F0B56">
              <w:rPr>
                <w:rFonts w:asciiTheme="minorHAnsi" w:hAnsiTheme="minorHAnsi" w:cstheme="minorHAnsi"/>
                <w:sz w:val="22"/>
                <w:szCs w:val="22"/>
              </w:rPr>
              <w:t>40.000</w:t>
            </w:r>
          </w:p>
        </w:tc>
        <w:tc>
          <w:tcPr>
            <w:tcW w:w="1053" w:type="dxa"/>
          </w:tcPr>
          <w:p w:rsidRPr="004F0B56" w:rsidR="0012150B" w:rsidP="00B1792D" w:rsidRDefault="0012150B" w14:paraId="0287F97E" w14:textId="77777777">
            <w:pPr>
              <w:jc w:val="right"/>
              <w:rPr>
                <w:rFonts w:asciiTheme="minorHAnsi" w:hAnsiTheme="minorHAnsi" w:cstheme="minorHAnsi"/>
                <w:sz w:val="22"/>
                <w:szCs w:val="22"/>
              </w:rPr>
            </w:pPr>
            <w:r w:rsidRPr="004F0B56">
              <w:rPr>
                <w:rFonts w:asciiTheme="minorHAnsi" w:hAnsiTheme="minorHAnsi" w:cstheme="minorHAnsi"/>
                <w:sz w:val="22"/>
                <w:szCs w:val="22"/>
              </w:rPr>
              <w:t>74.000</w:t>
            </w:r>
          </w:p>
        </w:tc>
        <w:tc>
          <w:tcPr>
            <w:tcW w:w="1053" w:type="dxa"/>
          </w:tcPr>
          <w:p w:rsidRPr="004F0B56" w:rsidR="0012150B" w:rsidP="00B1792D" w:rsidRDefault="0012150B" w14:paraId="357B05D4" w14:textId="77777777">
            <w:pPr>
              <w:jc w:val="right"/>
              <w:rPr>
                <w:rFonts w:asciiTheme="minorHAnsi" w:hAnsiTheme="minorHAnsi" w:cstheme="minorHAnsi"/>
                <w:sz w:val="22"/>
                <w:szCs w:val="22"/>
              </w:rPr>
            </w:pPr>
            <w:r w:rsidRPr="004F0B56">
              <w:rPr>
                <w:rFonts w:asciiTheme="minorHAnsi" w:hAnsiTheme="minorHAnsi" w:cstheme="minorHAnsi"/>
                <w:sz w:val="22"/>
                <w:szCs w:val="22"/>
              </w:rPr>
              <w:t>92.000</w:t>
            </w:r>
          </w:p>
        </w:tc>
        <w:tc>
          <w:tcPr>
            <w:tcW w:w="1053" w:type="dxa"/>
          </w:tcPr>
          <w:p w:rsidRPr="004F0B56" w:rsidR="0012150B" w:rsidP="00B1792D" w:rsidRDefault="0012150B" w14:paraId="4B9B728E" w14:textId="77777777">
            <w:pPr>
              <w:jc w:val="right"/>
              <w:rPr>
                <w:rFonts w:asciiTheme="minorHAnsi" w:hAnsiTheme="minorHAnsi" w:cstheme="minorHAnsi"/>
                <w:sz w:val="22"/>
                <w:szCs w:val="22"/>
              </w:rPr>
            </w:pPr>
            <w:r w:rsidRPr="004F0B56">
              <w:rPr>
                <w:rFonts w:asciiTheme="minorHAnsi" w:hAnsiTheme="minorHAnsi" w:cstheme="minorHAnsi"/>
                <w:sz w:val="22"/>
                <w:szCs w:val="22"/>
              </w:rPr>
              <w:t>104.500</w:t>
            </w:r>
          </w:p>
        </w:tc>
      </w:tr>
      <w:tr w:rsidRPr="004F0B56" w:rsidR="0012150B" w:rsidTr="00B1792D" w14:paraId="7A2C9544" w14:textId="77777777">
        <w:trPr>
          <w:trHeight w:val="47"/>
        </w:trPr>
        <w:tc>
          <w:tcPr>
            <w:tcW w:w="1696" w:type="dxa"/>
            <w:noWrap/>
            <w:hideMark/>
          </w:tcPr>
          <w:p w:rsidRPr="004F0B56" w:rsidR="0012150B" w:rsidP="00B1792D" w:rsidRDefault="0012150B" w14:paraId="35326B2F" w14:textId="77777777">
            <w:pPr>
              <w:rPr>
                <w:rFonts w:asciiTheme="minorHAnsi" w:hAnsiTheme="minorHAnsi" w:cstheme="minorHAnsi"/>
                <w:sz w:val="22"/>
                <w:szCs w:val="22"/>
              </w:rPr>
            </w:pPr>
            <w:r w:rsidRPr="004F0B56">
              <w:rPr>
                <w:rFonts w:asciiTheme="minorHAnsi" w:hAnsiTheme="minorHAnsi" w:cstheme="minorHAnsi"/>
                <w:sz w:val="22"/>
                <w:szCs w:val="22"/>
              </w:rPr>
              <w:t xml:space="preserve">4. </w:t>
            </w:r>
            <w:proofErr w:type="spellStart"/>
            <w:r w:rsidRPr="004F0B56">
              <w:rPr>
                <w:rFonts w:asciiTheme="minorHAnsi" w:hAnsiTheme="minorHAnsi" w:cstheme="minorHAnsi"/>
                <w:sz w:val="22"/>
                <w:szCs w:val="22"/>
              </w:rPr>
              <w:t>Mbo</w:t>
            </w:r>
            <w:proofErr w:type="spellEnd"/>
          </w:p>
        </w:tc>
        <w:tc>
          <w:tcPr>
            <w:tcW w:w="1582" w:type="dxa"/>
            <w:hideMark/>
          </w:tcPr>
          <w:p w:rsidRPr="004F0B56" w:rsidR="0012150B" w:rsidP="00B1792D" w:rsidRDefault="0012150B" w14:paraId="6A46C69C" w14:textId="77777777">
            <w:pPr>
              <w:rPr>
                <w:rFonts w:asciiTheme="minorHAnsi" w:hAnsiTheme="minorHAnsi" w:cstheme="minorHAnsi"/>
                <w:sz w:val="22"/>
                <w:szCs w:val="22"/>
              </w:rPr>
            </w:pPr>
            <w:proofErr w:type="spellStart"/>
            <w:r w:rsidRPr="004F0B56">
              <w:rPr>
                <w:rFonts w:asciiTheme="minorHAnsi" w:hAnsiTheme="minorHAnsi" w:cstheme="minorHAnsi"/>
                <w:sz w:val="22"/>
                <w:szCs w:val="22"/>
              </w:rPr>
              <w:t>Praktijkleren</w:t>
            </w:r>
            <w:proofErr w:type="spellEnd"/>
          </w:p>
        </w:tc>
        <w:tc>
          <w:tcPr>
            <w:tcW w:w="1053" w:type="dxa"/>
            <w:hideMark/>
          </w:tcPr>
          <w:p w:rsidRPr="004F0B56" w:rsidR="0012150B" w:rsidP="00B1792D" w:rsidRDefault="0012150B" w14:paraId="383E3506" w14:textId="77777777">
            <w:pPr>
              <w:jc w:val="right"/>
              <w:rPr>
                <w:rFonts w:asciiTheme="minorHAnsi" w:hAnsiTheme="minorHAnsi" w:cstheme="minorHAnsi"/>
                <w:sz w:val="22"/>
                <w:szCs w:val="22"/>
              </w:rPr>
            </w:pPr>
            <w:r w:rsidRPr="004F0B56">
              <w:rPr>
                <w:rFonts w:asciiTheme="minorHAnsi" w:hAnsiTheme="minorHAnsi" w:cstheme="minorHAnsi"/>
                <w:sz w:val="22"/>
                <w:szCs w:val="22"/>
              </w:rPr>
              <w:t>58.338</w:t>
            </w:r>
          </w:p>
        </w:tc>
        <w:tc>
          <w:tcPr>
            <w:tcW w:w="1053" w:type="dxa"/>
            <w:hideMark/>
          </w:tcPr>
          <w:p w:rsidRPr="004F0B56" w:rsidR="0012150B" w:rsidP="00B1792D" w:rsidRDefault="0012150B" w14:paraId="458505AA" w14:textId="77777777">
            <w:pPr>
              <w:jc w:val="right"/>
              <w:rPr>
                <w:rFonts w:asciiTheme="minorHAnsi" w:hAnsiTheme="minorHAnsi" w:cstheme="minorHAnsi"/>
                <w:sz w:val="22"/>
                <w:szCs w:val="22"/>
              </w:rPr>
            </w:pPr>
            <w:r w:rsidRPr="004F0B56">
              <w:rPr>
                <w:rFonts w:asciiTheme="minorHAnsi" w:hAnsiTheme="minorHAnsi" w:cstheme="minorHAnsi"/>
                <w:sz w:val="22"/>
                <w:szCs w:val="22"/>
              </w:rPr>
              <w:t>107.150</w:t>
            </w:r>
          </w:p>
        </w:tc>
        <w:tc>
          <w:tcPr>
            <w:tcW w:w="1053" w:type="dxa"/>
            <w:hideMark/>
          </w:tcPr>
          <w:p w:rsidRPr="004F0B56" w:rsidR="0012150B" w:rsidP="00B1792D" w:rsidRDefault="0012150B" w14:paraId="1B372679" w14:textId="77777777">
            <w:pPr>
              <w:jc w:val="right"/>
              <w:rPr>
                <w:rFonts w:asciiTheme="minorHAnsi" w:hAnsiTheme="minorHAnsi" w:cstheme="minorHAnsi"/>
                <w:sz w:val="22"/>
                <w:szCs w:val="22"/>
              </w:rPr>
            </w:pPr>
            <w:r w:rsidRPr="004F0B56">
              <w:rPr>
                <w:rFonts w:asciiTheme="minorHAnsi" w:hAnsiTheme="minorHAnsi" w:cstheme="minorHAnsi"/>
                <w:sz w:val="22"/>
                <w:szCs w:val="22"/>
              </w:rPr>
              <w:t>132.543</w:t>
            </w:r>
          </w:p>
        </w:tc>
        <w:tc>
          <w:tcPr>
            <w:tcW w:w="1053" w:type="dxa"/>
            <w:hideMark/>
          </w:tcPr>
          <w:p w:rsidRPr="004F0B56" w:rsidR="0012150B" w:rsidP="00B1792D" w:rsidRDefault="0012150B" w14:paraId="2DCBB006" w14:textId="77777777">
            <w:pPr>
              <w:jc w:val="right"/>
              <w:rPr>
                <w:rFonts w:asciiTheme="minorHAnsi" w:hAnsiTheme="minorHAnsi" w:cstheme="minorHAnsi"/>
                <w:sz w:val="22"/>
                <w:szCs w:val="22"/>
              </w:rPr>
            </w:pPr>
            <w:r w:rsidRPr="004F0B56">
              <w:rPr>
                <w:rFonts w:asciiTheme="minorHAnsi" w:hAnsiTheme="minorHAnsi" w:cstheme="minorHAnsi"/>
                <w:sz w:val="22"/>
                <w:szCs w:val="22"/>
              </w:rPr>
              <w:t>152.486</w:t>
            </w:r>
          </w:p>
        </w:tc>
      </w:tr>
      <w:tr w:rsidRPr="004F0B56" w:rsidR="0012150B" w:rsidTr="00B1792D" w14:paraId="14F6462D" w14:textId="77777777">
        <w:trPr>
          <w:trHeight w:val="47"/>
        </w:trPr>
        <w:tc>
          <w:tcPr>
            <w:tcW w:w="1696" w:type="dxa"/>
            <w:noWrap/>
            <w:hideMark/>
          </w:tcPr>
          <w:p w:rsidRPr="004F0B56" w:rsidR="0012150B" w:rsidP="00B1792D" w:rsidRDefault="0012150B" w14:paraId="1B674FA9" w14:textId="77777777">
            <w:pPr>
              <w:rPr>
                <w:rFonts w:asciiTheme="minorHAnsi" w:hAnsiTheme="minorHAnsi" w:cstheme="minorHAnsi"/>
                <w:sz w:val="22"/>
                <w:szCs w:val="22"/>
              </w:rPr>
            </w:pPr>
          </w:p>
        </w:tc>
        <w:tc>
          <w:tcPr>
            <w:tcW w:w="1582" w:type="dxa"/>
            <w:hideMark/>
          </w:tcPr>
          <w:p w:rsidRPr="004F0B56" w:rsidR="0012150B" w:rsidP="00B1792D" w:rsidRDefault="0012150B" w14:paraId="6567C6E8" w14:textId="77777777">
            <w:pPr>
              <w:rPr>
                <w:rFonts w:asciiTheme="minorHAnsi" w:hAnsiTheme="minorHAnsi" w:eastAsiaTheme="minorHAnsi" w:cstheme="minorHAnsi"/>
                <w:sz w:val="22"/>
                <w:szCs w:val="22"/>
                <w14:ligatures w14:val="standardContextual"/>
              </w:rPr>
            </w:pPr>
            <w:proofErr w:type="spellStart"/>
            <w:r w:rsidRPr="004F0B56">
              <w:rPr>
                <w:rFonts w:asciiTheme="minorHAnsi" w:hAnsiTheme="minorHAnsi" w:cstheme="minorHAnsi"/>
                <w:sz w:val="22"/>
                <w:szCs w:val="22"/>
              </w:rPr>
              <w:t>Totaal</w:t>
            </w:r>
            <w:proofErr w:type="spellEnd"/>
            <w:r w:rsidRPr="004F0B56">
              <w:rPr>
                <w:rFonts w:asciiTheme="minorHAnsi" w:hAnsiTheme="minorHAnsi" w:cstheme="minorHAnsi"/>
                <w:sz w:val="22"/>
                <w:szCs w:val="22"/>
              </w:rPr>
              <w:t xml:space="preserve"> </w:t>
            </w:r>
          </w:p>
        </w:tc>
        <w:tc>
          <w:tcPr>
            <w:tcW w:w="1053" w:type="dxa"/>
            <w:noWrap/>
            <w:hideMark/>
          </w:tcPr>
          <w:p w:rsidRPr="004F0B56" w:rsidR="0012150B" w:rsidP="00B1792D" w:rsidRDefault="0012150B" w14:paraId="59469B2E" w14:textId="77777777">
            <w:pPr>
              <w:jc w:val="right"/>
              <w:rPr>
                <w:rFonts w:asciiTheme="minorHAnsi" w:hAnsiTheme="minorHAnsi" w:cstheme="minorHAnsi"/>
                <w:sz w:val="22"/>
                <w:szCs w:val="22"/>
              </w:rPr>
            </w:pPr>
            <w:r w:rsidRPr="004F0B56">
              <w:rPr>
                <w:rFonts w:asciiTheme="minorHAnsi" w:hAnsiTheme="minorHAnsi" w:cstheme="minorHAnsi"/>
                <w:sz w:val="22"/>
                <w:szCs w:val="22"/>
              </w:rPr>
              <w:t>138.338</w:t>
            </w:r>
          </w:p>
        </w:tc>
        <w:tc>
          <w:tcPr>
            <w:tcW w:w="1053" w:type="dxa"/>
            <w:noWrap/>
            <w:hideMark/>
          </w:tcPr>
          <w:p w:rsidRPr="004F0B56" w:rsidR="0012150B" w:rsidP="00B1792D" w:rsidRDefault="0012150B" w14:paraId="04BC18F1" w14:textId="77777777">
            <w:pPr>
              <w:jc w:val="right"/>
              <w:rPr>
                <w:rFonts w:asciiTheme="minorHAnsi" w:hAnsiTheme="minorHAnsi" w:cstheme="minorHAnsi"/>
                <w:sz w:val="22"/>
                <w:szCs w:val="22"/>
              </w:rPr>
            </w:pPr>
            <w:r w:rsidRPr="004F0B56">
              <w:rPr>
                <w:rFonts w:asciiTheme="minorHAnsi" w:hAnsiTheme="minorHAnsi" w:cstheme="minorHAnsi"/>
                <w:sz w:val="22"/>
                <w:szCs w:val="22"/>
              </w:rPr>
              <w:t>255.150</w:t>
            </w:r>
          </w:p>
        </w:tc>
        <w:tc>
          <w:tcPr>
            <w:tcW w:w="1053" w:type="dxa"/>
            <w:noWrap/>
            <w:hideMark/>
          </w:tcPr>
          <w:p w:rsidRPr="004F0B56" w:rsidR="0012150B" w:rsidP="00B1792D" w:rsidRDefault="0012150B" w14:paraId="3F15983D" w14:textId="77777777">
            <w:pPr>
              <w:jc w:val="right"/>
              <w:rPr>
                <w:rFonts w:asciiTheme="minorHAnsi" w:hAnsiTheme="minorHAnsi" w:cstheme="minorHAnsi"/>
                <w:sz w:val="22"/>
                <w:szCs w:val="22"/>
              </w:rPr>
            </w:pPr>
            <w:r w:rsidRPr="004F0B56">
              <w:rPr>
                <w:rFonts w:asciiTheme="minorHAnsi" w:hAnsiTheme="minorHAnsi" w:cstheme="minorHAnsi"/>
                <w:sz w:val="22"/>
                <w:szCs w:val="22"/>
              </w:rPr>
              <w:t>316.543</w:t>
            </w:r>
          </w:p>
        </w:tc>
        <w:tc>
          <w:tcPr>
            <w:tcW w:w="1053" w:type="dxa"/>
            <w:noWrap/>
            <w:hideMark/>
          </w:tcPr>
          <w:p w:rsidRPr="004F0B56" w:rsidR="0012150B" w:rsidP="00B1792D" w:rsidRDefault="0012150B" w14:paraId="3A7E28F6" w14:textId="77777777">
            <w:pPr>
              <w:jc w:val="right"/>
              <w:rPr>
                <w:rFonts w:asciiTheme="minorHAnsi" w:hAnsiTheme="minorHAnsi" w:cstheme="minorHAnsi"/>
                <w:sz w:val="22"/>
                <w:szCs w:val="22"/>
              </w:rPr>
            </w:pPr>
            <w:r w:rsidRPr="004F0B56">
              <w:rPr>
                <w:rFonts w:asciiTheme="minorHAnsi" w:hAnsiTheme="minorHAnsi" w:cstheme="minorHAnsi"/>
                <w:sz w:val="22"/>
                <w:szCs w:val="22"/>
              </w:rPr>
              <w:t>361.486</w:t>
            </w:r>
          </w:p>
        </w:tc>
      </w:tr>
    </w:tbl>
    <w:p w:rsidRPr="004F0B56" w:rsidR="0012150B" w:rsidP="0012150B" w:rsidRDefault="0012150B" w14:paraId="46EEF9E6" w14:textId="77777777">
      <w:pPr>
        <w:spacing w:line="240" w:lineRule="auto"/>
        <w:rPr>
          <w:rFonts w:cstheme="minorHAnsi"/>
        </w:rPr>
      </w:pPr>
    </w:p>
    <w:p w:rsidRPr="004F0B56" w:rsidR="0012150B" w:rsidP="0012150B" w:rsidRDefault="0012150B" w14:paraId="58F5C651" w14:textId="77777777">
      <w:pPr>
        <w:spacing w:line="240" w:lineRule="auto"/>
        <w:rPr>
          <w:rFonts w:cstheme="minorHAnsi"/>
        </w:rPr>
      </w:pPr>
      <w:r w:rsidRPr="004F0B56">
        <w:rPr>
          <w:rFonts w:cstheme="minorHAnsi"/>
        </w:rPr>
        <w:t xml:space="preserve">De concrete invulling van de subsidietaakstelling vanaf 2026 wordt over de gehele OCW-begroting bezien en middels een Nota van Wijziging op de Ontwerpbegroting 2025 voorafgaand aan de begrotingsbehandeling van OCW aan uw Kamer voorgelegd. Op deze wijze kan de Tweede Kamer de gehele meerjarige invulling van de subsidietaakstelling beoordelen, voorafgaand aan de begrotingsbehandeling van OCW voor het jaar 2025 (die nu is voorzien in de week van 26 november); alsook de </w:t>
      </w:r>
      <w:proofErr w:type="spellStart"/>
      <w:r w:rsidRPr="004F0B56">
        <w:rPr>
          <w:rFonts w:cstheme="minorHAnsi"/>
        </w:rPr>
        <w:t>wetgevingsoverleggen</w:t>
      </w:r>
      <w:proofErr w:type="spellEnd"/>
      <w:r w:rsidRPr="004F0B56">
        <w:rPr>
          <w:rFonts w:cstheme="minorHAnsi"/>
        </w:rPr>
        <w:t xml:space="preserve"> voor het jaar 2025 voor de begrotingen van Media, Cultuur en Emancipatie. </w:t>
      </w:r>
      <w:bookmarkStart w:name="_Hlk177564198" w:id="0"/>
      <w:r w:rsidRPr="004F0B56">
        <w:rPr>
          <w:rFonts w:cstheme="minorHAnsi"/>
        </w:rPr>
        <w:t>De voorlopige verwerking in bovenstaande tabel wordt dan dus vervangen door een andere invulling.</w:t>
      </w:r>
      <w:bookmarkEnd w:id="0"/>
      <w:r w:rsidRPr="004F0B56">
        <w:rPr>
          <w:rFonts w:cstheme="minorHAnsi"/>
        </w:rPr>
        <w:t xml:space="preserve"> </w:t>
      </w:r>
      <w:bookmarkStart w:name="_Hlk177564566" w:id="1"/>
      <w:r w:rsidRPr="004F0B56">
        <w:rPr>
          <w:rFonts w:cstheme="minorHAnsi"/>
        </w:rPr>
        <w:t>Het alternatief, de daadwerkelijke invulling in deze ontwerpbegroting ten behoeve van Prinsjesdag, had betekend dat na de start van het kabinet binnen enkele weken een invulling van de gehele taakstelling uitgewerkt had moeten worden. Gezien de aanzienlijke omvang werd dat onverantwoord en onzorgvuldig geacht.</w:t>
      </w:r>
      <w:bookmarkEnd w:id="1"/>
    </w:p>
    <w:p w:rsidRPr="004F0B56" w:rsidR="0012150B" w:rsidP="0012150B" w:rsidRDefault="0012150B" w14:paraId="325A7949" w14:textId="77777777">
      <w:pPr>
        <w:spacing w:line="240" w:lineRule="auto"/>
        <w:rPr>
          <w:rFonts w:cstheme="minorHAnsi"/>
        </w:rPr>
      </w:pPr>
      <w:r w:rsidRPr="004F0B56">
        <w:rPr>
          <w:rFonts w:cstheme="minorHAnsi"/>
        </w:rPr>
        <w:t xml:space="preserve">Door meer tijd te nemen voor de invulling van deze aanzienlijke subsidietaakstelling kan beter rekening worden gehouden met consequenties voor uitvoerende partijen en alle betrokkenen in de sectoren van OCW. </w:t>
      </w:r>
    </w:p>
    <w:p w:rsidRPr="004F0B56" w:rsidR="0012150B" w:rsidP="0012150B" w:rsidRDefault="0012150B" w14:paraId="53EBB35E" w14:textId="77777777">
      <w:pPr>
        <w:spacing w:line="240" w:lineRule="auto"/>
        <w:rPr>
          <w:rFonts w:cstheme="minorHAnsi"/>
        </w:rPr>
      </w:pPr>
    </w:p>
    <w:p w:rsidRPr="004F0B56" w:rsidR="0012150B" w:rsidP="004F0B56" w:rsidRDefault="0012150B" w14:paraId="6BD6899A" w14:textId="77777777">
      <w:pPr>
        <w:pStyle w:val="Geenafstand"/>
        <w:rPr>
          <w:rFonts w:cstheme="minorHAnsi"/>
        </w:rPr>
      </w:pPr>
      <w:r w:rsidRPr="004F0B56">
        <w:rPr>
          <w:rFonts w:cstheme="minorHAnsi"/>
        </w:rPr>
        <w:t>De minister van Onderwijs, Cultuur en Wetenschap,</w:t>
      </w:r>
    </w:p>
    <w:p w:rsidRPr="004F0B56" w:rsidR="0012150B" w:rsidP="004F0B56" w:rsidRDefault="004F0B56" w14:paraId="7C883041" w14:textId="00B65B6A">
      <w:pPr>
        <w:pStyle w:val="Geenafstand"/>
        <w:rPr>
          <w:rFonts w:cstheme="minorHAnsi"/>
        </w:rPr>
      </w:pPr>
      <w:r w:rsidRPr="004F0B56">
        <w:rPr>
          <w:rFonts w:cstheme="minorHAnsi"/>
        </w:rPr>
        <w:t>E.E.W.</w:t>
      </w:r>
      <w:r w:rsidRPr="004F0B56" w:rsidR="0012150B">
        <w:rPr>
          <w:rFonts w:cstheme="minorHAnsi"/>
        </w:rPr>
        <w:t xml:space="preserve"> Bruins</w:t>
      </w:r>
    </w:p>
    <w:p w:rsidRPr="004F0B56" w:rsidR="0012150B" w:rsidP="004F0B56" w:rsidRDefault="0012150B" w14:paraId="0FB01DA2" w14:textId="77777777">
      <w:pPr>
        <w:pStyle w:val="Geenafstand"/>
        <w:rPr>
          <w:rFonts w:cstheme="minorHAnsi"/>
        </w:rPr>
      </w:pPr>
    </w:p>
    <w:p w:rsidRPr="004F0B56" w:rsidR="0012150B" w:rsidP="004F0B56" w:rsidRDefault="0012150B" w14:paraId="71845A75" w14:textId="77777777">
      <w:pPr>
        <w:pStyle w:val="Geenafstand"/>
        <w:rPr>
          <w:rFonts w:cstheme="minorHAnsi"/>
        </w:rPr>
      </w:pPr>
      <w:r w:rsidRPr="004F0B56">
        <w:rPr>
          <w:rFonts w:cstheme="minorHAnsi"/>
        </w:rPr>
        <w:t>De staatssecretaris van Onderwijs, Cultuur en Wetenschap,</w:t>
      </w:r>
    </w:p>
    <w:p w:rsidRPr="004F0B56" w:rsidR="0012150B" w:rsidP="004F0B56" w:rsidRDefault="004F0B56" w14:paraId="07B99005" w14:textId="275F208D">
      <w:pPr>
        <w:pStyle w:val="Geenafstand"/>
        <w:rPr>
          <w:rFonts w:cstheme="minorHAnsi"/>
        </w:rPr>
      </w:pPr>
      <w:r w:rsidRPr="004F0B56">
        <w:rPr>
          <w:rFonts w:cstheme="minorHAnsi"/>
        </w:rPr>
        <w:t>M.L.J.</w:t>
      </w:r>
      <w:r w:rsidRPr="004F0B56" w:rsidR="0012150B">
        <w:rPr>
          <w:rFonts w:cstheme="minorHAnsi"/>
        </w:rPr>
        <w:t xml:space="preserve"> Paul</w:t>
      </w:r>
    </w:p>
    <w:p w:rsidRPr="004F0B56" w:rsidR="0012150B" w:rsidP="0012150B" w:rsidRDefault="0012150B" w14:paraId="74D6CCBB" w14:textId="77777777">
      <w:pPr>
        <w:spacing w:line="240" w:lineRule="auto"/>
        <w:rPr>
          <w:rFonts w:cstheme="minorHAnsi"/>
        </w:rPr>
      </w:pPr>
    </w:p>
    <w:p w:rsidRPr="004F0B56" w:rsidR="0012150B" w:rsidP="0012150B" w:rsidRDefault="0012150B" w14:paraId="6F79159F" w14:textId="77777777">
      <w:pPr>
        <w:spacing w:line="240" w:lineRule="auto"/>
        <w:rPr>
          <w:rFonts w:cstheme="minorHAnsi"/>
        </w:rPr>
      </w:pPr>
    </w:p>
    <w:p w:rsidRPr="004F0B56" w:rsidR="0012150B" w:rsidP="0012150B" w:rsidRDefault="0012150B" w14:paraId="133F5FFD" w14:textId="77777777">
      <w:pPr>
        <w:spacing w:line="240" w:lineRule="auto"/>
        <w:rPr>
          <w:rFonts w:cstheme="minorHAnsi"/>
        </w:rPr>
      </w:pPr>
    </w:p>
    <w:p w:rsidRPr="004F0B56" w:rsidR="0012150B" w:rsidP="0012150B" w:rsidRDefault="0012150B" w14:paraId="01521DB1" w14:textId="77777777">
      <w:pPr>
        <w:spacing w:line="240" w:lineRule="auto"/>
        <w:rPr>
          <w:rFonts w:cstheme="minorHAnsi"/>
        </w:rPr>
      </w:pPr>
    </w:p>
    <w:p w:rsidRPr="004F0B56" w:rsidR="0012150B" w:rsidP="0012150B" w:rsidRDefault="0012150B" w14:paraId="4649CC4B" w14:textId="77777777">
      <w:pPr>
        <w:spacing w:line="240" w:lineRule="auto"/>
        <w:rPr>
          <w:rFonts w:cstheme="minorHAnsi"/>
        </w:rPr>
      </w:pPr>
    </w:p>
    <w:p w:rsidRPr="004F0B56" w:rsidR="00B70685" w:rsidRDefault="00B70685" w14:paraId="182F2D8B" w14:textId="77777777">
      <w:pPr>
        <w:rPr>
          <w:rFonts w:cstheme="minorHAnsi"/>
        </w:rPr>
      </w:pPr>
    </w:p>
    <w:sectPr w:rsidRPr="004F0B56" w:rsidR="00B70685" w:rsidSect="0012150B">
      <w:headerReference w:type="even" r:id="rId6"/>
      <w:headerReference w:type="default" r:id="rId7"/>
      <w:footerReference w:type="even" r:id="rId8"/>
      <w:footerReference w:type="default" r:id="rId9"/>
      <w:headerReference w:type="first" r:id="rId10"/>
      <w:footerReference w:type="first" r:id="rId11"/>
      <w:pgSz w:w="11906" w:h="16838" w:code="9"/>
      <w:pgMar w:top="2279"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4291D" w14:textId="77777777" w:rsidR="0012150B" w:rsidRDefault="0012150B" w:rsidP="0012150B">
      <w:pPr>
        <w:spacing w:after="0" w:line="240" w:lineRule="auto"/>
      </w:pPr>
      <w:r>
        <w:separator/>
      </w:r>
    </w:p>
  </w:endnote>
  <w:endnote w:type="continuationSeparator" w:id="0">
    <w:p w14:paraId="6B0DEAA5" w14:textId="77777777" w:rsidR="0012150B" w:rsidRDefault="0012150B" w:rsidP="00121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620B2" w14:textId="77777777" w:rsidR="0012150B" w:rsidRPr="0012150B" w:rsidRDefault="0012150B" w:rsidP="0012150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65D" w14:textId="77777777" w:rsidR="00D604E0" w:rsidRPr="0012150B" w:rsidRDefault="00D604E0" w:rsidP="0012150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977CF" w14:textId="77777777" w:rsidR="00D604E0" w:rsidRPr="0012150B" w:rsidRDefault="00D604E0" w:rsidP="0012150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A7445" w14:textId="77777777" w:rsidR="0012150B" w:rsidRDefault="0012150B" w:rsidP="0012150B">
      <w:pPr>
        <w:spacing w:after="0" w:line="240" w:lineRule="auto"/>
      </w:pPr>
      <w:r>
        <w:separator/>
      </w:r>
    </w:p>
  </w:footnote>
  <w:footnote w:type="continuationSeparator" w:id="0">
    <w:p w14:paraId="7500426A" w14:textId="77777777" w:rsidR="0012150B" w:rsidRDefault="0012150B" w:rsidP="001215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A63C1" w14:textId="77777777" w:rsidR="0012150B" w:rsidRPr="0012150B" w:rsidRDefault="0012150B" w:rsidP="0012150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362BB" w14:textId="77777777" w:rsidR="00D604E0" w:rsidRPr="0012150B" w:rsidRDefault="00D604E0" w:rsidP="0012150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69CA8" w14:textId="77777777" w:rsidR="00D604E0" w:rsidRPr="0012150B" w:rsidRDefault="00D604E0" w:rsidP="0012150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50B"/>
    <w:rsid w:val="0012150B"/>
    <w:rsid w:val="004F0B56"/>
    <w:rsid w:val="00B70685"/>
    <w:rsid w:val="00D60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35FB1"/>
  <w15:chartTrackingRefBased/>
  <w15:docId w15:val="{2154361F-A7E7-4782-9F0F-98E01A00C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12150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12150B"/>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12150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12150B"/>
    <w:rPr>
      <w:rFonts w:ascii="Verdana" w:eastAsia="Times New Roman" w:hAnsi="Verdana" w:cs="Times New Roman"/>
      <w:kern w:val="0"/>
      <w:sz w:val="18"/>
      <w:szCs w:val="24"/>
      <w:lang w:eastAsia="nl-NL"/>
      <w14:ligatures w14:val="none"/>
    </w:rPr>
  </w:style>
  <w:style w:type="table" w:styleId="Tabelraster">
    <w:name w:val="Table Grid"/>
    <w:basedOn w:val="Standaardtabel"/>
    <w:rsid w:val="0012150B"/>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Adres">
    <w:name w:val="Huisstijl-Adres"/>
    <w:basedOn w:val="Standaard"/>
    <w:link w:val="Huisstijl-AdresChar"/>
    <w:rsid w:val="0012150B"/>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12150B"/>
    <w:rPr>
      <w:rFonts w:ascii="Verdana" w:hAnsi="Verdana"/>
      <w:noProof/>
      <w:sz w:val="13"/>
      <w:szCs w:val="24"/>
      <w:lang w:eastAsia="nl-NL"/>
    </w:rPr>
  </w:style>
  <w:style w:type="paragraph" w:customStyle="1" w:styleId="Huisstijl-Gegeven">
    <w:name w:val="Huisstijl-Gegeven"/>
    <w:basedOn w:val="Standaard"/>
    <w:link w:val="Huisstijl-GegevenCharChar"/>
    <w:rsid w:val="0012150B"/>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12150B"/>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12150B"/>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12150B"/>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customStyle="1" w:styleId="standaard-tekst">
    <w:name w:val="standaard-tekst"/>
    <w:basedOn w:val="Standaard"/>
    <w:rsid w:val="0012150B"/>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Geenafstand">
    <w:name w:val="No Spacing"/>
    <w:uiPriority w:val="1"/>
    <w:qFormat/>
    <w:rsid w:val="004F0B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618</ap:Words>
  <ap:Characters>3402</ap:Characters>
  <ap:DocSecurity>0</ap:DocSecurity>
  <ap:Lines>28</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4012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2024-09-25T13:56:00.0000000Z</dcterms:created>
  <dcterms:modified xsi:type="dcterms:W3CDTF">2024-09-25T13:56:00.0000000Z</dcterms:modified>
  <version/>
  <category/>
</coreProperties>
</file>