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14478B" w:rsidR="00E90DBA" w:rsidP="00CD7A9A" w:rsidRDefault="00CD7A9A" w14:paraId="7802545A" w14:textId="2C3FE758">
      <w:pPr>
        <w:spacing w:after="0" w:line="240" w:lineRule="atLeast"/>
        <w:rPr>
          <w:rFonts w:ascii="Verdana" w:hAnsi="Verdana"/>
          <w:b/>
          <w:bCs/>
          <w:kern w:val="0"/>
          <w:sz w:val="18"/>
          <w:szCs w:val="18"/>
          <w14:ligatures w14:val="none"/>
        </w:rPr>
      </w:pPr>
      <w:r w:rsidRPr="0014478B">
        <w:rPr>
          <w:rFonts w:ascii="Verdana" w:hAnsi="Verdana"/>
          <w:b/>
          <w:bCs/>
          <w:kern w:val="0"/>
          <w:sz w:val="18"/>
          <w:szCs w:val="18"/>
          <w14:ligatures w14:val="none"/>
        </w:rPr>
        <w:t>MEMORIE VAN TOELICHTING</w:t>
      </w:r>
    </w:p>
    <w:p w:rsidRPr="0014478B" w:rsidR="00E90DBA" w:rsidP="00CD7A9A" w:rsidRDefault="00E90DBA" w14:paraId="7F703056" w14:textId="77777777">
      <w:pPr>
        <w:spacing w:after="0" w:line="240" w:lineRule="atLeast"/>
        <w:rPr>
          <w:rFonts w:ascii="Verdana" w:hAnsi="Verdana"/>
          <w:sz w:val="18"/>
          <w:szCs w:val="18"/>
        </w:rPr>
      </w:pPr>
    </w:p>
    <w:p w:rsidRPr="0014478B" w:rsidR="00E90DBA" w:rsidP="00CD7A9A" w:rsidRDefault="00E90DBA" w14:paraId="0DFB4F7A" w14:textId="77777777">
      <w:pPr>
        <w:spacing w:after="0" w:line="240" w:lineRule="atLeast"/>
        <w:rPr>
          <w:rFonts w:ascii="Verdana" w:hAnsi="Verdana"/>
          <w:b/>
          <w:bCs/>
          <w:kern w:val="0"/>
          <w:sz w:val="18"/>
          <w:szCs w:val="18"/>
          <w14:ligatures w14:val="none"/>
        </w:rPr>
      </w:pPr>
      <w:r w:rsidRPr="0014478B">
        <w:rPr>
          <w:rFonts w:ascii="Verdana" w:hAnsi="Verdana"/>
          <w:b/>
          <w:bCs/>
          <w:kern w:val="0"/>
          <w:sz w:val="18"/>
          <w:szCs w:val="18"/>
          <w14:ligatures w14:val="none"/>
        </w:rPr>
        <w:t>I Algemeen</w:t>
      </w:r>
    </w:p>
    <w:p w:rsidRPr="0014478B" w:rsidR="00E90DBA" w:rsidP="00CD7A9A" w:rsidRDefault="00E90DBA" w14:paraId="7D24B516" w14:textId="77777777">
      <w:pPr>
        <w:spacing w:after="0" w:line="240" w:lineRule="atLeast"/>
        <w:rPr>
          <w:rFonts w:ascii="Verdana" w:hAnsi="Verdana"/>
          <w:sz w:val="18"/>
        </w:rPr>
      </w:pPr>
    </w:p>
    <w:p w:rsidRPr="0014478B" w:rsidR="00E90DBA" w:rsidP="00CD7A9A" w:rsidRDefault="00E90DBA" w14:paraId="04440EEC" w14:textId="4884710D">
      <w:pPr>
        <w:spacing w:after="0" w:line="240" w:lineRule="atLeast"/>
        <w:rPr>
          <w:rFonts w:ascii="Verdana" w:hAnsi="Verdana"/>
          <w:b/>
          <w:bCs/>
          <w:kern w:val="0"/>
          <w:sz w:val="18"/>
          <w:szCs w:val="18"/>
          <w14:ligatures w14:val="none"/>
        </w:rPr>
      </w:pPr>
      <w:r w:rsidRPr="0014478B">
        <w:rPr>
          <w:rFonts w:ascii="Verdana" w:hAnsi="Verdana"/>
          <w:b/>
          <w:bCs/>
          <w:kern w:val="0"/>
          <w:sz w:val="18"/>
          <w:szCs w:val="18"/>
          <w14:ligatures w14:val="none"/>
        </w:rPr>
        <w:t>1. Aanleiding en doel</w:t>
      </w:r>
    </w:p>
    <w:p w:rsidRPr="0014478B" w:rsidR="00E90DBA" w:rsidP="00CD7A9A" w:rsidRDefault="00E90DBA" w14:paraId="41FD2603" w14:textId="77777777">
      <w:pPr>
        <w:spacing w:after="0" w:line="240" w:lineRule="atLeast"/>
        <w:rPr>
          <w:rFonts w:ascii="Verdana" w:hAnsi="Verdana"/>
          <w:sz w:val="18"/>
        </w:rPr>
      </w:pPr>
    </w:p>
    <w:p w:rsidRPr="0014478B" w:rsidR="00E90DBA" w:rsidP="00CD7A9A" w:rsidRDefault="00E90DBA" w14:paraId="27A8165C" w14:textId="2CBFDCA4">
      <w:pPr>
        <w:spacing w:after="0" w:line="240" w:lineRule="atLeast"/>
        <w:rPr>
          <w:rFonts w:ascii="Verdana" w:hAnsi="Verdana" w:cstheme="minorHAnsi"/>
          <w:sz w:val="18"/>
        </w:rPr>
      </w:pPr>
      <w:r w:rsidRPr="0014478B">
        <w:rPr>
          <w:rFonts w:ascii="Verdana" w:hAnsi="Verdana" w:cstheme="minorHAnsi"/>
          <w:sz w:val="18"/>
        </w:rPr>
        <w:t>In het Hoofdlijnenakkoord is afgesproken dat de salderingsregeling per 1 januari 2027 wordt beëindigd.</w:t>
      </w:r>
      <w:r w:rsidRPr="0014478B">
        <w:rPr>
          <w:rStyle w:val="Voetnootmarkering"/>
          <w:rFonts w:ascii="Verdana" w:hAnsi="Verdana" w:cstheme="minorHAnsi"/>
          <w:sz w:val="18"/>
        </w:rPr>
        <w:footnoteReference w:id="2"/>
      </w:r>
      <w:r w:rsidRPr="0014478B">
        <w:rPr>
          <w:rFonts w:ascii="Verdana" w:hAnsi="Verdana" w:cstheme="minorHAnsi"/>
          <w:sz w:val="18"/>
        </w:rPr>
        <w:t xml:space="preserve"> </w:t>
      </w:r>
      <w:r w:rsidRPr="0014478B">
        <w:rPr>
          <w:rFonts w:ascii="Verdana" w:hAnsi="Verdana"/>
          <w:sz w:val="18"/>
        </w:rPr>
        <w:t>Een eerder wetsvoorstel om de salderingsregeling af te bouwen is op 13 februari 2024 door de Eerste Kamer verworpen.</w:t>
      </w:r>
      <w:r w:rsidRPr="0014478B">
        <w:rPr>
          <w:rStyle w:val="Voetnootmarkering"/>
          <w:rFonts w:ascii="Verdana" w:hAnsi="Verdana"/>
          <w:sz w:val="18"/>
        </w:rPr>
        <w:footnoteReference w:id="3"/>
      </w:r>
      <w:r w:rsidRPr="0014478B" w:rsidR="00E53D44">
        <w:rPr>
          <w:rFonts w:ascii="Verdana" w:hAnsi="Verdana" w:cstheme="minorHAnsi"/>
          <w:sz w:val="18"/>
        </w:rPr>
        <w:t xml:space="preserve"> I</w:t>
      </w:r>
      <w:r w:rsidRPr="0014478B">
        <w:rPr>
          <w:rFonts w:ascii="Verdana" w:hAnsi="Verdana" w:cstheme="minorHAnsi"/>
          <w:sz w:val="18"/>
        </w:rPr>
        <w:t xml:space="preserve">n de </w:t>
      </w:r>
      <w:r w:rsidRPr="0014478B" w:rsidR="00BC341D">
        <w:rPr>
          <w:rFonts w:ascii="Verdana" w:hAnsi="Verdana" w:cstheme="minorHAnsi"/>
          <w:sz w:val="18"/>
        </w:rPr>
        <w:t xml:space="preserve">door een meerderheid van de Tweede Kamer ondersteunde </w:t>
      </w:r>
      <w:r w:rsidRPr="0014478B">
        <w:rPr>
          <w:rFonts w:ascii="Verdana" w:hAnsi="Verdana" w:cstheme="minorHAnsi"/>
          <w:sz w:val="18"/>
        </w:rPr>
        <w:t>motie Bontenbal</w:t>
      </w:r>
      <w:r w:rsidRPr="0014478B">
        <w:rPr>
          <w:rStyle w:val="Voetnootmarkering"/>
          <w:rFonts w:ascii="Verdana" w:hAnsi="Verdana" w:cstheme="minorHAnsi"/>
          <w:sz w:val="18"/>
        </w:rPr>
        <w:footnoteReference w:id="4"/>
      </w:r>
      <w:r w:rsidRPr="0014478B">
        <w:rPr>
          <w:rFonts w:ascii="Verdana" w:hAnsi="Verdana" w:cstheme="minorHAnsi"/>
          <w:sz w:val="18"/>
        </w:rPr>
        <w:t xml:space="preserve"> is verzocht om een voorstel tot aanpassing van de salderingsregeling bij het Belastingplan 2025 naar de Kamer te sturen. Met dit wetsvoorstel wordt </w:t>
      </w:r>
      <w:r w:rsidRPr="0014478B" w:rsidR="00764767">
        <w:rPr>
          <w:rFonts w:ascii="Verdana" w:hAnsi="Verdana" w:cstheme="minorHAnsi"/>
          <w:sz w:val="18"/>
        </w:rPr>
        <w:t>gehoor</w:t>
      </w:r>
      <w:r w:rsidRPr="0014478B">
        <w:rPr>
          <w:rFonts w:ascii="Verdana" w:hAnsi="Verdana" w:cstheme="minorHAnsi"/>
          <w:sz w:val="18"/>
        </w:rPr>
        <w:t xml:space="preserve"> gegeven aan deze </w:t>
      </w:r>
      <w:r w:rsidRPr="0014478B" w:rsidR="00764767">
        <w:rPr>
          <w:rFonts w:ascii="Verdana" w:hAnsi="Verdana" w:cstheme="minorHAnsi"/>
          <w:sz w:val="18"/>
        </w:rPr>
        <w:t>motie</w:t>
      </w:r>
      <w:r w:rsidRPr="0014478B">
        <w:rPr>
          <w:rFonts w:ascii="Verdana" w:hAnsi="Verdana" w:cstheme="minorHAnsi"/>
          <w:sz w:val="18"/>
        </w:rPr>
        <w:t xml:space="preserve"> en wordt </w:t>
      </w:r>
      <w:r w:rsidRPr="0014478B" w:rsidR="00764767">
        <w:rPr>
          <w:rFonts w:ascii="Verdana" w:hAnsi="Verdana" w:cstheme="minorHAnsi"/>
          <w:sz w:val="18"/>
        </w:rPr>
        <w:t xml:space="preserve">voorgesteld om </w:t>
      </w:r>
      <w:r w:rsidRPr="0014478B">
        <w:rPr>
          <w:rFonts w:ascii="Verdana" w:hAnsi="Verdana" w:cstheme="minorHAnsi"/>
          <w:sz w:val="18"/>
        </w:rPr>
        <w:t xml:space="preserve">de salderingsregeling met ingang van 2027 </w:t>
      </w:r>
      <w:r w:rsidRPr="0014478B" w:rsidR="00764767">
        <w:rPr>
          <w:rFonts w:ascii="Verdana" w:hAnsi="Verdana" w:cstheme="minorHAnsi"/>
          <w:sz w:val="18"/>
        </w:rPr>
        <w:t>te beëindigen.</w:t>
      </w:r>
      <w:r w:rsidRPr="0014478B">
        <w:rPr>
          <w:rFonts w:ascii="Verdana" w:hAnsi="Verdana" w:cstheme="minorHAnsi"/>
          <w:sz w:val="18"/>
        </w:rPr>
        <w:t xml:space="preserve"> </w:t>
      </w:r>
      <w:r w:rsidRPr="0014478B" w:rsidR="00DB012E">
        <w:rPr>
          <w:rFonts w:ascii="Verdana" w:hAnsi="Verdana" w:cstheme="minorHAnsi"/>
          <w:sz w:val="18"/>
        </w:rPr>
        <w:t xml:space="preserve">Actieve </w:t>
      </w:r>
      <w:r w:rsidRPr="0014478B">
        <w:rPr>
          <w:rFonts w:ascii="Verdana" w:hAnsi="Verdana" w:cstheme="minorHAnsi"/>
          <w:sz w:val="18"/>
        </w:rPr>
        <w:t>afnemers</w:t>
      </w:r>
      <w:r w:rsidRPr="0014478B" w:rsidR="00E7555B">
        <w:rPr>
          <w:rStyle w:val="Voetnootmarkering"/>
          <w:rFonts w:ascii="Verdana" w:hAnsi="Verdana" w:cstheme="minorHAnsi"/>
          <w:sz w:val="18"/>
        </w:rPr>
        <w:footnoteReference w:id="5"/>
      </w:r>
      <w:r w:rsidRPr="0014478B">
        <w:rPr>
          <w:rFonts w:ascii="Verdana" w:hAnsi="Verdana" w:cstheme="minorHAnsi"/>
          <w:sz w:val="18"/>
        </w:rPr>
        <w:t xml:space="preserve"> ontvangen vanaf dan voor alle</w:t>
      </w:r>
      <w:r w:rsidRPr="0014478B" w:rsidR="00720F64">
        <w:rPr>
          <w:rFonts w:ascii="Verdana" w:hAnsi="Verdana" w:cstheme="minorHAnsi"/>
          <w:sz w:val="18"/>
        </w:rPr>
        <w:t xml:space="preserve"> op het systeem</w:t>
      </w:r>
      <w:r w:rsidRPr="0014478B">
        <w:rPr>
          <w:rFonts w:ascii="Verdana" w:hAnsi="Verdana" w:cstheme="minorHAnsi"/>
          <w:sz w:val="18"/>
        </w:rPr>
        <w:t xml:space="preserve"> </w:t>
      </w:r>
      <w:r w:rsidRPr="0014478B" w:rsidR="00B37A34">
        <w:rPr>
          <w:rFonts w:ascii="Verdana" w:hAnsi="Verdana" w:cstheme="minorHAnsi"/>
          <w:sz w:val="18"/>
        </w:rPr>
        <w:t>teruggeleverde</w:t>
      </w:r>
      <w:r w:rsidRPr="0014478B" w:rsidR="00B52E07">
        <w:rPr>
          <w:rFonts w:ascii="Verdana" w:hAnsi="Verdana" w:cstheme="minorHAnsi"/>
          <w:sz w:val="18"/>
        </w:rPr>
        <w:t xml:space="preserve"> hernieuwbare</w:t>
      </w:r>
      <w:r w:rsidRPr="0014478B">
        <w:rPr>
          <w:rFonts w:ascii="Verdana" w:hAnsi="Verdana" w:cstheme="minorHAnsi"/>
          <w:sz w:val="18"/>
        </w:rPr>
        <w:t xml:space="preserve"> elektriciteit een redelijke vergoeding</w:t>
      </w:r>
      <w:r w:rsidRPr="0014478B" w:rsidR="0004664D">
        <w:rPr>
          <w:rFonts w:ascii="Verdana" w:hAnsi="Verdana" w:cstheme="minorHAnsi"/>
          <w:sz w:val="18"/>
        </w:rPr>
        <w:t xml:space="preserve"> van de marktdeelnemer aan wie zij terugleveren</w:t>
      </w:r>
      <w:r w:rsidRPr="0014478B">
        <w:rPr>
          <w:rFonts w:ascii="Verdana" w:hAnsi="Verdana" w:cstheme="minorHAnsi"/>
          <w:sz w:val="18"/>
        </w:rPr>
        <w:t xml:space="preserve">. </w:t>
      </w:r>
      <w:r w:rsidRPr="0014478B" w:rsidR="00477625">
        <w:rPr>
          <w:rFonts w:ascii="Verdana" w:hAnsi="Verdana" w:cstheme="minorHAnsi"/>
          <w:sz w:val="18"/>
        </w:rPr>
        <w:t>Deze toelichting wordt uitgebracht door de Minister van Klimaat en Groene Groei (hierna: de Minister), mede namens de Staatssecretaris van Fiscaliteit en Belastingdienst.</w:t>
      </w:r>
    </w:p>
    <w:p w:rsidRPr="0014478B" w:rsidR="00CD7A9A" w:rsidP="00CD7A9A" w:rsidRDefault="00CD7A9A" w14:paraId="272738E7" w14:textId="77777777">
      <w:pPr>
        <w:spacing w:after="0" w:line="240" w:lineRule="atLeast"/>
        <w:rPr>
          <w:rFonts w:ascii="Verdana" w:hAnsi="Verdana" w:cstheme="minorHAnsi"/>
          <w:sz w:val="18"/>
        </w:rPr>
      </w:pPr>
    </w:p>
    <w:p w:rsidRPr="0014478B" w:rsidR="0045414A" w:rsidP="00E435CE" w:rsidRDefault="00296EAA" w14:paraId="32773C2A" w14:textId="77777777">
      <w:pPr>
        <w:spacing w:after="0" w:line="240" w:lineRule="atLeast"/>
        <w:rPr>
          <w:rFonts w:ascii="Verdana" w:hAnsi="Verdana" w:cstheme="minorHAnsi"/>
          <w:sz w:val="18"/>
        </w:rPr>
      </w:pPr>
      <w:r w:rsidRPr="0014478B">
        <w:rPr>
          <w:rFonts w:ascii="Verdana" w:hAnsi="Verdana" w:cstheme="minorHAnsi"/>
          <w:sz w:val="18"/>
        </w:rPr>
        <w:t>Het beëindigen van de salderingsregeling is een maatregel</w:t>
      </w:r>
      <w:r w:rsidRPr="0014478B" w:rsidR="00E62D8F">
        <w:rPr>
          <w:rFonts w:ascii="Verdana" w:hAnsi="Verdana" w:cstheme="minorHAnsi"/>
          <w:sz w:val="18"/>
        </w:rPr>
        <w:t xml:space="preserve"> die </w:t>
      </w:r>
      <w:r w:rsidRPr="0014478B" w:rsidR="003818DC">
        <w:rPr>
          <w:rFonts w:ascii="Verdana" w:hAnsi="Verdana" w:cstheme="minorHAnsi"/>
          <w:sz w:val="18"/>
        </w:rPr>
        <w:t xml:space="preserve">zorgt voor een efficiënter en eerlijker </w:t>
      </w:r>
      <w:r w:rsidRPr="0014478B" w:rsidR="00BD5055">
        <w:rPr>
          <w:rFonts w:ascii="Verdana" w:hAnsi="Verdana" w:cstheme="minorHAnsi"/>
          <w:sz w:val="18"/>
        </w:rPr>
        <w:t>gebruik van het energiesysteem.</w:t>
      </w:r>
    </w:p>
    <w:p w:rsidRPr="0014478B" w:rsidR="00FE4C47" w:rsidP="00CD7A9A" w:rsidRDefault="0045414A" w14:paraId="10DD1144" w14:textId="3508CEF9">
      <w:pPr>
        <w:spacing w:after="0" w:line="240" w:lineRule="atLeast"/>
        <w:rPr>
          <w:rFonts w:ascii="Verdana" w:hAnsi="Verdana" w:cstheme="minorHAnsi"/>
          <w:sz w:val="18"/>
        </w:rPr>
      </w:pPr>
      <w:r w:rsidRPr="0014478B">
        <w:rPr>
          <w:rFonts w:ascii="Verdana" w:hAnsi="Verdana" w:cstheme="minorHAnsi"/>
          <w:sz w:val="18"/>
        </w:rPr>
        <w:t>Huishoudens en bedrijven maken in hoog tempo de overstap van fossiele brandstoffen naar elektriciteit, die op steeds grotere schaal duurzaam en decentraal wordt opgewekt. De vraag naar transport van elektriciteit stijgt sneller dan de netbeheerders kunnen bijbouwen. Dit legt grote druk op het energiesysteem</w:t>
      </w:r>
      <w:r w:rsidRPr="0014478B" w:rsidR="00FD7C6A">
        <w:rPr>
          <w:rFonts w:ascii="Verdana" w:hAnsi="Verdana" w:cstheme="minorHAnsi"/>
          <w:sz w:val="18"/>
        </w:rPr>
        <w:t>. In grote delen van Nederland is het elektriciteitsnet momenteel helaas nu al zo vol dat grootverbruikers daar de komende jaren zonder aanvullende maatregelen geen nieuwe of zwaardere aansluitingen kunnen krijgen</w:t>
      </w:r>
      <w:r w:rsidRPr="0014478B" w:rsidR="00650446">
        <w:rPr>
          <w:rStyle w:val="Voetnootmarkering"/>
          <w:rFonts w:ascii="Verdana" w:hAnsi="Verdana" w:cstheme="minorHAnsi"/>
          <w:sz w:val="18"/>
        </w:rPr>
        <w:footnoteReference w:id="6"/>
      </w:r>
      <w:r w:rsidRPr="0014478B" w:rsidR="00FD7C6A">
        <w:rPr>
          <w:rFonts w:ascii="Verdana" w:hAnsi="Verdana" w:cstheme="minorHAnsi"/>
          <w:sz w:val="18"/>
        </w:rPr>
        <w:t>. Ook kan dit</w:t>
      </w:r>
      <w:r w:rsidRPr="0014478B" w:rsidR="00DD2724">
        <w:rPr>
          <w:rFonts w:ascii="Verdana" w:hAnsi="Verdana" w:cstheme="minorHAnsi"/>
          <w:sz w:val="18"/>
        </w:rPr>
        <w:t xml:space="preserve"> leiden tot netcongestie</w:t>
      </w:r>
      <w:r w:rsidRPr="0014478B" w:rsidR="00A46966">
        <w:rPr>
          <w:rFonts w:ascii="Verdana" w:hAnsi="Verdana" w:cstheme="minorHAnsi"/>
          <w:sz w:val="18"/>
        </w:rPr>
        <w:t>, waar honderdduizenden huishoudens de gevolgen van kunnen ondervinden indien er geen maatregelen worden genomen.</w:t>
      </w:r>
      <w:r w:rsidRPr="0014478B" w:rsidR="001A68FD">
        <w:rPr>
          <w:rFonts w:ascii="Verdana" w:hAnsi="Verdana" w:cstheme="minorHAnsi"/>
          <w:sz w:val="18"/>
        </w:rPr>
        <w:br/>
      </w:r>
      <w:r w:rsidRPr="0014478B" w:rsidR="001F04F0">
        <w:rPr>
          <w:rFonts w:ascii="Verdana" w:hAnsi="Verdana" w:cstheme="minorHAnsi"/>
          <w:sz w:val="18"/>
        </w:rPr>
        <w:t xml:space="preserve">Voor actieve afnemers </w:t>
      </w:r>
      <w:r w:rsidRPr="0014478B" w:rsidR="00693775">
        <w:rPr>
          <w:rFonts w:ascii="Verdana" w:hAnsi="Verdana" w:cstheme="minorHAnsi"/>
          <w:sz w:val="18"/>
        </w:rPr>
        <w:t xml:space="preserve">loont het </w:t>
      </w:r>
      <w:r w:rsidRPr="0014478B" w:rsidR="001F04F0">
        <w:rPr>
          <w:rFonts w:ascii="Verdana" w:hAnsi="Verdana" w:cstheme="minorHAnsi"/>
          <w:sz w:val="18"/>
        </w:rPr>
        <w:t>m</w:t>
      </w:r>
      <w:r w:rsidRPr="0014478B" w:rsidR="007F02AC">
        <w:rPr>
          <w:rFonts w:ascii="Verdana" w:hAnsi="Verdana" w:cstheme="minorHAnsi"/>
          <w:sz w:val="18"/>
        </w:rPr>
        <w:t xml:space="preserve">et het beëindigen van de salderingsregeling </w:t>
      </w:r>
      <w:r w:rsidRPr="0014478B" w:rsidR="00C632BC">
        <w:rPr>
          <w:rFonts w:ascii="Verdana" w:hAnsi="Verdana" w:cstheme="minorHAnsi"/>
          <w:sz w:val="18"/>
        </w:rPr>
        <w:t xml:space="preserve">financieel </w:t>
      </w:r>
      <w:r w:rsidRPr="0014478B" w:rsidR="007F02AC">
        <w:rPr>
          <w:rFonts w:ascii="Verdana" w:hAnsi="Verdana" w:cstheme="minorHAnsi"/>
          <w:sz w:val="18"/>
        </w:rPr>
        <w:t xml:space="preserve">om efficiënt om te gaan met zelfopgewekte hernieuwbare elektriciteit en dit zoveel mogelijk </w:t>
      </w:r>
      <w:r w:rsidRPr="0014478B" w:rsidR="005030CB">
        <w:rPr>
          <w:rFonts w:ascii="Verdana" w:hAnsi="Verdana" w:cstheme="minorHAnsi"/>
          <w:sz w:val="18"/>
        </w:rPr>
        <w:t xml:space="preserve">gelijktijdig </w:t>
      </w:r>
      <w:r w:rsidRPr="0014478B" w:rsidR="008328FB">
        <w:rPr>
          <w:rFonts w:ascii="Verdana" w:hAnsi="Verdana" w:cstheme="minorHAnsi"/>
          <w:sz w:val="18"/>
        </w:rPr>
        <w:t xml:space="preserve">zelf </w:t>
      </w:r>
      <w:r w:rsidRPr="0014478B" w:rsidR="005030CB">
        <w:rPr>
          <w:rFonts w:ascii="Verdana" w:hAnsi="Verdana" w:cstheme="minorHAnsi"/>
          <w:sz w:val="18"/>
        </w:rPr>
        <w:t xml:space="preserve">te verbruiken (verbruik </w:t>
      </w:r>
      <w:r w:rsidRPr="0014478B" w:rsidR="00C859D7">
        <w:rPr>
          <w:rFonts w:ascii="Verdana" w:hAnsi="Verdana" w:cstheme="minorHAnsi"/>
          <w:sz w:val="18"/>
        </w:rPr>
        <w:t>‘</w:t>
      </w:r>
      <w:r w:rsidRPr="0014478B" w:rsidR="005030CB">
        <w:rPr>
          <w:rFonts w:ascii="Verdana" w:hAnsi="Verdana" w:cstheme="minorHAnsi"/>
          <w:sz w:val="18"/>
        </w:rPr>
        <w:t xml:space="preserve">achter de meter’) </w:t>
      </w:r>
      <w:r w:rsidRPr="0014478B" w:rsidR="007F02AC">
        <w:rPr>
          <w:rFonts w:ascii="Verdana" w:hAnsi="Verdana" w:cstheme="minorHAnsi"/>
          <w:sz w:val="18"/>
        </w:rPr>
        <w:t xml:space="preserve">in plaats van </w:t>
      </w:r>
      <w:r w:rsidRPr="0014478B" w:rsidR="00412B83">
        <w:rPr>
          <w:rFonts w:ascii="Verdana" w:hAnsi="Verdana" w:cstheme="minorHAnsi"/>
          <w:sz w:val="18"/>
        </w:rPr>
        <w:t xml:space="preserve">deze </w:t>
      </w:r>
      <w:r w:rsidRPr="0014478B" w:rsidR="007F02AC">
        <w:rPr>
          <w:rFonts w:ascii="Verdana" w:hAnsi="Verdana" w:cstheme="minorHAnsi"/>
          <w:sz w:val="18"/>
        </w:rPr>
        <w:t>in te voeden op het systeem.</w:t>
      </w:r>
      <w:r w:rsidRPr="0014478B" w:rsidR="0068232E">
        <w:rPr>
          <w:rFonts w:ascii="Verdana" w:hAnsi="Verdana" w:cstheme="minorHAnsi"/>
          <w:sz w:val="18"/>
        </w:rPr>
        <w:t xml:space="preserve"> </w:t>
      </w:r>
      <w:r w:rsidRPr="0014478B" w:rsidR="00CC5CB4">
        <w:rPr>
          <w:rFonts w:ascii="Verdana" w:hAnsi="Verdana" w:cstheme="minorHAnsi"/>
          <w:sz w:val="18"/>
        </w:rPr>
        <w:t>Momenteel neemt d</w:t>
      </w:r>
      <w:r w:rsidRPr="0014478B" w:rsidR="00DA0670">
        <w:rPr>
          <w:rFonts w:ascii="Verdana" w:hAnsi="Verdana" w:cstheme="minorHAnsi"/>
          <w:sz w:val="18"/>
        </w:rPr>
        <w:t>e salderingsregeling de</w:t>
      </w:r>
      <w:r w:rsidRPr="0014478B" w:rsidR="00DD782A">
        <w:rPr>
          <w:rFonts w:ascii="Verdana" w:hAnsi="Verdana" w:cstheme="minorHAnsi"/>
          <w:sz w:val="18"/>
        </w:rPr>
        <w:t>ze</w:t>
      </w:r>
      <w:r w:rsidRPr="0014478B" w:rsidR="00DA0670">
        <w:rPr>
          <w:rFonts w:ascii="Verdana" w:hAnsi="Verdana" w:cstheme="minorHAnsi"/>
          <w:sz w:val="18"/>
        </w:rPr>
        <w:t xml:space="preserve"> prikkel</w:t>
      </w:r>
      <w:r w:rsidRPr="0014478B" w:rsidR="0078253A">
        <w:rPr>
          <w:rFonts w:ascii="Verdana" w:hAnsi="Verdana" w:cstheme="minorHAnsi"/>
          <w:sz w:val="18"/>
        </w:rPr>
        <w:t xml:space="preserve"> weg</w:t>
      </w:r>
      <w:r w:rsidRPr="0014478B" w:rsidR="00FF25BC">
        <w:rPr>
          <w:rFonts w:ascii="Verdana" w:hAnsi="Verdana" w:cstheme="minorHAnsi"/>
          <w:sz w:val="18"/>
        </w:rPr>
        <w:t>, wat</w:t>
      </w:r>
      <w:r w:rsidRPr="0014478B" w:rsidR="00DA0670">
        <w:rPr>
          <w:rFonts w:ascii="Verdana" w:hAnsi="Verdana" w:cstheme="minorHAnsi"/>
          <w:sz w:val="18"/>
        </w:rPr>
        <w:t xml:space="preserve"> </w:t>
      </w:r>
      <w:r w:rsidRPr="0014478B" w:rsidR="00FF25BC">
        <w:rPr>
          <w:rFonts w:ascii="Verdana" w:hAnsi="Verdana" w:cstheme="minorHAnsi"/>
          <w:sz w:val="18"/>
        </w:rPr>
        <w:t>bij</w:t>
      </w:r>
      <w:r w:rsidRPr="0014478B" w:rsidR="00DA0670">
        <w:rPr>
          <w:rFonts w:ascii="Verdana" w:hAnsi="Verdana" w:cstheme="minorHAnsi"/>
          <w:sz w:val="18"/>
        </w:rPr>
        <w:t>draagt aan het ontstaan van netcongestie</w:t>
      </w:r>
      <w:r w:rsidRPr="0014478B" w:rsidR="00827413">
        <w:rPr>
          <w:rFonts w:ascii="Verdana" w:hAnsi="Verdana" w:cstheme="minorHAnsi"/>
          <w:sz w:val="18"/>
        </w:rPr>
        <w:t xml:space="preserve"> op het laagspanningsnet</w:t>
      </w:r>
      <w:r w:rsidRPr="0014478B" w:rsidR="00DA0670">
        <w:rPr>
          <w:rFonts w:ascii="Verdana" w:hAnsi="Verdana" w:cstheme="minorHAnsi"/>
          <w:sz w:val="18"/>
        </w:rPr>
        <w:t>.</w:t>
      </w:r>
      <w:r w:rsidRPr="0014478B" w:rsidR="008C549C">
        <w:rPr>
          <w:rFonts w:ascii="Verdana" w:hAnsi="Verdana" w:cstheme="minorHAnsi"/>
          <w:sz w:val="18"/>
        </w:rPr>
        <w:t xml:space="preserve"> </w:t>
      </w:r>
      <w:r w:rsidRPr="0014478B" w:rsidR="00DA0670">
        <w:rPr>
          <w:rFonts w:ascii="Verdana" w:hAnsi="Verdana" w:cstheme="minorHAnsi"/>
          <w:sz w:val="18"/>
        </w:rPr>
        <w:t>D</w:t>
      </w:r>
      <w:r w:rsidRPr="0014478B" w:rsidR="00FF25BC">
        <w:rPr>
          <w:rFonts w:ascii="Verdana" w:hAnsi="Verdana" w:cstheme="minorHAnsi"/>
          <w:sz w:val="18"/>
        </w:rPr>
        <w:t>e beëindiging van de salderingsregeling</w:t>
      </w:r>
      <w:r w:rsidRPr="0014478B" w:rsidR="00DA0670">
        <w:rPr>
          <w:rFonts w:ascii="Verdana" w:hAnsi="Verdana" w:cstheme="minorHAnsi"/>
          <w:sz w:val="18"/>
        </w:rPr>
        <w:t xml:space="preserve"> vermindert </w:t>
      </w:r>
      <w:r w:rsidRPr="0014478B" w:rsidR="002531BF">
        <w:rPr>
          <w:rFonts w:ascii="Verdana" w:hAnsi="Verdana" w:cstheme="minorHAnsi"/>
          <w:sz w:val="18"/>
        </w:rPr>
        <w:t xml:space="preserve">dus </w:t>
      </w:r>
      <w:r w:rsidRPr="0014478B" w:rsidR="00DA0670">
        <w:rPr>
          <w:rFonts w:ascii="Verdana" w:hAnsi="Verdana" w:cstheme="minorHAnsi"/>
          <w:sz w:val="18"/>
        </w:rPr>
        <w:t>de belasting van het elektriciteitsnet en daarmee het risico op</w:t>
      </w:r>
      <w:r w:rsidRPr="0014478B" w:rsidR="00387603">
        <w:rPr>
          <w:rFonts w:ascii="Verdana" w:hAnsi="Verdana" w:cstheme="minorHAnsi"/>
          <w:sz w:val="18"/>
        </w:rPr>
        <w:t xml:space="preserve"> extra</w:t>
      </w:r>
      <w:r w:rsidRPr="0014478B" w:rsidR="00DA0670">
        <w:rPr>
          <w:rFonts w:ascii="Verdana" w:hAnsi="Verdana" w:cstheme="minorHAnsi"/>
          <w:sz w:val="18"/>
        </w:rPr>
        <w:t xml:space="preserve"> netcongestie</w:t>
      </w:r>
      <w:r w:rsidRPr="0014478B" w:rsidR="00DD2724">
        <w:rPr>
          <w:rFonts w:ascii="Verdana" w:hAnsi="Verdana" w:cstheme="minorHAnsi"/>
          <w:sz w:val="18"/>
        </w:rPr>
        <w:t>.</w:t>
      </w:r>
    </w:p>
    <w:p w:rsidRPr="0014478B" w:rsidR="00CD7A9A" w:rsidP="00CD7A9A" w:rsidRDefault="00CD7A9A" w14:paraId="7CF68808" w14:textId="77777777">
      <w:pPr>
        <w:spacing w:after="0" w:line="240" w:lineRule="atLeast"/>
        <w:rPr>
          <w:rFonts w:ascii="Verdana" w:hAnsi="Verdana" w:cstheme="minorHAnsi"/>
          <w:sz w:val="18"/>
        </w:rPr>
      </w:pPr>
    </w:p>
    <w:p w:rsidRPr="0014478B" w:rsidR="00EA213D" w:rsidP="00CD7A9A" w:rsidRDefault="0049427B" w14:paraId="3E310714" w14:textId="51626D0E">
      <w:pPr>
        <w:spacing w:after="0" w:line="240" w:lineRule="atLeast"/>
        <w:rPr>
          <w:rFonts w:ascii="Verdana" w:hAnsi="Verdana" w:cstheme="minorHAnsi"/>
          <w:sz w:val="18"/>
        </w:rPr>
      </w:pPr>
      <w:r w:rsidRPr="0014478B">
        <w:rPr>
          <w:rFonts w:ascii="Verdana" w:hAnsi="Verdana" w:cstheme="minorHAnsi"/>
          <w:sz w:val="18"/>
        </w:rPr>
        <w:t xml:space="preserve">Daarnaast brengt de salderingsregeling een aanzienlijke </w:t>
      </w:r>
      <w:r w:rsidRPr="0014478B" w:rsidR="00164613">
        <w:rPr>
          <w:rFonts w:ascii="Verdana" w:hAnsi="Verdana" w:cstheme="minorHAnsi"/>
          <w:sz w:val="18"/>
        </w:rPr>
        <w:t xml:space="preserve">en stijgende rekening </w:t>
      </w:r>
      <w:r w:rsidRPr="0014478B">
        <w:rPr>
          <w:rFonts w:ascii="Verdana" w:hAnsi="Verdana" w:cstheme="minorHAnsi"/>
          <w:sz w:val="18"/>
        </w:rPr>
        <w:t>met zich mee</w:t>
      </w:r>
      <w:r w:rsidRPr="0014478B" w:rsidR="00463516">
        <w:rPr>
          <w:rFonts w:ascii="Verdana" w:hAnsi="Verdana" w:cstheme="minorHAnsi"/>
          <w:sz w:val="18"/>
        </w:rPr>
        <w:t xml:space="preserve"> voor de schatkist</w:t>
      </w:r>
      <w:r w:rsidRPr="0014478B" w:rsidR="00471C29">
        <w:rPr>
          <w:rFonts w:ascii="Verdana" w:hAnsi="Verdana" w:cstheme="minorHAnsi"/>
          <w:sz w:val="18"/>
        </w:rPr>
        <w:t xml:space="preserve"> die door alle belastingbetalers gedragen moet worden</w:t>
      </w:r>
      <w:r w:rsidRPr="0014478B" w:rsidR="00463516">
        <w:rPr>
          <w:rFonts w:ascii="Verdana" w:hAnsi="Verdana" w:cstheme="minorHAnsi"/>
          <w:sz w:val="18"/>
        </w:rPr>
        <w:t xml:space="preserve">. </w:t>
      </w:r>
      <w:r w:rsidRPr="0014478B" w:rsidR="00992A95">
        <w:rPr>
          <w:rFonts w:ascii="Verdana" w:hAnsi="Verdana" w:cstheme="minorHAnsi"/>
          <w:sz w:val="18"/>
        </w:rPr>
        <w:t xml:space="preserve">Bij </w:t>
      </w:r>
      <w:r w:rsidRPr="0014478B" w:rsidR="008C49F8">
        <w:rPr>
          <w:rFonts w:ascii="Verdana" w:hAnsi="Verdana" w:cstheme="minorHAnsi"/>
          <w:sz w:val="18"/>
        </w:rPr>
        <w:t xml:space="preserve">handhaving van de salderingsregeling </w:t>
      </w:r>
      <w:r w:rsidRPr="0014478B" w:rsidR="007559B1">
        <w:rPr>
          <w:rFonts w:ascii="Verdana" w:hAnsi="Verdana" w:cstheme="minorHAnsi"/>
          <w:sz w:val="18"/>
        </w:rPr>
        <w:t xml:space="preserve">is </w:t>
      </w:r>
      <w:r w:rsidRPr="0014478B" w:rsidR="00383C1E">
        <w:rPr>
          <w:rFonts w:ascii="Verdana" w:hAnsi="Verdana" w:cstheme="minorHAnsi"/>
          <w:sz w:val="18"/>
        </w:rPr>
        <w:t xml:space="preserve">er sprake van </w:t>
      </w:r>
      <w:r w:rsidRPr="0014478B" w:rsidR="00286382">
        <w:rPr>
          <w:rFonts w:ascii="Verdana" w:hAnsi="Verdana" w:cstheme="minorHAnsi"/>
          <w:sz w:val="18"/>
        </w:rPr>
        <w:t xml:space="preserve">een belastingderving </w:t>
      </w:r>
      <w:r w:rsidRPr="0014478B" w:rsidR="00A602E4">
        <w:rPr>
          <w:rFonts w:ascii="Verdana" w:hAnsi="Verdana" w:cstheme="minorHAnsi"/>
          <w:sz w:val="18"/>
        </w:rPr>
        <w:t>van €574 miljoen</w:t>
      </w:r>
      <w:r w:rsidRPr="0014478B" w:rsidR="005C5A81">
        <w:rPr>
          <w:rFonts w:ascii="Verdana" w:hAnsi="Verdana" w:cstheme="minorHAnsi"/>
          <w:sz w:val="18"/>
        </w:rPr>
        <w:t xml:space="preserve"> </w:t>
      </w:r>
      <w:r w:rsidRPr="0014478B" w:rsidR="00286382">
        <w:rPr>
          <w:rFonts w:ascii="Verdana" w:hAnsi="Verdana" w:cstheme="minorHAnsi"/>
          <w:sz w:val="18"/>
        </w:rPr>
        <w:t>in 2027,</w:t>
      </w:r>
      <w:r w:rsidRPr="0014478B" w:rsidR="00A602E4">
        <w:rPr>
          <w:rFonts w:ascii="Verdana" w:hAnsi="Verdana" w:cstheme="minorHAnsi"/>
          <w:sz w:val="18"/>
        </w:rPr>
        <w:t xml:space="preserve"> </w:t>
      </w:r>
      <w:r w:rsidRPr="0014478B" w:rsidR="00854E07">
        <w:rPr>
          <w:rFonts w:ascii="Verdana" w:hAnsi="Verdana" w:cstheme="minorHAnsi"/>
          <w:sz w:val="18"/>
        </w:rPr>
        <w:t xml:space="preserve">dat </w:t>
      </w:r>
      <w:r w:rsidRPr="0014478B" w:rsidR="00286382">
        <w:rPr>
          <w:rFonts w:ascii="Verdana" w:hAnsi="Verdana" w:cstheme="minorHAnsi"/>
          <w:sz w:val="18"/>
        </w:rPr>
        <w:t>oploopt</w:t>
      </w:r>
      <w:r w:rsidRPr="0014478B" w:rsidR="00854E07">
        <w:rPr>
          <w:rFonts w:ascii="Verdana" w:hAnsi="Verdana" w:cstheme="minorHAnsi"/>
          <w:sz w:val="18"/>
        </w:rPr>
        <w:t xml:space="preserve"> tot structureel €665 miljoen</w:t>
      </w:r>
      <w:r w:rsidRPr="0014478B" w:rsidR="005C5A81">
        <w:rPr>
          <w:rFonts w:ascii="Verdana" w:hAnsi="Verdana" w:cstheme="minorHAnsi"/>
          <w:sz w:val="18"/>
        </w:rPr>
        <w:t>.</w:t>
      </w:r>
      <w:r w:rsidRPr="0014478B" w:rsidR="00854E07">
        <w:rPr>
          <w:rFonts w:ascii="Verdana" w:hAnsi="Verdana" w:cstheme="minorHAnsi"/>
          <w:sz w:val="18"/>
        </w:rPr>
        <w:t xml:space="preserve"> </w:t>
      </w:r>
      <w:r w:rsidRPr="0014478B" w:rsidR="00FC36BD">
        <w:rPr>
          <w:rFonts w:ascii="Verdana" w:hAnsi="Verdana" w:cstheme="minorHAnsi"/>
          <w:sz w:val="18"/>
        </w:rPr>
        <w:t xml:space="preserve">Met </w:t>
      </w:r>
      <w:r w:rsidRPr="0014478B" w:rsidR="00FE4C47">
        <w:rPr>
          <w:rFonts w:ascii="Verdana" w:hAnsi="Verdana" w:cstheme="minorHAnsi"/>
          <w:sz w:val="18"/>
        </w:rPr>
        <w:t>de in</w:t>
      </w:r>
      <w:r w:rsidRPr="0014478B" w:rsidR="00FC36BD">
        <w:rPr>
          <w:rFonts w:ascii="Verdana" w:hAnsi="Verdana" w:cstheme="minorHAnsi"/>
          <w:sz w:val="18"/>
        </w:rPr>
        <w:t xml:space="preserve"> dit wetsvoorstel </w:t>
      </w:r>
      <w:r w:rsidRPr="0014478B" w:rsidR="00FE4C47">
        <w:rPr>
          <w:rFonts w:ascii="Verdana" w:hAnsi="Verdana" w:cstheme="minorHAnsi"/>
          <w:sz w:val="18"/>
        </w:rPr>
        <w:t>voorziene beëindiging van de salderingsregeling</w:t>
      </w:r>
      <w:r w:rsidRPr="0014478B" w:rsidR="00FC36BD">
        <w:rPr>
          <w:rFonts w:ascii="Verdana" w:hAnsi="Verdana" w:cstheme="minorHAnsi"/>
          <w:sz w:val="18"/>
        </w:rPr>
        <w:t xml:space="preserve"> </w:t>
      </w:r>
      <w:r w:rsidRPr="0014478B" w:rsidR="007F3891">
        <w:rPr>
          <w:rFonts w:ascii="Verdana" w:hAnsi="Verdana" w:cstheme="minorHAnsi"/>
          <w:sz w:val="18"/>
        </w:rPr>
        <w:t xml:space="preserve">wordt </w:t>
      </w:r>
      <w:r w:rsidRPr="0014478B" w:rsidR="00FC36BD">
        <w:rPr>
          <w:rFonts w:ascii="Verdana" w:hAnsi="Verdana" w:cstheme="minorHAnsi"/>
          <w:sz w:val="18"/>
        </w:rPr>
        <w:t xml:space="preserve">deze derving vanaf 2027 </w:t>
      </w:r>
      <w:r w:rsidRPr="0014478B" w:rsidR="0091129A">
        <w:rPr>
          <w:rFonts w:ascii="Verdana" w:hAnsi="Verdana" w:cstheme="minorHAnsi"/>
          <w:sz w:val="18"/>
        </w:rPr>
        <w:t>voorkomen</w:t>
      </w:r>
      <w:r w:rsidRPr="0014478B" w:rsidR="00FC36BD">
        <w:rPr>
          <w:rFonts w:ascii="Verdana" w:hAnsi="Verdana" w:cstheme="minorHAnsi"/>
          <w:sz w:val="18"/>
        </w:rPr>
        <w:t>.</w:t>
      </w:r>
      <w:r w:rsidRPr="0014478B" w:rsidR="005A27CA">
        <w:rPr>
          <w:rFonts w:ascii="Verdana" w:hAnsi="Verdana" w:cstheme="minorHAnsi"/>
          <w:sz w:val="18"/>
        </w:rPr>
        <w:t xml:space="preserve"> </w:t>
      </w:r>
    </w:p>
    <w:p w:rsidRPr="0014478B" w:rsidR="00CD7A9A" w:rsidP="00CD7A9A" w:rsidRDefault="00CD7A9A" w14:paraId="206E6DD2" w14:textId="77777777">
      <w:pPr>
        <w:spacing w:after="0" w:line="240" w:lineRule="atLeast"/>
        <w:rPr>
          <w:rFonts w:ascii="Verdana" w:hAnsi="Verdana" w:cstheme="minorHAnsi"/>
          <w:sz w:val="18"/>
        </w:rPr>
      </w:pPr>
    </w:p>
    <w:p w:rsidRPr="0014478B" w:rsidR="002A2ECD" w:rsidP="00CD7A9A" w:rsidRDefault="002D537B" w14:paraId="7056FD37" w14:textId="432CC4B3">
      <w:pPr>
        <w:spacing w:after="0" w:line="240" w:lineRule="atLeast"/>
        <w:rPr>
          <w:rFonts w:ascii="Verdana" w:hAnsi="Verdana" w:cstheme="minorHAnsi"/>
          <w:sz w:val="18"/>
        </w:rPr>
      </w:pPr>
      <w:r w:rsidRPr="0014478B">
        <w:rPr>
          <w:rFonts w:ascii="Verdana" w:hAnsi="Verdana" w:cstheme="minorHAnsi"/>
          <w:sz w:val="18"/>
        </w:rPr>
        <w:t xml:space="preserve">Met dit wetsvoorstel wordt invulling gegeven aan </w:t>
      </w:r>
      <w:r w:rsidRPr="0014478B" w:rsidR="00A324CA">
        <w:rPr>
          <w:rFonts w:ascii="Verdana" w:hAnsi="Verdana" w:cstheme="minorHAnsi"/>
          <w:sz w:val="18"/>
        </w:rPr>
        <w:t>het verzoek</w:t>
      </w:r>
      <w:r w:rsidRPr="0014478B" w:rsidR="00CE55B3">
        <w:rPr>
          <w:rFonts w:ascii="Verdana" w:hAnsi="Verdana" w:cstheme="minorHAnsi"/>
          <w:sz w:val="18"/>
        </w:rPr>
        <w:t xml:space="preserve"> van de Tweede Kamer om </w:t>
      </w:r>
      <w:r w:rsidRPr="0014478B" w:rsidR="00ED1B6B">
        <w:rPr>
          <w:rFonts w:ascii="Verdana" w:hAnsi="Verdana" w:cstheme="minorHAnsi"/>
          <w:sz w:val="18"/>
        </w:rPr>
        <w:t xml:space="preserve">zo snel mogelijk </w:t>
      </w:r>
      <w:r w:rsidRPr="0014478B" w:rsidR="007E15AB">
        <w:rPr>
          <w:rFonts w:ascii="Verdana" w:hAnsi="Verdana" w:cstheme="minorHAnsi"/>
          <w:sz w:val="18"/>
        </w:rPr>
        <w:t xml:space="preserve">een </w:t>
      </w:r>
      <w:r w:rsidRPr="0014478B" w:rsidR="00296846">
        <w:rPr>
          <w:rFonts w:ascii="Verdana" w:hAnsi="Verdana" w:cstheme="minorHAnsi"/>
          <w:sz w:val="18"/>
        </w:rPr>
        <w:t xml:space="preserve">toekomstig </w:t>
      </w:r>
      <w:r w:rsidRPr="0014478B" w:rsidR="007E15AB">
        <w:rPr>
          <w:rFonts w:ascii="Verdana" w:hAnsi="Verdana" w:cstheme="minorHAnsi"/>
          <w:sz w:val="18"/>
        </w:rPr>
        <w:t xml:space="preserve">kader te bieden </w:t>
      </w:r>
      <w:r w:rsidRPr="0014478B" w:rsidR="009B2C5E">
        <w:rPr>
          <w:rFonts w:ascii="Verdana" w:hAnsi="Verdana" w:cstheme="minorHAnsi"/>
          <w:sz w:val="18"/>
        </w:rPr>
        <w:t>voor het terugleveren van zelfopgewekte hernieuwbare energie, dat</w:t>
      </w:r>
      <w:r w:rsidRPr="0014478B" w:rsidR="007E15AB">
        <w:rPr>
          <w:rFonts w:ascii="Verdana" w:hAnsi="Verdana" w:cstheme="minorHAnsi"/>
          <w:sz w:val="18"/>
        </w:rPr>
        <w:t xml:space="preserve"> duidelijkheid </w:t>
      </w:r>
      <w:r w:rsidRPr="0014478B" w:rsidR="009B2C5E">
        <w:rPr>
          <w:rFonts w:ascii="Verdana" w:hAnsi="Verdana" w:cstheme="minorHAnsi"/>
          <w:sz w:val="18"/>
        </w:rPr>
        <w:t>geeft</w:t>
      </w:r>
      <w:r w:rsidRPr="0014478B" w:rsidR="007E15AB">
        <w:rPr>
          <w:rFonts w:ascii="Verdana" w:hAnsi="Verdana" w:cstheme="minorHAnsi"/>
          <w:sz w:val="18"/>
        </w:rPr>
        <w:t xml:space="preserve"> aan </w:t>
      </w:r>
      <w:r w:rsidRPr="0014478B" w:rsidR="00CF7EC6">
        <w:rPr>
          <w:rFonts w:ascii="Verdana" w:hAnsi="Verdana" w:cstheme="minorHAnsi"/>
          <w:sz w:val="18"/>
        </w:rPr>
        <w:t>consumenten</w:t>
      </w:r>
      <w:r w:rsidRPr="0014478B" w:rsidR="00B937BD">
        <w:rPr>
          <w:rFonts w:ascii="Verdana" w:hAnsi="Verdana" w:cstheme="minorHAnsi"/>
          <w:sz w:val="18"/>
        </w:rPr>
        <w:t xml:space="preserve">, </w:t>
      </w:r>
      <w:r w:rsidRPr="0014478B" w:rsidR="00B72C45">
        <w:rPr>
          <w:rFonts w:ascii="Verdana" w:hAnsi="Verdana" w:cstheme="minorHAnsi"/>
          <w:sz w:val="18"/>
        </w:rPr>
        <w:t>de installatiebranche</w:t>
      </w:r>
      <w:r w:rsidRPr="0014478B" w:rsidR="00401D95">
        <w:rPr>
          <w:rFonts w:ascii="Verdana" w:hAnsi="Verdana" w:cstheme="minorHAnsi"/>
          <w:sz w:val="18"/>
        </w:rPr>
        <w:t xml:space="preserve"> en andere </w:t>
      </w:r>
      <w:r w:rsidRPr="0014478B" w:rsidR="005831D8">
        <w:rPr>
          <w:rFonts w:ascii="Verdana" w:hAnsi="Verdana" w:cstheme="minorHAnsi"/>
          <w:sz w:val="18"/>
        </w:rPr>
        <w:t xml:space="preserve">betrokken </w:t>
      </w:r>
      <w:r w:rsidRPr="0014478B" w:rsidR="00401D95">
        <w:rPr>
          <w:rFonts w:ascii="Verdana" w:hAnsi="Verdana" w:cstheme="minorHAnsi"/>
          <w:sz w:val="18"/>
        </w:rPr>
        <w:t>partijen.</w:t>
      </w:r>
      <w:r w:rsidRPr="0014478B" w:rsidR="00ED1B6B">
        <w:rPr>
          <w:rFonts w:ascii="Verdana" w:hAnsi="Verdana" w:cstheme="minorHAnsi"/>
          <w:sz w:val="18"/>
        </w:rPr>
        <w:t xml:space="preserve"> Het voorstel geeft tevens uitwerking aan de betreffende afspraak uit het </w:t>
      </w:r>
      <w:r w:rsidRPr="0014478B" w:rsidR="001F61CE">
        <w:rPr>
          <w:rFonts w:ascii="Verdana" w:hAnsi="Verdana" w:cstheme="minorHAnsi"/>
          <w:sz w:val="18"/>
        </w:rPr>
        <w:t>H</w:t>
      </w:r>
      <w:r w:rsidRPr="0014478B" w:rsidR="00ED1B6B">
        <w:rPr>
          <w:rFonts w:ascii="Verdana" w:hAnsi="Verdana" w:cstheme="minorHAnsi"/>
          <w:sz w:val="18"/>
        </w:rPr>
        <w:t>oofdlijnenakkoord.</w:t>
      </w:r>
    </w:p>
    <w:p w:rsidRPr="0014478B" w:rsidR="00E90DBA" w:rsidP="00CD7A9A" w:rsidRDefault="00E90DBA" w14:paraId="72D35711" w14:textId="77777777">
      <w:pPr>
        <w:spacing w:after="0" w:line="240" w:lineRule="atLeast"/>
        <w:rPr>
          <w:rFonts w:ascii="Verdana" w:hAnsi="Verdana"/>
          <w:sz w:val="18"/>
        </w:rPr>
      </w:pPr>
    </w:p>
    <w:p w:rsidRPr="0014478B" w:rsidR="00E90DBA" w:rsidP="00CD7A9A" w:rsidRDefault="00E90DBA" w14:paraId="30C018EC" w14:textId="77777777">
      <w:pPr>
        <w:spacing w:after="0" w:line="240" w:lineRule="atLeast"/>
        <w:rPr>
          <w:rFonts w:ascii="Verdana" w:hAnsi="Verdana"/>
          <w:b/>
          <w:bCs/>
          <w:kern w:val="0"/>
          <w:sz w:val="18"/>
          <w:szCs w:val="18"/>
          <w14:ligatures w14:val="none"/>
        </w:rPr>
      </w:pPr>
      <w:r w:rsidRPr="0014478B">
        <w:rPr>
          <w:rFonts w:ascii="Verdana" w:hAnsi="Verdana"/>
          <w:b/>
          <w:bCs/>
          <w:kern w:val="0"/>
          <w:sz w:val="18"/>
          <w:szCs w:val="18"/>
          <w14:ligatures w14:val="none"/>
        </w:rPr>
        <w:t>2. Hoofdlijnen wetsvoorstel</w:t>
      </w:r>
    </w:p>
    <w:p w:rsidRPr="0014478B" w:rsidR="00E90DBA" w:rsidP="00CD7A9A" w:rsidRDefault="00E90DBA" w14:paraId="5488D5F2" w14:textId="77777777">
      <w:pPr>
        <w:spacing w:after="0" w:line="240" w:lineRule="atLeast"/>
        <w:rPr>
          <w:rFonts w:ascii="Verdana" w:hAnsi="Verdana"/>
          <w:sz w:val="18"/>
        </w:rPr>
      </w:pPr>
    </w:p>
    <w:p w:rsidRPr="0014478B" w:rsidR="00E90DBA" w:rsidP="00CD7A9A" w:rsidRDefault="00D75963" w14:paraId="2084984E" w14:textId="355472DA">
      <w:pPr>
        <w:spacing w:after="0" w:line="240" w:lineRule="atLeast"/>
        <w:rPr>
          <w:rFonts w:ascii="Verdana" w:hAnsi="Verdana"/>
          <w:sz w:val="18"/>
        </w:rPr>
      </w:pPr>
      <w:bookmarkStart w:name="_Hlk170888759" w:id="0"/>
      <w:r w:rsidRPr="0014478B">
        <w:rPr>
          <w:rFonts w:ascii="Verdana" w:hAnsi="Verdana"/>
          <w:sz w:val="18"/>
        </w:rPr>
        <w:t>Met</w:t>
      </w:r>
      <w:r w:rsidRPr="0014478B" w:rsidR="00E90DBA">
        <w:rPr>
          <w:rFonts w:ascii="Verdana" w:hAnsi="Verdana"/>
          <w:sz w:val="18"/>
        </w:rPr>
        <w:t xml:space="preserve"> dit wetsvoorstel ontvangt </w:t>
      </w:r>
      <w:r w:rsidRPr="0014478B" w:rsidR="00720F64">
        <w:rPr>
          <w:rFonts w:ascii="Verdana" w:hAnsi="Verdana"/>
          <w:sz w:val="18"/>
        </w:rPr>
        <w:t xml:space="preserve">een actieve </w:t>
      </w:r>
      <w:r w:rsidRPr="0014478B" w:rsidR="00E90DBA">
        <w:rPr>
          <w:rFonts w:ascii="Verdana" w:hAnsi="Verdana"/>
          <w:sz w:val="18"/>
        </w:rPr>
        <w:t xml:space="preserve">afnemer per 1 januari 2027 voor alle </w:t>
      </w:r>
      <w:r w:rsidRPr="0014478B" w:rsidR="005605E3">
        <w:rPr>
          <w:rFonts w:ascii="Verdana" w:hAnsi="Verdana"/>
          <w:sz w:val="18"/>
        </w:rPr>
        <w:t xml:space="preserve">teruggeleverde </w:t>
      </w:r>
      <w:r w:rsidRPr="0014478B" w:rsidR="00E90DBA">
        <w:rPr>
          <w:rFonts w:ascii="Verdana" w:hAnsi="Verdana"/>
          <w:sz w:val="18"/>
        </w:rPr>
        <w:t>hernieuwbare elektriciteit</w:t>
      </w:r>
      <w:r w:rsidRPr="0014478B" w:rsidR="005644EA">
        <w:rPr>
          <w:rFonts w:ascii="Verdana" w:hAnsi="Verdana"/>
          <w:sz w:val="18"/>
        </w:rPr>
        <w:t>, zoals elektriciteit opgewekt met zonnepanelen of uit andere hernieuwbare bronnen,</w:t>
      </w:r>
      <w:r w:rsidRPr="0014478B" w:rsidR="00E90DBA">
        <w:rPr>
          <w:rFonts w:ascii="Verdana" w:hAnsi="Verdana"/>
          <w:sz w:val="18"/>
        </w:rPr>
        <w:t xml:space="preserve"> een redelijke vergoeding</w:t>
      </w:r>
      <w:r w:rsidRPr="0014478B" w:rsidR="0004664D">
        <w:rPr>
          <w:rFonts w:ascii="Verdana" w:hAnsi="Verdana"/>
          <w:sz w:val="18"/>
        </w:rPr>
        <w:t xml:space="preserve"> van de marktdeelnemer aan wi</w:t>
      </w:r>
      <w:r w:rsidRPr="0014478B" w:rsidR="001F61CE">
        <w:rPr>
          <w:rFonts w:ascii="Verdana" w:hAnsi="Verdana"/>
          <w:sz w:val="18"/>
        </w:rPr>
        <w:t>e</w:t>
      </w:r>
      <w:r w:rsidRPr="0014478B" w:rsidR="0004664D">
        <w:rPr>
          <w:rFonts w:ascii="Verdana" w:hAnsi="Verdana"/>
          <w:sz w:val="18"/>
        </w:rPr>
        <w:t xml:space="preserve"> hij teruglevert</w:t>
      </w:r>
      <w:r w:rsidRPr="0014478B" w:rsidR="00E90DBA">
        <w:rPr>
          <w:rFonts w:ascii="Verdana" w:hAnsi="Verdana"/>
          <w:sz w:val="18"/>
        </w:rPr>
        <w:t xml:space="preserve">. </w:t>
      </w:r>
      <w:r w:rsidRPr="0014478B" w:rsidR="003A0342">
        <w:rPr>
          <w:rFonts w:ascii="Verdana" w:hAnsi="Verdana"/>
          <w:sz w:val="18"/>
        </w:rPr>
        <w:t>De salderingsregeling wordt beëindigd.</w:t>
      </w:r>
      <w:r w:rsidRPr="0014478B" w:rsidR="00E90DBA">
        <w:rPr>
          <w:rFonts w:ascii="Verdana" w:hAnsi="Verdana"/>
          <w:sz w:val="18"/>
        </w:rPr>
        <w:t xml:space="preserve"> </w:t>
      </w:r>
    </w:p>
    <w:p w:rsidRPr="0014478B" w:rsidR="009F7875" w:rsidP="00CD7A9A" w:rsidRDefault="009F7875" w14:paraId="6B5A07E9" w14:textId="77777777">
      <w:pPr>
        <w:spacing w:after="0" w:line="240" w:lineRule="atLeast"/>
        <w:rPr>
          <w:rFonts w:ascii="Verdana" w:hAnsi="Verdana"/>
          <w:sz w:val="18"/>
        </w:rPr>
      </w:pPr>
    </w:p>
    <w:p w:rsidRPr="0014478B" w:rsidR="009F7875" w:rsidP="00CD7A9A" w:rsidRDefault="009F7875" w14:paraId="697A649E" w14:textId="0C1920FE">
      <w:pPr>
        <w:spacing w:after="0" w:line="240" w:lineRule="atLeast"/>
        <w:rPr>
          <w:rFonts w:ascii="Verdana" w:hAnsi="Verdana" w:cstheme="minorHAnsi"/>
          <w:i/>
          <w:iCs/>
          <w:sz w:val="18"/>
        </w:rPr>
      </w:pPr>
      <w:r w:rsidRPr="0014478B">
        <w:rPr>
          <w:rFonts w:ascii="Verdana" w:hAnsi="Verdana" w:cstheme="minorHAnsi"/>
          <w:i/>
          <w:iCs/>
          <w:sz w:val="18"/>
        </w:rPr>
        <w:t>Huidige situatie</w:t>
      </w:r>
    </w:p>
    <w:p w:rsidRPr="0014478B" w:rsidR="00596233" w:rsidP="00CD7A9A" w:rsidRDefault="00596233" w14:paraId="684DB466" w14:textId="77777777">
      <w:pPr>
        <w:spacing w:after="0" w:line="240" w:lineRule="atLeast"/>
        <w:rPr>
          <w:rFonts w:ascii="Verdana" w:hAnsi="Verdana" w:cstheme="minorHAnsi"/>
          <w:i/>
          <w:iCs/>
          <w:sz w:val="18"/>
        </w:rPr>
      </w:pPr>
    </w:p>
    <w:p w:rsidRPr="0014478B" w:rsidR="009F7875" w:rsidP="00CD7A9A" w:rsidRDefault="009F7875" w14:paraId="1772ED99" w14:textId="77777777">
      <w:pPr>
        <w:spacing w:after="0" w:line="240" w:lineRule="atLeast"/>
        <w:rPr>
          <w:rFonts w:ascii="Verdana" w:hAnsi="Verdana" w:cstheme="minorHAnsi"/>
          <w:sz w:val="18"/>
        </w:rPr>
      </w:pPr>
      <w:r w:rsidRPr="0014478B">
        <w:rPr>
          <w:rFonts w:ascii="Verdana" w:hAnsi="Verdana" w:cstheme="minorHAnsi"/>
          <w:sz w:val="18"/>
        </w:rPr>
        <w:t>De salderingsregeling is neergelegd in artikel 31c van de Elektriciteitswet 1998, dat is overgenomen in artikel 2.31 van het voorstel voor de Energiewet</w:t>
      </w:r>
      <w:r w:rsidRPr="0014478B">
        <w:rPr>
          <w:rStyle w:val="Voetnootmarkering"/>
          <w:rFonts w:ascii="Verdana" w:hAnsi="Verdana" w:cstheme="minorHAnsi"/>
          <w:sz w:val="18"/>
        </w:rPr>
        <w:footnoteReference w:id="7"/>
      </w:r>
      <w:r w:rsidRPr="0014478B">
        <w:rPr>
          <w:rFonts w:ascii="Verdana" w:hAnsi="Verdana" w:cstheme="minorHAnsi"/>
          <w:sz w:val="18"/>
        </w:rPr>
        <w:t xml:space="preserve">, en artikel 50, tweede lid, van de Wet belastingen op milieugrondslag. De regeling is bedoeld voor een eindafnemer met een kleine aansluiting, die elektriciteit produceert en teruglevert aan zijn eigen leverancier. Deze eindafnemer komt in aanmerking voor salderen als deze geen terugleveringsovereenkomst heeft gesloten met een andere marktdeelnemer dan zijn leverancier en voor zover die elektriciteit niet is gedeeld met een andere eindafnemer. </w:t>
      </w:r>
    </w:p>
    <w:p w:rsidRPr="0014478B" w:rsidR="009F7875" w:rsidP="00CD7A9A" w:rsidRDefault="009F7875" w14:paraId="2F11C526" w14:textId="77777777">
      <w:pPr>
        <w:spacing w:after="0" w:line="240" w:lineRule="atLeast"/>
        <w:rPr>
          <w:rFonts w:ascii="Verdana" w:hAnsi="Verdana" w:cstheme="minorHAnsi"/>
          <w:sz w:val="18"/>
        </w:rPr>
      </w:pPr>
    </w:p>
    <w:p w:rsidRPr="0014478B" w:rsidR="009F7875" w:rsidP="00CD7A9A" w:rsidRDefault="009F7875" w14:paraId="57C50FFB" w14:textId="7CB5A552">
      <w:pPr>
        <w:spacing w:after="0" w:line="240" w:lineRule="atLeast"/>
        <w:rPr>
          <w:rFonts w:ascii="Verdana" w:hAnsi="Verdana" w:cstheme="minorHAnsi"/>
          <w:sz w:val="18"/>
        </w:rPr>
      </w:pPr>
      <w:r w:rsidRPr="0014478B">
        <w:rPr>
          <w:rFonts w:ascii="Verdana" w:hAnsi="Verdana" w:cstheme="minorHAnsi"/>
          <w:sz w:val="18"/>
        </w:rPr>
        <w:t xml:space="preserve">Artikel 2.31, eerste en tweede lid, van het voorstel voor de Energiewet regelt </w:t>
      </w:r>
      <w:r w:rsidRPr="0014478B" w:rsidR="000D11EF">
        <w:rPr>
          <w:rFonts w:ascii="Verdana" w:hAnsi="Verdana" w:cstheme="minorHAnsi"/>
          <w:sz w:val="18"/>
        </w:rPr>
        <w:t xml:space="preserve">thans </w:t>
      </w:r>
      <w:r w:rsidRPr="0014478B">
        <w:rPr>
          <w:rFonts w:ascii="Verdana" w:hAnsi="Verdana" w:cstheme="minorHAnsi"/>
          <w:sz w:val="18"/>
        </w:rPr>
        <w:t xml:space="preserve">dat voor een eindafnemer met een kleine aansluiting die elektriciteit </w:t>
      </w:r>
      <w:r w:rsidRPr="0014478B" w:rsidR="00123E1D">
        <w:rPr>
          <w:rFonts w:ascii="Verdana" w:hAnsi="Verdana" w:cstheme="minorHAnsi"/>
          <w:sz w:val="18"/>
        </w:rPr>
        <w:t>teruglevert</w:t>
      </w:r>
      <w:r w:rsidRPr="0014478B" w:rsidR="00F53C5E">
        <w:rPr>
          <w:rFonts w:ascii="Verdana" w:hAnsi="Verdana" w:cstheme="minorHAnsi"/>
          <w:sz w:val="18"/>
        </w:rPr>
        <w:t xml:space="preserve"> aan zijn leverancier</w:t>
      </w:r>
      <w:r w:rsidRPr="0014478B">
        <w:rPr>
          <w:rFonts w:ascii="Verdana" w:hAnsi="Verdana" w:cstheme="minorHAnsi"/>
          <w:sz w:val="18"/>
        </w:rPr>
        <w:t>, de leverancier het verbruik ten behoeve van de facturering en inning van de leveringskosten berekent door de aan het systeem onttrokken elektriciteit te verminderen met de op het systeem ingevoede elektriciteit. Voor ingevoede hernieuwbare elektriciteit uit hernieuwbare bronnen is hieraan geen grens gesteld</w:t>
      </w:r>
      <w:r w:rsidRPr="0014478B" w:rsidR="0054142A">
        <w:rPr>
          <w:rFonts w:ascii="Verdana" w:hAnsi="Verdana" w:cstheme="minorHAnsi"/>
          <w:sz w:val="18"/>
        </w:rPr>
        <w:t>,</w:t>
      </w:r>
      <w:r w:rsidRPr="0014478B">
        <w:rPr>
          <w:rFonts w:ascii="Verdana" w:hAnsi="Verdana" w:cstheme="minorHAnsi"/>
          <w:sz w:val="18"/>
        </w:rPr>
        <w:t xml:space="preserve"> behalve dat er niet meer elektriciteit gesaldeerd kan worden dan dat aan het systeem is onttrokken. Voor ingevoede elektriciteit uit andere dan hernieuwbare bronnen geldt een maximum van 5000 kWh. Voor de belasting</w:t>
      </w:r>
      <w:r w:rsidRPr="0014478B" w:rsidR="0054142A">
        <w:rPr>
          <w:rFonts w:ascii="Verdana" w:hAnsi="Verdana" w:cstheme="minorHAnsi"/>
          <w:sz w:val="18"/>
        </w:rPr>
        <w:t>heffing</w:t>
      </w:r>
      <w:r w:rsidRPr="0014478B">
        <w:rPr>
          <w:rFonts w:ascii="Verdana" w:hAnsi="Verdana" w:cstheme="minorHAnsi"/>
          <w:sz w:val="18"/>
        </w:rPr>
        <w:t xml:space="preserve"> wordt hierbij aangesloten. Op deze wijze ontvangt de eindafnemer voor de ingevoede elektriciteit </w:t>
      </w:r>
      <w:r w:rsidRPr="0014478B" w:rsidR="0040588B">
        <w:rPr>
          <w:rFonts w:ascii="Verdana" w:hAnsi="Verdana" w:cstheme="minorHAnsi"/>
          <w:sz w:val="18"/>
        </w:rPr>
        <w:t>die wordt gesaldeerd</w:t>
      </w:r>
      <w:r w:rsidRPr="0014478B">
        <w:rPr>
          <w:rFonts w:ascii="Verdana" w:hAnsi="Verdana" w:cstheme="minorHAnsi"/>
          <w:sz w:val="18"/>
        </w:rPr>
        <w:t xml:space="preserve"> hetzelfde tarief (leveringskosten inclusief energiebelasting en btw) als </w:t>
      </w:r>
      <w:r w:rsidRPr="0014478B" w:rsidR="0040588B">
        <w:rPr>
          <w:rFonts w:ascii="Verdana" w:hAnsi="Verdana" w:cstheme="minorHAnsi"/>
          <w:sz w:val="18"/>
        </w:rPr>
        <w:t xml:space="preserve">hij op grond van de leveringsovereenkomst </w:t>
      </w:r>
      <w:r w:rsidRPr="0014478B">
        <w:rPr>
          <w:rFonts w:ascii="Verdana" w:hAnsi="Verdana" w:cstheme="minorHAnsi"/>
          <w:sz w:val="18"/>
        </w:rPr>
        <w:t>voor de onttrokken elektriciteit</w:t>
      </w:r>
      <w:r w:rsidRPr="0014478B" w:rsidR="00A15CCB">
        <w:rPr>
          <w:rFonts w:ascii="Verdana" w:hAnsi="Verdana" w:cstheme="minorHAnsi"/>
          <w:sz w:val="18"/>
        </w:rPr>
        <w:t xml:space="preserve"> moet betalen</w:t>
      </w:r>
      <w:r w:rsidRPr="0014478B">
        <w:rPr>
          <w:rFonts w:ascii="Verdana" w:hAnsi="Verdana" w:cstheme="minorHAnsi"/>
          <w:sz w:val="18"/>
        </w:rPr>
        <w:t xml:space="preserve">. In 2024 is er met de huidige wetgeving dus </w:t>
      </w:r>
      <w:r w:rsidRPr="0014478B" w:rsidR="00A15CCB">
        <w:rPr>
          <w:rFonts w:ascii="Verdana" w:hAnsi="Verdana" w:cstheme="minorHAnsi"/>
          <w:sz w:val="18"/>
        </w:rPr>
        <w:t xml:space="preserve">bovendien </w:t>
      </w:r>
      <w:r w:rsidRPr="0014478B">
        <w:rPr>
          <w:rFonts w:ascii="Verdana" w:hAnsi="Verdana" w:cstheme="minorHAnsi"/>
          <w:sz w:val="18"/>
        </w:rPr>
        <w:t>sprake van een belastingvoordeel van circa €0,16</w:t>
      </w:r>
      <w:r w:rsidRPr="0014478B">
        <w:rPr>
          <w:rStyle w:val="Voetnootmarkering"/>
          <w:rFonts w:ascii="Verdana" w:hAnsi="Verdana" w:cstheme="minorHAnsi"/>
          <w:sz w:val="18"/>
        </w:rPr>
        <w:footnoteReference w:id="8"/>
      </w:r>
      <w:r w:rsidRPr="0014478B">
        <w:rPr>
          <w:rFonts w:ascii="Verdana" w:hAnsi="Verdana" w:cstheme="minorHAnsi"/>
          <w:sz w:val="18"/>
        </w:rPr>
        <w:t xml:space="preserve"> (energiebelasting en btw) per gesaldeerde kWh. Als een eindafnemer in een jaar meer elektriciteit op het systeem invoedt dan hij onttrekt, dan geldt dat de leverancier net als in de huidige situatie </w:t>
      </w:r>
      <w:r w:rsidRPr="0014478B" w:rsidR="009136CD">
        <w:rPr>
          <w:rFonts w:ascii="Verdana" w:hAnsi="Verdana" w:cstheme="minorHAnsi"/>
          <w:sz w:val="18"/>
        </w:rPr>
        <w:t xml:space="preserve">onder de Elektriciteitswet 1998 </w:t>
      </w:r>
      <w:r w:rsidRPr="0014478B">
        <w:rPr>
          <w:rFonts w:ascii="Verdana" w:hAnsi="Verdana" w:cstheme="minorHAnsi"/>
          <w:sz w:val="18"/>
        </w:rPr>
        <w:t>voor het meerdere aan de eindafnemer een redelijke vergoeding betaalt. De Autoriteit Consument en Markt (ACM) houdt hier toezicht op.</w:t>
      </w:r>
    </w:p>
    <w:p w:rsidRPr="0014478B" w:rsidR="000531A4" w:rsidP="00CD7A9A" w:rsidRDefault="000531A4" w14:paraId="250235E3" w14:textId="77777777">
      <w:pPr>
        <w:spacing w:after="0" w:line="240" w:lineRule="atLeast"/>
        <w:rPr>
          <w:rFonts w:ascii="Verdana" w:hAnsi="Verdana"/>
          <w:i/>
          <w:iCs/>
          <w:sz w:val="18"/>
        </w:rPr>
      </w:pPr>
    </w:p>
    <w:p w:rsidRPr="0014478B" w:rsidR="0074098D" w:rsidP="00CD7A9A" w:rsidRDefault="0074098D" w14:paraId="50ABA09C" w14:textId="6132145B">
      <w:pPr>
        <w:spacing w:after="0" w:line="240" w:lineRule="atLeast"/>
        <w:rPr>
          <w:rFonts w:ascii="Verdana" w:hAnsi="Verdana"/>
          <w:i/>
          <w:iCs/>
          <w:sz w:val="18"/>
        </w:rPr>
      </w:pPr>
      <w:r w:rsidRPr="0014478B">
        <w:rPr>
          <w:rFonts w:ascii="Verdana" w:hAnsi="Verdana"/>
          <w:i/>
          <w:iCs/>
          <w:sz w:val="18"/>
        </w:rPr>
        <w:t>Nieuwe situatie</w:t>
      </w:r>
      <w:r w:rsidRPr="0014478B" w:rsidR="009136CD">
        <w:rPr>
          <w:rFonts w:ascii="Verdana" w:hAnsi="Verdana"/>
          <w:i/>
          <w:iCs/>
          <w:sz w:val="18"/>
        </w:rPr>
        <w:t xml:space="preserve"> na beëindiging</w:t>
      </w:r>
      <w:r w:rsidRPr="0014478B" w:rsidR="00887F31">
        <w:rPr>
          <w:rFonts w:ascii="Verdana" w:hAnsi="Verdana"/>
          <w:i/>
          <w:iCs/>
          <w:sz w:val="18"/>
        </w:rPr>
        <w:t xml:space="preserve"> salderingsregeling</w:t>
      </w:r>
    </w:p>
    <w:p w:rsidRPr="0014478B" w:rsidR="00CD7A9A" w:rsidP="00CD7A9A" w:rsidRDefault="00CD7A9A" w14:paraId="5BB862DC" w14:textId="77777777">
      <w:pPr>
        <w:spacing w:after="0" w:line="240" w:lineRule="atLeast"/>
        <w:rPr>
          <w:rFonts w:ascii="Verdana" w:hAnsi="Verdana"/>
          <w:i/>
          <w:iCs/>
          <w:sz w:val="18"/>
        </w:rPr>
      </w:pPr>
    </w:p>
    <w:p w:rsidRPr="0014478B" w:rsidR="00E90DBA" w:rsidP="00CD7A9A" w:rsidRDefault="00E90DBA" w14:paraId="6A3A9C1F" w14:textId="3ECF8627">
      <w:pPr>
        <w:pStyle w:val="Lijstalinea"/>
        <w:numPr>
          <w:ilvl w:val="0"/>
          <w:numId w:val="7"/>
        </w:numPr>
        <w:spacing w:after="0" w:line="240" w:lineRule="atLeast"/>
        <w:rPr>
          <w:rFonts w:ascii="Verdana" w:hAnsi="Verdana"/>
          <w:i/>
          <w:sz w:val="18"/>
        </w:rPr>
      </w:pPr>
      <w:r w:rsidRPr="0014478B">
        <w:rPr>
          <w:rFonts w:ascii="Verdana" w:hAnsi="Verdana"/>
          <w:i/>
          <w:sz w:val="18"/>
        </w:rPr>
        <w:t xml:space="preserve">Redelijke vergoeding voor alle </w:t>
      </w:r>
      <w:r w:rsidRPr="0014478B" w:rsidR="00887F31">
        <w:rPr>
          <w:rFonts w:ascii="Verdana" w:hAnsi="Verdana"/>
          <w:i/>
          <w:sz w:val="18"/>
        </w:rPr>
        <w:t xml:space="preserve">teruggeleverde </w:t>
      </w:r>
      <w:r w:rsidRPr="0014478B" w:rsidR="006425F3">
        <w:rPr>
          <w:rFonts w:ascii="Verdana" w:hAnsi="Verdana"/>
          <w:i/>
          <w:sz w:val="18"/>
        </w:rPr>
        <w:t xml:space="preserve">hernieuwbare </w:t>
      </w:r>
      <w:r w:rsidRPr="0014478B">
        <w:rPr>
          <w:rFonts w:ascii="Verdana" w:hAnsi="Verdana"/>
          <w:i/>
          <w:sz w:val="18"/>
        </w:rPr>
        <w:t>elektriciteit</w:t>
      </w:r>
    </w:p>
    <w:p w:rsidRPr="0014478B" w:rsidR="00CD7A9A" w:rsidP="00CD7A9A" w:rsidRDefault="00CD7A9A" w14:paraId="766CCF78" w14:textId="77777777">
      <w:pPr>
        <w:spacing w:after="0" w:line="240" w:lineRule="atLeast"/>
        <w:rPr>
          <w:rFonts w:ascii="Verdana" w:hAnsi="Verdana"/>
          <w:sz w:val="18"/>
        </w:rPr>
      </w:pPr>
      <w:bookmarkStart w:name="_Hlk170903847" w:id="1"/>
    </w:p>
    <w:p w:rsidRPr="0014478B" w:rsidR="002318DD" w:rsidP="00CD7A9A" w:rsidRDefault="00B84F36" w14:paraId="0B2C7D64" w14:textId="7ACD1120">
      <w:pPr>
        <w:spacing w:after="0" w:line="240" w:lineRule="atLeast"/>
        <w:rPr>
          <w:rFonts w:ascii="Verdana" w:hAnsi="Verdana"/>
          <w:sz w:val="18"/>
        </w:rPr>
      </w:pPr>
      <w:r w:rsidRPr="0014478B">
        <w:rPr>
          <w:rFonts w:ascii="Verdana" w:hAnsi="Verdana"/>
          <w:sz w:val="18"/>
        </w:rPr>
        <w:t xml:space="preserve">Het wetsvoorstel </w:t>
      </w:r>
      <w:r w:rsidRPr="0014478B" w:rsidR="006B712B">
        <w:rPr>
          <w:rFonts w:ascii="Verdana" w:hAnsi="Verdana"/>
          <w:sz w:val="18"/>
        </w:rPr>
        <w:t>sluit t</w:t>
      </w:r>
      <w:r w:rsidRPr="0014478B" w:rsidR="00E90DBA">
        <w:rPr>
          <w:rFonts w:ascii="Verdana" w:hAnsi="Verdana"/>
          <w:sz w:val="18"/>
        </w:rPr>
        <w:t>en aanzien van het terugleveren van hernieuwbare elektriciteit</w:t>
      </w:r>
      <w:r w:rsidRPr="0014478B" w:rsidR="00D3238F">
        <w:rPr>
          <w:rFonts w:ascii="Verdana" w:hAnsi="Verdana"/>
          <w:sz w:val="18"/>
        </w:rPr>
        <w:t xml:space="preserve"> door een actieve afnemer</w:t>
      </w:r>
      <w:r w:rsidRPr="0014478B" w:rsidR="00E90DBA">
        <w:rPr>
          <w:rFonts w:ascii="Verdana" w:hAnsi="Verdana"/>
          <w:sz w:val="18"/>
        </w:rPr>
        <w:t>, zoals elektriciteit die opgewekt is door zonnepanelen</w:t>
      </w:r>
      <w:r w:rsidRPr="0014478B" w:rsidR="00023ACD">
        <w:rPr>
          <w:rFonts w:ascii="Verdana" w:hAnsi="Verdana"/>
          <w:sz w:val="18"/>
        </w:rPr>
        <w:t xml:space="preserve"> op woningen</w:t>
      </w:r>
      <w:r w:rsidRPr="0014478B" w:rsidR="00E90DBA">
        <w:rPr>
          <w:rFonts w:ascii="Verdana" w:hAnsi="Verdana"/>
          <w:sz w:val="18"/>
        </w:rPr>
        <w:t xml:space="preserve">, </w:t>
      </w:r>
      <w:r w:rsidRPr="0014478B" w:rsidR="006B712B">
        <w:rPr>
          <w:rFonts w:ascii="Verdana" w:hAnsi="Verdana"/>
          <w:sz w:val="18"/>
        </w:rPr>
        <w:t xml:space="preserve">aan </w:t>
      </w:r>
      <w:r w:rsidRPr="0014478B" w:rsidR="00E90DBA">
        <w:rPr>
          <w:rFonts w:ascii="Verdana" w:hAnsi="Verdana"/>
          <w:sz w:val="18"/>
        </w:rPr>
        <w:t xml:space="preserve">bij de relevante eisen voor de teruglevering van zelfopgewekte hernieuwbare energie in de </w:t>
      </w:r>
      <w:r w:rsidRPr="0014478B" w:rsidR="00DD0DA2">
        <w:rPr>
          <w:rFonts w:ascii="Verdana" w:hAnsi="Verdana"/>
          <w:sz w:val="18"/>
        </w:rPr>
        <w:t>R</w:t>
      </w:r>
      <w:r w:rsidRPr="0014478B" w:rsidR="00E90DBA">
        <w:rPr>
          <w:rFonts w:ascii="Verdana" w:hAnsi="Verdana"/>
          <w:sz w:val="18"/>
        </w:rPr>
        <w:t xml:space="preserve">ichtlijn </w:t>
      </w:r>
      <w:r w:rsidRPr="0014478B" w:rsidR="00DD0DA2">
        <w:rPr>
          <w:rFonts w:ascii="Verdana" w:hAnsi="Verdana"/>
          <w:sz w:val="18"/>
        </w:rPr>
        <w:t>h</w:t>
      </w:r>
      <w:r w:rsidRPr="0014478B" w:rsidR="00E90DBA">
        <w:rPr>
          <w:rFonts w:ascii="Verdana" w:hAnsi="Verdana"/>
          <w:sz w:val="18"/>
        </w:rPr>
        <w:t>ernieuwbare energie, ook bekend als de RED II.</w:t>
      </w:r>
      <w:r w:rsidRPr="0014478B" w:rsidR="00E90DBA">
        <w:rPr>
          <w:rStyle w:val="Voetnootmarkering"/>
          <w:rFonts w:ascii="Verdana" w:hAnsi="Verdana"/>
          <w:sz w:val="18"/>
        </w:rPr>
        <w:footnoteReference w:id="9"/>
      </w:r>
      <w:r w:rsidRPr="0014478B" w:rsidR="00E90DBA">
        <w:rPr>
          <w:rFonts w:ascii="Verdana" w:hAnsi="Verdana"/>
          <w:sz w:val="18"/>
        </w:rPr>
        <w:br/>
        <w:t xml:space="preserve">Dat heeft een aantal gevolgen. </w:t>
      </w:r>
    </w:p>
    <w:p w:rsidRPr="0014478B" w:rsidR="002318DD" w:rsidP="00CD7A9A" w:rsidRDefault="002318DD" w14:paraId="4EF18701" w14:textId="77777777">
      <w:pPr>
        <w:spacing w:after="0" w:line="240" w:lineRule="atLeast"/>
        <w:rPr>
          <w:rFonts w:ascii="Verdana" w:hAnsi="Verdana"/>
          <w:sz w:val="18"/>
        </w:rPr>
      </w:pPr>
    </w:p>
    <w:p w:rsidRPr="0014478B" w:rsidR="00EF3E49" w:rsidP="00CD7A9A" w:rsidRDefault="00E90DBA" w14:paraId="0239613B" w14:textId="66044EE7">
      <w:pPr>
        <w:spacing w:after="0" w:line="240" w:lineRule="atLeast"/>
        <w:rPr>
          <w:rFonts w:ascii="Verdana" w:hAnsi="Verdana"/>
          <w:sz w:val="18"/>
        </w:rPr>
      </w:pPr>
      <w:r w:rsidRPr="0014478B">
        <w:rPr>
          <w:rFonts w:ascii="Verdana" w:hAnsi="Verdana"/>
          <w:sz w:val="18"/>
        </w:rPr>
        <w:t xml:space="preserve">Aangezien teruggeleverde elektriciteit niet langer geheel of gedeeltelijk kan worden gesaldeerd met geleverde elektriciteit, wordt met dit wetsvoorstel de eis van een redelijke vergoeding voortaan op alle </w:t>
      </w:r>
      <w:r w:rsidRPr="0014478B" w:rsidR="00383908">
        <w:rPr>
          <w:rFonts w:ascii="Verdana" w:hAnsi="Verdana"/>
          <w:sz w:val="18"/>
        </w:rPr>
        <w:t xml:space="preserve">door een actieve afnemer </w:t>
      </w:r>
      <w:r w:rsidRPr="0014478B">
        <w:rPr>
          <w:rFonts w:ascii="Verdana" w:hAnsi="Verdana"/>
          <w:sz w:val="18"/>
        </w:rPr>
        <w:t xml:space="preserve">teruggeleverde </w:t>
      </w:r>
      <w:r w:rsidRPr="0014478B" w:rsidR="00383908">
        <w:rPr>
          <w:rFonts w:ascii="Verdana" w:hAnsi="Verdana"/>
          <w:sz w:val="18"/>
        </w:rPr>
        <w:t xml:space="preserve">zelfopgewekte </w:t>
      </w:r>
      <w:r w:rsidRPr="0014478B">
        <w:rPr>
          <w:rFonts w:ascii="Verdana" w:hAnsi="Verdana"/>
          <w:sz w:val="18"/>
        </w:rPr>
        <w:t xml:space="preserve">hernieuwbare elektriciteit van toepassing. Het onderscheid tussen de </w:t>
      </w:r>
      <w:r w:rsidRPr="0014478B" w:rsidR="00B822AC">
        <w:rPr>
          <w:rFonts w:ascii="Verdana" w:hAnsi="Verdana"/>
          <w:sz w:val="18"/>
        </w:rPr>
        <w:t xml:space="preserve">teruggeleverde </w:t>
      </w:r>
      <w:r w:rsidRPr="0014478B">
        <w:rPr>
          <w:rFonts w:ascii="Verdana" w:hAnsi="Verdana"/>
          <w:sz w:val="18"/>
        </w:rPr>
        <w:t xml:space="preserve">hernieuwbare elektriciteit die gesaldeerd kan worden en de overige hernieuwbare elektriciteit die </w:t>
      </w:r>
      <w:r w:rsidRPr="0014478B" w:rsidR="00861430">
        <w:rPr>
          <w:rFonts w:ascii="Verdana" w:hAnsi="Verdana"/>
          <w:sz w:val="18"/>
        </w:rPr>
        <w:t xml:space="preserve">teruggeleverd </w:t>
      </w:r>
      <w:r w:rsidRPr="0014478B">
        <w:rPr>
          <w:rFonts w:ascii="Verdana" w:hAnsi="Verdana"/>
          <w:sz w:val="18"/>
        </w:rPr>
        <w:t xml:space="preserve">wordt vervalt hiermee vanaf 2027. </w:t>
      </w:r>
    </w:p>
    <w:p w:rsidRPr="0014478B" w:rsidR="00CD7A9A" w:rsidP="00CD7A9A" w:rsidRDefault="00CD7A9A" w14:paraId="50BF108B" w14:textId="77777777">
      <w:pPr>
        <w:spacing w:after="0" w:line="240" w:lineRule="atLeast"/>
        <w:rPr>
          <w:rFonts w:ascii="Verdana" w:hAnsi="Verdana"/>
          <w:sz w:val="18"/>
        </w:rPr>
      </w:pPr>
    </w:p>
    <w:p w:rsidRPr="0014478B" w:rsidR="00547395" w:rsidP="00CD7A9A" w:rsidRDefault="00E90DBA" w14:paraId="297508DC" w14:textId="0B9C2F40">
      <w:pPr>
        <w:spacing w:after="0" w:line="240" w:lineRule="atLeast"/>
        <w:rPr>
          <w:rFonts w:ascii="Verdana" w:hAnsi="Verdana"/>
          <w:sz w:val="18"/>
        </w:rPr>
      </w:pPr>
      <w:r w:rsidRPr="0014478B">
        <w:rPr>
          <w:rFonts w:ascii="Verdana" w:hAnsi="Verdana"/>
          <w:sz w:val="18"/>
        </w:rPr>
        <w:t xml:space="preserve">Een tweede gevolg is dat </w:t>
      </w:r>
      <w:r w:rsidRPr="0014478B" w:rsidR="00861430">
        <w:rPr>
          <w:rFonts w:ascii="Verdana" w:hAnsi="Verdana"/>
          <w:sz w:val="18"/>
        </w:rPr>
        <w:t xml:space="preserve">de wettelijke eis van een </w:t>
      </w:r>
      <w:r w:rsidRPr="0014478B">
        <w:rPr>
          <w:rFonts w:ascii="Verdana" w:hAnsi="Verdana"/>
          <w:sz w:val="18"/>
        </w:rPr>
        <w:t xml:space="preserve">redelijke vergoeding niet alleen </w:t>
      </w:r>
      <w:r w:rsidRPr="0014478B" w:rsidR="003E4A1A">
        <w:rPr>
          <w:rFonts w:ascii="Verdana" w:hAnsi="Verdana"/>
          <w:sz w:val="18"/>
        </w:rPr>
        <w:t xml:space="preserve">geldt voor </w:t>
      </w:r>
      <w:r w:rsidRPr="0014478B">
        <w:rPr>
          <w:rFonts w:ascii="Verdana" w:hAnsi="Verdana"/>
          <w:sz w:val="18"/>
        </w:rPr>
        <w:t>de eigen leverancier</w:t>
      </w:r>
      <w:r w:rsidRPr="0014478B" w:rsidR="001978F2">
        <w:rPr>
          <w:rFonts w:ascii="Verdana" w:hAnsi="Verdana"/>
          <w:sz w:val="18"/>
        </w:rPr>
        <w:t xml:space="preserve"> </w:t>
      </w:r>
      <w:r w:rsidRPr="0014478B" w:rsidR="007D297E">
        <w:rPr>
          <w:rFonts w:ascii="Verdana" w:hAnsi="Verdana"/>
          <w:sz w:val="18"/>
        </w:rPr>
        <w:t>van de actieve afnemer</w:t>
      </w:r>
      <w:r w:rsidRPr="0014478B">
        <w:rPr>
          <w:rFonts w:ascii="Verdana" w:hAnsi="Verdana"/>
          <w:sz w:val="18"/>
        </w:rPr>
        <w:t xml:space="preserve">, maar </w:t>
      </w:r>
      <w:r w:rsidRPr="0014478B" w:rsidR="001D0118">
        <w:rPr>
          <w:rFonts w:ascii="Verdana" w:hAnsi="Verdana"/>
          <w:sz w:val="18"/>
        </w:rPr>
        <w:t xml:space="preserve">voor </w:t>
      </w:r>
      <w:r w:rsidRPr="0014478B">
        <w:rPr>
          <w:rFonts w:ascii="Verdana" w:hAnsi="Verdana"/>
          <w:sz w:val="18"/>
        </w:rPr>
        <w:t xml:space="preserve">elke marktdeelnemer aan wie </w:t>
      </w:r>
      <w:r w:rsidRPr="0014478B" w:rsidR="0005088A">
        <w:rPr>
          <w:rFonts w:ascii="Verdana" w:hAnsi="Verdana"/>
          <w:sz w:val="18"/>
        </w:rPr>
        <w:t xml:space="preserve">een actieve afnemer zelfopgewekte </w:t>
      </w:r>
      <w:r w:rsidRPr="0014478B">
        <w:rPr>
          <w:rFonts w:ascii="Verdana" w:hAnsi="Verdana"/>
          <w:sz w:val="18"/>
        </w:rPr>
        <w:t>hernieuwbare elektriciteit teruglever</w:t>
      </w:r>
      <w:r w:rsidRPr="0014478B" w:rsidR="00730422">
        <w:rPr>
          <w:rFonts w:ascii="Verdana" w:hAnsi="Verdana"/>
          <w:sz w:val="18"/>
        </w:rPr>
        <w:t>t</w:t>
      </w:r>
      <w:r w:rsidRPr="0014478B">
        <w:rPr>
          <w:rFonts w:ascii="Verdana" w:hAnsi="Verdana"/>
          <w:sz w:val="18"/>
        </w:rPr>
        <w:t xml:space="preserve">. </w:t>
      </w:r>
      <w:r w:rsidRPr="0014478B" w:rsidR="00C25B02">
        <w:rPr>
          <w:rFonts w:ascii="Verdana" w:hAnsi="Verdana"/>
          <w:sz w:val="18"/>
        </w:rPr>
        <w:t>De wettelijke bescherming door de eis van een redelijke vergoeding wordt door het wetsvoorstel uitgebreid van eindafnemers met een kleine aansluiting die salderen bij hun energieleverancier naar alle actieve afnemers die hernieuwbare elektriciteit opwekken en terugleveren.</w:t>
      </w:r>
      <w:r w:rsidRPr="0014478B" w:rsidR="003D7DFB">
        <w:rPr>
          <w:rFonts w:ascii="Verdana" w:hAnsi="Verdana"/>
          <w:sz w:val="18"/>
        </w:rPr>
        <w:t xml:space="preserve"> </w:t>
      </w:r>
    </w:p>
    <w:p w:rsidRPr="0014478B" w:rsidR="00E90DBA" w:rsidP="00CD7A9A" w:rsidRDefault="003D7DFB" w14:paraId="65845283" w14:textId="31E59BA4">
      <w:pPr>
        <w:spacing w:after="0" w:line="240" w:lineRule="atLeast"/>
        <w:rPr>
          <w:rFonts w:ascii="Verdana" w:hAnsi="Verdana"/>
          <w:sz w:val="18"/>
        </w:rPr>
      </w:pPr>
      <w:r w:rsidRPr="0014478B">
        <w:rPr>
          <w:rFonts w:ascii="Verdana" w:hAnsi="Verdana"/>
          <w:sz w:val="18"/>
        </w:rPr>
        <w:t>D</w:t>
      </w:r>
      <w:r w:rsidRPr="0014478B" w:rsidR="00547395">
        <w:rPr>
          <w:rFonts w:ascii="Verdana" w:hAnsi="Verdana"/>
          <w:sz w:val="18"/>
        </w:rPr>
        <w:t>i</w:t>
      </w:r>
      <w:r w:rsidRPr="0014478B">
        <w:rPr>
          <w:rFonts w:ascii="Verdana" w:hAnsi="Verdana"/>
          <w:sz w:val="18"/>
        </w:rPr>
        <w:t>t is in lijn met het voorstel voor de Energiewet waarin ruimte wordt geboden voor nieuwe vormen van energie leveren, zoals energiedelen, en</w:t>
      </w:r>
      <w:r w:rsidRPr="0014478B" w:rsidR="0058352D">
        <w:rPr>
          <w:rFonts w:ascii="Verdana" w:hAnsi="Verdana"/>
          <w:sz w:val="18"/>
        </w:rPr>
        <w:t xml:space="preserve"> waarin</w:t>
      </w:r>
      <w:r w:rsidRPr="0014478B">
        <w:rPr>
          <w:rFonts w:ascii="Verdana" w:hAnsi="Verdana"/>
          <w:sz w:val="18"/>
        </w:rPr>
        <w:t xml:space="preserve"> de terugleveringsovereenkomst een plek krijgt. Bovendien past dit bij de ontwikkeling van het energiesysteem van een centraal ingerichte elektriciteitslevering naar een systeem met actieve afnemers die meer gestimuleerd worden om elektriciteit die ze opwekken achter de meter te verbruiken of op te slaan. </w:t>
      </w:r>
      <w:r w:rsidRPr="0014478B" w:rsidR="00C62A27">
        <w:rPr>
          <w:rFonts w:ascii="Verdana" w:hAnsi="Verdana"/>
          <w:sz w:val="18"/>
        </w:rPr>
        <w:t>Partijen voor wie de opslag of verkoop van zelfopgewekte energie of flexibiliteits- of energie-efficiëntiediensten de belangrijkste commerciële activiteit vormen</w:t>
      </w:r>
      <w:r w:rsidRPr="0014478B" w:rsidR="00997EE0">
        <w:rPr>
          <w:rFonts w:ascii="Verdana" w:hAnsi="Verdana"/>
          <w:sz w:val="18"/>
        </w:rPr>
        <w:t>, zoals exploitanten van energieopslagsystemen of zonnep</w:t>
      </w:r>
      <w:r w:rsidRPr="0014478B" w:rsidR="00A62652">
        <w:rPr>
          <w:rFonts w:ascii="Verdana" w:hAnsi="Verdana"/>
          <w:sz w:val="18"/>
        </w:rPr>
        <w:t>arken,</w:t>
      </w:r>
      <w:r w:rsidRPr="0014478B" w:rsidR="00C62A27">
        <w:rPr>
          <w:rFonts w:ascii="Verdana" w:hAnsi="Verdana"/>
          <w:sz w:val="18"/>
        </w:rPr>
        <w:t xml:space="preserve"> vallen niet onder de </w:t>
      </w:r>
      <w:r w:rsidRPr="0014478B" w:rsidR="003169E2">
        <w:rPr>
          <w:rFonts w:ascii="Verdana" w:hAnsi="Verdana"/>
          <w:sz w:val="18"/>
        </w:rPr>
        <w:t xml:space="preserve">Europese </w:t>
      </w:r>
      <w:r w:rsidRPr="0014478B" w:rsidR="00C62A27">
        <w:rPr>
          <w:rFonts w:ascii="Verdana" w:hAnsi="Verdana"/>
          <w:sz w:val="18"/>
        </w:rPr>
        <w:t xml:space="preserve">definitie van actieve afnemers en </w:t>
      </w:r>
      <w:r w:rsidRPr="0014478B" w:rsidR="006636ED">
        <w:rPr>
          <w:rFonts w:ascii="Verdana" w:hAnsi="Verdana"/>
          <w:sz w:val="18"/>
        </w:rPr>
        <w:t>vallen dus niet onder deze wettelijke bescherming.</w:t>
      </w:r>
      <w:r w:rsidRPr="0014478B" w:rsidR="004F26FB">
        <w:rPr>
          <w:rStyle w:val="Voetnootmarkering"/>
          <w:rFonts w:ascii="Verdana" w:hAnsi="Verdana"/>
          <w:sz w:val="18"/>
        </w:rPr>
        <w:footnoteReference w:id="10"/>
      </w:r>
      <w:r w:rsidRPr="0014478B" w:rsidR="006636ED">
        <w:rPr>
          <w:rFonts w:ascii="Verdana" w:hAnsi="Verdana"/>
          <w:sz w:val="18"/>
        </w:rPr>
        <w:t xml:space="preserve"> </w:t>
      </w:r>
    </w:p>
    <w:p w:rsidRPr="0014478B" w:rsidR="00CD7A9A" w:rsidP="00CD7A9A" w:rsidRDefault="00CD7A9A" w14:paraId="5D7E7E13" w14:textId="77777777">
      <w:pPr>
        <w:spacing w:after="0" w:line="240" w:lineRule="atLeast"/>
        <w:rPr>
          <w:rFonts w:ascii="Verdana" w:hAnsi="Verdana" w:eastAsia="Calibri" w:cs="Arial"/>
          <w:sz w:val="18"/>
        </w:rPr>
      </w:pPr>
    </w:p>
    <w:p w:rsidRPr="0014478B" w:rsidR="00E90DBA" w:rsidP="00CD7A9A" w:rsidRDefault="00E90DBA" w14:paraId="205E5218" w14:textId="36019552">
      <w:pPr>
        <w:spacing w:after="0" w:line="240" w:lineRule="atLeast"/>
        <w:rPr>
          <w:rFonts w:ascii="Verdana" w:hAnsi="Verdana"/>
          <w:sz w:val="18"/>
        </w:rPr>
      </w:pPr>
      <w:r w:rsidRPr="0014478B">
        <w:rPr>
          <w:rFonts w:ascii="Verdana" w:hAnsi="Verdana" w:eastAsia="Calibri" w:cs="Arial"/>
          <w:sz w:val="18"/>
        </w:rPr>
        <w:t xml:space="preserve">De vergoeding voor </w:t>
      </w:r>
      <w:r w:rsidRPr="0014478B" w:rsidR="00C93B55">
        <w:rPr>
          <w:rFonts w:ascii="Verdana" w:hAnsi="Verdana" w:eastAsia="Calibri" w:cs="Arial"/>
          <w:sz w:val="18"/>
        </w:rPr>
        <w:t xml:space="preserve">zelfopgewekte </w:t>
      </w:r>
      <w:r w:rsidRPr="0014478B">
        <w:rPr>
          <w:rFonts w:ascii="Verdana" w:hAnsi="Verdana" w:eastAsia="Calibri" w:cs="Arial"/>
          <w:sz w:val="18"/>
        </w:rPr>
        <w:t xml:space="preserve">hernieuwbare elektriciteit </w:t>
      </w:r>
      <w:r w:rsidRPr="0014478B" w:rsidR="00C93B55">
        <w:rPr>
          <w:rFonts w:ascii="Verdana" w:hAnsi="Verdana" w:eastAsia="Calibri" w:cs="Arial"/>
          <w:sz w:val="18"/>
        </w:rPr>
        <w:t xml:space="preserve">die </w:t>
      </w:r>
      <w:r w:rsidRPr="0014478B" w:rsidR="008E7001">
        <w:rPr>
          <w:rFonts w:ascii="Verdana" w:hAnsi="Verdana" w:eastAsia="Calibri" w:cs="Arial"/>
          <w:sz w:val="18"/>
        </w:rPr>
        <w:t xml:space="preserve">door een actieve afnemer </w:t>
      </w:r>
      <w:r w:rsidRPr="0014478B" w:rsidR="00C93B55">
        <w:rPr>
          <w:rFonts w:ascii="Verdana" w:hAnsi="Verdana" w:eastAsia="Calibri" w:cs="Arial"/>
          <w:sz w:val="18"/>
        </w:rPr>
        <w:t xml:space="preserve">wordt teruggeleverd </w:t>
      </w:r>
      <w:r w:rsidRPr="0014478B" w:rsidR="008E7001">
        <w:rPr>
          <w:rFonts w:ascii="Verdana" w:hAnsi="Verdana" w:eastAsia="Calibri" w:cs="Arial"/>
          <w:sz w:val="18"/>
        </w:rPr>
        <w:t xml:space="preserve">aan een marktdeelnemer </w:t>
      </w:r>
      <w:r w:rsidRPr="0014478B" w:rsidR="00C93B55">
        <w:rPr>
          <w:rFonts w:ascii="Verdana" w:hAnsi="Verdana" w:eastAsia="Calibri" w:cs="Arial"/>
          <w:sz w:val="18"/>
        </w:rPr>
        <w:t xml:space="preserve">moet redelijk zijn. Gelet op de Richtlijn hernieuwbare energie gaat het om een vergoeding </w:t>
      </w:r>
      <w:r w:rsidRPr="0014478B" w:rsidR="00393D20">
        <w:rPr>
          <w:rFonts w:ascii="Verdana" w:hAnsi="Verdana" w:eastAsia="Calibri" w:cs="Arial"/>
          <w:sz w:val="18"/>
        </w:rPr>
        <w:t>die een afspiegeling is van de marktwaarde van die elektriciteit en die rekening kan houden met de waarde op lange termijn ervan voor het net, het milieu en de samenleving</w:t>
      </w:r>
      <w:r w:rsidRPr="0014478B" w:rsidR="00C93B55">
        <w:rPr>
          <w:rFonts w:ascii="Verdana" w:hAnsi="Verdana" w:eastAsia="Calibri" w:cs="Arial"/>
          <w:sz w:val="18"/>
        </w:rPr>
        <w:t xml:space="preserve">. In het wetsvoorstel wordt </w:t>
      </w:r>
      <w:r w:rsidRPr="0014478B" w:rsidR="00614C1A">
        <w:rPr>
          <w:rFonts w:ascii="Verdana" w:hAnsi="Verdana" w:eastAsia="Calibri" w:cs="Arial"/>
          <w:sz w:val="18"/>
        </w:rPr>
        <w:t>expliciet</w:t>
      </w:r>
      <w:r w:rsidRPr="0014478B" w:rsidR="00A13491">
        <w:rPr>
          <w:rFonts w:ascii="Verdana" w:hAnsi="Verdana" w:eastAsia="Calibri" w:cs="Arial"/>
          <w:sz w:val="18"/>
        </w:rPr>
        <w:t xml:space="preserve"> vastgelegd </w:t>
      </w:r>
      <w:r w:rsidRPr="0014478B" w:rsidR="00C93B55">
        <w:rPr>
          <w:rFonts w:ascii="Verdana" w:hAnsi="Verdana" w:eastAsia="Calibri" w:cs="Arial"/>
          <w:sz w:val="18"/>
        </w:rPr>
        <w:t xml:space="preserve">dat de vergoeding niet redelijk is indien die vergoeding onevenredig laag is gezien de kosten </w:t>
      </w:r>
      <w:r w:rsidRPr="0014478B" w:rsidR="00CE62D3">
        <w:rPr>
          <w:rFonts w:ascii="Verdana" w:hAnsi="Verdana" w:eastAsia="Calibri" w:cs="Arial"/>
          <w:sz w:val="18"/>
        </w:rPr>
        <w:t xml:space="preserve">en baten </w:t>
      </w:r>
      <w:r w:rsidRPr="0014478B" w:rsidR="00C93B55">
        <w:rPr>
          <w:rFonts w:ascii="Verdana" w:hAnsi="Verdana" w:eastAsia="Calibri" w:cs="Arial"/>
          <w:sz w:val="18"/>
        </w:rPr>
        <w:t xml:space="preserve">van de </w:t>
      </w:r>
      <w:r w:rsidRPr="0014478B" w:rsidR="00B70E14">
        <w:rPr>
          <w:rFonts w:ascii="Verdana" w:hAnsi="Verdana" w:eastAsia="Calibri" w:cs="Arial"/>
          <w:sz w:val="18"/>
        </w:rPr>
        <w:t xml:space="preserve">marktdeelnemer </w:t>
      </w:r>
      <w:r w:rsidRPr="0014478B" w:rsidR="00C93B55">
        <w:rPr>
          <w:rFonts w:ascii="Verdana" w:hAnsi="Verdana" w:eastAsia="Calibri" w:cs="Arial"/>
          <w:sz w:val="18"/>
        </w:rPr>
        <w:t xml:space="preserve">en niet concurrerend is. Dit criterium is grotendeels </w:t>
      </w:r>
      <w:r w:rsidRPr="0014478B" w:rsidR="00A97C0B">
        <w:rPr>
          <w:rFonts w:ascii="Verdana" w:hAnsi="Verdana" w:eastAsia="Calibri" w:cs="Arial"/>
          <w:sz w:val="18"/>
        </w:rPr>
        <w:t xml:space="preserve">gelijk </w:t>
      </w:r>
      <w:r w:rsidRPr="0014478B" w:rsidR="00C93B55">
        <w:rPr>
          <w:rFonts w:ascii="Verdana" w:hAnsi="Verdana" w:eastAsia="Calibri" w:cs="Arial"/>
          <w:sz w:val="18"/>
        </w:rPr>
        <w:t xml:space="preserve">aan het criterium voor een redelijke (leverings)prijs in artikel 2.5, tweede lid, van het voorstel voor de Energiewet. </w:t>
      </w:r>
      <w:r w:rsidRPr="0014478B" w:rsidR="004635BA">
        <w:rPr>
          <w:rFonts w:ascii="Verdana" w:hAnsi="Verdana" w:eastAsia="Calibri" w:cs="Arial"/>
          <w:sz w:val="18"/>
        </w:rPr>
        <w:t xml:space="preserve">In het wetsvoorstel wordt tevens geregeld dat de kosten en voorwaarden met betrekking tot het terugleveren van zelfopgewekte hernieuwbare elektriciteit </w:t>
      </w:r>
      <w:r w:rsidRPr="0014478B" w:rsidR="008E7001">
        <w:rPr>
          <w:rFonts w:ascii="Verdana" w:hAnsi="Verdana" w:eastAsia="Calibri" w:cs="Arial"/>
          <w:sz w:val="18"/>
        </w:rPr>
        <w:t xml:space="preserve">door een actieve afnemer </w:t>
      </w:r>
      <w:r w:rsidRPr="0014478B" w:rsidR="004635BA">
        <w:rPr>
          <w:rFonts w:ascii="Verdana" w:hAnsi="Verdana" w:eastAsia="Calibri" w:cs="Arial"/>
          <w:sz w:val="18"/>
        </w:rPr>
        <w:t>transparant en redelijk moeten zijn. Deze eisen van transparantie en redelijkheid voor de prijzen en voorwaarden voor levering uit artikel 2,5, eerste lid, van het voorstel voor de Energiewet zijn van overeenkomstige toepassing verklaard. Dit betekent dat het geheel van kosten en voorwaarden met betrekking tot het terugleveren en de vergoeding voor</w:t>
      </w:r>
      <w:r w:rsidRPr="0014478B" w:rsidR="008E7001">
        <w:rPr>
          <w:rFonts w:ascii="Verdana" w:hAnsi="Verdana" w:eastAsia="Calibri" w:cs="Arial"/>
          <w:sz w:val="18"/>
        </w:rPr>
        <w:t xml:space="preserve"> door een actieve afnemer</w:t>
      </w:r>
      <w:r w:rsidRPr="0014478B" w:rsidR="004635BA">
        <w:rPr>
          <w:rFonts w:ascii="Verdana" w:hAnsi="Verdana" w:eastAsia="Calibri" w:cs="Arial"/>
          <w:sz w:val="18"/>
        </w:rPr>
        <w:t xml:space="preserve"> teruggeleverde zelfopgewekte hernieuwbare elektriciteit, die wordt vastgelegd in de terugleveringsovereenkomst, transparant en redelijk moet zijn.</w:t>
      </w:r>
      <w:r w:rsidRPr="0014478B" w:rsidR="008234BF">
        <w:rPr>
          <w:rFonts w:ascii="Verdana" w:hAnsi="Verdana" w:eastAsia="Calibri" w:cs="Arial"/>
          <w:sz w:val="18"/>
        </w:rPr>
        <w:t xml:space="preserve"> Het is dus niet mogelijk om kosten die samenhangen met het terugleveren alsnog via een omweg in rekening te brengen, zonder dat deze meegewogen kunnen worden bij het beoordelen van de redelijkheid.</w:t>
      </w:r>
      <w:r w:rsidRPr="0014478B" w:rsidR="004635BA">
        <w:rPr>
          <w:rFonts w:ascii="Verdana" w:hAnsi="Verdana" w:eastAsia="Calibri" w:cs="Arial"/>
          <w:sz w:val="18"/>
        </w:rPr>
        <w:t xml:space="preserve"> </w:t>
      </w:r>
      <w:r w:rsidRPr="0014478B" w:rsidR="00C93B55">
        <w:rPr>
          <w:rFonts w:ascii="Verdana" w:hAnsi="Verdana" w:eastAsia="Calibri" w:cs="Arial"/>
          <w:sz w:val="18"/>
        </w:rPr>
        <w:t xml:space="preserve">De redelijke vergoeding voor een actieve afnemer met een kleine aansluiting </w:t>
      </w:r>
      <w:r w:rsidRPr="0014478B">
        <w:rPr>
          <w:rFonts w:ascii="Verdana" w:hAnsi="Verdana" w:eastAsia="Calibri" w:cs="Arial"/>
          <w:sz w:val="18"/>
        </w:rPr>
        <w:t xml:space="preserve">kan </w:t>
      </w:r>
      <w:r w:rsidRPr="0014478B">
        <w:rPr>
          <w:rFonts w:ascii="Verdana" w:hAnsi="Verdana"/>
          <w:sz w:val="18"/>
        </w:rPr>
        <w:t>niet worden vastgesteld op een negatief bedrag</w:t>
      </w:r>
      <w:r w:rsidRPr="0014478B" w:rsidR="00E751E3">
        <w:rPr>
          <w:rFonts w:ascii="Verdana" w:hAnsi="Verdana"/>
          <w:sz w:val="18"/>
        </w:rPr>
        <w:t>. Dit regelt</w:t>
      </w:r>
      <w:r w:rsidRPr="0014478B" w:rsidR="00395324">
        <w:rPr>
          <w:rFonts w:ascii="Verdana" w:hAnsi="Verdana"/>
          <w:sz w:val="18"/>
        </w:rPr>
        <w:t xml:space="preserve"> artikel 2.31, derde lid, van het voorstel voor de Energiewet</w:t>
      </w:r>
      <w:r w:rsidRPr="0014478B" w:rsidR="00AA0773">
        <w:rPr>
          <w:rStyle w:val="Voetnootmarkering"/>
          <w:rFonts w:ascii="Verdana" w:hAnsi="Verdana"/>
          <w:sz w:val="18"/>
        </w:rPr>
        <w:footnoteReference w:id="11"/>
      </w:r>
      <w:r w:rsidRPr="0014478B" w:rsidR="00395324">
        <w:rPr>
          <w:rFonts w:ascii="Verdana" w:hAnsi="Verdana"/>
          <w:sz w:val="18"/>
        </w:rPr>
        <w:t xml:space="preserve"> en is in het onderhavige wetsvoorstel overgenomen</w:t>
      </w:r>
      <w:r w:rsidRPr="0014478B">
        <w:rPr>
          <w:rFonts w:ascii="Verdana" w:hAnsi="Verdana"/>
          <w:sz w:val="18"/>
        </w:rPr>
        <w:t xml:space="preserve">. De </w:t>
      </w:r>
      <w:r w:rsidRPr="0014478B" w:rsidR="00A4597F">
        <w:rPr>
          <w:rFonts w:ascii="Verdana" w:hAnsi="Verdana"/>
          <w:sz w:val="18"/>
        </w:rPr>
        <w:t>ACM</w:t>
      </w:r>
      <w:r w:rsidRPr="0014478B">
        <w:rPr>
          <w:rFonts w:ascii="Verdana" w:hAnsi="Verdana"/>
          <w:sz w:val="18"/>
        </w:rPr>
        <w:t xml:space="preserve"> is de toezichthouder en kan de redelijkheid van de door een marktdeelnemer te betalen vergoeding toetsen. </w:t>
      </w:r>
      <w:r w:rsidRPr="0014478B" w:rsidR="00162BAB">
        <w:rPr>
          <w:rFonts w:ascii="Verdana" w:hAnsi="Verdana"/>
          <w:sz w:val="18"/>
        </w:rPr>
        <w:t xml:space="preserve">De </w:t>
      </w:r>
      <w:r w:rsidRPr="0014478B" w:rsidR="006C5958">
        <w:rPr>
          <w:rFonts w:ascii="Verdana" w:hAnsi="Verdana"/>
          <w:sz w:val="18"/>
        </w:rPr>
        <w:t>wettelijke bescherming van een</w:t>
      </w:r>
      <w:r w:rsidRPr="0014478B" w:rsidR="00162BAB">
        <w:rPr>
          <w:rFonts w:ascii="Verdana" w:hAnsi="Verdana"/>
          <w:sz w:val="18"/>
        </w:rPr>
        <w:t xml:space="preserve"> redelijke vergoeding voor niet-hernieuwbare</w:t>
      </w:r>
      <w:r w:rsidRPr="0014478B" w:rsidR="00C36DC5">
        <w:rPr>
          <w:rFonts w:ascii="Verdana" w:hAnsi="Verdana"/>
          <w:sz w:val="18"/>
        </w:rPr>
        <w:t xml:space="preserve"> elektriciteit vervalt. </w:t>
      </w:r>
    </w:p>
    <w:bookmarkEnd w:id="0"/>
    <w:bookmarkEnd w:id="1"/>
    <w:p w:rsidRPr="0014478B" w:rsidR="00E90DBA" w:rsidP="00CD7A9A" w:rsidRDefault="00E90DBA" w14:paraId="18A92DC4" w14:textId="77777777">
      <w:pPr>
        <w:spacing w:after="0" w:line="240" w:lineRule="atLeast"/>
        <w:rPr>
          <w:rFonts w:ascii="Verdana" w:hAnsi="Verdana"/>
          <w:sz w:val="18"/>
        </w:rPr>
      </w:pPr>
    </w:p>
    <w:p w:rsidRPr="0014478B" w:rsidR="001D2645" w:rsidP="00CD7A9A" w:rsidRDefault="00F90978" w14:paraId="206D42A0" w14:textId="735F1F69">
      <w:pPr>
        <w:pStyle w:val="Lijstalinea"/>
        <w:numPr>
          <w:ilvl w:val="0"/>
          <w:numId w:val="7"/>
        </w:numPr>
        <w:spacing w:after="0" w:line="240" w:lineRule="atLeast"/>
        <w:rPr>
          <w:rFonts w:ascii="Verdana" w:hAnsi="Verdana"/>
          <w:sz w:val="18"/>
        </w:rPr>
      </w:pPr>
      <w:r w:rsidRPr="0014478B">
        <w:rPr>
          <w:rFonts w:ascii="Verdana" w:hAnsi="Verdana"/>
          <w:i/>
          <w:sz w:val="18"/>
        </w:rPr>
        <w:t>Beëindiging</w:t>
      </w:r>
      <w:r w:rsidRPr="0014478B" w:rsidR="001D2645">
        <w:rPr>
          <w:rFonts w:ascii="Verdana" w:hAnsi="Verdana"/>
          <w:i/>
          <w:sz w:val="18"/>
        </w:rPr>
        <w:t xml:space="preserve"> salderingsregeling</w:t>
      </w:r>
      <w:r w:rsidRPr="0014478B" w:rsidR="001D2645">
        <w:rPr>
          <w:rFonts w:ascii="Verdana" w:hAnsi="Verdana"/>
          <w:sz w:val="18"/>
        </w:rPr>
        <w:t xml:space="preserve"> </w:t>
      </w:r>
    </w:p>
    <w:p w:rsidRPr="0014478B" w:rsidR="00CD7A9A" w:rsidP="00CD7A9A" w:rsidRDefault="00CD7A9A" w14:paraId="11D0C080" w14:textId="77777777">
      <w:pPr>
        <w:spacing w:after="0" w:line="240" w:lineRule="atLeast"/>
        <w:rPr>
          <w:rFonts w:ascii="Verdana" w:hAnsi="Verdana"/>
          <w:sz w:val="18"/>
        </w:rPr>
      </w:pPr>
    </w:p>
    <w:p w:rsidRPr="0014478B" w:rsidR="001D2645" w:rsidP="00CD7A9A" w:rsidRDefault="001D2645" w14:paraId="1AA1B996" w14:textId="58B77A04">
      <w:pPr>
        <w:spacing w:after="0" w:line="240" w:lineRule="atLeast"/>
        <w:rPr>
          <w:rFonts w:ascii="Verdana" w:hAnsi="Verdana"/>
          <w:sz w:val="18"/>
        </w:rPr>
      </w:pPr>
      <w:r w:rsidRPr="0014478B">
        <w:rPr>
          <w:rFonts w:ascii="Verdana" w:hAnsi="Verdana"/>
          <w:sz w:val="18"/>
        </w:rPr>
        <w:t xml:space="preserve">De </w:t>
      </w:r>
      <w:r w:rsidRPr="0014478B" w:rsidR="00F90978">
        <w:rPr>
          <w:rFonts w:ascii="Verdana" w:hAnsi="Verdana"/>
          <w:sz w:val="18"/>
        </w:rPr>
        <w:t>beëindiging</w:t>
      </w:r>
      <w:r w:rsidRPr="0014478B">
        <w:rPr>
          <w:rFonts w:ascii="Verdana" w:hAnsi="Verdana"/>
          <w:sz w:val="18"/>
        </w:rPr>
        <w:t xml:space="preserve"> van de salderingsregeling betekent dat de ingevoede (zowel hernieuwbare als niet-hernieuwbare) elektriciteit niet langer </w:t>
      </w:r>
      <w:r w:rsidRPr="0014478B" w:rsidR="00C52D54">
        <w:rPr>
          <w:rFonts w:ascii="Verdana" w:hAnsi="Verdana"/>
          <w:sz w:val="18"/>
        </w:rPr>
        <w:t>met</w:t>
      </w:r>
      <w:r w:rsidRPr="0014478B">
        <w:rPr>
          <w:rFonts w:ascii="Verdana" w:hAnsi="Verdana"/>
          <w:sz w:val="18"/>
        </w:rPr>
        <w:t xml:space="preserve"> de </w:t>
      </w:r>
      <w:r w:rsidRPr="0014478B" w:rsidR="00C52D54">
        <w:rPr>
          <w:rFonts w:ascii="Verdana" w:hAnsi="Verdana"/>
          <w:sz w:val="18"/>
        </w:rPr>
        <w:t>hoeveelheid geleverde</w:t>
      </w:r>
      <w:r w:rsidRPr="0014478B">
        <w:rPr>
          <w:rFonts w:ascii="Verdana" w:hAnsi="Verdana"/>
          <w:sz w:val="18"/>
        </w:rPr>
        <w:t xml:space="preserve"> elektriciteit wordt gesaldeerd</w:t>
      </w:r>
      <w:r w:rsidRPr="0014478B" w:rsidDel="00FC36A4">
        <w:rPr>
          <w:rFonts w:ascii="Verdana" w:hAnsi="Verdana"/>
          <w:sz w:val="18"/>
        </w:rPr>
        <w:t xml:space="preserve"> </w:t>
      </w:r>
      <w:r w:rsidRPr="0014478B">
        <w:rPr>
          <w:rFonts w:ascii="Verdana" w:hAnsi="Verdana"/>
          <w:sz w:val="18"/>
        </w:rPr>
        <w:t xml:space="preserve">(artikel 2.31, eerste en tweede lid, van het voorstel voor </w:t>
      </w:r>
      <w:r w:rsidRPr="0014478B" w:rsidR="00945F02">
        <w:rPr>
          <w:rFonts w:ascii="Verdana" w:hAnsi="Verdana"/>
          <w:sz w:val="18"/>
        </w:rPr>
        <w:t xml:space="preserve">de </w:t>
      </w:r>
      <w:r w:rsidRPr="0014478B">
        <w:rPr>
          <w:rFonts w:ascii="Verdana" w:hAnsi="Verdana"/>
          <w:sz w:val="18"/>
        </w:rPr>
        <w:t>Energiewet). Het bestaande belastingvoordeel voor ingevoede elektriciteit tot een maximum van de aan het systeem onttrokken elektriciteit vervalt daarmee eveneens vanaf 2027 (artikel 50, tweede lid, van de Wet belastingen op milieugrondslag). Ook de daarmee onlosmakelijk verbonden bepalingen zullen vervallen.</w:t>
      </w:r>
    </w:p>
    <w:p w:rsidRPr="0014478B" w:rsidR="00CD7A9A" w:rsidP="00CD7A9A" w:rsidRDefault="00CD7A9A" w14:paraId="0CC25AC3" w14:textId="77777777">
      <w:pPr>
        <w:spacing w:after="0" w:line="240" w:lineRule="atLeast"/>
        <w:rPr>
          <w:rFonts w:ascii="Verdana" w:hAnsi="Verdana"/>
          <w:sz w:val="18"/>
        </w:rPr>
      </w:pPr>
    </w:p>
    <w:p w:rsidRPr="0014478B" w:rsidR="001D2645" w:rsidP="00CD7A9A" w:rsidRDefault="001D2645" w14:paraId="49597194" w14:textId="40066D2E">
      <w:pPr>
        <w:spacing w:after="0" w:line="240" w:lineRule="atLeast"/>
        <w:rPr>
          <w:rFonts w:ascii="Verdana" w:hAnsi="Verdana"/>
          <w:sz w:val="18"/>
        </w:rPr>
      </w:pPr>
      <w:r w:rsidRPr="0014478B">
        <w:rPr>
          <w:rFonts w:ascii="Verdana" w:hAnsi="Verdana"/>
          <w:sz w:val="18"/>
        </w:rPr>
        <w:t xml:space="preserve">De overige bepalingen van </w:t>
      </w:r>
      <w:r w:rsidRPr="0014478B" w:rsidR="001471E6">
        <w:rPr>
          <w:rFonts w:ascii="Verdana" w:hAnsi="Verdana"/>
          <w:sz w:val="18"/>
        </w:rPr>
        <w:t>de wetgeving</w:t>
      </w:r>
      <w:r w:rsidRPr="0014478B">
        <w:rPr>
          <w:rFonts w:ascii="Verdana" w:hAnsi="Verdana"/>
          <w:sz w:val="18"/>
        </w:rPr>
        <w:t xml:space="preserve"> blijven voor zover </w:t>
      </w:r>
      <w:r w:rsidRPr="0014478B" w:rsidR="00275861">
        <w:rPr>
          <w:rFonts w:ascii="Verdana" w:hAnsi="Verdana"/>
          <w:sz w:val="18"/>
        </w:rPr>
        <w:t xml:space="preserve">die </w:t>
      </w:r>
      <w:r w:rsidRPr="0014478B" w:rsidR="0047520A">
        <w:rPr>
          <w:rFonts w:ascii="Verdana" w:hAnsi="Verdana"/>
          <w:sz w:val="18"/>
        </w:rPr>
        <w:t>zien op</w:t>
      </w:r>
      <w:r w:rsidRPr="0014478B">
        <w:rPr>
          <w:rFonts w:ascii="Verdana" w:hAnsi="Verdana"/>
          <w:sz w:val="18"/>
        </w:rPr>
        <w:t xml:space="preserve"> het terugleveren van hernieuwbare elektriciteit </w:t>
      </w:r>
      <w:r w:rsidRPr="0014478B" w:rsidR="00D113FA">
        <w:rPr>
          <w:rFonts w:ascii="Verdana" w:hAnsi="Verdana"/>
          <w:sz w:val="18"/>
        </w:rPr>
        <w:t xml:space="preserve">door een actieve afnemer </w:t>
      </w:r>
      <w:r w:rsidRPr="0014478B" w:rsidR="00C52D54">
        <w:rPr>
          <w:rFonts w:ascii="Verdana" w:hAnsi="Verdana"/>
          <w:sz w:val="18"/>
        </w:rPr>
        <w:t xml:space="preserve">als zodanig, </w:t>
      </w:r>
      <w:r w:rsidRPr="0014478B">
        <w:rPr>
          <w:rFonts w:ascii="Verdana" w:hAnsi="Verdana"/>
          <w:sz w:val="18"/>
        </w:rPr>
        <w:t xml:space="preserve">gehandhaafd en worden opgenomen in artikel 2.34 van het voorstel </w:t>
      </w:r>
      <w:r w:rsidRPr="0014478B" w:rsidR="00275861">
        <w:rPr>
          <w:rFonts w:ascii="Verdana" w:hAnsi="Verdana"/>
          <w:sz w:val="18"/>
        </w:rPr>
        <w:t xml:space="preserve">voor de </w:t>
      </w:r>
      <w:r w:rsidRPr="0014478B">
        <w:rPr>
          <w:rFonts w:ascii="Verdana" w:hAnsi="Verdana"/>
          <w:sz w:val="18"/>
        </w:rPr>
        <w:t xml:space="preserve">Energiewet, dat </w:t>
      </w:r>
      <w:r w:rsidRPr="0014478B" w:rsidR="0047520A">
        <w:rPr>
          <w:rFonts w:ascii="Verdana" w:hAnsi="Verdana"/>
          <w:sz w:val="18"/>
        </w:rPr>
        <w:t>gaat over</w:t>
      </w:r>
      <w:r w:rsidRPr="0014478B">
        <w:rPr>
          <w:rFonts w:ascii="Verdana" w:hAnsi="Verdana"/>
          <w:sz w:val="18"/>
        </w:rPr>
        <w:t xml:space="preserve"> het terugleveren van elektriciteit. </w:t>
      </w:r>
      <w:r w:rsidRPr="0014478B" w:rsidR="0039784D">
        <w:rPr>
          <w:rFonts w:ascii="Verdana" w:hAnsi="Verdana"/>
          <w:sz w:val="18"/>
        </w:rPr>
        <w:t xml:space="preserve">Daarnaast wordt artikel 2.34 uitgebreid met een aantal eisen voor leveranciers uit </w:t>
      </w:r>
      <w:r w:rsidRPr="0014478B" w:rsidR="0039784D">
        <w:rPr>
          <w:rFonts w:ascii="Verdana" w:hAnsi="Verdana"/>
          <w:sz w:val="18"/>
        </w:rPr>
        <w:lastRenderedPageBreak/>
        <w:t>artikel 2.5 van het voorstel voor de Energiewet</w:t>
      </w:r>
      <w:r w:rsidRPr="0014478B" w:rsidR="00511B02">
        <w:rPr>
          <w:rFonts w:ascii="Verdana" w:hAnsi="Verdana"/>
          <w:sz w:val="18"/>
        </w:rPr>
        <w:t xml:space="preserve">, die zien op redelijke en transparante kosten en voorwaarden, door </w:t>
      </w:r>
      <w:r w:rsidRPr="0014478B" w:rsidR="00C1560E">
        <w:rPr>
          <w:rFonts w:ascii="Verdana" w:hAnsi="Verdana"/>
          <w:sz w:val="18"/>
        </w:rPr>
        <w:t xml:space="preserve">die </w:t>
      </w:r>
      <w:r w:rsidRPr="0014478B" w:rsidR="00673B42">
        <w:rPr>
          <w:rFonts w:ascii="Verdana" w:hAnsi="Verdana"/>
          <w:sz w:val="18"/>
        </w:rPr>
        <w:t xml:space="preserve">van </w:t>
      </w:r>
      <w:r w:rsidRPr="0014478B">
        <w:rPr>
          <w:rFonts w:ascii="Verdana" w:hAnsi="Verdana"/>
          <w:sz w:val="18"/>
        </w:rPr>
        <w:t xml:space="preserve">overeenkomstige toepassing </w:t>
      </w:r>
      <w:r w:rsidRPr="0014478B" w:rsidR="0004178C">
        <w:rPr>
          <w:rFonts w:ascii="Verdana" w:hAnsi="Verdana"/>
          <w:sz w:val="18"/>
        </w:rPr>
        <w:t>te verklaren</w:t>
      </w:r>
      <w:r w:rsidRPr="0014478B" w:rsidR="002C1AD7">
        <w:rPr>
          <w:rFonts w:ascii="Verdana" w:hAnsi="Verdana"/>
          <w:sz w:val="18"/>
        </w:rPr>
        <w:t xml:space="preserve">. </w:t>
      </w:r>
    </w:p>
    <w:p w:rsidRPr="0014478B" w:rsidR="00140E0D" w:rsidP="00CD7A9A" w:rsidRDefault="00140E0D" w14:paraId="17C2BF10" w14:textId="77777777">
      <w:pPr>
        <w:spacing w:after="0" w:line="240" w:lineRule="atLeast"/>
        <w:rPr>
          <w:rFonts w:ascii="Verdana" w:hAnsi="Verdana"/>
          <w:i/>
          <w:sz w:val="18"/>
        </w:rPr>
      </w:pPr>
    </w:p>
    <w:p w:rsidRPr="0014478B" w:rsidR="00E90DBA" w:rsidP="00CD7A9A" w:rsidRDefault="001D2645" w14:paraId="79E52F07" w14:textId="3327C524">
      <w:pPr>
        <w:spacing w:after="0" w:line="240" w:lineRule="atLeast"/>
        <w:rPr>
          <w:rFonts w:ascii="Verdana" w:hAnsi="Verdana"/>
          <w:i/>
          <w:sz w:val="18"/>
        </w:rPr>
      </w:pPr>
      <w:r w:rsidRPr="0014478B">
        <w:rPr>
          <w:rFonts w:ascii="Verdana" w:hAnsi="Verdana"/>
          <w:i/>
          <w:sz w:val="18"/>
        </w:rPr>
        <w:t xml:space="preserve">Rekenvoorbeeld verschil </w:t>
      </w:r>
      <w:r w:rsidRPr="0014478B" w:rsidR="00051556">
        <w:rPr>
          <w:rFonts w:ascii="Verdana" w:hAnsi="Verdana"/>
          <w:i/>
          <w:sz w:val="18"/>
        </w:rPr>
        <w:t>huidige situatie</w:t>
      </w:r>
      <w:r w:rsidRPr="0014478B">
        <w:rPr>
          <w:rFonts w:ascii="Verdana" w:hAnsi="Verdana"/>
          <w:i/>
          <w:sz w:val="18"/>
        </w:rPr>
        <w:t xml:space="preserve"> en nieuwe situatie</w:t>
      </w:r>
    </w:p>
    <w:p w:rsidRPr="0014478B" w:rsidR="00230403" w:rsidP="00CD7A9A" w:rsidRDefault="00230403" w14:paraId="7269B5CB" w14:textId="77777777">
      <w:pPr>
        <w:spacing w:after="0" w:line="240" w:lineRule="atLeast"/>
        <w:rPr>
          <w:rFonts w:ascii="Verdana" w:hAnsi="Verdana"/>
          <w:i/>
          <w:sz w:val="18"/>
        </w:rPr>
      </w:pPr>
    </w:p>
    <w:p w:rsidRPr="0014478B" w:rsidR="00E90DBA" w:rsidP="00CD7A9A" w:rsidRDefault="00E90DBA" w14:paraId="684A0A17" w14:textId="77777777">
      <w:pPr>
        <w:pBdr>
          <w:top w:val="single" w:color="auto" w:sz="4" w:space="1"/>
          <w:left w:val="single" w:color="auto" w:sz="4" w:space="4"/>
          <w:bottom w:val="single" w:color="auto" w:sz="4" w:space="1"/>
          <w:right w:val="single" w:color="auto" w:sz="4" w:space="4"/>
        </w:pBdr>
        <w:spacing w:after="0" w:line="240" w:lineRule="atLeast"/>
        <w:rPr>
          <w:rFonts w:ascii="Verdana" w:hAnsi="Verdana"/>
          <w:b/>
          <w:bCs/>
          <w:sz w:val="18"/>
        </w:rPr>
      </w:pPr>
      <w:r w:rsidRPr="0014478B">
        <w:rPr>
          <w:rFonts w:ascii="Verdana" w:hAnsi="Verdana"/>
          <w:b/>
          <w:bCs/>
          <w:sz w:val="18"/>
        </w:rPr>
        <w:t>Voorbeeld:</w:t>
      </w:r>
    </w:p>
    <w:p w:rsidRPr="0014478B" w:rsidR="00E90DBA" w:rsidP="00CD7A9A" w:rsidRDefault="00E90DBA" w14:paraId="7B71F995" w14:textId="2F5F603D">
      <w:pPr>
        <w:pBdr>
          <w:top w:val="single" w:color="auto" w:sz="4" w:space="1"/>
          <w:left w:val="single" w:color="auto" w:sz="4" w:space="4"/>
          <w:bottom w:val="single" w:color="auto" w:sz="4" w:space="1"/>
          <w:right w:val="single" w:color="auto" w:sz="4" w:space="4"/>
        </w:pBdr>
        <w:spacing w:after="0" w:line="240" w:lineRule="atLeast"/>
        <w:rPr>
          <w:rFonts w:ascii="Verdana" w:hAnsi="Verdana"/>
          <w:sz w:val="18"/>
        </w:rPr>
      </w:pPr>
      <w:r w:rsidRPr="0014478B">
        <w:rPr>
          <w:rFonts w:ascii="Verdana" w:hAnsi="Verdana"/>
          <w:sz w:val="18"/>
        </w:rPr>
        <w:t>Dit voorbeeld geldt voor een huishouden met een jaar</w:t>
      </w:r>
      <w:r w:rsidRPr="0014478B" w:rsidR="00847906">
        <w:rPr>
          <w:rFonts w:ascii="Verdana" w:hAnsi="Verdana"/>
          <w:sz w:val="18"/>
        </w:rPr>
        <w:t xml:space="preserve">lijks </w:t>
      </w:r>
      <w:r w:rsidRPr="0014478B">
        <w:rPr>
          <w:rFonts w:ascii="Verdana" w:hAnsi="Verdana"/>
          <w:sz w:val="18"/>
        </w:rPr>
        <w:t>verbruik van 3.000 kWh en een jaarlijkse opwek</w:t>
      </w:r>
      <w:r w:rsidRPr="0014478B" w:rsidR="00C52D54">
        <w:rPr>
          <w:rFonts w:ascii="Verdana" w:hAnsi="Verdana"/>
          <w:sz w:val="18"/>
        </w:rPr>
        <w:t>king</w:t>
      </w:r>
      <w:r w:rsidRPr="0014478B">
        <w:rPr>
          <w:rFonts w:ascii="Verdana" w:hAnsi="Verdana"/>
          <w:sz w:val="18"/>
        </w:rPr>
        <w:t xml:space="preserve"> van 3.300 kWh. Het huishouden verbruikt 30% van de opgewekte elektriciteit direct zelf en bespaart hiermee voor 990 kWh het volledige leveringstarief. Uiteindelijk neemt dit huishouden </w:t>
      </w:r>
      <w:r w:rsidRPr="0014478B" w:rsidR="00847906">
        <w:rPr>
          <w:rFonts w:ascii="Verdana" w:hAnsi="Verdana"/>
          <w:sz w:val="18"/>
        </w:rPr>
        <w:t xml:space="preserve">dus </w:t>
      </w:r>
      <w:r w:rsidRPr="0014478B">
        <w:rPr>
          <w:rFonts w:ascii="Verdana" w:hAnsi="Verdana"/>
          <w:sz w:val="18"/>
        </w:rPr>
        <w:t>2.010 kWh van het systeem af en voedt het 2.310 kWh op het systeem in.</w:t>
      </w:r>
    </w:p>
    <w:p w:rsidRPr="0014478B" w:rsidR="00E90DBA" w:rsidP="00CD7A9A" w:rsidRDefault="00E90DBA" w14:paraId="5E80B22D" w14:textId="77777777">
      <w:pPr>
        <w:pBdr>
          <w:top w:val="single" w:color="auto" w:sz="4" w:space="1"/>
          <w:left w:val="single" w:color="auto" w:sz="4" w:space="4"/>
          <w:bottom w:val="single" w:color="auto" w:sz="4" w:space="1"/>
          <w:right w:val="single" w:color="auto" w:sz="4" w:space="4"/>
        </w:pBdr>
        <w:spacing w:after="0" w:line="240" w:lineRule="atLeast"/>
        <w:rPr>
          <w:rFonts w:ascii="Verdana" w:hAnsi="Verdana"/>
          <w:sz w:val="18"/>
        </w:rPr>
      </w:pPr>
    </w:p>
    <w:p w:rsidRPr="0014478B" w:rsidR="00E90DBA" w:rsidP="00CD7A9A" w:rsidRDefault="00E90DBA" w14:paraId="0A405BAA" w14:textId="77777777">
      <w:pPr>
        <w:pBdr>
          <w:top w:val="single" w:color="auto" w:sz="4" w:space="1"/>
          <w:left w:val="single" w:color="auto" w:sz="4" w:space="4"/>
          <w:bottom w:val="single" w:color="auto" w:sz="4" w:space="1"/>
          <w:right w:val="single" w:color="auto" w:sz="4" w:space="4"/>
        </w:pBdr>
        <w:spacing w:after="0" w:line="240" w:lineRule="atLeast"/>
        <w:rPr>
          <w:rFonts w:ascii="Verdana" w:hAnsi="Verdana"/>
          <w:i/>
          <w:iCs/>
          <w:sz w:val="18"/>
        </w:rPr>
      </w:pPr>
      <w:r w:rsidRPr="0014478B">
        <w:rPr>
          <w:rFonts w:ascii="Verdana" w:hAnsi="Verdana"/>
          <w:i/>
          <w:iCs/>
          <w:sz w:val="18"/>
        </w:rPr>
        <w:t>Situatie 2026:</w:t>
      </w:r>
    </w:p>
    <w:p w:rsidRPr="0014478B" w:rsidR="00E90DBA" w:rsidP="00CD7A9A" w:rsidRDefault="00E90DBA" w14:paraId="62095123" w14:textId="2846A556">
      <w:pPr>
        <w:pBdr>
          <w:top w:val="single" w:color="auto" w:sz="4" w:space="1"/>
          <w:left w:val="single" w:color="auto" w:sz="4" w:space="4"/>
          <w:bottom w:val="single" w:color="auto" w:sz="4" w:space="1"/>
          <w:right w:val="single" w:color="auto" w:sz="4" w:space="4"/>
        </w:pBdr>
        <w:spacing w:after="0" w:line="240" w:lineRule="atLeast"/>
        <w:rPr>
          <w:rFonts w:ascii="Verdana" w:hAnsi="Verdana"/>
          <w:sz w:val="18"/>
        </w:rPr>
      </w:pPr>
      <w:r w:rsidRPr="0014478B">
        <w:rPr>
          <w:rFonts w:ascii="Verdana" w:hAnsi="Verdana"/>
          <w:sz w:val="18"/>
        </w:rPr>
        <w:t xml:space="preserve">Het huishouden mag nog salderen in 2026. Aangezien de hoeveelheid van het systeem </w:t>
      </w:r>
      <w:r w:rsidRPr="0014478B" w:rsidR="00E071BD">
        <w:rPr>
          <w:rFonts w:ascii="Verdana" w:hAnsi="Verdana"/>
          <w:sz w:val="18"/>
        </w:rPr>
        <w:t>onttrokken</w:t>
      </w:r>
      <w:r w:rsidRPr="0014478B">
        <w:rPr>
          <w:rFonts w:ascii="Verdana" w:hAnsi="Verdana"/>
          <w:sz w:val="18"/>
        </w:rPr>
        <w:t xml:space="preserve"> elektriciteit lager ligt dan de hoeveelheid op het systeem ingevoede elektriciteit, mag het huishouden de totale hoeveelheid van het systeem </w:t>
      </w:r>
      <w:r w:rsidRPr="0014478B" w:rsidR="00E071BD">
        <w:rPr>
          <w:rFonts w:ascii="Verdana" w:hAnsi="Verdana"/>
          <w:sz w:val="18"/>
        </w:rPr>
        <w:t xml:space="preserve">onttrokken </w:t>
      </w:r>
      <w:r w:rsidRPr="0014478B">
        <w:rPr>
          <w:rFonts w:ascii="Verdana" w:hAnsi="Verdana"/>
          <w:sz w:val="18"/>
        </w:rPr>
        <w:t xml:space="preserve">elektriciteit salderen. Het huishouden betaalt dus geen leveringstarief, energiebelasting en btw over de 2.010 kWh die het van het systeem heeft </w:t>
      </w:r>
      <w:r w:rsidRPr="0014478B" w:rsidR="00E071BD">
        <w:rPr>
          <w:rFonts w:ascii="Verdana" w:hAnsi="Verdana"/>
          <w:sz w:val="18"/>
        </w:rPr>
        <w:t>onttrokken</w:t>
      </w:r>
      <w:r w:rsidRPr="0014478B">
        <w:rPr>
          <w:rFonts w:ascii="Verdana" w:hAnsi="Verdana"/>
          <w:sz w:val="18"/>
        </w:rPr>
        <w:t>. Voor de overige 300 kWh die op het systeem is ingevoed ontvangt het huishouden een redelijke vergoeding.</w:t>
      </w:r>
    </w:p>
    <w:p w:rsidRPr="0014478B" w:rsidR="00E90DBA" w:rsidP="00CD7A9A" w:rsidRDefault="00E90DBA" w14:paraId="1A7A9764" w14:textId="77777777">
      <w:pPr>
        <w:pBdr>
          <w:top w:val="single" w:color="auto" w:sz="4" w:space="1"/>
          <w:left w:val="single" w:color="auto" w:sz="4" w:space="4"/>
          <w:bottom w:val="single" w:color="auto" w:sz="4" w:space="1"/>
          <w:right w:val="single" w:color="auto" w:sz="4" w:space="4"/>
        </w:pBdr>
        <w:spacing w:after="0" w:line="240" w:lineRule="atLeast"/>
        <w:rPr>
          <w:rFonts w:ascii="Verdana" w:hAnsi="Verdana"/>
          <w:sz w:val="18"/>
        </w:rPr>
      </w:pPr>
    </w:p>
    <w:p w:rsidRPr="0014478B" w:rsidR="00E90DBA" w:rsidP="00CD7A9A" w:rsidRDefault="00E90DBA" w14:paraId="6C0E8B7A" w14:textId="77777777">
      <w:pPr>
        <w:pBdr>
          <w:top w:val="single" w:color="auto" w:sz="4" w:space="1"/>
          <w:left w:val="single" w:color="auto" w:sz="4" w:space="4"/>
          <w:bottom w:val="single" w:color="auto" w:sz="4" w:space="1"/>
          <w:right w:val="single" w:color="auto" w:sz="4" w:space="4"/>
        </w:pBdr>
        <w:spacing w:after="0" w:line="240" w:lineRule="atLeast"/>
        <w:rPr>
          <w:rFonts w:ascii="Verdana" w:hAnsi="Verdana"/>
          <w:i/>
          <w:iCs/>
          <w:sz w:val="18"/>
        </w:rPr>
      </w:pPr>
      <w:r w:rsidRPr="0014478B">
        <w:rPr>
          <w:rFonts w:ascii="Verdana" w:hAnsi="Verdana"/>
          <w:i/>
          <w:iCs/>
          <w:sz w:val="18"/>
        </w:rPr>
        <w:t>Situatie 2027:</w:t>
      </w:r>
    </w:p>
    <w:p w:rsidRPr="0014478B" w:rsidR="00E90DBA" w:rsidP="00CD7A9A" w:rsidRDefault="00E90DBA" w14:paraId="0509B159" w14:textId="4719AFF0">
      <w:pPr>
        <w:pBdr>
          <w:top w:val="single" w:color="auto" w:sz="4" w:space="1"/>
          <w:left w:val="single" w:color="auto" w:sz="4" w:space="4"/>
          <w:bottom w:val="single" w:color="auto" w:sz="4" w:space="1"/>
          <w:right w:val="single" w:color="auto" w:sz="4" w:space="4"/>
        </w:pBdr>
        <w:spacing w:after="0" w:line="240" w:lineRule="atLeast"/>
        <w:rPr>
          <w:rFonts w:ascii="Verdana" w:hAnsi="Verdana"/>
          <w:sz w:val="18"/>
        </w:rPr>
      </w:pPr>
      <w:r w:rsidRPr="0014478B">
        <w:rPr>
          <w:rFonts w:ascii="Verdana" w:hAnsi="Verdana"/>
          <w:sz w:val="18"/>
        </w:rPr>
        <w:t xml:space="preserve">Het huishouden kan niet meer salderen en </w:t>
      </w:r>
      <w:r w:rsidRPr="0014478B" w:rsidR="00E071BD">
        <w:rPr>
          <w:rFonts w:ascii="Verdana" w:hAnsi="Verdana"/>
          <w:sz w:val="18"/>
        </w:rPr>
        <w:t xml:space="preserve">ontvangt dus voor de volledige </w:t>
      </w:r>
      <w:r w:rsidRPr="0014478B" w:rsidR="009E4A76">
        <w:rPr>
          <w:rFonts w:ascii="Verdana" w:hAnsi="Verdana"/>
          <w:sz w:val="18"/>
        </w:rPr>
        <w:t xml:space="preserve">hoeveelheid </w:t>
      </w:r>
      <w:r w:rsidRPr="0014478B" w:rsidR="00E071BD">
        <w:rPr>
          <w:rFonts w:ascii="Verdana" w:hAnsi="Verdana"/>
          <w:sz w:val="18"/>
        </w:rPr>
        <w:t>op het systeem ingevoede</w:t>
      </w:r>
      <w:r w:rsidRPr="0014478B" w:rsidR="006C55BC">
        <w:rPr>
          <w:rFonts w:ascii="Verdana" w:hAnsi="Verdana"/>
          <w:sz w:val="18"/>
        </w:rPr>
        <w:t xml:space="preserve"> elektriciteit</w:t>
      </w:r>
      <w:r w:rsidRPr="0014478B" w:rsidR="009E4A76">
        <w:rPr>
          <w:rFonts w:ascii="Verdana" w:hAnsi="Verdana"/>
          <w:sz w:val="18"/>
        </w:rPr>
        <w:t>,</w:t>
      </w:r>
      <w:r w:rsidRPr="0014478B" w:rsidR="00E071BD">
        <w:rPr>
          <w:rFonts w:ascii="Verdana" w:hAnsi="Verdana"/>
          <w:sz w:val="18"/>
        </w:rPr>
        <w:t xml:space="preserve"> </w:t>
      </w:r>
      <w:r w:rsidRPr="0014478B" w:rsidR="006C55BC">
        <w:rPr>
          <w:rFonts w:ascii="Verdana" w:hAnsi="Verdana"/>
          <w:sz w:val="18"/>
        </w:rPr>
        <w:t xml:space="preserve">dus </w:t>
      </w:r>
      <w:r w:rsidRPr="0014478B" w:rsidR="00E071BD">
        <w:rPr>
          <w:rFonts w:ascii="Verdana" w:hAnsi="Verdana"/>
          <w:sz w:val="18"/>
        </w:rPr>
        <w:t>2.310 kWh</w:t>
      </w:r>
      <w:r w:rsidRPr="0014478B" w:rsidR="009E4A76">
        <w:rPr>
          <w:rFonts w:ascii="Verdana" w:hAnsi="Verdana"/>
          <w:sz w:val="18"/>
        </w:rPr>
        <w:t>,</w:t>
      </w:r>
      <w:r w:rsidRPr="0014478B" w:rsidR="00E071BD">
        <w:rPr>
          <w:rFonts w:ascii="Verdana" w:hAnsi="Verdana"/>
          <w:sz w:val="18"/>
        </w:rPr>
        <w:t xml:space="preserve"> een redelijke vergoeding. </w:t>
      </w:r>
      <w:r w:rsidRPr="0014478B" w:rsidR="006C55BC">
        <w:rPr>
          <w:rFonts w:ascii="Verdana" w:hAnsi="Verdana"/>
          <w:sz w:val="18"/>
        </w:rPr>
        <w:t xml:space="preserve">Het huishouden </w:t>
      </w:r>
      <w:r w:rsidRPr="0014478B">
        <w:rPr>
          <w:rFonts w:ascii="Verdana" w:hAnsi="Verdana"/>
          <w:sz w:val="18"/>
        </w:rPr>
        <w:t xml:space="preserve">betaalt voor de 2.010 kWh die van het systeem is </w:t>
      </w:r>
      <w:r w:rsidRPr="0014478B" w:rsidR="00E071BD">
        <w:rPr>
          <w:rFonts w:ascii="Verdana" w:hAnsi="Verdana"/>
          <w:sz w:val="18"/>
        </w:rPr>
        <w:t>on</w:t>
      </w:r>
      <w:r w:rsidRPr="0014478B" w:rsidR="006C55BC">
        <w:rPr>
          <w:rFonts w:ascii="Verdana" w:hAnsi="Verdana"/>
          <w:sz w:val="18"/>
        </w:rPr>
        <w:t>t</w:t>
      </w:r>
      <w:r w:rsidRPr="0014478B" w:rsidR="00E071BD">
        <w:rPr>
          <w:rFonts w:ascii="Verdana" w:hAnsi="Verdana"/>
          <w:sz w:val="18"/>
        </w:rPr>
        <w:t>trokken</w:t>
      </w:r>
      <w:r w:rsidRPr="0014478B">
        <w:rPr>
          <w:rFonts w:ascii="Verdana" w:hAnsi="Verdana"/>
          <w:sz w:val="18"/>
        </w:rPr>
        <w:t xml:space="preserve"> het volledige leveringstarief, inclusief energiebelasting en btw. </w:t>
      </w:r>
    </w:p>
    <w:p w:rsidRPr="0014478B" w:rsidR="00E90DBA" w:rsidP="00CD7A9A" w:rsidRDefault="00E90DBA" w14:paraId="5FE557B5" w14:textId="77777777">
      <w:pPr>
        <w:pBdr>
          <w:top w:val="single" w:color="auto" w:sz="4" w:space="1"/>
          <w:left w:val="single" w:color="auto" w:sz="4" w:space="4"/>
          <w:bottom w:val="single" w:color="auto" w:sz="4" w:space="1"/>
          <w:right w:val="single" w:color="auto" w:sz="4" w:space="4"/>
        </w:pBdr>
        <w:spacing w:after="0" w:line="240" w:lineRule="atLeast"/>
        <w:rPr>
          <w:rFonts w:ascii="Verdana" w:hAnsi="Verdana"/>
          <w:sz w:val="18"/>
        </w:rPr>
      </w:pPr>
    </w:p>
    <w:p w:rsidRPr="0014478B" w:rsidR="00E90DBA" w:rsidP="00CD7A9A" w:rsidRDefault="00E90DBA" w14:paraId="7C629351" w14:textId="77777777">
      <w:pPr>
        <w:spacing w:after="0" w:line="240" w:lineRule="atLeast"/>
        <w:rPr>
          <w:rFonts w:ascii="Verdana" w:hAnsi="Verdana"/>
          <w:sz w:val="18"/>
        </w:rPr>
      </w:pPr>
    </w:p>
    <w:p w:rsidRPr="0014478B" w:rsidR="00E90DBA" w:rsidP="00CD7A9A" w:rsidRDefault="00E90DBA" w14:paraId="7333C347" w14:textId="77777777">
      <w:pPr>
        <w:spacing w:after="0" w:line="240" w:lineRule="atLeast"/>
        <w:rPr>
          <w:rFonts w:ascii="Verdana" w:hAnsi="Verdana"/>
          <w:b/>
          <w:bCs/>
          <w:kern w:val="0"/>
          <w:sz w:val="18"/>
          <w:szCs w:val="18"/>
          <w14:ligatures w14:val="none"/>
        </w:rPr>
      </w:pPr>
      <w:r w:rsidRPr="0014478B">
        <w:rPr>
          <w:rFonts w:ascii="Verdana" w:hAnsi="Verdana"/>
          <w:b/>
          <w:bCs/>
          <w:kern w:val="0"/>
          <w:sz w:val="18"/>
          <w:szCs w:val="18"/>
          <w14:ligatures w14:val="none"/>
        </w:rPr>
        <w:t>3. Gevolgen van het wetsvoorstel</w:t>
      </w:r>
    </w:p>
    <w:p w:rsidRPr="0014478B" w:rsidR="00E90DBA" w:rsidP="00CD7A9A" w:rsidRDefault="00E90DBA" w14:paraId="23D76E69" w14:textId="77777777">
      <w:pPr>
        <w:spacing w:after="0" w:line="240" w:lineRule="atLeast"/>
        <w:rPr>
          <w:rFonts w:ascii="Verdana" w:hAnsi="Verdana"/>
          <w:sz w:val="18"/>
        </w:rPr>
      </w:pPr>
    </w:p>
    <w:p w:rsidRPr="0014478B" w:rsidR="00E90DBA" w:rsidP="00CD7A9A" w:rsidRDefault="00E90DBA" w14:paraId="70E0C453" w14:textId="040ED987">
      <w:pPr>
        <w:spacing w:after="0" w:line="240" w:lineRule="atLeast"/>
        <w:rPr>
          <w:rFonts w:ascii="Verdana" w:hAnsi="Verdana"/>
          <w:sz w:val="18"/>
        </w:rPr>
      </w:pPr>
      <w:r w:rsidRPr="0014478B">
        <w:rPr>
          <w:rFonts w:ascii="Verdana" w:hAnsi="Verdana"/>
          <w:sz w:val="18"/>
        </w:rPr>
        <w:t>Dit wetsvoorstel kent gevolgen voor het energiesysteem</w:t>
      </w:r>
      <w:r w:rsidRPr="0014478B" w:rsidR="006044BD">
        <w:rPr>
          <w:rFonts w:ascii="Verdana" w:hAnsi="Verdana"/>
          <w:sz w:val="18"/>
        </w:rPr>
        <w:t>, maar ook</w:t>
      </w:r>
      <w:r w:rsidRPr="0014478B">
        <w:rPr>
          <w:rFonts w:ascii="Verdana" w:hAnsi="Verdana"/>
          <w:sz w:val="18"/>
        </w:rPr>
        <w:t xml:space="preserve"> voor </w:t>
      </w:r>
      <w:r w:rsidRPr="0014478B" w:rsidR="001C4AB0">
        <w:rPr>
          <w:rFonts w:ascii="Verdana" w:hAnsi="Verdana"/>
          <w:sz w:val="18"/>
        </w:rPr>
        <w:t>actieve afnemers</w:t>
      </w:r>
      <w:r w:rsidRPr="0014478B">
        <w:rPr>
          <w:rFonts w:ascii="Verdana" w:hAnsi="Verdana"/>
          <w:sz w:val="18"/>
        </w:rPr>
        <w:t>, leveranciers</w:t>
      </w:r>
      <w:r w:rsidRPr="0014478B" w:rsidR="006044BD">
        <w:rPr>
          <w:rFonts w:ascii="Verdana" w:hAnsi="Verdana"/>
          <w:sz w:val="18"/>
        </w:rPr>
        <w:t>,</w:t>
      </w:r>
      <w:r w:rsidRPr="0014478B">
        <w:rPr>
          <w:rFonts w:ascii="Verdana" w:hAnsi="Verdana"/>
          <w:sz w:val="18"/>
        </w:rPr>
        <w:t xml:space="preserve"> installateurs</w:t>
      </w:r>
      <w:r w:rsidRPr="0014478B" w:rsidR="006044BD">
        <w:rPr>
          <w:rFonts w:ascii="Verdana" w:hAnsi="Verdana"/>
          <w:sz w:val="18"/>
        </w:rPr>
        <w:t xml:space="preserve"> en de huursector</w:t>
      </w:r>
      <w:r w:rsidRPr="0014478B" w:rsidR="000C1198">
        <w:rPr>
          <w:rStyle w:val="Voetnootmarkering"/>
          <w:rFonts w:ascii="Verdana" w:hAnsi="Verdana"/>
          <w:sz w:val="18"/>
        </w:rPr>
        <w:footnoteReference w:id="12"/>
      </w:r>
      <w:r w:rsidRPr="0014478B">
        <w:rPr>
          <w:rFonts w:ascii="Verdana" w:hAnsi="Verdana"/>
          <w:sz w:val="18"/>
        </w:rPr>
        <w:t>. Er is een periode van twee jaar tussen het beoogde moment van aannemen van het wetsvoorstel en de daadwerkelijke beëindiging van de salderingsregeling. Die termijn is voldoende voor een zorgvuldige voorbereiding op een nieuwe situatie zonder salderingsregeling.</w:t>
      </w:r>
    </w:p>
    <w:p w:rsidRPr="0014478B" w:rsidR="002437E7" w:rsidP="002437E7" w:rsidRDefault="002437E7" w14:paraId="58B4D05F" w14:textId="77777777">
      <w:pPr>
        <w:rPr>
          <w:rFonts w:ascii="Verdana" w:hAnsi="Verdana"/>
          <w:i/>
          <w:iCs/>
          <w:sz w:val="18"/>
        </w:rPr>
      </w:pPr>
    </w:p>
    <w:p w:rsidRPr="0014478B" w:rsidR="00E90DBA" w:rsidP="002437E7" w:rsidRDefault="00E90DBA" w14:paraId="79D8A267" w14:textId="1F81FC32">
      <w:pPr>
        <w:rPr>
          <w:rFonts w:ascii="Verdana" w:hAnsi="Verdana"/>
          <w:i/>
          <w:iCs/>
          <w:sz w:val="18"/>
        </w:rPr>
      </w:pPr>
      <w:r w:rsidRPr="0014478B">
        <w:rPr>
          <w:rFonts w:ascii="Verdana" w:hAnsi="Verdana"/>
          <w:i/>
          <w:iCs/>
          <w:sz w:val="18"/>
        </w:rPr>
        <w:t>Gevolgen voor het energiesysteem</w:t>
      </w:r>
    </w:p>
    <w:p w:rsidRPr="0014478B" w:rsidR="00CD7A9A" w:rsidP="00CD7A9A" w:rsidRDefault="00CD7A9A" w14:paraId="4B1683BD" w14:textId="77777777">
      <w:pPr>
        <w:spacing w:after="0" w:line="240" w:lineRule="atLeast"/>
        <w:rPr>
          <w:rFonts w:ascii="Verdana" w:hAnsi="Verdana"/>
          <w:sz w:val="18"/>
        </w:rPr>
      </w:pPr>
    </w:p>
    <w:p w:rsidRPr="0014478B" w:rsidR="00D36CC9" w:rsidP="00CD7A9A" w:rsidRDefault="00E90DBA" w14:paraId="0EAD4629" w14:textId="6CAD836D">
      <w:pPr>
        <w:spacing w:after="0" w:line="240" w:lineRule="atLeast"/>
        <w:rPr>
          <w:rFonts w:ascii="Verdana" w:hAnsi="Verdana" w:cstheme="minorHAnsi"/>
          <w:sz w:val="18"/>
        </w:rPr>
      </w:pPr>
      <w:r w:rsidRPr="0014478B">
        <w:rPr>
          <w:rFonts w:ascii="Verdana" w:hAnsi="Verdana"/>
          <w:sz w:val="18"/>
        </w:rPr>
        <w:t xml:space="preserve">Door de salderingsregeling ervaart de consument met zonnepanelen geen prikkel om zelfopgewekte elektriciteit zoveel mogelijk </w:t>
      </w:r>
      <w:r w:rsidRPr="0014478B" w:rsidR="0030744B">
        <w:rPr>
          <w:rFonts w:ascii="Verdana" w:hAnsi="Verdana"/>
          <w:sz w:val="18"/>
        </w:rPr>
        <w:t>achter de meter</w:t>
      </w:r>
      <w:r w:rsidRPr="0014478B">
        <w:rPr>
          <w:rFonts w:ascii="Verdana" w:hAnsi="Verdana"/>
          <w:sz w:val="18"/>
        </w:rPr>
        <w:t xml:space="preserve"> te verbruiken</w:t>
      </w:r>
      <w:r w:rsidRPr="0014478B" w:rsidR="0030744B">
        <w:rPr>
          <w:rFonts w:ascii="Verdana" w:hAnsi="Verdana"/>
          <w:sz w:val="18"/>
        </w:rPr>
        <w:t xml:space="preserve">. </w:t>
      </w:r>
      <w:r w:rsidRPr="0014478B">
        <w:rPr>
          <w:rFonts w:ascii="Verdana" w:hAnsi="Verdana"/>
          <w:sz w:val="18"/>
        </w:rPr>
        <w:t>Dit heeft nadelige gevolgen voor het energiesysteem</w:t>
      </w:r>
      <w:r w:rsidRPr="0014478B" w:rsidR="00ED7014">
        <w:rPr>
          <w:rFonts w:ascii="Verdana" w:hAnsi="Verdana"/>
          <w:sz w:val="18"/>
        </w:rPr>
        <w:t xml:space="preserve"> en</w:t>
      </w:r>
      <w:r w:rsidRPr="0014478B">
        <w:rPr>
          <w:rFonts w:ascii="Verdana" w:hAnsi="Verdana"/>
          <w:sz w:val="18"/>
        </w:rPr>
        <w:t xml:space="preserve"> </w:t>
      </w:r>
      <w:r w:rsidRPr="0014478B" w:rsidR="00F41DB1">
        <w:rPr>
          <w:rFonts w:ascii="Verdana" w:hAnsi="Verdana"/>
          <w:sz w:val="18"/>
        </w:rPr>
        <w:t xml:space="preserve">draagt </w:t>
      </w:r>
      <w:r w:rsidRPr="0014478B" w:rsidR="00EB4B83">
        <w:rPr>
          <w:rFonts w:ascii="Verdana" w:hAnsi="Verdana"/>
          <w:sz w:val="18"/>
        </w:rPr>
        <w:t xml:space="preserve">bij aan netcongestie </w:t>
      </w:r>
      <w:r w:rsidRPr="0014478B" w:rsidR="007C2390">
        <w:rPr>
          <w:rFonts w:ascii="Verdana" w:hAnsi="Verdana"/>
          <w:sz w:val="18"/>
        </w:rPr>
        <w:t xml:space="preserve">door te veel gelijktijdige invoeding van elektriciteit </w:t>
      </w:r>
      <w:r w:rsidRPr="0014478B" w:rsidR="00A44147">
        <w:rPr>
          <w:rFonts w:ascii="Verdana" w:hAnsi="Verdana"/>
          <w:sz w:val="18"/>
        </w:rPr>
        <w:t>en</w:t>
      </w:r>
      <w:r w:rsidRPr="0014478B" w:rsidR="007C2390">
        <w:rPr>
          <w:rFonts w:ascii="Verdana" w:hAnsi="Verdana"/>
          <w:sz w:val="18"/>
        </w:rPr>
        <w:t xml:space="preserve"> door te veel gelijktijdige afname</w:t>
      </w:r>
      <w:r w:rsidRPr="0014478B">
        <w:rPr>
          <w:rFonts w:ascii="Verdana" w:hAnsi="Verdana"/>
          <w:sz w:val="18"/>
        </w:rPr>
        <w:t>.</w:t>
      </w:r>
      <w:r w:rsidRPr="0014478B" w:rsidR="00D36CC9">
        <w:rPr>
          <w:rFonts w:ascii="Verdana" w:hAnsi="Verdana" w:cstheme="minorHAnsi"/>
          <w:sz w:val="18"/>
        </w:rPr>
        <w:t xml:space="preserve"> </w:t>
      </w:r>
      <w:r w:rsidRPr="0014478B" w:rsidR="00A44147">
        <w:rPr>
          <w:rFonts w:ascii="Verdana" w:hAnsi="Verdana" w:cstheme="minorHAnsi"/>
          <w:sz w:val="18"/>
        </w:rPr>
        <w:t xml:space="preserve">Voor wat betreft </w:t>
      </w:r>
      <w:r w:rsidRPr="0014478B" w:rsidR="00D328F3">
        <w:rPr>
          <w:rFonts w:ascii="Verdana" w:hAnsi="Verdana" w:cstheme="minorHAnsi"/>
          <w:sz w:val="18"/>
        </w:rPr>
        <w:t xml:space="preserve">de invoeding </w:t>
      </w:r>
      <w:r w:rsidRPr="0014478B" w:rsidR="00D36CC9">
        <w:rPr>
          <w:rFonts w:ascii="Verdana" w:hAnsi="Verdana" w:cstheme="minorHAnsi"/>
          <w:sz w:val="18"/>
        </w:rPr>
        <w:t xml:space="preserve">kan </w:t>
      </w:r>
      <w:r w:rsidRPr="0014478B" w:rsidR="0088020A">
        <w:rPr>
          <w:rFonts w:ascii="Verdana" w:hAnsi="Verdana" w:cstheme="minorHAnsi"/>
          <w:sz w:val="18"/>
        </w:rPr>
        <w:t xml:space="preserve">op zonnige momenten </w:t>
      </w:r>
      <w:r w:rsidRPr="0014478B" w:rsidR="00D36CC9">
        <w:rPr>
          <w:rFonts w:ascii="Verdana" w:hAnsi="Verdana" w:cstheme="minorHAnsi"/>
          <w:sz w:val="18"/>
        </w:rPr>
        <w:t xml:space="preserve">te veel invoeding van door zonnepanelen opgewekte elektriciteit zorgen voor overbelasting van het systeem. Hierdoor kunnen omvormers uitvallen en kan de zonnestroom tijdelijk niet </w:t>
      </w:r>
      <w:r w:rsidRPr="0014478B" w:rsidR="0025725E">
        <w:rPr>
          <w:rFonts w:ascii="Verdana" w:hAnsi="Verdana" w:cstheme="minorHAnsi"/>
          <w:sz w:val="18"/>
        </w:rPr>
        <w:t xml:space="preserve">worden ingevoed in </w:t>
      </w:r>
      <w:r w:rsidRPr="0014478B" w:rsidR="00D36CC9">
        <w:rPr>
          <w:rFonts w:ascii="Verdana" w:hAnsi="Verdana" w:cstheme="minorHAnsi"/>
          <w:sz w:val="18"/>
        </w:rPr>
        <w:t xml:space="preserve">het systeem. </w:t>
      </w:r>
      <w:r w:rsidRPr="0014478B" w:rsidR="00051CAA">
        <w:rPr>
          <w:rFonts w:ascii="Verdana" w:hAnsi="Verdana" w:cstheme="minorHAnsi"/>
          <w:sz w:val="18"/>
        </w:rPr>
        <w:t xml:space="preserve">Wanneer er </w:t>
      </w:r>
      <w:r w:rsidRPr="0014478B" w:rsidR="00D36CC9">
        <w:rPr>
          <w:rFonts w:ascii="Verdana" w:hAnsi="Verdana" w:cstheme="minorHAnsi"/>
          <w:sz w:val="18"/>
        </w:rPr>
        <w:t xml:space="preserve">een te grote vraag naar elektriciteit </w:t>
      </w:r>
      <w:r w:rsidRPr="0014478B" w:rsidR="00051CAA">
        <w:rPr>
          <w:rFonts w:ascii="Verdana" w:hAnsi="Verdana" w:cstheme="minorHAnsi"/>
          <w:sz w:val="18"/>
        </w:rPr>
        <w:t xml:space="preserve">is, kan dit </w:t>
      </w:r>
      <w:r w:rsidRPr="0014478B" w:rsidR="00D36CC9">
        <w:rPr>
          <w:rFonts w:ascii="Verdana" w:hAnsi="Verdana" w:cstheme="minorHAnsi"/>
          <w:sz w:val="18"/>
        </w:rPr>
        <w:t xml:space="preserve">op piekmomenten leiden tot onderspanning van het systeem. Dit veroorzaakt knipperende lampen en niet goed werkende apparatuur. </w:t>
      </w:r>
      <w:r w:rsidRPr="0014478B" w:rsidR="00A86EC8">
        <w:rPr>
          <w:rFonts w:ascii="Verdana" w:hAnsi="Verdana" w:cstheme="minorHAnsi"/>
          <w:sz w:val="18"/>
        </w:rPr>
        <w:t>Dit kan</w:t>
      </w:r>
      <w:r w:rsidRPr="0014478B" w:rsidR="00D36CC9">
        <w:rPr>
          <w:rFonts w:ascii="Verdana" w:hAnsi="Verdana" w:cstheme="minorHAnsi"/>
          <w:sz w:val="18"/>
        </w:rPr>
        <w:t xml:space="preserve"> in 2030 </w:t>
      </w:r>
      <w:r w:rsidRPr="0014478B" w:rsidR="00A86EC8">
        <w:rPr>
          <w:rFonts w:ascii="Verdana" w:hAnsi="Verdana" w:cstheme="minorHAnsi"/>
          <w:sz w:val="18"/>
        </w:rPr>
        <w:t xml:space="preserve">resulteren in </w:t>
      </w:r>
      <w:r w:rsidRPr="0014478B" w:rsidR="00D36CC9">
        <w:rPr>
          <w:rFonts w:ascii="Verdana" w:hAnsi="Verdana" w:cstheme="minorHAnsi"/>
          <w:sz w:val="18"/>
        </w:rPr>
        <w:t xml:space="preserve">circa 750.000 huishoudens </w:t>
      </w:r>
      <w:r w:rsidRPr="0014478B" w:rsidR="00A86EC8">
        <w:rPr>
          <w:rFonts w:ascii="Verdana" w:hAnsi="Verdana" w:cstheme="minorHAnsi"/>
          <w:sz w:val="18"/>
        </w:rPr>
        <w:t xml:space="preserve">die </w:t>
      </w:r>
      <w:r w:rsidRPr="0014478B" w:rsidR="00D36CC9">
        <w:rPr>
          <w:rFonts w:ascii="Verdana" w:hAnsi="Verdana" w:cstheme="minorHAnsi"/>
          <w:sz w:val="18"/>
        </w:rPr>
        <w:t>te maken krijgen met overbelasting en nog eens 350.000 huishoudens met onderspanning</w:t>
      </w:r>
      <w:r w:rsidRPr="0014478B" w:rsidR="00D36CC9">
        <w:rPr>
          <w:rStyle w:val="Voetnootmarkering"/>
          <w:rFonts w:ascii="Verdana" w:hAnsi="Verdana" w:cstheme="minorHAnsi"/>
          <w:sz w:val="18"/>
        </w:rPr>
        <w:footnoteReference w:id="13"/>
      </w:r>
      <w:r w:rsidRPr="0014478B" w:rsidR="00D36CC9">
        <w:rPr>
          <w:rFonts w:ascii="Verdana" w:hAnsi="Verdana" w:cstheme="minorHAnsi"/>
          <w:sz w:val="18"/>
        </w:rPr>
        <w:t>.</w:t>
      </w:r>
    </w:p>
    <w:p w:rsidRPr="0014478B" w:rsidR="00CD7A9A" w:rsidP="00CD7A9A" w:rsidRDefault="00CD7A9A" w14:paraId="59D0B650" w14:textId="77777777">
      <w:pPr>
        <w:spacing w:after="0" w:line="240" w:lineRule="atLeast"/>
        <w:rPr>
          <w:rFonts w:ascii="Verdana" w:hAnsi="Verdana"/>
          <w:sz w:val="18"/>
        </w:rPr>
      </w:pPr>
    </w:p>
    <w:p w:rsidRPr="0014478B" w:rsidR="00E90DBA" w:rsidP="00CD7A9A" w:rsidRDefault="00E90DBA" w14:paraId="2605E61D" w14:textId="1720A117">
      <w:pPr>
        <w:spacing w:after="0" w:line="240" w:lineRule="atLeast"/>
        <w:rPr>
          <w:rFonts w:ascii="Verdana" w:hAnsi="Verdana"/>
          <w:sz w:val="18"/>
        </w:rPr>
      </w:pPr>
      <w:r w:rsidRPr="0014478B">
        <w:rPr>
          <w:rFonts w:ascii="Verdana" w:hAnsi="Verdana"/>
          <w:sz w:val="18"/>
        </w:rPr>
        <w:t xml:space="preserve">Het beëindigen van de salderingsregeling brengt hier verandering in doordat er een financiële prikkel ontstaat om zelf opgewekte </w:t>
      </w:r>
      <w:r w:rsidRPr="0014478B" w:rsidR="00A86EC8">
        <w:rPr>
          <w:rFonts w:ascii="Verdana" w:hAnsi="Verdana"/>
          <w:sz w:val="18"/>
        </w:rPr>
        <w:t xml:space="preserve">hernieuwbare </w:t>
      </w:r>
      <w:r w:rsidRPr="0014478B">
        <w:rPr>
          <w:rFonts w:ascii="Verdana" w:hAnsi="Verdana"/>
          <w:sz w:val="18"/>
        </w:rPr>
        <w:t xml:space="preserve">elektriciteit zoveel mogelijk </w:t>
      </w:r>
      <w:r w:rsidRPr="0014478B" w:rsidR="007C2390">
        <w:rPr>
          <w:rFonts w:ascii="Verdana" w:hAnsi="Verdana"/>
          <w:sz w:val="18"/>
        </w:rPr>
        <w:t xml:space="preserve">direct </w:t>
      </w:r>
      <w:r w:rsidRPr="0014478B">
        <w:rPr>
          <w:rFonts w:ascii="Verdana" w:hAnsi="Verdana"/>
          <w:sz w:val="18"/>
        </w:rPr>
        <w:t xml:space="preserve">te verbruiken. </w:t>
      </w:r>
      <w:r w:rsidRPr="0014478B" w:rsidR="00F8702B">
        <w:rPr>
          <w:rFonts w:ascii="Verdana" w:hAnsi="Verdana"/>
          <w:sz w:val="18"/>
        </w:rPr>
        <w:t xml:space="preserve">Momenteel geldt al dat </w:t>
      </w:r>
      <w:r w:rsidRPr="0014478B" w:rsidR="00FE185E">
        <w:rPr>
          <w:rFonts w:ascii="Verdana" w:hAnsi="Verdana"/>
          <w:sz w:val="18"/>
        </w:rPr>
        <w:t>als</w:t>
      </w:r>
      <w:r w:rsidRPr="0014478B">
        <w:rPr>
          <w:rFonts w:ascii="Verdana" w:hAnsi="Verdana"/>
          <w:sz w:val="18"/>
        </w:rPr>
        <w:t xml:space="preserve"> een huishouden opgewekte elektriciteit direct </w:t>
      </w:r>
      <w:r w:rsidRPr="0014478B" w:rsidR="00FE185E">
        <w:rPr>
          <w:rFonts w:ascii="Verdana" w:hAnsi="Verdana"/>
          <w:sz w:val="18"/>
        </w:rPr>
        <w:t xml:space="preserve">zelf </w:t>
      </w:r>
      <w:r w:rsidRPr="0014478B">
        <w:rPr>
          <w:rFonts w:ascii="Verdana" w:hAnsi="Verdana"/>
          <w:sz w:val="18"/>
        </w:rPr>
        <w:t>verbruikt</w:t>
      </w:r>
      <w:r w:rsidRPr="0014478B" w:rsidR="00FE185E">
        <w:rPr>
          <w:rFonts w:ascii="Verdana" w:hAnsi="Verdana"/>
          <w:sz w:val="18"/>
        </w:rPr>
        <w:t>, daar</w:t>
      </w:r>
      <w:r w:rsidRPr="0014478B">
        <w:rPr>
          <w:rFonts w:ascii="Verdana" w:hAnsi="Verdana"/>
          <w:sz w:val="18"/>
        </w:rPr>
        <w:t xml:space="preserve"> geen leveringstarief aan de leverancier en geen belasting over </w:t>
      </w:r>
      <w:r w:rsidRPr="0014478B" w:rsidR="00FE185E">
        <w:rPr>
          <w:rFonts w:ascii="Verdana" w:hAnsi="Verdana"/>
          <w:sz w:val="18"/>
        </w:rPr>
        <w:t xml:space="preserve">hoeft </w:t>
      </w:r>
      <w:r w:rsidRPr="0014478B">
        <w:rPr>
          <w:rFonts w:ascii="Verdana" w:hAnsi="Verdana"/>
          <w:sz w:val="18"/>
        </w:rPr>
        <w:t xml:space="preserve">te worden betaald. Deze elektriciteit wordt immers niet </w:t>
      </w:r>
      <w:r w:rsidRPr="0014478B" w:rsidR="003A6300">
        <w:rPr>
          <w:rFonts w:ascii="Verdana" w:hAnsi="Verdana"/>
          <w:sz w:val="18"/>
        </w:rPr>
        <w:t xml:space="preserve">aan </w:t>
      </w:r>
      <w:r w:rsidRPr="0014478B">
        <w:rPr>
          <w:rFonts w:ascii="Verdana" w:hAnsi="Verdana"/>
          <w:sz w:val="18"/>
        </w:rPr>
        <w:t xml:space="preserve">het systeem </w:t>
      </w:r>
      <w:r w:rsidRPr="0014478B" w:rsidR="005878B3">
        <w:rPr>
          <w:rFonts w:ascii="Verdana" w:hAnsi="Verdana"/>
          <w:sz w:val="18"/>
        </w:rPr>
        <w:t>onttrokken</w:t>
      </w:r>
      <w:r w:rsidRPr="0014478B">
        <w:rPr>
          <w:rFonts w:ascii="Verdana" w:hAnsi="Verdana"/>
          <w:sz w:val="18"/>
        </w:rPr>
        <w:t>. Daar verandert het beëindigen van de salderingsregeling niets aan.</w:t>
      </w:r>
    </w:p>
    <w:p w:rsidRPr="0014478B" w:rsidR="0026424B" w:rsidP="00CD7A9A" w:rsidRDefault="007D530E" w14:paraId="3AB8D5F4" w14:textId="45E569BD">
      <w:pPr>
        <w:spacing w:after="0" w:line="240" w:lineRule="atLeast"/>
        <w:rPr>
          <w:rFonts w:ascii="Verdana" w:hAnsi="Verdana"/>
          <w:sz w:val="18"/>
        </w:rPr>
      </w:pPr>
      <w:r w:rsidRPr="0014478B">
        <w:rPr>
          <w:rFonts w:ascii="Verdana" w:hAnsi="Verdana"/>
          <w:sz w:val="18"/>
        </w:rPr>
        <w:lastRenderedPageBreak/>
        <w:t xml:space="preserve">Vanaf 2027 zal de </w:t>
      </w:r>
      <w:r w:rsidRPr="0014478B" w:rsidR="00702FB6">
        <w:rPr>
          <w:rFonts w:ascii="Verdana" w:hAnsi="Verdana"/>
          <w:sz w:val="18"/>
        </w:rPr>
        <w:t xml:space="preserve">actieve afnemer </w:t>
      </w:r>
      <w:r w:rsidRPr="0014478B">
        <w:rPr>
          <w:rFonts w:ascii="Verdana" w:hAnsi="Verdana"/>
          <w:sz w:val="18"/>
        </w:rPr>
        <w:t xml:space="preserve">een redelijke vergoeding ontvangen voor alle </w:t>
      </w:r>
      <w:r w:rsidRPr="0014478B" w:rsidR="00B854B0">
        <w:rPr>
          <w:rFonts w:ascii="Verdana" w:hAnsi="Verdana"/>
          <w:sz w:val="18"/>
        </w:rPr>
        <w:t xml:space="preserve">aan een marktdeelnemer teruggeleverde </w:t>
      </w:r>
      <w:r w:rsidRPr="0014478B" w:rsidR="00006204">
        <w:rPr>
          <w:rFonts w:ascii="Verdana" w:hAnsi="Verdana"/>
          <w:sz w:val="18"/>
        </w:rPr>
        <w:t xml:space="preserve">zelfopgewekte hernieuwbare </w:t>
      </w:r>
      <w:r w:rsidRPr="0014478B">
        <w:rPr>
          <w:rFonts w:ascii="Verdana" w:hAnsi="Verdana"/>
          <w:sz w:val="18"/>
        </w:rPr>
        <w:t xml:space="preserve">elektriciteit. </w:t>
      </w:r>
      <w:r w:rsidRPr="0014478B" w:rsidR="00E90DBA">
        <w:rPr>
          <w:rFonts w:ascii="Verdana" w:hAnsi="Verdana"/>
          <w:sz w:val="18"/>
        </w:rPr>
        <w:t xml:space="preserve">Aangezien de redelijke vergoeding over het algemeen lager ligt dan het variabele leveringstarief, loont het om meer zelfopgewekte elektriciteit direct zelf te verbruiken. </w:t>
      </w:r>
    </w:p>
    <w:p w:rsidRPr="0014478B" w:rsidR="00CD7A9A" w:rsidP="00CD7A9A" w:rsidRDefault="00CD7A9A" w14:paraId="084A32B0" w14:textId="77777777">
      <w:pPr>
        <w:spacing w:after="0" w:line="240" w:lineRule="atLeast"/>
        <w:rPr>
          <w:rFonts w:ascii="Verdana" w:hAnsi="Verdana"/>
          <w:sz w:val="18"/>
        </w:rPr>
      </w:pPr>
    </w:p>
    <w:p w:rsidRPr="0014478B" w:rsidR="00D36CC9" w:rsidP="00CD7A9A" w:rsidRDefault="00E90DBA" w14:paraId="502830F9" w14:textId="0D166103">
      <w:pPr>
        <w:spacing w:after="0" w:line="240" w:lineRule="atLeast"/>
        <w:rPr>
          <w:rFonts w:ascii="Verdana" w:hAnsi="Verdana" w:cstheme="minorHAnsi"/>
          <w:sz w:val="18"/>
        </w:rPr>
      </w:pPr>
      <w:r w:rsidRPr="0014478B">
        <w:rPr>
          <w:rFonts w:ascii="Verdana" w:hAnsi="Verdana"/>
          <w:sz w:val="18"/>
        </w:rPr>
        <w:t xml:space="preserve">Het ligt daarom in de lijn der verwachting dat zonnepaneelbezitters vanaf 2027 meer zelfopgewekte elektriciteit </w:t>
      </w:r>
      <w:r w:rsidRPr="0014478B" w:rsidR="002E723E">
        <w:rPr>
          <w:rFonts w:ascii="Verdana" w:hAnsi="Verdana"/>
          <w:sz w:val="18"/>
        </w:rPr>
        <w:t>achter de meter</w:t>
      </w:r>
      <w:r w:rsidRPr="0014478B">
        <w:rPr>
          <w:rFonts w:ascii="Verdana" w:hAnsi="Verdana"/>
          <w:sz w:val="18"/>
        </w:rPr>
        <w:t xml:space="preserve"> gaan verbruiken. Dit</w:t>
      </w:r>
      <w:r w:rsidRPr="0014478B" w:rsidR="008B3151">
        <w:rPr>
          <w:rFonts w:ascii="Verdana" w:hAnsi="Verdana"/>
          <w:sz w:val="18"/>
        </w:rPr>
        <w:t xml:space="preserve"> draagt</w:t>
      </w:r>
      <w:r w:rsidRPr="0014478B">
        <w:rPr>
          <w:rFonts w:ascii="Verdana" w:hAnsi="Verdana"/>
          <w:sz w:val="18"/>
        </w:rPr>
        <w:t xml:space="preserve"> </w:t>
      </w:r>
      <w:r w:rsidRPr="0014478B" w:rsidR="008B3151">
        <w:rPr>
          <w:rFonts w:ascii="Verdana" w:hAnsi="Verdana"/>
          <w:sz w:val="18"/>
        </w:rPr>
        <w:t xml:space="preserve">bij aan </w:t>
      </w:r>
      <w:r w:rsidRPr="0014478B">
        <w:rPr>
          <w:rFonts w:ascii="Verdana" w:hAnsi="Verdana"/>
          <w:sz w:val="18"/>
        </w:rPr>
        <w:t xml:space="preserve">efficiënter </w:t>
      </w:r>
      <w:r w:rsidRPr="0014478B" w:rsidR="007C2390">
        <w:rPr>
          <w:rFonts w:ascii="Verdana" w:hAnsi="Verdana"/>
          <w:sz w:val="18"/>
        </w:rPr>
        <w:t>gebruik van</w:t>
      </w:r>
      <w:r w:rsidRPr="0014478B">
        <w:rPr>
          <w:rFonts w:ascii="Verdana" w:hAnsi="Verdana"/>
          <w:sz w:val="18"/>
        </w:rPr>
        <w:t xml:space="preserve"> hernieuwbare elektriciteit</w:t>
      </w:r>
      <w:r w:rsidRPr="0014478B" w:rsidR="00D36CC9">
        <w:rPr>
          <w:rFonts w:ascii="Verdana" w:hAnsi="Verdana"/>
          <w:sz w:val="18"/>
        </w:rPr>
        <w:t>.</w:t>
      </w:r>
      <w:r w:rsidRPr="0014478B" w:rsidR="00F93C84">
        <w:rPr>
          <w:rFonts w:ascii="Verdana" w:hAnsi="Verdana"/>
          <w:sz w:val="18"/>
        </w:rPr>
        <w:t xml:space="preserve"> </w:t>
      </w:r>
      <w:r w:rsidRPr="0014478B" w:rsidR="00D36CC9">
        <w:rPr>
          <w:rFonts w:ascii="Verdana" w:hAnsi="Verdana" w:cstheme="minorHAnsi"/>
          <w:sz w:val="18"/>
        </w:rPr>
        <w:t xml:space="preserve">Hierdoor zal er op zonnige momenten minder elektriciteit op het systeem ingevoed worden en zal er op piekmomenten minder elektriciteit van het systeem worden afgenomen. Het beëindigen van de salderingsregeling zal het risico op overbelasting of onderspanning dus verminderen en </w:t>
      </w:r>
      <w:r w:rsidRPr="0014478B" w:rsidR="00615CAD">
        <w:rPr>
          <w:rFonts w:ascii="Verdana" w:hAnsi="Verdana" w:cstheme="minorHAnsi"/>
          <w:sz w:val="18"/>
        </w:rPr>
        <w:t>levert daarmee een belangrijke bijdrage aan het voorkomen van netcongestie.</w:t>
      </w:r>
      <w:r w:rsidRPr="0014478B" w:rsidR="00D36CC9">
        <w:rPr>
          <w:rFonts w:ascii="Verdana" w:hAnsi="Verdana" w:cstheme="minorHAnsi"/>
          <w:sz w:val="18"/>
        </w:rPr>
        <w:t xml:space="preserve"> </w:t>
      </w:r>
    </w:p>
    <w:p w:rsidRPr="0014478B" w:rsidR="00E90DBA" w:rsidP="00CD7A9A" w:rsidRDefault="00E90DBA" w14:paraId="4A6FF47D" w14:textId="77777777">
      <w:pPr>
        <w:spacing w:after="0" w:line="240" w:lineRule="atLeast"/>
        <w:rPr>
          <w:rFonts w:ascii="Verdana" w:hAnsi="Verdana"/>
          <w:sz w:val="18"/>
        </w:rPr>
      </w:pPr>
    </w:p>
    <w:p w:rsidRPr="0014478B" w:rsidR="008B30C6" w:rsidP="00CD7A9A" w:rsidRDefault="00E90DBA" w14:paraId="41EA3129" w14:textId="1D523A90">
      <w:pPr>
        <w:spacing w:after="0" w:line="240" w:lineRule="atLeast"/>
        <w:rPr>
          <w:rFonts w:ascii="Verdana" w:hAnsi="Verdana"/>
          <w:i/>
          <w:iCs/>
          <w:sz w:val="18"/>
        </w:rPr>
      </w:pPr>
      <w:r w:rsidRPr="0014478B">
        <w:rPr>
          <w:rFonts w:ascii="Verdana" w:hAnsi="Verdana"/>
          <w:i/>
          <w:iCs/>
          <w:sz w:val="18"/>
        </w:rPr>
        <w:t xml:space="preserve">Gevolgen voor </w:t>
      </w:r>
      <w:r w:rsidRPr="0014478B" w:rsidR="008B30C6">
        <w:rPr>
          <w:rFonts w:ascii="Verdana" w:hAnsi="Verdana"/>
          <w:i/>
          <w:iCs/>
          <w:sz w:val="18"/>
        </w:rPr>
        <w:t>actieve afnemers</w:t>
      </w:r>
    </w:p>
    <w:p w:rsidRPr="0014478B" w:rsidR="00D61418" w:rsidP="00CD7A9A" w:rsidRDefault="00D61418" w14:paraId="0FEC0C61" w14:textId="77777777">
      <w:pPr>
        <w:spacing w:after="0" w:line="240" w:lineRule="atLeast"/>
        <w:rPr>
          <w:rFonts w:ascii="Verdana" w:hAnsi="Verdana"/>
          <w:i/>
          <w:iCs/>
          <w:sz w:val="18"/>
        </w:rPr>
      </w:pPr>
    </w:p>
    <w:p w:rsidRPr="0014478B" w:rsidR="00E90DBA" w:rsidP="00CD7A9A" w:rsidRDefault="00E90DBA" w14:paraId="44034D41" w14:textId="053CE830">
      <w:pPr>
        <w:pStyle w:val="Lijstalinea"/>
        <w:numPr>
          <w:ilvl w:val="0"/>
          <w:numId w:val="3"/>
        </w:numPr>
        <w:spacing w:after="0" w:line="240" w:lineRule="atLeast"/>
        <w:rPr>
          <w:rFonts w:ascii="Verdana" w:hAnsi="Verdana"/>
          <w:i/>
          <w:iCs/>
          <w:sz w:val="18"/>
        </w:rPr>
      </w:pPr>
      <w:r w:rsidRPr="0014478B">
        <w:rPr>
          <w:rFonts w:ascii="Verdana" w:hAnsi="Verdana"/>
          <w:i/>
          <w:iCs/>
          <w:sz w:val="18"/>
        </w:rPr>
        <w:t>die reeds geïnvesteerd he</w:t>
      </w:r>
      <w:r w:rsidRPr="0014478B" w:rsidR="008B30C6">
        <w:rPr>
          <w:rFonts w:ascii="Verdana" w:hAnsi="Verdana"/>
          <w:i/>
          <w:iCs/>
          <w:sz w:val="18"/>
        </w:rPr>
        <w:t>bben</w:t>
      </w:r>
      <w:r w:rsidRPr="0014478B">
        <w:rPr>
          <w:rFonts w:ascii="Verdana" w:hAnsi="Verdana"/>
          <w:i/>
          <w:iCs/>
          <w:sz w:val="18"/>
        </w:rPr>
        <w:t xml:space="preserve"> in zonnepanelen</w:t>
      </w:r>
    </w:p>
    <w:p w:rsidRPr="0014478B" w:rsidR="00E90DBA" w:rsidP="00CD7A9A" w:rsidRDefault="3E5CA8CF" w14:paraId="4DB79B64" w14:textId="753F9C1E">
      <w:pPr>
        <w:spacing w:after="0" w:line="240" w:lineRule="atLeast"/>
        <w:rPr>
          <w:rFonts w:ascii="Verdana" w:hAnsi="Verdana"/>
          <w:sz w:val="18"/>
        </w:rPr>
      </w:pPr>
      <w:r w:rsidRPr="0014478B">
        <w:rPr>
          <w:rFonts w:ascii="Verdana" w:hAnsi="Verdana"/>
          <w:sz w:val="18"/>
        </w:rPr>
        <w:t xml:space="preserve">De afgelopen jaren </w:t>
      </w:r>
      <w:r w:rsidRPr="0014478B" w:rsidR="00562BCE">
        <w:rPr>
          <w:rFonts w:ascii="Verdana" w:hAnsi="Verdana"/>
          <w:sz w:val="18"/>
        </w:rPr>
        <w:t>hebben veel huishoudens</w:t>
      </w:r>
      <w:r w:rsidRPr="0014478B" w:rsidR="00DE253B">
        <w:rPr>
          <w:rFonts w:ascii="Verdana" w:hAnsi="Verdana"/>
          <w:sz w:val="18"/>
        </w:rPr>
        <w:t xml:space="preserve"> </w:t>
      </w:r>
      <w:r w:rsidRPr="0014478B">
        <w:rPr>
          <w:rFonts w:ascii="Verdana" w:hAnsi="Verdana"/>
          <w:sz w:val="18"/>
        </w:rPr>
        <w:t xml:space="preserve">geïnvesteerd in zonnepanelen. </w:t>
      </w:r>
      <w:r w:rsidRPr="0014478B" w:rsidR="00562BCE">
        <w:rPr>
          <w:rFonts w:ascii="Verdana" w:hAnsi="Verdana"/>
          <w:sz w:val="18"/>
        </w:rPr>
        <w:t>Het</w:t>
      </w:r>
      <w:r w:rsidRPr="0014478B">
        <w:rPr>
          <w:rFonts w:ascii="Verdana" w:hAnsi="Verdana"/>
          <w:sz w:val="18"/>
        </w:rPr>
        <w:t xml:space="preserve"> aantal woningen met zonnepanelen </w:t>
      </w:r>
      <w:r w:rsidRPr="0014478B" w:rsidR="00562BCE">
        <w:rPr>
          <w:rFonts w:ascii="Verdana" w:hAnsi="Verdana"/>
          <w:sz w:val="18"/>
        </w:rPr>
        <w:t xml:space="preserve">is </w:t>
      </w:r>
      <w:r w:rsidRPr="0014478B">
        <w:rPr>
          <w:rFonts w:ascii="Verdana" w:hAnsi="Verdana"/>
          <w:sz w:val="18"/>
        </w:rPr>
        <w:t xml:space="preserve">tussen 2020 en 2024 verdubbeld; er liggen op </w:t>
      </w:r>
      <w:r w:rsidRPr="0014478B" w:rsidR="09D423AB">
        <w:rPr>
          <w:rFonts w:ascii="Verdana" w:hAnsi="Verdana"/>
          <w:sz w:val="18"/>
        </w:rPr>
        <w:t xml:space="preserve">bijna </w:t>
      </w:r>
      <w:r w:rsidRPr="0014478B" w:rsidR="00E43BD6">
        <w:rPr>
          <w:rFonts w:ascii="Verdana" w:hAnsi="Verdana"/>
          <w:sz w:val="18"/>
        </w:rPr>
        <w:t>3</w:t>
      </w:r>
      <w:r w:rsidRPr="0014478B">
        <w:rPr>
          <w:rFonts w:ascii="Verdana" w:hAnsi="Verdana"/>
          <w:sz w:val="18"/>
        </w:rPr>
        <w:t xml:space="preserve"> miljoen woningen zonnepanelen</w:t>
      </w:r>
      <w:r w:rsidRPr="0014478B" w:rsidR="00E90DBA">
        <w:rPr>
          <w:rStyle w:val="Voetnootmarkering"/>
          <w:rFonts w:ascii="Verdana" w:hAnsi="Verdana"/>
          <w:sz w:val="18"/>
        </w:rPr>
        <w:footnoteReference w:id="14"/>
      </w:r>
      <w:r w:rsidRPr="0014478B">
        <w:rPr>
          <w:rFonts w:ascii="Verdana" w:hAnsi="Verdana"/>
          <w:sz w:val="18"/>
        </w:rPr>
        <w:t xml:space="preserve">. Deze groep </w:t>
      </w:r>
      <w:r w:rsidRPr="0014478B" w:rsidR="007D2EFF">
        <w:rPr>
          <w:rFonts w:ascii="Verdana" w:hAnsi="Verdana"/>
          <w:sz w:val="18"/>
        </w:rPr>
        <w:t>actieve afnemers</w:t>
      </w:r>
      <w:r w:rsidRPr="0014478B" w:rsidR="3F3738E6">
        <w:rPr>
          <w:rFonts w:ascii="Verdana" w:hAnsi="Verdana"/>
          <w:sz w:val="18"/>
        </w:rPr>
        <w:t xml:space="preserve"> </w:t>
      </w:r>
      <w:r w:rsidRPr="0014478B">
        <w:rPr>
          <w:rFonts w:ascii="Verdana" w:hAnsi="Verdana"/>
          <w:sz w:val="18"/>
        </w:rPr>
        <w:t xml:space="preserve">zal ook met dit wetsvoorstel </w:t>
      </w:r>
      <w:r w:rsidRPr="0014478B" w:rsidR="00CC7AEC">
        <w:rPr>
          <w:rFonts w:ascii="Verdana" w:hAnsi="Verdana"/>
          <w:sz w:val="18"/>
        </w:rPr>
        <w:t xml:space="preserve">in 2027 </w:t>
      </w:r>
      <w:r w:rsidRPr="0014478B">
        <w:rPr>
          <w:rFonts w:ascii="Verdana" w:hAnsi="Verdana"/>
          <w:sz w:val="18"/>
        </w:rPr>
        <w:t xml:space="preserve">minimaal 3 jaar geprofiteerd hebben van de voordelen van de salderingsregeling. </w:t>
      </w:r>
      <w:r w:rsidRPr="0014478B" w:rsidR="00DB5114">
        <w:rPr>
          <w:rFonts w:ascii="Verdana" w:hAnsi="Verdana"/>
          <w:sz w:val="18"/>
        </w:rPr>
        <w:t xml:space="preserve">Daarmee </w:t>
      </w:r>
      <w:r w:rsidRPr="0014478B">
        <w:rPr>
          <w:rFonts w:ascii="Verdana" w:hAnsi="Verdana"/>
          <w:sz w:val="18"/>
        </w:rPr>
        <w:t xml:space="preserve">heeft deze groep de investering voor een aanzienlijk deel </w:t>
      </w:r>
      <w:r w:rsidRPr="0014478B" w:rsidR="00DB5114">
        <w:rPr>
          <w:rFonts w:ascii="Verdana" w:hAnsi="Verdana"/>
          <w:sz w:val="18"/>
        </w:rPr>
        <w:t xml:space="preserve">of helemaal </w:t>
      </w:r>
      <w:r w:rsidRPr="0014478B">
        <w:rPr>
          <w:rFonts w:ascii="Verdana" w:hAnsi="Verdana"/>
          <w:sz w:val="18"/>
        </w:rPr>
        <w:t xml:space="preserve">terugverdiend bij de </w:t>
      </w:r>
      <w:r w:rsidRPr="0014478B" w:rsidR="00DB5114">
        <w:rPr>
          <w:rFonts w:ascii="Verdana" w:hAnsi="Verdana"/>
          <w:sz w:val="18"/>
        </w:rPr>
        <w:t>beëindiging van de salderingsregeling per</w:t>
      </w:r>
      <w:r w:rsidRPr="0014478B">
        <w:rPr>
          <w:rFonts w:ascii="Verdana" w:hAnsi="Verdana"/>
          <w:sz w:val="18"/>
        </w:rPr>
        <w:t xml:space="preserve"> 1 januari 2027</w:t>
      </w:r>
      <w:r w:rsidRPr="0014478B" w:rsidR="00F4208E">
        <w:rPr>
          <w:rStyle w:val="Voetnootmarkering"/>
          <w:rFonts w:ascii="Verdana" w:hAnsi="Verdana"/>
          <w:sz w:val="18"/>
        </w:rPr>
        <w:footnoteReference w:id="15"/>
      </w:r>
      <w:r w:rsidRPr="0014478B">
        <w:rPr>
          <w:rFonts w:ascii="Verdana" w:hAnsi="Verdana"/>
          <w:sz w:val="18"/>
        </w:rPr>
        <w:t>.</w:t>
      </w:r>
      <w:r w:rsidRPr="0014478B" w:rsidR="00026853">
        <w:rPr>
          <w:rFonts w:ascii="Verdana" w:hAnsi="Verdana"/>
          <w:sz w:val="18"/>
        </w:rPr>
        <w:t xml:space="preserve"> </w:t>
      </w:r>
      <w:r w:rsidRPr="0014478B" w:rsidR="007D305E">
        <w:rPr>
          <w:rFonts w:ascii="Verdana" w:hAnsi="Verdana"/>
          <w:sz w:val="18"/>
        </w:rPr>
        <w:t>Voor</w:t>
      </w:r>
      <w:r w:rsidRPr="0014478B" w:rsidR="00E74BA1">
        <w:rPr>
          <w:rFonts w:ascii="Verdana" w:hAnsi="Verdana"/>
          <w:sz w:val="18"/>
        </w:rPr>
        <w:t xml:space="preserve"> de meest</w:t>
      </w:r>
      <w:r w:rsidRPr="0014478B" w:rsidR="004B4310">
        <w:rPr>
          <w:rFonts w:ascii="Verdana" w:hAnsi="Verdana"/>
          <w:sz w:val="18"/>
        </w:rPr>
        <w:t xml:space="preserve"> recente investeringen </w:t>
      </w:r>
      <w:r w:rsidRPr="0014478B" w:rsidR="007D305E">
        <w:rPr>
          <w:rFonts w:ascii="Verdana" w:hAnsi="Verdana"/>
          <w:sz w:val="18"/>
        </w:rPr>
        <w:t xml:space="preserve">in zonnepanelen zal de terugverdientijd </w:t>
      </w:r>
      <w:r w:rsidRPr="0014478B" w:rsidR="00692017">
        <w:rPr>
          <w:rFonts w:ascii="Verdana" w:hAnsi="Verdana"/>
          <w:sz w:val="18"/>
        </w:rPr>
        <w:t>oplopen</w:t>
      </w:r>
      <w:r w:rsidRPr="0014478B" w:rsidR="00E74BA1">
        <w:rPr>
          <w:rFonts w:ascii="Verdana" w:hAnsi="Verdana"/>
          <w:sz w:val="18"/>
        </w:rPr>
        <w:t xml:space="preserve"> ten </w:t>
      </w:r>
      <w:r w:rsidRPr="0014478B" w:rsidR="00BE3765">
        <w:rPr>
          <w:rFonts w:ascii="Verdana" w:hAnsi="Verdana"/>
          <w:sz w:val="18"/>
        </w:rPr>
        <w:t>opzichte</w:t>
      </w:r>
      <w:r w:rsidRPr="0014478B" w:rsidR="00E74BA1">
        <w:rPr>
          <w:rFonts w:ascii="Verdana" w:hAnsi="Verdana"/>
          <w:sz w:val="18"/>
        </w:rPr>
        <w:t xml:space="preserve"> van een situatie waarin de regeling voortgezet wordt, afhankelijk van welk deel van de kosten al </w:t>
      </w:r>
      <w:r w:rsidRPr="0014478B" w:rsidR="001F61CE">
        <w:rPr>
          <w:rFonts w:ascii="Verdana" w:hAnsi="Verdana"/>
          <w:sz w:val="18"/>
        </w:rPr>
        <w:t>is</w:t>
      </w:r>
      <w:r w:rsidRPr="0014478B" w:rsidR="00E74BA1">
        <w:rPr>
          <w:rFonts w:ascii="Verdana" w:hAnsi="Verdana"/>
          <w:sz w:val="18"/>
        </w:rPr>
        <w:t xml:space="preserve"> terugverdiend</w:t>
      </w:r>
      <w:r w:rsidRPr="0014478B" w:rsidR="00292934">
        <w:rPr>
          <w:rFonts w:ascii="Verdana" w:hAnsi="Verdana"/>
          <w:sz w:val="18"/>
        </w:rPr>
        <w:t>.</w:t>
      </w:r>
      <w:r w:rsidRPr="0014478B" w:rsidR="00FE46CB">
        <w:rPr>
          <w:rFonts w:ascii="Verdana" w:hAnsi="Verdana"/>
          <w:sz w:val="18"/>
        </w:rPr>
        <w:t xml:space="preserve"> </w:t>
      </w:r>
    </w:p>
    <w:p w:rsidRPr="0014478B" w:rsidR="008B30C6" w:rsidP="00CD7A9A" w:rsidRDefault="008B30C6" w14:paraId="31732D9E" w14:textId="77777777">
      <w:pPr>
        <w:spacing w:after="0" w:line="240" w:lineRule="atLeast"/>
        <w:rPr>
          <w:rFonts w:ascii="Verdana" w:hAnsi="Verdana"/>
          <w:sz w:val="18"/>
        </w:rPr>
      </w:pPr>
    </w:p>
    <w:p w:rsidRPr="0014478B" w:rsidR="008B30C6" w:rsidP="00CD7A9A" w:rsidRDefault="0050244B" w14:paraId="498AF669" w14:textId="2A37729E">
      <w:pPr>
        <w:pStyle w:val="Lijstalinea"/>
        <w:numPr>
          <w:ilvl w:val="0"/>
          <w:numId w:val="3"/>
        </w:numPr>
        <w:spacing w:after="0" w:line="240" w:lineRule="atLeast"/>
        <w:rPr>
          <w:rFonts w:ascii="Verdana" w:hAnsi="Verdana"/>
          <w:i/>
          <w:iCs/>
          <w:sz w:val="18"/>
        </w:rPr>
      </w:pPr>
      <w:r w:rsidRPr="0014478B">
        <w:rPr>
          <w:rFonts w:ascii="Verdana" w:hAnsi="Verdana"/>
          <w:i/>
          <w:iCs/>
          <w:sz w:val="18"/>
        </w:rPr>
        <w:t>die overwegen te investeren in zonnepanelen</w:t>
      </w:r>
    </w:p>
    <w:p w:rsidRPr="0014478B" w:rsidR="007B163B" w:rsidP="00CD7A9A" w:rsidRDefault="007B163B" w14:paraId="18CB5147" w14:textId="1EDF0327">
      <w:pPr>
        <w:spacing w:after="0" w:line="240" w:lineRule="atLeast"/>
        <w:rPr>
          <w:rFonts w:ascii="Verdana" w:hAnsi="Verdana"/>
          <w:sz w:val="18"/>
        </w:rPr>
      </w:pPr>
      <w:r w:rsidRPr="0014478B">
        <w:rPr>
          <w:rFonts w:ascii="Verdana" w:hAnsi="Verdana"/>
          <w:sz w:val="18"/>
        </w:rPr>
        <w:t>Consumenten</w:t>
      </w:r>
      <w:r w:rsidRPr="0014478B" w:rsidR="00095937">
        <w:rPr>
          <w:rFonts w:ascii="Verdana" w:hAnsi="Verdana"/>
          <w:sz w:val="18"/>
        </w:rPr>
        <w:t xml:space="preserve"> kunnen</w:t>
      </w:r>
      <w:r w:rsidRPr="0014478B">
        <w:rPr>
          <w:rFonts w:ascii="Verdana" w:hAnsi="Verdana"/>
          <w:sz w:val="18"/>
        </w:rPr>
        <w:t xml:space="preserve"> investeren in zonnepanelen </w:t>
      </w:r>
      <w:r w:rsidRPr="0014478B" w:rsidR="00A76F07">
        <w:rPr>
          <w:rFonts w:ascii="Verdana" w:hAnsi="Verdana"/>
          <w:sz w:val="18"/>
        </w:rPr>
        <w:t>met een</w:t>
      </w:r>
      <w:r w:rsidRPr="0014478B" w:rsidR="001F2E61">
        <w:rPr>
          <w:rFonts w:ascii="Verdana" w:hAnsi="Verdana"/>
          <w:sz w:val="18"/>
        </w:rPr>
        <w:t xml:space="preserve"> financiële</w:t>
      </w:r>
      <w:r w:rsidRPr="0014478B" w:rsidR="00A76F07">
        <w:rPr>
          <w:rFonts w:ascii="Verdana" w:hAnsi="Verdana"/>
          <w:sz w:val="18"/>
        </w:rPr>
        <w:t xml:space="preserve"> overweging</w:t>
      </w:r>
      <w:r w:rsidRPr="0014478B" w:rsidR="001F2E61">
        <w:rPr>
          <w:rFonts w:ascii="Verdana" w:hAnsi="Verdana"/>
          <w:sz w:val="18"/>
        </w:rPr>
        <w:t>, maar ook</w:t>
      </w:r>
      <w:r w:rsidRPr="0014478B">
        <w:rPr>
          <w:rFonts w:ascii="Verdana" w:hAnsi="Verdana"/>
          <w:sz w:val="18"/>
        </w:rPr>
        <w:t xml:space="preserve"> vanuit duurzaamheidsoverwegingen </w:t>
      </w:r>
      <w:r w:rsidRPr="0014478B" w:rsidR="00C47D97">
        <w:rPr>
          <w:rFonts w:ascii="Verdana" w:hAnsi="Verdana"/>
          <w:sz w:val="18"/>
        </w:rPr>
        <w:t xml:space="preserve">of om de </w:t>
      </w:r>
      <w:r w:rsidRPr="0014478B">
        <w:rPr>
          <w:rFonts w:ascii="Verdana" w:hAnsi="Verdana"/>
          <w:sz w:val="18"/>
        </w:rPr>
        <w:t xml:space="preserve">regie over de </w:t>
      </w:r>
      <w:r w:rsidRPr="0014478B" w:rsidR="00E44919">
        <w:rPr>
          <w:rFonts w:ascii="Verdana" w:hAnsi="Verdana"/>
          <w:sz w:val="18"/>
        </w:rPr>
        <w:t xml:space="preserve">eigen </w:t>
      </w:r>
      <w:r w:rsidRPr="0014478B">
        <w:rPr>
          <w:rFonts w:ascii="Verdana" w:hAnsi="Verdana"/>
          <w:sz w:val="18"/>
        </w:rPr>
        <w:t>energierekening te vergroten</w:t>
      </w:r>
      <w:r w:rsidRPr="0014478B" w:rsidR="003D7D74">
        <w:rPr>
          <w:rFonts w:ascii="Verdana" w:hAnsi="Verdana"/>
          <w:sz w:val="18"/>
        </w:rPr>
        <w:t>, bijvoorbeeld in combinatie met de investering in een warmtepomp, zonnestroomboiler</w:t>
      </w:r>
      <w:r w:rsidRPr="0014478B" w:rsidR="0097738B">
        <w:rPr>
          <w:rFonts w:ascii="Verdana" w:hAnsi="Verdana"/>
          <w:sz w:val="18"/>
        </w:rPr>
        <w:t xml:space="preserve"> of een elektrische auto</w:t>
      </w:r>
      <w:r w:rsidRPr="0014478B">
        <w:rPr>
          <w:rFonts w:ascii="Verdana" w:hAnsi="Verdana"/>
          <w:sz w:val="18"/>
        </w:rPr>
        <w:t>.</w:t>
      </w:r>
    </w:p>
    <w:p w:rsidRPr="0014478B" w:rsidR="00C77A4B" w:rsidP="00CD7A9A" w:rsidRDefault="00C47D97" w14:paraId="36D8E481" w14:textId="4627A08B">
      <w:pPr>
        <w:spacing w:after="0" w:line="240" w:lineRule="atLeast"/>
        <w:rPr>
          <w:rFonts w:ascii="Verdana" w:hAnsi="Verdana"/>
          <w:sz w:val="18"/>
        </w:rPr>
      </w:pPr>
      <w:r w:rsidRPr="0014478B">
        <w:rPr>
          <w:rFonts w:ascii="Verdana" w:hAnsi="Verdana"/>
          <w:sz w:val="18"/>
        </w:rPr>
        <w:t xml:space="preserve">Voor wat betreft de terugverdientijd geldt dat </w:t>
      </w:r>
      <w:r w:rsidRPr="0014478B" w:rsidR="0054132D">
        <w:rPr>
          <w:rFonts w:ascii="Verdana" w:hAnsi="Verdana"/>
          <w:sz w:val="18"/>
        </w:rPr>
        <w:t xml:space="preserve">die </w:t>
      </w:r>
      <w:r w:rsidRPr="0014478B" w:rsidR="63C8E360">
        <w:rPr>
          <w:rFonts w:ascii="Verdana" w:hAnsi="Verdana"/>
          <w:sz w:val="18"/>
        </w:rPr>
        <w:t>vanaf 2027 voornamelijk</w:t>
      </w:r>
      <w:r w:rsidRPr="0014478B" w:rsidR="0054132D">
        <w:rPr>
          <w:rFonts w:ascii="Verdana" w:hAnsi="Verdana"/>
          <w:sz w:val="18"/>
        </w:rPr>
        <w:t xml:space="preserve"> zal</w:t>
      </w:r>
      <w:r w:rsidRPr="0014478B" w:rsidR="63C8E360">
        <w:rPr>
          <w:rFonts w:ascii="Verdana" w:hAnsi="Verdana"/>
          <w:sz w:val="18"/>
        </w:rPr>
        <w:t xml:space="preserve"> afhangen van de ontwikkeling van de aanschafkosten van nieuwe zonnepanelen en van de ontwikkeling van de elektriciteitsprijzen. Daarnaast spelen de mate van eigen </w:t>
      </w:r>
      <w:r w:rsidRPr="0014478B" w:rsidR="007B163B">
        <w:rPr>
          <w:rFonts w:ascii="Verdana" w:hAnsi="Verdana"/>
          <w:sz w:val="18"/>
        </w:rPr>
        <w:t>ver</w:t>
      </w:r>
      <w:r w:rsidRPr="0014478B" w:rsidR="63C8E360">
        <w:rPr>
          <w:rFonts w:ascii="Verdana" w:hAnsi="Verdana"/>
          <w:sz w:val="18"/>
        </w:rPr>
        <w:t xml:space="preserve">bruik van de opgewekte elektriciteit en de vergoeding hierbij een rol. </w:t>
      </w:r>
      <w:r w:rsidRPr="0014478B" w:rsidR="7504A5E1">
        <w:rPr>
          <w:rFonts w:ascii="Verdana" w:hAnsi="Verdana"/>
          <w:kern w:val="0"/>
          <w:sz w:val="18"/>
          <w14:ligatures w14:val="none"/>
        </w:rPr>
        <w:t>Voor de aanschaf en installatie van zonnepanelen die op of bij woningen worden geïnstalleerd geldt een btw-nultarief</w:t>
      </w:r>
      <w:r w:rsidRPr="0014478B" w:rsidR="1D0E3249">
        <w:rPr>
          <w:rFonts w:ascii="Verdana" w:hAnsi="Verdana"/>
          <w:kern w:val="0"/>
          <w:sz w:val="18"/>
          <w14:ligatures w14:val="none"/>
        </w:rPr>
        <w:t xml:space="preserve"> </w:t>
      </w:r>
      <w:r w:rsidRPr="0014478B" w:rsidR="63C8E360">
        <w:rPr>
          <w:rFonts w:ascii="Verdana" w:hAnsi="Verdana"/>
          <w:sz w:val="18"/>
        </w:rPr>
        <w:t xml:space="preserve">en de verwachting </w:t>
      </w:r>
      <w:r w:rsidRPr="0014478B" w:rsidR="00FA12B4">
        <w:rPr>
          <w:rFonts w:ascii="Verdana" w:hAnsi="Verdana"/>
          <w:sz w:val="18"/>
        </w:rPr>
        <w:t xml:space="preserve">is </w:t>
      </w:r>
      <w:r w:rsidRPr="0014478B" w:rsidR="63C8E360">
        <w:rPr>
          <w:rFonts w:ascii="Verdana" w:hAnsi="Verdana"/>
          <w:sz w:val="18"/>
        </w:rPr>
        <w:t xml:space="preserve">dat de kosten </w:t>
      </w:r>
      <w:r w:rsidRPr="0014478B" w:rsidR="00855520">
        <w:rPr>
          <w:rFonts w:ascii="Verdana" w:hAnsi="Verdana"/>
          <w:sz w:val="18"/>
        </w:rPr>
        <w:t>van zonnepanelen</w:t>
      </w:r>
      <w:r w:rsidRPr="0014478B" w:rsidR="7504A5E1">
        <w:rPr>
          <w:rFonts w:ascii="Verdana" w:hAnsi="Verdana"/>
          <w:sz w:val="18"/>
        </w:rPr>
        <w:t xml:space="preserve"> </w:t>
      </w:r>
      <w:r w:rsidRPr="0014478B" w:rsidR="63C8E360">
        <w:rPr>
          <w:rFonts w:ascii="Verdana" w:hAnsi="Verdana"/>
          <w:sz w:val="18"/>
        </w:rPr>
        <w:t>blijven dalen. Consumenten kunnen zelf zoveel</w:t>
      </w:r>
      <w:r w:rsidRPr="0014478B" w:rsidR="563CB160">
        <w:rPr>
          <w:rFonts w:ascii="Verdana" w:hAnsi="Verdana"/>
          <w:sz w:val="18"/>
        </w:rPr>
        <w:t xml:space="preserve"> mogelijk</w:t>
      </w:r>
      <w:r w:rsidRPr="0014478B" w:rsidR="63C8E360">
        <w:rPr>
          <w:rFonts w:ascii="Verdana" w:hAnsi="Verdana"/>
          <w:sz w:val="18"/>
        </w:rPr>
        <w:t xml:space="preserve"> hun opbrengsten van zonnepanelen </w:t>
      </w:r>
      <w:r w:rsidRPr="0014478B" w:rsidR="00FE6BA9">
        <w:rPr>
          <w:rFonts w:ascii="Verdana" w:hAnsi="Verdana"/>
          <w:sz w:val="18"/>
        </w:rPr>
        <w:t xml:space="preserve">vergroten </w:t>
      </w:r>
      <w:r w:rsidRPr="0014478B" w:rsidR="63C8E360">
        <w:rPr>
          <w:rFonts w:ascii="Verdana" w:hAnsi="Verdana"/>
          <w:sz w:val="18"/>
        </w:rPr>
        <w:t xml:space="preserve">door het verbruik </w:t>
      </w:r>
      <w:r w:rsidRPr="0014478B" w:rsidR="00FA12B4">
        <w:rPr>
          <w:rFonts w:ascii="Verdana" w:hAnsi="Verdana"/>
          <w:sz w:val="18"/>
        </w:rPr>
        <w:t xml:space="preserve">achter de meter </w:t>
      </w:r>
      <w:r w:rsidRPr="0014478B" w:rsidR="63C8E360">
        <w:rPr>
          <w:rFonts w:ascii="Verdana" w:hAnsi="Verdana"/>
          <w:sz w:val="18"/>
        </w:rPr>
        <w:t xml:space="preserve">te verhogen. De mate waarin ze hierop kunnen inspelen </w:t>
      </w:r>
      <w:r w:rsidRPr="0014478B" w:rsidR="00587348">
        <w:rPr>
          <w:rFonts w:ascii="Verdana" w:hAnsi="Verdana"/>
          <w:sz w:val="18"/>
        </w:rPr>
        <w:t xml:space="preserve">hangt </w:t>
      </w:r>
      <w:r w:rsidRPr="0014478B" w:rsidR="00411094">
        <w:rPr>
          <w:rFonts w:ascii="Verdana" w:hAnsi="Verdana"/>
          <w:sz w:val="18"/>
        </w:rPr>
        <w:t xml:space="preserve">in toenemende mate </w:t>
      </w:r>
      <w:r w:rsidRPr="0014478B" w:rsidR="00587348">
        <w:rPr>
          <w:rFonts w:ascii="Verdana" w:hAnsi="Verdana"/>
          <w:sz w:val="18"/>
        </w:rPr>
        <w:t>af</w:t>
      </w:r>
      <w:r w:rsidRPr="0014478B" w:rsidR="63C8E360">
        <w:rPr>
          <w:rFonts w:ascii="Verdana" w:hAnsi="Verdana"/>
          <w:sz w:val="18"/>
        </w:rPr>
        <w:t xml:space="preserve"> van </w:t>
      </w:r>
      <w:r w:rsidRPr="0014478B" w:rsidR="00587348">
        <w:rPr>
          <w:rFonts w:ascii="Verdana" w:hAnsi="Verdana"/>
          <w:sz w:val="18"/>
        </w:rPr>
        <w:t xml:space="preserve">de </w:t>
      </w:r>
      <w:r w:rsidRPr="0014478B" w:rsidR="63C8E360">
        <w:rPr>
          <w:rFonts w:ascii="Verdana" w:hAnsi="Verdana"/>
          <w:sz w:val="18"/>
        </w:rPr>
        <w:t xml:space="preserve">individuele situatie. </w:t>
      </w:r>
    </w:p>
    <w:p w:rsidRPr="0014478B" w:rsidR="00EE06E1" w:rsidP="00CD7A9A" w:rsidRDefault="0085220A" w14:paraId="536A7430" w14:textId="64D70AFA">
      <w:pPr>
        <w:spacing w:after="0" w:line="240" w:lineRule="atLeast"/>
        <w:rPr>
          <w:rFonts w:ascii="Verdana" w:hAnsi="Verdana"/>
          <w:sz w:val="18"/>
        </w:rPr>
      </w:pPr>
      <w:r w:rsidRPr="0014478B">
        <w:rPr>
          <w:rFonts w:ascii="Verdana" w:hAnsi="Verdana"/>
          <w:sz w:val="18"/>
        </w:rPr>
        <w:t>Berenschot komt in een recent onderzoek</w:t>
      </w:r>
      <w:r w:rsidRPr="0014478B" w:rsidR="00E55C5E">
        <w:rPr>
          <w:rStyle w:val="Voetnootmarkering"/>
          <w:rFonts w:ascii="Verdana" w:hAnsi="Verdana"/>
          <w:sz w:val="18"/>
        </w:rPr>
        <w:footnoteReference w:id="16"/>
      </w:r>
      <w:r w:rsidRPr="0014478B">
        <w:rPr>
          <w:rFonts w:ascii="Verdana" w:hAnsi="Verdana"/>
          <w:sz w:val="18"/>
        </w:rPr>
        <w:t xml:space="preserve"> </w:t>
      </w:r>
      <w:r w:rsidRPr="0014478B" w:rsidR="00052407">
        <w:rPr>
          <w:rFonts w:ascii="Verdana" w:hAnsi="Verdana"/>
          <w:sz w:val="18"/>
        </w:rPr>
        <w:t>op een terugverdientijd van</w:t>
      </w:r>
      <w:r w:rsidRPr="0014478B" w:rsidR="003A625B">
        <w:rPr>
          <w:rFonts w:ascii="Verdana" w:hAnsi="Verdana"/>
          <w:sz w:val="18"/>
        </w:rPr>
        <w:t xml:space="preserve"> </w:t>
      </w:r>
      <w:r w:rsidRPr="0014478B" w:rsidR="00F3289A">
        <w:rPr>
          <w:rFonts w:ascii="Verdana" w:hAnsi="Verdana"/>
          <w:sz w:val="18"/>
        </w:rPr>
        <w:t>8,1 tot 15,5</w:t>
      </w:r>
      <w:r w:rsidRPr="0014478B" w:rsidR="00052407">
        <w:rPr>
          <w:rFonts w:ascii="Verdana" w:hAnsi="Verdana"/>
          <w:sz w:val="18"/>
        </w:rPr>
        <w:t xml:space="preserve"> jaar</w:t>
      </w:r>
      <w:r w:rsidRPr="0014478B" w:rsidR="00282119">
        <w:rPr>
          <w:rStyle w:val="Voetnootmarkering"/>
          <w:rFonts w:ascii="Verdana" w:hAnsi="Verdana"/>
          <w:sz w:val="18"/>
        </w:rPr>
        <w:footnoteReference w:id="17"/>
      </w:r>
      <w:r w:rsidRPr="0014478B" w:rsidR="008013AD">
        <w:rPr>
          <w:rFonts w:ascii="Verdana" w:hAnsi="Verdana"/>
          <w:sz w:val="18"/>
        </w:rPr>
        <w:t xml:space="preserve"> voor investeringen vanaf 2027</w:t>
      </w:r>
      <w:r w:rsidRPr="0014478B" w:rsidR="002B0DC5">
        <w:rPr>
          <w:rFonts w:ascii="Verdana" w:hAnsi="Verdana"/>
          <w:sz w:val="18"/>
        </w:rPr>
        <w:t>, afhankelijk van het verbruik</w:t>
      </w:r>
      <w:r w:rsidRPr="0014478B" w:rsidR="00FD51B4">
        <w:rPr>
          <w:rFonts w:ascii="Verdana" w:hAnsi="Verdana"/>
          <w:sz w:val="18"/>
        </w:rPr>
        <w:t>,</w:t>
      </w:r>
      <w:r w:rsidRPr="0014478B" w:rsidR="002B0DC5">
        <w:rPr>
          <w:rFonts w:ascii="Verdana" w:hAnsi="Verdana"/>
          <w:sz w:val="18"/>
        </w:rPr>
        <w:t xml:space="preserve"> de opwek</w:t>
      </w:r>
      <w:r w:rsidRPr="0014478B" w:rsidR="00FD51B4">
        <w:rPr>
          <w:rFonts w:ascii="Verdana" w:hAnsi="Verdana"/>
          <w:sz w:val="18"/>
        </w:rPr>
        <w:t xml:space="preserve"> en het </w:t>
      </w:r>
      <w:r w:rsidRPr="0014478B" w:rsidR="00D323A4">
        <w:rPr>
          <w:rFonts w:ascii="Verdana" w:hAnsi="Verdana"/>
          <w:sz w:val="18"/>
        </w:rPr>
        <w:t>percentage eigen verbruik</w:t>
      </w:r>
      <w:r w:rsidRPr="0014478B" w:rsidR="003A625B">
        <w:rPr>
          <w:rFonts w:ascii="Verdana" w:hAnsi="Verdana"/>
          <w:sz w:val="18"/>
        </w:rPr>
        <w:t>.</w:t>
      </w:r>
      <w:r w:rsidRPr="0014478B" w:rsidR="0002263A">
        <w:rPr>
          <w:rFonts w:ascii="Verdana" w:hAnsi="Verdana"/>
          <w:sz w:val="18"/>
        </w:rPr>
        <w:t xml:space="preserve"> </w:t>
      </w:r>
      <w:r w:rsidRPr="0014478B" w:rsidR="00DF048B">
        <w:rPr>
          <w:rFonts w:ascii="Verdana" w:hAnsi="Verdana"/>
          <w:sz w:val="18"/>
        </w:rPr>
        <w:t>CE Delft</w:t>
      </w:r>
      <w:r w:rsidRPr="0014478B" w:rsidR="007A38B9">
        <w:rPr>
          <w:rFonts w:ascii="Verdana" w:hAnsi="Verdana"/>
          <w:sz w:val="18"/>
        </w:rPr>
        <w:t xml:space="preserve"> en TNO</w:t>
      </w:r>
      <w:r w:rsidRPr="0014478B" w:rsidR="00F50D98">
        <w:rPr>
          <w:rStyle w:val="Voetnootmarkering"/>
          <w:rFonts w:ascii="Verdana" w:hAnsi="Verdana"/>
          <w:sz w:val="18"/>
        </w:rPr>
        <w:footnoteReference w:id="18"/>
      </w:r>
      <w:r w:rsidRPr="0014478B" w:rsidR="00DF048B">
        <w:rPr>
          <w:rFonts w:ascii="Verdana" w:hAnsi="Verdana"/>
          <w:sz w:val="18"/>
        </w:rPr>
        <w:t xml:space="preserve"> kom</w:t>
      </w:r>
      <w:r w:rsidRPr="0014478B" w:rsidR="007A38B9">
        <w:rPr>
          <w:rFonts w:ascii="Verdana" w:hAnsi="Verdana"/>
          <w:sz w:val="18"/>
        </w:rPr>
        <w:t>en</w:t>
      </w:r>
      <w:r w:rsidRPr="0014478B" w:rsidR="00DF048B">
        <w:rPr>
          <w:rFonts w:ascii="Verdana" w:hAnsi="Verdana"/>
          <w:sz w:val="18"/>
        </w:rPr>
        <w:t xml:space="preserve"> in h</w:t>
      </w:r>
      <w:r w:rsidRPr="0014478B" w:rsidR="007A38B9">
        <w:rPr>
          <w:rFonts w:ascii="Verdana" w:hAnsi="Verdana"/>
          <w:sz w:val="18"/>
        </w:rPr>
        <w:t>un</w:t>
      </w:r>
      <w:r w:rsidRPr="0014478B" w:rsidR="00DF048B">
        <w:rPr>
          <w:rFonts w:ascii="Verdana" w:hAnsi="Verdana"/>
          <w:sz w:val="18"/>
        </w:rPr>
        <w:t xml:space="preserve"> recente onderzoek</w:t>
      </w:r>
      <w:r w:rsidRPr="0014478B" w:rsidR="0067213F">
        <w:rPr>
          <w:rFonts w:ascii="Verdana" w:hAnsi="Verdana"/>
          <w:sz w:val="18"/>
        </w:rPr>
        <w:t xml:space="preserve"> </w:t>
      </w:r>
      <w:r w:rsidRPr="0014478B" w:rsidR="00DF048B">
        <w:rPr>
          <w:rFonts w:ascii="Verdana" w:hAnsi="Verdana"/>
          <w:sz w:val="18"/>
        </w:rPr>
        <w:t xml:space="preserve">uit op een bandbreedte van </w:t>
      </w:r>
      <w:r w:rsidRPr="0014478B" w:rsidR="00F50D98">
        <w:rPr>
          <w:rFonts w:ascii="Verdana" w:hAnsi="Verdana"/>
          <w:sz w:val="18"/>
        </w:rPr>
        <w:t>9 tot 17 jaar</w:t>
      </w:r>
      <w:r w:rsidRPr="0014478B" w:rsidR="00A8727A">
        <w:rPr>
          <w:rStyle w:val="Voetnootmarkering"/>
          <w:rFonts w:ascii="Verdana" w:hAnsi="Verdana"/>
          <w:sz w:val="18"/>
        </w:rPr>
        <w:footnoteReference w:id="19"/>
      </w:r>
      <w:r w:rsidRPr="0014478B" w:rsidR="00C158D1">
        <w:rPr>
          <w:rFonts w:ascii="Verdana" w:hAnsi="Verdana"/>
          <w:sz w:val="18"/>
        </w:rPr>
        <w:t xml:space="preserve"> voor een gemiddeld huishouden</w:t>
      </w:r>
      <w:r w:rsidRPr="0014478B" w:rsidR="00F50D98">
        <w:rPr>
          <w:rFonts w:ascii="Verdana" w:hAnsi="Verdana"/>
          <w:sz w:val="18"/>
        </w:rPr>
        <w:t xml:space="preserve">, afhankelijk van de hoeveelheid eigen verbruik en het al dan niet blijven bestaan van de terugleverkosten. </w:t>
      </w:r>
      <w:r w:rsidRPr="0014478B" w:rsidR="0002263A">
        <w:rPr>
          <w:rFonts w:ascii="Verdana" w:hAnsi="Verdana"/>
          <w:sz w:val="18"/>
        </w:rPr>
        <w:t xml:space="preserve">Daarmee blijven zonnepanelen zich binnen de </w:t>
      </w:r>
      <w:r w:rsidRPr="0014478B" w:rsidR="0002263A">
        <w:rPr>
          <w:rFonts w:ascii="Verdana" w:hAnsi="Verdana"/>
          <w:sz w:val="18"/>
        </w:rPr>
        <w:lastRenderedPageBreak/>
        <w:t>technische levensduur terugverdienen.</w:t>
      </w:r>
      <w:r w:rsidRPr="0014478B" w:rsidR="00560E5E">
        <w:rPr>
          <w:rFonts w:ascii="Verdana" w:hAnsi="Verdana"/>
          <w:sz w:val="18"/>
        </w:rPr>
        <w:t xml:space="preserve"> </w:t>
      </w:r>
      <w:r w:rsidRPr="0014478B" w:rsidR="007F6F20">
        <w:rPr>
          <w:rFonts w:ascii="Verdana" w:hAnsi="Verdana"/>
          <w:sz w:val="18"/>
        </w:rPr>
        <w:t>D</w:t>
      </w:r>
      <w:r w:rsidRPr="0014478B" w:rsidR="0002263A">
        <w:rPr>
          <w:rFonts w:ascii="Verdana" w:hAnsi="Verdana"/>
          <w:sz w:val="18"/>
        </w:rPr>
        <w:t>e terugverdientijd</w:t>
      </w:r>
      <w:r w:rsidRPr="0014478B" w:rsidR="007F6F20">
        <w:rPr>
          <w:rFonts w:ascii="Verdana" w:hAnsi="Verdana"/>
          <w:sz w:val="18"/>
        </w:rPr>
        <w:t xml:space="preserve"> kan in de praktijk lager of hoger </w:t>
      </w:r>
      <w:r w:rsidRPr="0014478B" w:rsidR="002B0DC5">
        <w:rPr>
          <w:rFonts w:ascii="Verdana" w:hAnsi="Verdana"/>
          <w:sz w:val="18"/>
        </w:rPr>
        <w:t>uitvallen</w:t>
      </w:r>
      <w:r w:rsidRPr="0014478B" w:rsidR="007F6F20">
        <w:rPr>
          <w:rFonts w:ascii="Verdana" w:hAnsi="Verdana"/>
          <w:sz w:val="18"/>
        </w:rPr>
        <w:t xml:space="preserve"> afhankelijk van de ontwikkeling </w:t>
      </w:r>
      <w:r w:rsidRPr="0014478B" w:rsidR="00877002">
        <w:rPr>
          <w:rFonts w:ascii="Verdana" w:hAnsi="Verdana"/>
          <w:sz w:val="18"/>
        </w:rPr>
        <w:t>van eerdergenoemde factoren</w:t>
      </w:r>
      <w:r w:rsidRPr="0014478B" w:rsidR="00E05153">
        <w:rPr>
          <w:rFonts w:ascii="Verdana" w:hAnsi="Verdana"/>
          <w:sz w:val="18"/>
        </w:rPr>
        <w:t>.</w:t>
      </w:r>
      <w:r w:rsidRPr="0014478B" w:rsidR="00052407">
        <w:rPr>
          <w:rFonts w:ascii="Verdana" w:hAnsi="Verdana"/>
          <w:sz w:val="18"/>
        </w:rPr>
        <w:t xml:space="preserve"> </w:t>
      </w:r>
      <w:r w:rsidRPr="0014478B" w:rsidR="00851A63">
        <w:rPr>
          <w:rFonts w:ascii="Verdana" w:hAnsi="Verdana"/>
          <w:sz w:val="18"/>
        </w:rPr>
        <w:t>Volgens Berenschot heeft het eigen verbruik de</w:t>
      </w:r>
      <w:r w:rsidRPr="0014478B" w:rsidR="00587348">
        <w:rPr>
          <w:rFonts w:ascii="Verdana" w:hAnsi="Verdana"/>
          <w:sz w:val="18"/>
        </w:rPr>
        <w:t xml:space="preserve"> grootste</w:t>
      </w:r>
      <w:r w:rsidRPr="0014478B" w:rsidR="00851A63">
        <w:rPr>
          <w:rFonts w:ascii="Verdana" w:hAnsi="Verdana"/>
          <w:sz w:val="18"/>
        </w:rPr>
        <w:t xml:space="preserve"> impact op de toekomstige terugverdientijd.</w:t>
      </w:r>
      <w:r w:rsidRPr="0014478B" w:rsidR="007A38B9">
        <w:rPr>
          <w:rFonts w:ascii="Verdana" w:hAnsi="Verdana"/>
          <w:sz w:val="18"/>
        </w:rPr>
        <w:t xml:space="preserve"> Ook CE Delft en TNO </w:t>
      </w:r>
      <w:r w:rsidRPr="0014478B" w:rsidR="00F55FE3">
        <w:rPr>
          <w:rFonts w:ascii="Verdana" w:hAnsi="Verdana"/>
          <w:sz w:val="18"/>
        </w:rPr>
        <w:t xml:space="preserve">benoemen </w:t>
      </w:r>
      <w:r w:rsidRPr="0014478B" w:rsidR="008B4206">
        <w:rPr>
          <w:rFonts w:ascii="Verdana" w:hAnsi="Verdana"/>
          <w:sz w:val="18"/>
        </w:rPr>
        <w:t xml:space="preserve">dat het </w:t>
      </w:r>
      <w:r w:rsidRPr="0014478B" w:rsidR="00F55FE3">
        <w:rPr>
          <w:rFonts w:ascii="Verdana" w:hAnsi="Verdana"/>
          <w:sz w:val="18"/>
        </w:rPr>
        <w:t xml:space="preserve">verhogen van het </w:t>
      </w:r>
      <w:r w:rsidRPr="0014478B" w:rsidR="008B4206">
        <w:rPr>
          <w:rFonts w:ascii="Verdana" w:hAnsi="Verdana"/>
          <w:sz w:val="18"/>
        </w:rPr>
        <w:t xml:space="preserve">eigen verbruik </w:t>
      </w:r>
      <w:r w:rsidRPr="0014478B" w:rsidR="00F55FE3">
        <w:rPr>
          <w:rFonts w:ascii="Verdana" w:hAnsi="Verdana"/>
          <w:sz w:val="18"/>
        </w:rPr>
        <w:t>de terugverdientijd flink kan verlagen.</w:t>
      </w:r>
    </w:p>
    <w:p w:rsidRPr="0014478B" w:rsidR="00EE5295" w:rsidP="00CD7A9A" w:rsidRDefault="00AE23DC" w14:paraId="203EA197" w14:textId="3DD172DF">
      <w:pPr>
        <w:spacing w:after="0" w:line="240" w:lineRule="atLeast"/>
        <w:rPr>
          <w:rFonts w:ascii="Verdana" w:hAnsi="Verdana"/>
          <w:sz w:val="18"/>
        </w:rPr>
      </w:pPr>
      <w:r w:rsidRPr="0014478B">
        <w:rPr>
          <w:rFonts w:ascii="Verdana" w:hAnsi="Verdana"/>
          <w:sz w:val="18"/>
        </w:rPr>
        <w:t>Voor woningeigenaren met een laa</w:t>
      </w:r>
      <w:r w:rsidRPr="0014478B" w:rsidR="000A7E21">
        <w:rPr>
          <w:rFonts w:ascii="Verdana" w:hAnsi="Verdana"/>
          <w:sz w:val="18"/>
        </w:rPr>
        <w:t xml:space="preserve">g (midden)inkomen bestaat de mogelijkheid </w:t>
      </w:r>
      <w:r w:rsidRPr="0014478B" w:rsidR="00E7244F">
        <w:rPr>
          <w:rFonts w:ascii="Verdana" w:hAnsi="Verdana"/>
          <w:sz w:val="18"/>
        </w:rPr>
        <w:t xml:space="preserve">om zonnepanelen aan te schaffen met een </w:t>
      </w:r>
      <w:r w:rsidRPr="0014478B" w:rsidR="00FA0E94">
        <w:rPr>
          <w:rFonts w:ascii="Verdana" w:hAnsi="Verdana"/>
          <w:sz w:val="18"/>
        </w:rPr>
        <w:t xml:space="preserve">verantwoorde financiering </w:t>
      </w:r>
      <w:r w:rsidRPr="0014478B" w:rsidR="00E7244F">
        <w:rPr>
          <w:rFonts w:ascii="Verdana" w:hAnsi="Verdana"/>
          <w:sz w:val="18"/>
        </w:rPr>
        <w:t>bij het Nationaal Wa</w:t>
      </w:r>
      <w:r w:rsidRPr="0014478B" w:rsidR="0054132D">
        <w:rPr>
          <w:rFonts w:ascii="Verdana" w:hAnsi="Verdana"/>
          <w:sz w:val="18"/>
        </w:rPr>
        <w:t>r</w:t>
      </w:r>
      <w:r w:rsidRPr="0014478B" w:rsidR="00E7244F">
        <w:rPr>
          <w:rFonts w:ascii="Verdana" w:hAnsi="Verdana"/>
          <w:sz w:val="18"/>
        </w:rPr>
        <w:t>m</w:t>
      </w:r>
      <w:r w:rsidRPr="0014478B" w:rsidR="007B4C1B">
        <w:rPr>
          <w:rFonts w:ascii="Verdana" w:hAnsi="Verdana"/>
          <w:sz w:val="18"/>
        </w:rPr>
        <w:t>tefonds.</w:t>
      </w:r>
    </w:p>
    <w:p w:rsidRPr="0014478B" w:rsidR="009C18B4" w:rsidP="00CD7A9A" w:rsidRDefault="009C18B4" w14:paraId="5C6B96DA" w14:textId="77777777">
      <w:pPr>
        <w:spacing w:after="0" w:line="240" w:lineRule="atLeast"/>
        <w:rPr>
          <w:rFonts w:ascii="Verdana" w:hAnsi="Verdana"/>
          <w:sz w:val="18"/>
        </w:rPr>
      </w:pPr>
    </w:p>
    <w:p w:rsidRPr="0014478B" w:rsidR="0050244B" w:rsidP="00CD7A9A" w:rsidRDefault="00A3431C" w14:paraId="100D7172" w14:textId="4D5D306F">
      <w:pPr>
        <w:pStyle w:val="Lijstalinea"/>
        <w:numPr>
          <w:ilvl w:val="0"/>
          <w:numId w:val="3"/>
        </w:numPr>
        <w:spacing w:after="0" w:line="240" w:lineRule="atLeast"/>
        <w:rPr>
          <w:rFonts w:ascii="Verdana" w:hAnsi="Verdana"/>
          <w:i/>
          <w:iCs/>
          <w:sz w:val="18"/>
        </w:rPr>
      </w:pPr>
      <w:r w:rsidRPr="0014478B">
        <w:rPr>
          <w:rFonts w:ascii="Verdana" w:hAnsi="Verdana"/>
          <w:i/>
          <w:iCs/>
          <w:sz w:val="18"/>
        </w:rPr>
        <w:t>die niet-hernieuwbare elektriciteit opwekken</w:t>
      </w:r>
    </w:p>
    <w:p w:rsidRPr="0014478B" w:rsidR="009C18B4" w:rsidP="00CD7A9A" w:rsidRDefault="009C18B4" w14:paraId="2C6F5E38" w14:textId="5CAC37EE">
      <w:pPr>
        <w:spacing w:after="0" w:line="240" w:lineRule="atLeast"/>
        <w:rPr>
          <w:rFonts w:ascii="Verdana" w:hAnsi="Verdana"/>
          <w:sz w:val="18"/>
        </w:rPr>
      </w:pPr>
      <w:r w:rsidRPr="0014478B">
        <w:rPr>
          <w:rFonts w:ascii="Verdana" w:hAnsi="Verdana"/>
          <w:sz w:val="18"/>
        </w:rPr>
        <w:t xml:space="preserve">De huidige wet ziet ook op </w:t>
      </w:r>
      <w:r w:rsidRPr="0014478B" w:rsidR="007D2EFF">
        <w:rPr>
          <w:rFonts w:ascii="Verdana" w:hAnsi="Verdana"/>
          <w:sz w:val="18"/>
        </w:rPr>
        <w:t>teruglevering</w:t>
      </w:r>
      <w:r w:rsidRPr="0014478B">
        <w:rPr>
          <w:rFonts w:ascii="Verdana" w:hAnsi="Verdana"/>
          <w:sz w:val="18"/>
        </w:rPr>
        <w:t xml:space="preserve"> van niet-hernieuwbare elektriciteit</w:t>
      </w:r>
      <w:r w:rsidRPr="0014478B" w:rsidR="00006204">
        <w:rPr>
          <w:rFonts w:ascii="Verdana" w:hAnsi="Verdana"/>
          <w:sz w:val="18"/>
        </w:rPr>
        <w:t xml:space="preserve"> door eindafnemers met een kleine aansluiting</w:t>
      </w:r>
      <w:r w:rsidRPr="0014478B">
        <w:rPr>
          <w:rFonts w:ascii="Verdana" w:hAnsi="Verdana"/>
          <w:sz w:val="18"/>
        </w:rPr>
        <w:t>, bijvoorbeeld door middel van een microwarmte-krachtkoppeling</w:t>
      </w:r>
      <w:r w:rsidRPr="0014478B" w:rsidR="0017182B">
        <w:rPr>
          <w:rFonts w:ascii="Verdana" w:hAnsi="Verdana"/>
          <w:sz w:val="18"/>
        </w:rPr>
        <w:t xml:space="preserve"> met aardgas als brandstof</w:t>
      </w:r>
      <w:r w:rsidRPr="0014478B">
        <w:rPr>
          <w:rFonts w:ascii="Verdana" w:hAnsi="Verdana"/>
          <w:sz w:val="18"/>
        </w:rPr>
        <w:t xml:space="preserve">. Deze </w:t>
      </w:r>
      <w:r w:rsidRPr="0014478B" w:rsidR="00B35E2D">
        <w:rPr>
          <w:rFonts w:ascii="Verdana" w:hAnsi="Verdana"/>
          <w:sz w:val="18"/>
        </w:rPr>
        <w:t>teruglevering</w:t>
      </w:r>
      <w:r w:rsidRPr="0014478B" w:rsidR="00EC5B00">
        <w:rPr>
          <w:rFonts w:ascii="Verdana" w:hAnsi="Verdana"/>
          <w:sz w:val="18"/>
        </w:rPr>
        <w:t xml:space="preserve"> </w:t>
      </w:r>
      <w:r w:rsidRPr="0014478B">
        <w:rPr>
          <w:rFonts w:ascii="Verdana" w:hAnsi="Verdana"/>
          <w:sz w:val="18"/>
        </w:rPr>
        <w:t xml:space="preserve">mag momenteel tot 5000 kWh gesaldeerd worden. Vanaf 2027 zal ook de niet-hernieuwbare </w:t>
      </w:r>
      <w:r w:rsidRPr="0014478B" w:rsidR="00E603B0">
        <w:rPr>
          <w:rFonts w:ascii="Verdana" w:hAnsi="Verdana"/>
          <w:sz w:val="18"/>
        </w:rPr>
        <w:t xml:space="preserve">teruglevering </w:t>
      </w:r>
      <w:r w:rsidRPr="0014478B">
        <w:rPr>
          <w:rFonts w:ascii="Verdana" w:hAnsi="Verdana"/>
          <w:sz w:val="18"/>
        </w:rPr>
        <w:t xml:space="preserve">niet meer gesaldeerd mogen worden. Daarbij zal de redelijke vergoeding vanaf 2027 alleen nog gelden voor </w:t>
      </w:r>
      <w:r w:rsidRPr="0014478B" w:rsidR="00F34209">
        <w:rPr>
          <w:rFonts w:ascii="Verdana" w:hAnsi="Verdana"/>
          <w:sz w:val="18"/>
        </w:rPr>
        <w:t>aan een mar</w:t>
      </w:r>
      <w:r w:rsidRPr="0014478B" w:rsidR="007B2127">
        <w:rPr>
          <w:rFonts w:ascii="Verdana" w:hAnsi="Verdana"/>
          <w:sz w:val="18"/>
        </w:rPr>
        <w:t xml:space="preserve">ktdeelnemer teruggeleverde </w:t>
      </w:r>
      <w:r w:rsidRPr="0014478B" w:rsidR="000D63F6">
        <w:rPr>
          <w:rFonts w:ascii="Verdana" w:hAnsi="Verdana"/>
          <w:sz w:val="18"/>
        </w:rPr>
        <w:t xml:space="preserve">zelfopgewekte </w:t>
      </w:r>
      <w:r w:rsidRPr="0014478B">
        <w:rPr>
          <w:rFonts w:ascii="Verdana" w:hAnsi="Verdana"/>
          <w:sz w:val="18"/>
        </w:rPr>
        <w:t xml:space="preserve">hernieuwbare elektriciteit. </w:t>
      </w:r>
      <w:r w:rsidRPr="0014478B" w:rsidR="00A75214">
        <w:rPr>
          <w:rFonts w:ascii="Verdana" w:hAnsi="Verdana"/>
          <w:sz w:val="18"/>
        </w:rPr>
        <w:t xml:space="preserve">De </w:t>
      </w:r>
      <w:r w:rsidRPr="0014478B" w:rsidR="000D63F6">
        <w:rPr>
          <w:rFonts w:ascii="Verdana" w:hAnsi="Verdana"/>
          <w:sz w:val="18"/>
        </w:rPr>
        <w:t>concrete hoogte van de</w:t>
      </w:r>
      <w:r w:rsidRPr="0014478B" w:rsidR="00A75214">
        <w:rPr>
          <w:rFonts w:ascii="Verdana" w:hAnsi="Verdana"/>
          <w:sz w:val="18"/>
        </w:rPr>
        <w:t xml:space="preserve"> vergoeding die de </w:t>
      </w:r>
      <w:r w:rsidRPr="0014478B" w:rsidR="007048AD">
        <w:rPr>
          <w:rFonts w:ascii="Verdana" w:hAnsi="Verdana"/>
          <w:sz w:val="18"/>
        </w:rPr>
        <w:t xml:space="preserve">actieve afnemer </w:t>
      </w:r>
      <w:r w:rsidRPr="0014478B" w:rsidR="003C5A46">
        <w:rPr>
          <w:rFonts w:ascii="Verdana" w:hAnsi="Verdana"/>
          <w:sz w:val="18"/>
        </w:rPr>
        <w:t xml:space="preserve">hiervoor </w:t>
      </w:r>
      <w:r w:rsidRPr="0014478B" w:rsidR="00A75214">
        <w:rPr>
          <w:rFonts w:ascii="Verdana" w:hAnsi="Verdana"/>
          <w:sz w:val="18"/>
        </w:rPr>
        <w:t>ontvangt zal afhangen van de individuele afspraken met de</w:t>
      </w:r>
      <w:r w:rsidRPr="0014478B" w:rsidR="00424596">
        <w:rPr>
          <w:rFonts w:ascii="Verdana" w:hAnsi="Verdana"/>
          <w:sz w:val="18"/>
        </w:rPr>
        <w:t xml:space="preserve"> </w:t>
      </w:r>
      <w:r w:rsidRPr="0014478B" w:rsidR="003C5A46">
        <w:rPr>
          <w:rFonts w:ascii="Verdana" w:hAnsi="Verdana"/>
          <w:sz w:val="18"/>
        </w:rPr>
        <w:t>marktdeelnemer</w:t>
      </w:r>
      <w:r w:rsidRPr="0014478B" w:rsidR="00BA577D">
        <w:rPr>
          <w:rFonts w:ascii="Verdana" w:hAnsi="Verdana"/>
          <w:sz w:val="18"/>
        </w:rPr>
        <w:t xml:space="preserve"> in de terugleveringsovereenkomst</w:t>
      </w:r>
      <w:r w:rsidRPr="0014478B" w:rsidR="00A75214">
        <w:rPr>
          <w:rFonts w:ascii="Verdana" w:hAnsi="Verdana"/>
          <w:sz w:val="18"/>
        </w:rPr>
        <w:t>.</w:t>
      </w:r>
    </w:p>
    <w:p w:rsidRPr="0014478B" w:rsidR="00E5119E" w:rsidP="00CD7A9A" w:rsidRDefault="00E5119E" w14:paraId="2FB66648" w14:textId="77777777">
      <w:pPr>
        <w:spacing w:after="0" w:line="240" w:lineRule="atLeast"/>
        <w:rPr>
          <w:rFonts w:ascii="Verdana" w:hAnsi="Verdana"/>
          <w:sz w:val="18"/>
        </w:rPr>
      </w:pPr>
    </w:p>
    <w:p w:rsidRPr="0014478B" w:rsidR="00E5119E" w:rsidP="00CD7A9A" w:rsidRDefault="00E5119E" w14:paraId="3357E102" w14:textId="250A3A7D">
      <w:pPr>
        <w:pStyle w:val="Lijstalinea"/>
        <w:numPr>
          <w:ilvl w:val="0"/>
          <w:numId w:val="3"/>
        </w:numPr>
        <w:spacing w:after="0" w:line="240" w:lineRule="atLeast"/>
        <w:rPr>
          <w:rFonts w:ascii="Verdana" w:hAnsi="Verdana"/>
          <w:i/>
          <w:iCs/>
          <w:sz w:val="18"/>
        </w:rPr>
      </w:pPr>
      <w:r w:rsidRPr="0014478B">
        <w:rPr>
          <w:rFonts w:ascii="Verdana" w:hAnsi="Verdana"/>
          <w:i/>
          <w:iCs/>
          <w:sz w:val="18"/>
        </w:rPr>
        <w:t>die een grote aansluiting hebben</w:t>
      </w:r>
    </w:p>
    <w:p w:rsidRPr="0014478B" w:rsidR="00E90DBA" w:rsidP="00CD7A9A" w:rsidRDefault="00770700" w14:paraId="17D130EF" w14:textId="645C16B9">
      <w:pPr>
        <w:spacing w:after="0" w:line="240" w:lineRule="atLeast"/>
        <w:rPr>
          <w:rFonts w:ascii="Verdana" w:hAnsi="Verdana"/>
          <w:sz w:val="18"/>
        </w:rPr>
      </w:pPr>
      <w:r w:rsidRPr="0014478B">
        <w:rPr>
          <w:rFonts w:ascii="Verdana" w:hAnsi="Verdana"/>
          <w:sz w:val="18"/>
        </w:rPr>
        <w:t xml:space="preserve">De huidige wet voorziet alleen in een redelijke vergoeding voor </w:t>
      </w:r>
      <w:r w:rsidRPr="0014478B" w:rsidR="004F73A6">
        <w:rPr>
          <w:rFonts w:ascii="Verdana" w:hAnsi="Verdana"/>
          <w:sz w:val="18"/>
        </w:rPr>
        <w:t>teruggeleverde elektricit</w:t>
      </w:r>
      <w:r w:rsidRPr="0014478B" w:rsidR="00FD2598">
        <w:rPr>
          <w:rFonts w:ascii="Verdana" w:hAnsi="Verdana"/>
          <w:sz w:val="18"/>
        </w:rPr>
        <w:t xml:space="preserve">eit voor </w:t>
      </w:r>
      <w:r w:rsidRPr="0014478B">
        <w:rPr>
          <w:rFonts w:ascii="Verdana" w:hAnsi="Verdana"/>
          <w:sz w:val="18"/>
        </w:rPr>
        <w:t xml:space="preserve">eindafnemers met een kleine aansluiting. Het wetsvoorstel </w:t>
      </w:r>
      <w:r w:rsidRPr="0014478B" w:rsidR="001754E8">
        <w:rPr>
          <w:rFonts w:ascii="Verdana" w:hAnsi="Verdana"/>
          <w:sz w:val="18"/>
        </w:rPr>
        <w:t>voor</w:t>
      </w:r>
      <w:r w:rsidRPr="0014478B">
        <w:rPr>
          <w:rFonts w:ascii="Verdana" w:hAnsi="Verdana"/>
          <w:sz w:val="18"/>
        </w:rPr>
        <w:t xml:space="preserve">ziet in een redelijke vergoeding voor alle actieve afnemers die </w:t>
      </w:r>
      <w:r w:rsidRPr="0014478B" w:rsidR="00772AC0">
        <w:rPr>
          <w:rFonts w:ascii="Verdana" w:hAnsi="Verdana"/>
          <w:sz w:val="18"/>
        </w:rPr>
        <w:t xml:space="preserve">zelfopgewekte </w:t>
      </w:r>
      <w:r w:rsidRPr="0014478B">
        <w:rPr>
          <w:rFonts w:ascii="Verdana" w:hAnsi="Verdana"/>
          <w:sz w:val="18"/>
        </w:rPr>
        <w:t>hernieuwbare elektriciteit terugleveren</w:t>
      </w:r>
      <w:r w:rsidRPr="0014478B" w:rsidR="00132E04">
        <w:rPr>
          <w:rFonts w:ascii="Verdana" w:hAnsi="Verdana"/>
          <w:sz w:val="18"/>
        </w:rPr>
        <w:t xml:space="preserve"> aan een marktdeelnemer</w:t>
      </w:r>
      <w:r w:rsidRPr="0014478B">
        <w:rPr>
          <w:rFonts w:ascii="Verdana" w:hAnsi="Verdana"/>
          <w:sz w:val="18"/>
        </w:rPr>
        <w:t>, dus ook voor actieve afnemers met een grote aansluiting</w:t>
      </w:r>
      <w:r w:rsidRPr="0014478B" w:rsidR="00B10E4E">
        <w:rPr>
          <w:rFonts w:ascii="Verdana" w:hAnsi="Verdana"/>
          <w:sz w:val="18"/>
        </w:rPr>
        <w:t>, zoals particulieren en zakelijke afnemers met een verzwaarde aansluiting</w:t>
      </w:r>
      <w:r w:rsidRPr="0014478B" w:rsidR="0027192F">
        <w:rPr>
          <w:rFonts w:ascii="Verdana" w:hAnsi="Verdana"/>
          <w:sz w:val="18"/>
        </w:rPr>
        <w:t xml:space="preserve"> </w:t>
      </w:r>
      <w:r w:rsidRPr="0014478B" w:rsidR="007110CF">
        <w:rPr>
          <w:rFonts w:ascii="Verdana" w:hAnsi="Verdana"/>
          <w:sz w:val="18"/>
        </w:rPr>
        <w:t>voor wie het verkopen, opslaan of gebruik maken van flexibiliteits- of energie-efficiëntiediensten met zelfopgewekte hernieuwbare elektriciteit niet de belangrijkste commerciële activiteit vormen</w:t>
      </w:r>
      <w:r w:rsidRPr="0014478B">
        <w:rPr>
          <w:rFonts w:ascii="Verdana" w:hAnsi="Verdana"/>
          <w:sz w:val="18"/>
        </w:rPr>
        <w:t>.</w:t>
      </w:r>
    </w:p>
    <w:p w:rsidRPr="0014478B" w:rsidR="00E90DBA" w:rsidP="00CD7A9A" w:rsidRDefault="00E90DBA" w14:paraId="5E8ABD46" w14:textId="77777777">
      <w:pPr>
        <w:spacing w:after="0" w:line="240" w:lineRule="atLeast"/>
        <w:rPr>
          <w:rFonts w:ascii="Verdana" w:hAnsi="Verdana"/>
          <w:sz w:val="18"/>
        </w:rPr>
      </w:pPr>
    </w:p>
    <w:p w:rsidRPr="0014478B" w:rsidR="00C27DDE" w:rsidP="00CD7A9A" w:rsidRDefault="00C27DDE" w14:paraId="19793527" w14:textId="3B0E8DC0">
      <w:pPr>
        <w:pStyle w:val="Lijstalinea"/>
        <w:numPr>
          <w:ilvl w:val="0"/>
          <w:numId w:val="3"/>
        </w:numPr>
        <w:spacing w:after="0" w:line="240" w:lineRule="atLeast"/>
        <w:rPr>
          <w:rFonts w:ascii="Verdana" w:hAnsi="Verdana"/>
          <w:i/>
          <w:iCs/>
          <w:sz w:val="18"/>
        </w:rPr>
      </w:pPr>
      <w:r w:rsidRPr="0014478B">
        <w:rPr>
          <w:rFonts w:ascii="Verdana" w:hAnsi="Verdana" w:eastAsia="Times New Roman"/>
          <w:i/>
          <w:iCs/>
          <w:sz w:val="18"/>
        </w:rPr>
        <w:t>Doenvermogen</w:t>
      </w:r>
    </w:p>
    <w:p w:rsidRPr="0014478B" w:rsidR="00127F06" w:rsidP="00CD7A9A" w:rsidRDefault="00656742" w14:paraId="38E2AB8C" w14:textId="1CBDD359">
      <w:pPr>
        <w:spacing w:after="0" w:line="240" w:lineRule="atLeast"/>
        <w:rPr>
          <w:rFonts w:ascii="Verdana" w:hAnsi="Verdana" w:eastAsia="Times New Roman"/>
          <w:sz w:val="18"/>
        </w:rPr>
      </w:pPr>
      <w:r w:rsidRPr="0014478B">
        <w:rPr>
          <w:rFonts w:ascii="Verdana" w:hAnsi="Verdana" w:eastAsia="Times New Roman"/>
          <w:sz w:val="18"/>
        </w:rPr>
        <w:t>Het wetsvoorstel zorgt voor weinig extra belasting van het doenvermogen</w:t>
      </w:r>
      <w:r w:rsidRPr="0014478B" w:rsidR="00413307">
        <w:rPr>
          <w:rFonts w:ascii="Verdana" w:hAnsi="Verdana" w:eastAsia="Times New Roman"/>
          <w:sz w:val="18"/>
        </w:rPr>
        <w:t>,</w:t>
      </w:r>
      <w:r w:rsidRPr="0014478B">
        <w:rPr>
          <w:rFonts w:ascii="Verdana" w:hAnsi="Verdana" w:eastAsia="Times New Roman"/>
          <w:sz w:val="18"/>
        </w:rPr>
        <w:t xml:space="preserve"> aangezien</w:t>
      </w:r>
      <w:r w:rsidRPr="0014478B" w:rsidR="00B57DEE">
        <w:rPr>
          <w:rFonts w:ascii="Verdana" w:hAnsi="Verdana" w:eastAsia="Times New Roman"/>
          <w:sz w:val="18"/>
        </w:rPr>
        <w:t xml:space="preserve"> het gaat om een </w:t>
      </w:r>
      <w:r w:rsidRPr="0014478B" w:rsidR="00B57DEE">
        <w:rPr>
          <w:rFonts w:ascii="Verdana" w:hAnsi="Verdana" w:eastAsia="Times New Roman"/>
          <w:i/>
          <w:iCs/>
          <w:sz w:val="18"/>
        </w:rPr>
        <w:t>beëindiging</w:t>
      </w:r>
      <w:r w:rsidRPr="0014478B" w:rsidR="00B57DEE">
        <w:rPr>
          <w:rFonts w:ascii="Verdana" w:hAnsi="Verdana" w:eastAsia="Times New Roman"/>
          <w:sz w:val="18"/>
        </w:rPr>
        <w:t xml:space="preserve"> van een fiscale regeling. Alle actieve afnemers zullen een redelijke vergoeding krijgen voor de </w:t>
      </w:r>
      <w:r w:rsidRPr="0014478B" w:rsidR="00EE598A">
        <w:rPr>
          <w:rFonts w:ascii="Verdana" w:hAnsi="Verdana" w:eastAsia="Times New Roman"/>
          <w:sz w:val="18"/>
        </w:rPr>
        <w:t>teruggeleverde</w:t>
      </w:r>
      <w:r w:rsidRPr="0014478B" w:rsidR="00B57DEE">
        <w:rPr>
          <w:rFonts w:ascii="Verdana" w:hAnsi="Verdana" w:eastAsia="Times New Roman"/>
          <w:sz w:val="18"/>
        </w:rPr>
        <w:t xml:space="preserve"> </w:t>
      </w:r>
      <w:r w:rsidRPr="0014478B" w:rsidR="00210538">
        <w:rPr>
          <w:rFonts w:ascii="Verdana" w:hAnsi="Verdana" w:eastAsia="Times New Roman"/>
          <w:sz w:val="18"/>
        </w:rPr>
        <w:t xml:space="preserve">zelfopgewekte </w:t>
      </w:r>
      <w:r w:rsidRPr="0014478B" w:rsidR="00B57DEE">
        <w:rPr>
          <w:rFonts w:ascii="Verdana" w:hAnsi="Verdana" w:eastAsia="Times New Roman"/>
          <w:sz w:val="18"/>
        </w:rPr>
        <w:t xml:space="preserve">hernieuwbare energie. </w:t>
      </w:r>
      <w:r w:rsidRPr="0014478B" w:rsidR="00AA7267">
        <w:rPr>
          <w:rFonts w:ascii="Verdana" w:hAnsi="Verdana" w:eastAsia="Times New Roman"/>
          <w:sz w:val="18"/>
        </w:rPr>
        <w:t xml:space="preserve">Ze hoeven hier zelf geen actie voor te ondernemen. </w:t>
      </w:r>
      <w:r w:rsidRPr="0014478B" w:rsidR="00B57DEE">
        <w:rPr>
          <w:rFonts w:ascii="Verdana" w:hAnsi="Verdana" w:eastAsia="Times New Roman"/>
          <w:sz w:val="18"/>
        </w:rPr>
        <w:t>De ACM houdt hier toezicht op</w:t>
      </w:r>
      <w:r w:rsidRPr="0014478B" w:rsidR="00AA7267">
        <w:rPr>
          <w:rFonts w:ascii="Verdana" w:hAnsi="Verdana" w:eastAsia="Times New Roman"/>
          <w:sz w:val="18"/>
        </w:rPr>
        <w:t xml:space="preserve"> en kan zo nodig onderzoek doen naar de wijze waarop leveranciers de wettelijke eis naleven en bij overtredingen handhavend optreden</w:t>
      </w:r>
      <w:r w:rsidRPr="0014478B" w:rsidR="00B57DEE">
        <w:rPr>
          <w:rFonts w:ascii="Verdana" w:hAnsi="Verdana" w:eastAsia="Times New Roman"/>
          <w:sz w:val="18"/>
        </w:rPr>
        <w:t>.</w:t>
      </w:r>
      <w:r w:rsidRPr="0014478B">
        <w:rPr>
          <w:rFonts w:ascii="Verdana" w:hAnsi="Verdana" w:eastAsia="Times New Roman"/>
          <w:sz w:val="18"/>
        </w:rPr>
        <w:t xml:space="preserve"> </w:t>
      </w:r>
    </w:p>
    <w:p w:rsidRPr="0014478B" w:rsidR="000833B1" w:rsidP="00CD7A9A" w:rsidRDefault="000833B1" w14:paraId="04FF04A1" w14:textId="77777777">
      <w:pPr>
        <w:spacing w:after="0" w:line="240" w:lineRule="atLeast"/>
        <w:rPr>
          <w:rFonts w:ascii="Verdana" w:hAnsi="Verdana" w:eastAsia="Times New Roman"/>
          <w:sz w:val="18"/>
        </w:rPr>
      </w:pPr>
    </w:p>
    <w:p w:rsidRPr="0014478B" w:rsidR="00236FC8" w:rsidP="00CD7A9A" w:rsidRDefault="00B57DEE" w14:paraId="6747691F" w14:textId="14319692">
      <w:pPr>
        <w:spacing w:after="0" w:line="240" w:lineRule="atLeast"/>
        <w:rPr>
          <w:rFonts w:ascii="Verdana" w:hAnsi="Verdana" w:eastAsia="Times New Roman"/>
          <w:sz w:val="18"/>
        </w:rPr>
      </w:pPr>
      <w:r w:rsidRPr="0014478B">
        <w:rPr>
          <w:rFonts w:ascii="Verdana" w:hAnsi="Verdana" w:eastAsia="Times New Roman"/>
          <w:sz w:val="18"/>
        </w:rPr>
        <w:t xml:space="preserve">Daarnaast biedt het beëindigen van de salderingsregeling een financiële prikkel om zelfopgewekte elektriciteit zoveel mogelijk zelf te verbruiken en niet op het net in te voeden. </w:t>
      </w:r>
      <w:r w:rsidRPr="0014478B" w:rsidR="006661F9">
        <w:rPr>
          <w:rFonts w:ascii="Verdana" w:hAnsi="Verdana"/>
          <w:sz w:val="18"/>
        </w:rPr>
        <w:t xml:space="preserve">Momenteel wordt gemiddeld 30% van de zelfopgewekte elektriciteit direct zelf verbruikt. </w:t>
      </w:r>
      <w:r w:rsidRPr="0014478B" w:rsidR="00B52688">
        <w:rPr>
          <w:rFonts w:ascii="Verdana" w:hAnsi="Verdana"/>
          <w:sz w:val="18"/>
        </w:rPr>
        <w:t>Actieve afnemers</w:t>
      </w:r>
      <w:r w:rsidRPr="0014478B" w:rsidR="006661F9">
        <w:rPr>
          <w:rFonts w:ascii="Verdana" w:hAnsi="Verdana"/>
          <w:sz w:val="18"/>
        </w:rPr>
        <w:t xml:space="preserve"> </w:t>
      </w:r>
      <w:r w:rsidRPr="0014478B" w:rsidR="0092142B">
        <w:rPr>
          <w:rFonts w:ascii="Verdana" w:hAnsi="Verdana"/>
          <w:sz w:val="18"/>
        </w:rPr>
        <w:t xml:space="preserve">met </w:t>
      </w:r>
      <w:r w:rsidRPr="0014478B" w:rsidR="006661F9">
        <w:rPr>
          <w:rFonts w:ascii="Verdana" w:hAnsi="Verdana"/>
          <w:sz w:val="18"/>
        </w:rPr>
        <w:t xml:space="preserve">zonnepanelen hebben </w:t>
      </w:r>
      <w:r w:rsidRPr="0014478B" w:rsidR="00AA7267">
        <w:rPr>
          <w:rFonts w:ascii="Verdana" w:hAnsi="Verdana"/>
          <w:sz w:val="18"/>
        </w:rPr>
        <w:t xml:space="preserve">diverse </w:t>
      </w:r>
      <w:r w:rsidRPr="0014478B" w:rsidR="006661F9">
        <w:rPr>
          <w:rFonts w:ascii="Verdana" w:hAnsi="Verdana"/>
          <w:sz w:val="18"/>
        </w:rPr>
        <w:t xml:space="preserve">mogelijkheden om dit percentage te verhogen en zo meer opbrengst uit hun zonnepanelen te halen en tegelijkertijd het systeem minder te belasten. </w:t>
      </w:r>
      <w:r w:rsidRPr="0014478B" w:rsidR="006661F9">
        <w:rPr>
          <w:rFonts w:ascii="Verdana" w:hAnsi="Verdana" w:eastAsia="Times New Roman"/>
          <w:sz w:val="18"/>
        </w:rPr>
        <w:t xml:space="preserve">Zo kunnen </w:t>
      </w:r>
      <w:r w:rsidRPr="0014478B" w:rsidR="000D23AB">
        <w:rPr>
          <w:rFonts w:ascii="Verdana" w:hAnsi="Verdana" w:eastAsia="Times New Roman"/>
          <w:sz w:val="18"/>
        </w:rPr>
        <w:t>actieve afnemers</w:t>
      </w:r>
      <w:r w:rsidRPr="0014478B" w:rsidR="006661F9">
        <w:rPr>
          <w:rFonts w:ascii="Verdana" w:hAnsi="Verdana" w:eastAsia="Times New Roman"/>
          <w:sz w:val="18"/>
        </w:rPr>
        <w:t xml:space="preserve"> het verbruik van apparaten handmatig afstemmen op de eigen opwek</w:t>
      </w:r>
      <w:r w:rsidRPr="0014478B" w:rsidR="00A82A82">
        <w:rPr>
          <w:rFonts w:ascii="Verdana" w:hAnsi="Verdana" w:eastAsia="Times New Roman"/>
          <w:sz w:val="18"/>
        </w:rPr>
        <w:t>king</w:t>
      </w:r>
      <w:r w:rsidRPr="0014478B" w:rsidR="006661F9">
        <w:rPr>
          <w:rFonts w:ascii="Verdana" w:hAnsi="Verdana" w:eastAsia="Times New Roman"/>
          <w:sz w:val="18"/>
        </w:rPr>
        <w:t xml:space="preserve"> of dit automatisch doen met de inzet van slimme apparatuur. Beide opties vragen actief handelen van de actieve afnemer.</w:t>
      </w:r>
    </w:p>
    <w:p w:rsidRPr="0014478B" w:rsidR="000833B1" w:rsidP="00CD7A9A" w:rsidRDefault="000833B1" w14:paraId="1E1554C4" w14:textId="77777777">
      <w:pPr>
        <w:spacing w:after="0" w:line="240" w:lineRule="atLeast"/>
        <w:rPr>
          <w:rFonts w:ascii="Verdana" w:hAnsi="Verdana" w:eastAsia="Times New Roman"/>
          <w:sz w:val="18"/>
        </w:rPr>
      </w:pPr>
    </w:p>
    <w:p w:rsidRPr="0014478B" w:rsidR="006661F9" w:rsidP="00CD7A9A" w:rsidRDefault="006661F9" w14:paraId="340EC36F" w14:textId="4D6A17C2">
      <w:pPr>
        <w:spacing w:after="0" w:line="240" w:lineRule="atLeast"/>
        <w:rPr>
          <w:rFonts w:ascii="Verdana" w:hAnsi="Verdana" w:eastAsia="Times New Roman"/>
          <w:sz w:val="18"/>
        </w:rPr>
      </w:pPr>
      <w:r w:rsidRPr="0014478B">
        <w:rPr>
          <w:rFonts w:ascii="Verdana" w:hAnsi="Verdana" w:eastAsia="Times New Roman"/>
          <w:sz w:val="18"/>
        </w:rPr>
        <w:t>Milieu Centraal geeft voorlichting</w:t>
      </w:r>
      <w:r w:rsidRPr="0014478B">
        <w:rPr>
          <w:rStyle w:val="Voetnootmarkering"/>
          <w:rFonts w:ascii="Verdana" w:hAnsi="Verdana" w:eastAsia="Times New Roman"/>
          <w:sz w:val="18"/>
        </w:rPr>
        <w:footnoteReference w:id="20"/>
      </w:r>
      <w:r w:rsidRPr="0014478B">
        <w:rPr>
          <w:rFonts w:ascii="Verdana" w:hAnsi="Verdana" w:eastAsia="Times New Roman"/>
          <w:sz w:val="18"/>
        </w:rPr>
        <w:t xml:space="preserve"> over het verhogen van het eigen verbruik. Zo kan het eigen verbruik stijgen door apparaten</w:t>
      </w:r>
      <w:r w:rsidRPr="0014478B" w:rsidR="004C7717">
        <w:rPr>
          <w:rFonts w:ascii="Verdana" w:hAnsi="Verdana" w:eastAsia="Times New Roman"/>
          <w:sz w:val="18"/>
        </w:rPr>
        <w:t xml:space="preserve"> zoals de vaatwasser</w:t>
      </w:r>
      <w:r w:rsidRPr="0014478B">
        <w:rPr>
          <w:rFonts w:ascii="Verdana" w:hAnsi="Verdana" w:eastAsia="Times New Roman"/>
          <w:sz w:val="18"/>
        </w:rPr>
        <w:t xml:space="preserve"> aan te zetten wanneer de zon schijnt</w:t>
      </w:r>
      <w:r w:rsidRPr="0014478B" w:rsidR="004C7717">
        <w:rPr>
          <w:rFonts w:ascii="Verdana" w:hAnsi="Verdana" w:eastAsia="Times New Roman"/>
          <w:sz w:val="18"/>
        </w:rPr>
        <w:t xml:space="preserve">. Ook kan het eigen verbruik aanzienlijk verhoogd worden </w:t>
      </w:r>
      <w:r w:rsidRPr="0014478B">
        <w:rPr>
          <w:rFonts w:ascii="Verdana" w:hAnsi="Verdana" w:eastAsia="Times New Roman"/>
          <w:sz w:val="18"/>
        </w:rPr>
        <w:t xml:space="preserve">door de warmtepomp op de juiste momenten aan te zetten en de elektrische auto op zonnige momenten op te laden. Voor nieuwe investeringen in zonnepanelen kan gekeken worden naar de opstelling van deze panelen. Bij een opstelling richting het oosten of westen </w:t>
      </w:r>
      <w:r w:rsidRPr="0014478B" w:rsidR="002154E6">
        <w:rPr>
          <w:rFonts w:ascii="Verdana" w:hAnsi="Verdana" w:eastAsia="Times New Roman"/>
          <w:sz w:val="18"/>
        </w:rPr>
        <w:t xml:space="preserve">zal </w:t>
      </w:r>
      <w:r w:rsidRPr="0014478B" w:rsidR="000F3DAF">
        <w:rPr>
          <w:rFonts w:ascii="Verdana" w:hAnsi="Verdana" w:eastAsia="Times New Roman"/>
          <w:sz w:val="18"/>
        </w:rPr>
        <w:t xml:space="preserve">het opwekprofiel beter aansluiten bij het verbruiksprofiel </w:t>
      </w:r>
      <w:r w:rsidRPr="0014478B">
        <w:rPr>
          <w:rFonts w:ascii="Verdana" w:hAnsi="Verdana" w:eastAsia="Times New Roman"/>
          <w:sz w:val="18"/>
        </w:rPr>
        <w:t>vergeleken met een opstelling richting het zuiden.</w:t>
      </w:r>
      <w:r w:rsidRPr="0014478B" w:rsidR="000F3DAF">
        <w:rPr>
          <w:rFonts w:ascii="Verdana" w:hAnsi="Verdana" w:eastAsia="Times New Roman"/>
          <w:sz w:val="18"/>
        </w:rPr>
        <w:t xml:space="preserve"> Dit zorgt voor een hoger eigen verbruik.</w:t>
      </w:r>
      <w:r w:rsidRPr="0014478B" w:rsidR="00874444">
        <w:rPr>
          <w:rFonts w:ascii="Verdana" w:hAnsi="Verdana" w:eastAsia="Times New Roman"/>
          <w:sz w:val="18"/>
        </w:rPr>
        <w:t xml:space="preserve"> </w:t>
      </w:r>
    </w:p>
    <w:p w:rsidRPr="0014478B" w:rsidR="00740BAF" w:rsidP="00CD7A9A" w:rsidRDefault="00740BAF" w14:paraId="023C606C" w14:textId="77777777">
      <w:pPr>
        <w:spacing w:after="0" w:line="240" w:lineRule="atLeast"/>
        <w:rPr>
          <w:rFonts w:ascii="Verdana" w:hAnsi="Verdana"/>
          <w:i/>
          <w:iCs/>
          <w:sz w:val="18"/>
        </w:rPr>
      </w:pPr>
    </w:p>
    <w:p w:rsidRPr="0014478B" w:rsidR="00E90DBA" w:rsidP="00CD7A9A" w:rsidRDefault="00E90DBA" w14:paraId="7C8371B1" w14:textId="77777777">
      <w:pPr>
        <w:spacing w:after="0" w:line="240" w:lineRule="atLeast"/>
        <w:rPr>
          <w:rFonts w:ascii="Verdana" w:hAnsi="Verdana"/>
          <w:i/>
          <w:iCs/>
          <w:sz w:val="18"/>
        </w:rPr>
      </w:pPr>
      <w:r w:rsidRPr="0014478B">
        <w:rPr>
          <w:rFonts w:ascii="Verdana" w:hAnsi="Verdana"/>
          <w:i/>
          <w:iCs/>
          <w:sz w:val="18"/>
        </w:rPr>
        <w:t>Gevolgen voor de leveranciers</w:t>
      </w:r>
    </w:p>
    <w:p w:rsidRPr="0014478B" w:rsidR="00CD7A9A" w:rsidP="00CD7A9A" w:rsidRDefault="00CD7A9A" w14:paraId="693CB1EC" w14:textId="77777777">
      <w:pPr>
        <w:spacing w:after="0" w:line="240" w:lineRule="atLeast"/>
        <w:rPr>
          <w:rFonts w:ascii="Verdana" w:hAnsi="Verdana"/>
          <w:sz w:val="18"/>
        </w:rPr>
      </w:pPr>
    </w:p>
    <w:p w:rsidRPr="0014478B" w:rsidR="00E90DBA" w:rsidP="00CD7A9A" w:rsidRDefault="3E5CA8CF" w14:paraId="59AD8BDC" w14:textId="7A1E5A92">
      <w:pPr>
        <w:spacing w:after="0" w:line="240" w:lineRule="atLeast"/>
        <w:rPr>
          <w:rFonts w:ascii="Verdana" w:hAnsi="Verdana"/>
          <w:sz w:val="18"/>
        </w:rPr>
      </w:pPr>
      <w:r w:rsidRPr="0014478B">
        <w:rPr>
          <w:rFonts w:ascii="Verdana" w:hAnsi="Verdana"/>
          <w:sz w:val="18"/>
        </w:rPr>
        <w:t>Uit onderzoek</w:t>
      </w:r>
      <w:r w:rsidRPr="0014478B" w:rsidR="00E90DBA">
        <w:rPr>
          <w:rStyle w:val="Voetnootmarkering"/>
          <w:rFonts w:ascii="Verdana" w:hAnsi="Verdana"/>
          <w:sz w:val="18"/>
        </w:rPr>
        <w:footnoteReference w:id="21"/>
      </w:r>
      <w:r w:rsidRPr="0014478B">
        <w:rPr>
          <w:rFonts w:ascii="Verdana" w:hAnsi="Verdana"/>
          <w:sz w:val="18"/>
        </w:rPr>
        <w:t xml:space="preserve"> van de ACM blijkt dat klanten met zonnepanelen voor hogere kosten zorgen voor leveranciers dan klanten zonder zonnepanelen. Klanten met zonnepanelen zorgen voor hogere inkoop- en onbalanskosten en de salderingsregeling brengt eveneens </w:t>
      </w:r>
      <w:r w:rsidRPr="0014478B" w:rsidR="006B5F12">
        <w:rPr>
          <w:rFonts w:ascii="Verdana" w:hAnsi="Verdana"/>
          <w:sz w:val="18"/>
        </w:rPr>
        <w:t xml:space="preserve">gederfde opbrengsten </w:t>
      </w:r>
      <w:r w:rsidRPr="0014478B">
        <w:rPr>
          <w:rFonts w:ascii="Verdana" w:hAnsi="Verdana"/>
          <w:sz w:val="18"/>
        </w:rPr>
        <w:t xml:space="preserve">met </w:t>
      </w:r>
      <w:r w:rsidRPr="0014478B">
        <w:rPr>
          <w:rFonts w:ascii="Verdana" w:hAnsi="Verdana"/>
          <w:sz w:val="18"/>
        </w:rPr>
        <w:lastRenderedPageBreak/>
        <w:t>zich mee. Eer</w:t>
      </w:r>
      <w:r w:rsidRPr="0014478B" w:rsidR="00F15668">
        <w:rPr>
          <w:rFonts w:ascii="Verdana" w:hAnsi="Verdana"/>
          <w:sz w:val="18"/>
        </w:rPr>
        <w:t>der</w:t>
      </w:r>
      <w:r w:rsidRPr="0014478B">
        <w:rPr>
          <w:rFonts w:ascii="Verdana" w:hAnsi="Verdana"/>
          <w:sz w:val="18"/>
        </w:rPr>
        <w:t xml:space="preserve"> werden deze kosten in rekening gebracht bij alle klanten, waardoor klanten zonder zonnepanelen meebetaalden aan de voordelen voor klanten met zonnepanelen. Tegenwoordig rekenen veel leveranciers (een deel van) deze kosten door aan de klanten met zonnepanelen.</w:t>
      </w:r>
    </w:p>
    <w:p w:rsidRPr="0014478B" w:rsidR="00E90DBA" w:rsidP="00CD7A9A" w:rsidRDefault="00E90DBA" w14:paraId="07374930" w14:textId="475858AC">
      <w:pPr>
        <w:spacing w:after="0" w:line="240" w:lineRule="atLeast"/>
        <w:rPr>
          <w:rFonts w:ascii="Verdana" w:hAnsi="Verdana"/>
          <w:sz w:val="18"/>
        </w:rPr>
      </w:pPr>
      <w:r w:rsidRPr="0014478B">
        <w:rPr>
          <w:rFonts w:ascii="Verdana" w:hAnsi="Verdana"/>
          <w:sz w:val="18"/>
        </w:rPr>
        <w:t xml:space="preserve">Leveranciers hanteren verschillende methoden om dit te doen. Met het beëindigen van de salderingsregeling in 2027 zullen de kosten die leveranciers maken </w:t>
      </w:r>
      <w:r w:rsidRPr="0014478B" w:rsidR="00497FA2">
        <w:rPr>
          <w:rFonts w:ascii="Verdana" w:hAnsi="Verdana"/>
          <w:sz w:val="18"/>
        </w:rPr>
        <w:t>in de vorm van gederfde opbrengsten van gelever</w:t>
      </w:r>
      <w:r w:rsidRPr="0014478B" w:rsidR="001A73DA">
        <w:rPr>
          <w:rFonts w:ascii="Verdana" w:hAnsi="Verdana"/>
          <w:sz w:val="18"/>
        </w:rPr>
        <w:t>de elektriciteit als gevolg</w:t>
      </w:r>
      <w:r w:rsidRPr="0014478B">
        <w:rPr>
          <w:rFonts w:ascii="Verdana" w:hAnsi="Verdana"/>
          <w:sz w:val="18"/>
        </w:rPr>
        <w:t xml:space="preserve"> van de salderingsregeling</w:t>
      </w:r>
      <w:r w:rsidRPr="0014478B" w:rsidR="001A73DA">
        <w:rPr>
          <w:rFonts w:ascii="Verdana" w:hAnsi="Verdana"/>
          <w:sz w:val="18"/>
        </w:rPr>
        <w:t>,</w:t>
      </w:r>
      <w:r w:rsidRPr="0014478B">
        <w:rPr>
          <w:rFonts w:ascii="Verdana" w:hAnsi="Verdana"/>
          <w:sz w:val="18"/>
        </w:rPr>
        <w:t xml:space="preserve"> wegvallen. De hogere inkoop- en onbalanskosten</w:t>
      </w:r>
      <w:r w:rsidRPr="0014478B" w:rsidR="006032DC">
        <w:rPr>
          <w:rFonts w:ascii="Verdana" w:hAnsi="Verdana"/>
          <w:sz w:val="18"/>
        </w:rPr>
        <w:t xml:space="preserve"> </w:t>
      </w:r>
      <w:r w:rsidRPr="0014478B" w:rsidR="00EE705A">
        <w:rPr>
          <w:rFonts w:ascii="Verdana" w:hAnsi="Verdana"/>
          <w:sz w:val="18"/>
        </w:rPr>
        <w:t>worden</w:t>
      </w:r>
      <w:r w:rsidRPr="0014478B" w:rsidR="006032DC">
        <w:rPr>
          <w:rFonts w:ascii="Verdana" w:hAnsi="Verdana"/>
          <w:sz w:val="18"/>
        </w:rPr>
        <w:t xml:space="preserve"> niet uitsluitend </w:t>
      </w:r>
      <w:r w:rsidRPr="0014478B" w:rsidR="00EE705A">
        <w:rPr>
          <w:rFonts w:ascii="Verdana" w:hAnsi="Verdana"/>
          <w:sz w:val="18"/>
        </w:rPr>
        <w:t>veroorzaakt door</w:t>
      </w:r>
      <w:r w:rsidRPr="0014478B" w:rsidR="006032DC">
        <w:rPr>
          <w:rFonts w:ascii="Verdana" w:hAnsi="Verdana"/>
          <w:sz w:val="18"/>
        </w:rPr>
        <w:t xml:space="preserve"> de salderingsregeling en</w:t>
      </w:r>
      <w:r w:rsidRPr="0014478B">
        <w:rPr>
          <w:rFonts w:ascii="Verdana" w:hAnsi="Verdana"/>
          <w:sz w:val="18"/>
        </w:rPr>
        <w:t xml:space="preserve"> zullen naar verwachting blijven bestaan.</w:t>
      </w:r>
      <w:r w:rsidRPr="0014478B">
        <w:rPr>
          <w:rFonts w:ascii="Verdana" w:hAnsi="Verdana"/>
          <w:sz w:val="18"/>
        </w:rPr>
        <w:br/>
      </w:r>
    </w:p>
    <w:p w:rsidRPr="0014478B" w:rsidR="00E90DBA" w:rsidP="00CD7A9A" w:rsidRDefault="00E90DBA" w14:paraId="6EFF5A53" w14:textId="77777777">
      <w:pPr>
        <w:spacing w:after="0" w:line="240" w:lineRule="atLeast"/>
        <w:rPr>
          <w:rFonts w:ascii="Verdana" w:hAnsi="Verdana"/>
          <w:i/>
          <w:iCs/>
          <w:sz w:val="18"/>
        </w:rPr>
      </w:pPr>
      <w:r w:rsidRPr="0014478B">
        <w:rPr>
          <w:rFonts w:ascii="Verdana" w:hAnsi="Verdana"/>
          <w:i/>
          <w:iCs/>
          <w:sz w:val="18"/>
        </w:rPr>
        <w:t>Gevolgen voor de installatiebranche</w:t>
      </w:r>
    </w:p>
    <w:p w:rsidRPr="0014478B" w:rsidR="00CD7A9A" w:rsidP="00CD7A9A" w:rsidRDefault="00CD7A9A" w14:paraId="282F4780" w14:textId="77777777">
      <w:pPr>
        <w:spacing w:after="0" w:line="240" w:lineRule="atLeast"/>
        <w:rPr>
          <w:rFonts w:ascii="Verdana" w:hAnsi="Verdana"/>
          <w:sz w:val="18"/>
        </w:rPr>
      </w:pPr>
    </w:p>
    <w:p w:rsidRPr="0014478B" w:rsidR="00556E84" w:rsidP="00CD7A9A" w:rsidRDefault="3E5CA8CF" w14:paraId="419212B1" w14:textId="6167086D">
      <w:pPr>
        <w:spacing w:after="0" w:line="240" w:lineRule="atLeast"/>
        <w:rPr>
          <w:rFonts w:ascii="Verdana" w:hAnsi="Verdana"/>
          <w:sz w:val="18"/>
        </w:rPr>
      </w:pPr>
      <w:r w:rsidRPr="0014478B">
        <w:rPr>
          <w:rFonts w:ascii="Verdana" w:hAnsi="Verdana"/>
          <w:sz w:val="18"/>
        </w:rPr>
        <w:t xml:space="preserve">Het aantal huizen met zonnepanelen is in de afgelopen jaren fors gegroeid. </w:t>
      </w:r>
      <w:r w:rsidRPr="0014478B" w:rsidR="008645E7">
        <w:rPr>
          <w:rFonts w:ascii="Verdana" w:hAnsi="Verdana"/>
          <w:sz w:val="18"/>
        </w:rPr>
        <w:t xml:space="preserve">Halverwege </w:t>
      </w:r>
      <w:r w:rsidRPr="0014478B">
        <w:rPr>
          <w:rFonts w:ascii="Verdana" w:hAnsi="Verdana"/>
          <w:sz w:val="18"/>
        </w:rPr>
        <w:t xml:space="preserve">2024 </w:t>
      </w:r>
      <w:r w:rsidRPr="0014478B" w:rsidR="008645E7">
        <w:rPr>
          <w:rFonts w:ascii="Verdana" w:hAnsi="Verdana"/>
          <w:sz w:val="18"/>
        </w:rPr>
        <w:t>liggen er op bijna 3</w:t>
      </w:r>
      <w:r w:rsidRPr="0014478B">
        <w:rPr>
          <w:rFonts w:ascii="Verdana" w:hAnsi="Verdana"/>
          <w:sz w:val="18"/>
        </w:rPr>
        <w:t xml:space="preserve"> miljoen </w:t>
      </w:r>
      <w:r w:rsidRPr="0014478B" w:rsidR="008645E7">
        <w:rPr>
          <w:rFonts w:ascii="Verdana" w:hAnsi="Verdana"/>
          <w:sz w:val="18"/>
        </w:rPr>
        <w:t xml:space="preserve">woningen </w:t>
      </w:r>
      <w:r w:rsidRPr="0014478B">
        <w:rPr>
          <w:rFonts w:ascii="Verdana" w:hAnsi="Verdana"/>
          <w:sz w:val="18"/>
        </w:rPr>
        <w:t xml:space="preserve">zonnepanelen. Als gevolg van de hoge vraag is ook het aantal installateurs sterk gestegen. </w:t>
      </w:r>
      <w:r w:rsidRPr="0014478B" w:rsidR="078CA70A">
        <w:rPr>
          <w:rFonts w:ascii="Verdana" w:hAnsi="Verdana"/>
          <w:sz w:val="18"/>
        </w:rPr>
        <w:t>Techniek Nederland</w:t>
      </w:r>
      <w:r w:rsidRPr="0014478B" w:rsidR="00E4173B">
        <w:rPr>
          <w:rStyle w:val="Voetnootmarkering"/>
          <w:rFonts w:ascii="Verdana" w:hAnsi="Verdana"/>
          <w:sz w:val="18"/>
        </w:rPr>
        <w:footnoteReference w:id="22"/>
      </w:r>
      <w:r w:rsidRPr="0014478B" w:rsidR="078CA70A">
        <w:rPr>
          <w:rFonts w:ascii="Verdana" w:hAnsi="Verdana"/>
          <w:sz w:val="18"/>
        </w:rPr>
        <w:t xml:space="preserve"> constateert echter al geruime tijd een </w:t>
      </w:r>
      <w:r w:rsidRPr="0014478B" w:rsidR="77A65254">
        <w:rPr>
          <w:rFonts w:ascii="Verdana" w:hAnsi="Verdana"/>
          <w:sz w:val="18"/>
        </w:rPr>
        <w:t>terugloop in het aantal verleende opdrachten</w:t>
      </w:r>
      <w:r w:rsidRPr="0014478B" w:rsidR="3ADD57E3">
        <w:rPr>
          <w:rFonts w:ascii="Verdana" w:hAnsi="Verdana"/>
          <w:sz w:val="18"/>
        </w:rPr>
        <w:t>. Dit als gevolg van de on</w:t>
      </w:r>
      <w:r w:rsidRPr="0014478B" w:rsidR="72998943">
        <w:rPr>
          <w:rFonts w:ascii="Verdana" w:hAnsi="Verdana"/>
          <w:sz w:val="18"/>
        </w:rPr>
        <w:t>duidelijkheid</w:t>
      </w:r>
      <w:r w:rsidRPr="0014478B" w:rsidR="3ADD57E3">
        <w:rPr>
          <w:rFonts w:ascii="Verdana" w:hAnsi="Verdana"/>
          <w:sz w:val="18"/>
        </w:rPr>
        <w:t xml:space="preserve"> </w:t>
      </w:r>
      <w:r w:rsidRPr="0014478B" w:rsidR="72998943">
        <w:rPr>
          <w:rFonts w:ascii="Verdana" w:hAnsi="Verdana"/>
          <w:sz w:val="18"/>
        </w:rPr>
        <w:t>over het voortbestaan van</w:t>
      </w:r>
      <w:r w:rsidRPr="0014478B" w:rsidR="3ADD57E3">
        <w:rPr>
          <w:rFonts w:ascii="Verdana" w:hAnsi="Verdana"/>
          <w:sz w:val="18"/>
        </w:rPr>
        <w:t xml:space="preserve"> de salderingsregeling en </w:t>
      </w:r>
      <w:r w:rsidRPr="0014478B" w:rsidR="400F336D">
        <w:rPr>
          <w:rFonts w:ascii="Verdana" w:hAnsi="Verdana"/>
          <w:sz w:val="18"/>
        </w:rPr>
        <w:t xml:space="preserve">de kosten die energiebedrijven in rekening brengen. </w:t>
      </w:r>
      <w:r w:rsidRPr="0014478B" w:rsidR="7AC7E463">
        <w:rPr>
          <w:rFonts w:ascii="Verdana" w:hAnsi="Verdana"/>
          <w:sz w:val="18"/>
        </w:rPr>
        <w:t xml:space="preserve">Hoewel deze onzekerheid al speelde voordat het </w:t>
      </w:r>
      <w:r w:rsidRPr="0014478B" w:rsidR="001F61CE">
        <w:rPr>
          <w:rFonts w:ascii="Verdana" w:hAnsi="Verdana"/>
          <w:sz w:val="18"/>
        </w:rPr>
        <w:t>H</w:t>
      </w:r>
      <w:r w:rsidRPr="0014478B" w:rsidR="7AC7E463">
        <w:rPr>
          <w:rFonts w:ascii="Verdana" w:hAnsi="Verdana"/>
          <w:sz w:val="18"/>
        </w:rPr>
        <w:t xml:space="preserve">oofdlijnenakkoord werd gecommuniceerd, </w:t>
      </w:r>
      <w:r w:rsidRPr="0014478B" w:rsidR="6DB37000">
        <w:rPr>
          <w:rFonts w:ascii="Verdana" w:hAnsi="Verdana"/>
          <w:sz w:val="18"/>
        </w:rPr>
        <w:t xml:space="preserve">waarin het nieuwe voornemen om de regeling te beëindigen per 2027 werd aangekondigd, </w:t>
      </w:r>
      <w:r w:rsidRPr="0014478B" w:rsidR="2A01CAD2">
        <w:rPr>
          <w:rFonts w:ascii="Verdana" w:hAnsi="Verdana"/>
          <w:sz w:val="18"/>
        </w:rPr>
        <w:t xml:space="preserve">geeft Techniek Nederland aan dat dit nieuwe </w:t>
      </w:r>
      <w:r w:rsidRPr="0014478B" w:rsidR="2CDDA89F">
        <w:rPr>
          <w:rFonts w:ascii="Verdana" w:hAnsi="Verdana"/>
          <w:sz w:val="18"/>
        </w:rPr>
        <w:t xml:space="preserve">voornemen </w:t>
      </w:r>
      <w:r w:rsidRPr="0014478B" w:rsidR="3C761FB5">
        <w:rPr>
          <w:rFonts w:ascii="Verdana" w:hAnsi="Verdana"/>
          <w:sz w:val="18"/>
        </w:rPr>
        <w:t>voor extra onzekerheid zorgt.</w:t>
      </w:r>
      <w:r w:rsidRPr="0014478B" w:rsidR="2CDDA89F">
        <w:rPr>
          <w:rFonts w:ascii="Verdana" w:hAnsi="Verdana"/>
          <w:sz w:val="18"/>
        </w:rPr>
        <w:t xml:space="preserve"> In </w:t>
      </w:r>
      <w:r w:rsidRPr="0014478B" w:rsidR="000E0CBB">
        <w:rPr>
          <w:rFonts w:ascii="Verdana" w:hAnsi="Verdana"/>
          <w:sz w:val="18"/>
        </w:rPr>
        <w:t>hun</w:t>
      </w:r>
      <w:r w:rsidRPr="0014478B" w:rsidR="2CDDA89F">
        <w:rPr>
          <w:rFonts w:ascii="Verdana" w:hAnsi="Verdana"/>
          <w:sz w:val="18"/>
        </w:rPr>
        <w:t xml:space="preserve"> brief geeft Techniek Nederland dan ook aan vele bedrijfsbeëindigingen en faillissementen onder erkende installateurs te verwachten als er niet op korte termijn duidelijkheid komt voor de zonnepanelenbranche. </w:t>
      </w:r>
    </w:p>
    <w:p w:rsidRPr="0014478B" w:rsidR="00E90DBA" w:rsidP="00CD7A9A" w:rsidRDefault="00E90DBA" w14:paraId="0BF06E7F" w14:textId="77777777">
      <w:pPr>
        <w:spacing w:after="0" w:line="240" w:lineRule="atLeast"/>
        <w:rPr>
          <w:rFonts w:ascii="Verdana" w:hAnsi="Verdana"/>
          <w:sz w:val="18"/>
        </w:rPr>
      </w:pPr>
    </w:p>
    <w:p w:rsidRPr="0014478B" w:rsidR="00E90DBA" w:rsidP="00CD7A9A" w:rsidRDefault="00E90DBA" w14:paraId="21CBB2BD" w14:textId="77777777">
      <w:pPr>
        <w:spacing w:after="0" w:line="240" w:lineRule="atLeast"/>
        <w:rPr>
          <w:rFonts w:ascii="Verdana" w:hAnsi="Verdana"/>
          <w:i/>
          <w:sz w:val="18"/>
        </w:rPr>
      </w:pPr>
      <w:r w:rsidRPr="0014478B">
        <w:rPr>
          <w:rFonts w:ascii="Verdana" w:hAnsi="Verdana"/>
          <w:i/>
          <w:sz w:val="18"/>
        </w:rPr>
        <w:t>Gevolgen voor de huursector</w:t>
      </w:r>
    </w:p>
    <w:p w:rsidRPr="0014478B" w:rsidR="00CD7A9A" w:rsidP="00CD7A9A" w:rsidRDefault="00CD7A9A" w14:paraId="1FD63790" w14:textId="77777777">
      <w:pPr>
        <w:spacing w:after="0" w:line="240" w:lineRule="atLeast"/>
        <w:rPr>
          <w:rFonts w:ascii="Verdana" w:hAnsi="Verdana"/>
          <w:sz w:val="18"/>
        </w:rPr>
      </w:pPr>
    </w:p>
    <w:p w:rsidRPr="0014478B" w:rsidR="00E90DBA" w:rsidP="00CD7A9A" w:rsidRDefault="231D0F27" w14:paraId="1E94C3C5" w14:textId="07A4833F">
      <w:pPr>
        <w:spacing w:after="0" w:line="240" w:lineRule="atLeast"/>
        <w:rPr>
          <w:rFonts w:ascii="Verdana" w:hAnsi="Verdana"/>
          <w:sz w:val="18"/>
        </w:rPr>
      </w:pPr>
      <w:r w:rsidRPr="0014478B">
        <w:rPr>
          <w:rFonts w:ascii="Verdana" w:hAnsi="Verdana"/>
          <w:sz w:val="18"/>
        </w:rPr>
        <w:t xml:space="preserve">De afgelopen jaren zijn er veel </w:t>
      </w:r>
      <w:r w:rsidRPr="0014478B" w:rsidR="53CF7DE6">
        <w:rPr>
          <w:rFonts w:ascii="Verdana" w:hAnsi="Verdana"/>
          <w:sz w:val="18"/>
        </w:rPr>
        <w:t xml:space="preserve">huurwoningen met zonnepanelen bij gekomen. </w:t>
      </w:r>
      <w:r w:rsidRPr="0014478B" w:rsidR="7C914217">
        <w:rPr>
          <w:rFonts w:ascii="Verdana" w:hAnsi="Verdana"/>
          <w:sz w:val="18"/>
        </w:rPr>
        <w:t>Zo lagen er eind 2023 zonnepanelen op circa 20</w:t>
      </w:r>
      <w:r w:rsidRPr="0014478B" w:rsidR="00112CAC">
        <w:rPr>
          <w:rFonts w:ascii="Verdana" w:hAnsi="Verdana"/>
          <w:sz w:val="18"/>
        </w:rPr>
        <w:t>%</w:t>
      </w:r>
      <w:r w:rsidRPr="0014478B" w:rsidR="00037A6A">
        <w:rPr>
          <w:rStyle w:val="Voetnootmarkering"/>
          <w:rFonts w:ascii="Verdana" w:hAnsi="Verdana"/>
          <w:sz w:val="18"/>
        </w:rPr>
        <w:footnoteReference w:id="23"/>
      </w:r>
      <w:r w:rsidRPr="0014478B" w:rsidR="7C914217">
        <w:rPr>
          <w:rFonts w:ascii="Verdana" w:hAnsi="Verdana"/>
          <w:sz w:val="18"/>
        </w:rPr>
        <w:t xml:space="preserve"> van de corporatiewoningen</w:t>
      </w:r>
      <w:r w:rsidRPr="0014478B" w:rsidR="005771EB">
        <w:rPr>
          <w:rFonts w:ascii="Verdana" w:hAnsi="Verdana"/>
          <w:sz w:val="18"/>
        </w:rPr>
        <w:t>; e</w:t>
      </w:r>
      <w:r w:rsidRPr="0014478B" w:rsidR="7C914217">
        <w:rPr>
          <w:rFonts w:ascii="Verdana" w:hAnsi="Verdana"/>
          <w:sz w:val="18"/>
        </w:rPr>
        <w:t xml:space="preserve">en verdubbeling ten opzichte van 2020. </w:t>
      </w:r>
      <w:r w:rsidRPr="0014478B" w:rsidR="3E5CA8CF">
        <w:rPr>
          <w:rFonts w:ascii="Verdana" w:hAnsi="Verdana"/>
          <w:sz w:val="18"/>
        </w:rPr>
        <w:t>Voor de huursector geldt in het algemeen dat verhuurder</w:t>
      </w:r>
      <w:r w:rsidRPr="0014478B" w:rsidR="002974B5">
        <w:rPr>
          <w:rFonts w:ascii="Verdana" w:hAnsi="Verdana"/>
          <w:sz w:val="18"/>
        </w:rPr>
        <w:t>s</w:t>
      </w:r>
      <w:r w:rsidRPr="0014478B" w:rsidR="3E5CA8CF">
        <w:rPr>
          <w:rFonts w:ascii="Verdana" w:hAnsi="Verdana"/>
          <w:sz w:val="18"/>
        </w:rPr>
        <w:t xml:space="preserve"> </w:t>
      </w:r>
      <w:r w:rsidRPr="0014478B" w:rsidR="002974B5">
        <w:rPr>
          <w:rFonts w:ascii="Verdana" w:hAnsi="Verdana"/>
          <w:sz w:val="18"/>
        </w:rPr>
        <w:t>waaronder</w:t>
      </w:r>
      <w:r w:rsidRPr="0014478B" w:rsidR="3E5CA8CF">
        <w:rPr>
          <w:rFonts w:ascii="Verdana" w:hAnsi="Verdana"/>
          <w:sz w:val="18"/>
        </w:rPr>
        <w:t xml:space="preserve"> woningcorporatie</w:t>
      </w:r>
      <w:r w:rsidRPr="0014478B" w:rsidR="002974B5">
        <w:rPr>
          <w:rFonts w:ascii="Verdana" w:hAnsi="Verdana"/>
          <w:sz w:val="18"/>
        </w:rPr>
        <w:t>s</w:t>
      </w:r>
      <w:r w:rsidRPr="0014478B" w:rsidR="3E5CA8CF">
        <w:rPr>
          <w:rFonts w:ascii="Verdana" w:hAnsi="Verdana"/>
          <w:sz w:val="18"/>
        </w:rPr>
        <w:t xml:space="preserve"> investe</w:t>
      </w:r>
      <w:r w:rsidRPr="0014478B" w:rsidR="002974B5">
        <w:rPr>
          <w:rFonts w:ascii="Verdana" w:hAnsi="Verdana"/>
          <w:sz w:val="18"/>
        </w:rPr>
        <w:t>ren</w:t>
      </w:r>
      <w:r w:rsidRPr="0014478B" w:rsidR="3E5CA8CF">
        <w:rPr>
          <w:rFonts w:ascii="Verdana" w:hAnsi="Verdana"/>
          <w:sz w:val="18"/>
        </w:rPr>
        <w:t xml:space="preserve"> in zonnepanelen en op basis van de verbetering van het energielabel de huur</w:t>
      </w:r>
      <w:r w:rsidRPr="0014478B" w:rsidR="55345361">
        <w:rPr>
          <w:rFonts w:ascii="Verdana" w:hAnsi="Verdana"/>
          <w:sz w:val="18"/>
        </w:rPr>
        <w:t>lasten</w:t>
      </w:r>
      <w:r w:rsidRPr="0014478B" w:rsidR="00CF1CFF">
        <w:rPr>
          <w:rStyle w:val="Voetnootmarkering"/>
          <w:rFonts w:ascii="Verdana" w:hAnsi="Verdana"/>
          <w:sz w:val="18"/>
        </w:rPr>
        <w:footnoteReference w:id="24"/>
      </w:r>
      <w:r w:rsidRPr="0014478B" w:rsidR="3E5CA8CF">
        <w:rPr>
          <w:rFonts w:ascii="Verdana" w:hAnsi="Verdana"/>
          <w:sz w:val="18"/>
        </w:rPr>
        <w:t xml:space="preserve"> k</w:t>
      </w:r>
      <w:r w:rsidRPr="0014478B" w:rsidR="00FB1E94">
        <w:rPr>
          <w:rFonts w:ascii="Verdana" w:hAnsi="Verdana"/>
          <w:sz w:val="18"/>
        </w:rPr>
        <w:t>unnen</w:t>
      </w:r>
      <w:r w:rsidRPr="0014478B" w:rsidR="3E5CA8CF">
        <w:rPr>
          <w:rFonts w:ascii="Verdana" w:hAnsi="Verdana"/>
          <w:sz w:val="18"/>
        </w:rPr>
        <w:t xml:space="preserve"> verhogen. De huurder investeert niet</w:t>
      </w:r>
      <w:r w:rsidRPr="0014478B" w:rsidR="00951EE3">
        <w:rPr>
          <w:rFonts w:ascii="Verdana" w:hAnsi="Verdana"/>
          <w:sz w:val="18"/>
        </w:rPr>
        <w:t xml:space="preserve"> en</w:t>
      </w:r>
      <w:r w:rsidRPr="0014478B" w:rsidR="3E5CA8CF">
        <w:rPr>
          <w:rFonts w:ascii="Verdana" w:hAnsi="Verdana"/>
          <w:sz w:val="18"/>
        </w:rPr>
        <w:t xml:space="preserve"> </w:t>
      </w:r>
      <w:r w:rsidRPr="0014478B" w:rsidR="0E938E6D">
        <w:rPr>
          <w:rFonts w:ascii="Verdana" w:hAnsi="Verdana"/>
          <w:sz w:val="18"/>
        </w:rPr>
        <w:t>krijgt dus te maken met hogere huurlasten</w:t>
      </w:r>
      <w:r w:rsidRPr="0014478B" w:rsidR="00951EE3">
        <w:rPr>
          <w:rFonts w:ascii="Verdana" w:hAnsi="Verdana"/>
          <w:sz w:val="18"/>
        </w:rPr>
        <w:t>,</w:t>
      </w:r>
      <w:r w:rsidRPr="0014478B" w:rsidR="0E938E6D">
        <w:rPr>
          <w:rFonts w:ascii="Verdana" w:hAnsi="Verdana"/>
          <w:sz w:val="18"/>
        </w:rPr>
        <w:t xml:space="preserve"> maar</w:t>
      </w:r>
      <w:r w:rsidRPr="0014478B" w:rsidR="3E5CA8CF">
        <w:rPr>
          <w:rFonts w:ascii="Verdana" w:hAnsi="Verdana"/>
          <w:sz w:val="18"/>
        </w:rPr>
        <w:t xml:space="preserve"> bespaart door de zonnepanelen </w:t>
      </w:r>
      <w:r w:rsidRPr="0014478B" w:rsidR="0E938E6D">
        <w:rPr>
          <w:rFonts w:ascii="Verdana" w:hAnsi="Verdana"/>
          <w:sz w:val="18"/>
        </w:rPr>
        <w:t xml:space="preserve">ook </w:t>
      </w:r>
      <w:r w:rsidRPr="0014478B" w:rsidR="7F2B8EA2">
        <w:rPr>
          <w:rFonts w:ascii="Verdana" w:hAnsi="Verdana"/>
          <w:sz w:val="18"/>
        </w:rPr>
        <w:t xml:space="preserve">direct </w:t>
      </w:r>
      <w:r w:rsidRPr="0014478B" w:rsidR="3E5CA8CF">
        <w:rPr>
          <w:rFonts w:ascii="Verdana" w:hAnsi="Verdana"/>
          <w:sz w:val="18"/>
        </w:rPr>
        <w:t xml:space="preserve">op </w:t>
      </w:r>
      <w:r w:rsidRPr="0014478B" w:rsidR="00951EE3">
        <w:rPr>
          <w:rFonts w:ascii="Verdana" w:hAnsi="Verdana"/>
          <w:sz w:val="18"/>
        </w:rPr>
        <w:t>de</w:t>
      </w:r>
      <w:r w:rsidRPr="0014478B" w:rsidR="3E5CA8CF">
        <w:rPr>
          <w:rFonts w:ascii="Verdana" w:hAnsi="Verdana"/>
          <w:sz w:val="18"/>
        </w:rPr>
        <w:t xml:space="preserve"> energierekening. Huurders dienen toestemming te geven voor </w:t>
      </w:r>
      <w:r w:rsidRPr="0014478B" w:rsidR="001A73DA">
        <w:rPr>
          <w:rFonts w:ascii="Verdana" w:hAnsi="Verdana"/>
          <w:sz w:val="18"/>
        </w:rPr>
        <w:t xml:space="preserve">een huurverhoging bij </w:t>
      </w:r>
      <w:r w:rsidRPr="0014478B" w:rsidR="3E5CA8CF">
        <w:rPr>
          <w:rFonts w:ascii="Verdana" w:hAnsi="Verdana"/>
          <w:sz w:val="18"/>
        </w:rPr>
        <w:t>de installatie van zonnepanelen. Als de beoogde besparing op de energierekening hoger is dan de verhoging van de huur</w:t>
      </w:r>
      <w:r w:rsidRPr="0014478B" w:rsidR="20D1F5C9">
        <w:rPr>
          <w:rFonts w:ascii="Verdana" w:hAnsi="Verdana"/>
          <w:sz w:val="18"/>
        </w:rPr>
        <w:t>lasten</w:t>
      </w:r>
      <w:r w:rsidRPr="0014478B" w:rsidR="3E5CA8CF">
        <w:rPr>
          <w:rFonts w:ascii="Verdana" w:hAnsi="Verdana"/>
          <w:sz w:val="18"/>
        </w:rPr>
        <w:t xml:space="preserve">, dan is het voor de huurder aantrekkelijk om deze toestemming te geven. Huurders die nu al zonnepanelen hebben, profiteren nog tot en met 2026 van de voordelen van het salderen. </w:t>
      </w:r>
    </w:p>
    <w:p w:rsidRPr="0014478B" w:rsidR="00CD7A9A" w:rsidP="00CD7A9A" w:rsidRDefault="3E5CA8CF" w14:paraId="5DA7AD88" w14:textId="0069DB40">
      <w:pPr>
        <w:spacing w:after="0" w:line="240" w:lineRule="atLeast"/>
        <w:rPr>
          <w:rFonts w:ascii="Verdana" w:hAnsi="Verdana"/>
          <w:sz w:val="18"/>
        </w:rPr>
      </w:pPr>
      <w:r w:rsidRPr="0014478B">
        <w:rPr>
          <w:rFonts w:ascii="Verdana" w:hAnsi="Verdana"/>
          <w:sz w:val="18"/>
        </w:rPr>
        <w:t>Het beëindigen van de salderingsregeling zal er vanaf 2027 voor zorgen dat de besparing op de energierekening voor huurders met zonnepanelen lager wordt. Ook methoden als terugleverkosten zorgen ervoor dat zonnepanelen</w:t>
      </w:r>
      <w:r w:rsidRPr="0014478B" w:rsidR="78BA5A41">
        <w:rPr>
          <w:rFonts w:ascii="Verdana" w:hAnsi="Verdana"/>
          <w:sz w:val="18"/>
        </w:rPr>
        <w:t xml:space="preserve"> nu al</w:t>
      </w:r>
      <w:r w:rsidRPr="0014478B">
        <w:rPr>
          <w:rFonts w:ascii="Verdana" w:hAnsi="Verdana"/>
          <w:sz w:val="18"/>
        </w:rPr>
        <w:t xml:space="preserve"> voor minder financieel voordeel zorgen dan voorheen. </w:t>
      </w:r>
      <w:r w:rsidRPr="0014478B" w:rsidR="78BA5A41">
        <w:rPr>
          <w:rFonts w:ascii="Verdana" w:hAnsi="Verdana"/>
          <w:sz w:val="18"/>
        </w:rPr>
        <w:t xml:space="preserve">Tegelijkertijd kan het zo zijn dat de vergoeding die </w:t>
      </w:r>
      <w:r w:rsidRPr="0014478B" w:rsidR="7A10926D">
        <w:rPr>
          <w:rFonts w:ascii="Verdana" w:hAnsi="Verdana"/>
          <w:sz w:val="18"/>
        </w:rPr>
        <w:t xml:space="preserve">huurders betalen voor de zonnepanelen ongewijzigd blijft. </w:t>
      </w:r>
      <w:r w:rsidRPr="0014478B" w:rsidR="006900F8">
        <w:rPr>
          <w:rFonts w:ascii="Verdana" w:hAnsi="Verdana"/>
          <w:sz w:val="18"/>
        </w:rPr>
        <w:t xml:space="preserve">De verhuurder is namelijk niet verplicht </w:t>
      </w:r>
      <w:r w:rsidRPr="0014478B" w:rsidR="00820279">
        <w:rPr>
          <w:rFonts w:ascii="Verdana" w:hAnsi="Verdana"/>
          <w:sz w:val="18"/>
        </w:rPr>
        <w:t>om de huurlasten te verminderen door het wegvallen van de salderingsregeling en het toepassen van lagere huurlasten</w:t>
      </w:r>
      <w:r w:rsidRPr="0014478B">
        <w:rPr>
          <w:rFonts w:ascii="Verdana" w:hAnsi="Verdana"/>
          <w:sz w:val="18"/>
        </w:rPr>
        <w:t xml:space="preserve"> beïnvloedt de businesscase van de woningcorporatie of verhuurder. Conform de bij de behandeling van de Energiewet aangenomen motie</w:t>
      </w:r>
      <w:r w:rsidRPr="0014478B" w:rsidR="00E90DBA">
        <w:rPr>
          <w:rStyle w:val="Voetnootmarkering"/>
          <w:rFonts w:ascii="Verdana" w:hAnsi="Verdana"/>
          <w:sz w:val="18"/>
        </w:rPr>
        <w:footnoteReference w:id="25"/>
      </w:r>
      <w:r w:rsidRPr="0014478B">
        <w:rPr>
          <w:rFonts w:ascii="Verdana" w:hAnsi="Verdana"/>
          <w:sz w:val="18"/>
        </w:rPr>
        <w:t xml:space="preserve"> van het lid Beckerman </w:t>
      </w:r>
      <w:r w:rsidRPr="0014478B" w:rsidR="06B4089E">
        <w:rPr>
          <w:rFonts w:ascii="Verdana" w:hAnsi="Verdana"/>
          <w:sz w:val="18"/>
        </w:rPr>
        <w:t>zal samen met de Woonbond en A</w:t>
      </w:r>
      <w:r w:rsidRPr="0014478B" w:rsidR="001F61CE">
        <w:rPr>
          <w:rFonts w:ascii="Verdana" w:hAnsi="Verdana"/>
          <w:sz w:val="18"/>
        </w:rPr>
        <w:t>EDES</w:t>
      </w:r>
      <w:r w:rsidRPr="0014478B">
        <w:rPr>
          <w:rFonts w:ascii="Verdana" w:hAnsi="Verdana"/>
          <w:sz w:val="18"/>
        </w:rPr>
        <w:t xml:space="preserve"> onderzoek </w:t>
      </w:r>
      <w:r w:rsidRPr="0014478B" w:rsidR="00D048A4">
        <w:rPr>
          <w:rFonts w:ascii="Verdana" w:hAnsi="Verdana"/>
          <w:sz w:val="18"/>
        </w:rPr>
        <w:t>worden gedaan</w:t>
      </w:r>
      <w:r w:rsidRPr="0014478B" w:rsidR="06B4089E">
        <w:rPr>
          <w:rFonts w:ascii="Verdana" w:hAnsi="Verdana"/>
          <w:sz w:val="18"/>
        </w:rPr>
        <w:t xml:space="preserve"> </w:t>
      </w:r>
      <w:r w:rsidRPr="0014478B">
        <w:rPr>
          <w:rFonts w:ascii="Verdana" w:hAnsi="Verdana"/>
          <w:sz w:val="18"/>
        </w:rPr>
        <w:t>naar de huidige en toekomstige situatie van zonnepanelen in de huursector</w:t>
      </w:r>
      <w:r w:rsidRPr="0014478B" w:rsidR="33C120E1">
        <w:rPr>
          <w:rFonts w:ascii="Verdana" w:hAnsi="Verdana"/>
          <w:sz w:val="18"/>
        </w:rPr>
        <w:t xml:space="preserve"> en hoe deze zo aantrekkelijk mogelijk kunnen blijven</w:t>
      </w:r>
      <w:r w:rsidRPr="0014478B" w:rsidR="00A073A2">
        <w:rPr>
          <w:rStyle w:val="Voetnootmarkering"/>
          <w:rFonts w:ascii="Verdana" w:hAnsi="Verdana"/>
          <w:sz w:val="18"/>
        </w:rPr>
        <w:footnoteReference w:id="26"/>
      </w:r>
      <w:r w:rsidRPr="0014478B">
        <w:rPr>
          <w:rFonts w:ascii="Verdana" w:hAnsi="Verdana"/>
          <w:sz w:val="18"/>
        </w:rPr>
        <w:t xml:space="preserve">. </w:t>
      </w:r>
    </w:p>
    <w:p w:rsidRPr="0014478B" w:rsidR="004E68E0" w:rsidP="00CD7A9A" w:rsidRDefault="004E68E0" w14:paraId="642E437C" w14:textId="77777777">
      <w:pPr>
        <w:spacing w:after="0" w:line="240" w:lineRule="atLeast"/>
        <w:rPr>
          <w:rFonts w:ascii="Verdana" w:hAnsi="Verdana"/>
          <w:sz w:val="18"/>
        </w:rPr>
      </w:pPr>
    </w:p>
    <w:p w:rsidRPr="0014478B" w:rsidR="00E90DBA" w:rsidP="00CD7A9A" w:rsidRDefault="00C27DDE" w14:paraId="49A31969" w14:textId="17847DB1">
      <w:pPr>
        <w:spacing w:after="0" w:line="240" w:lineRule="atLeast"/>
        <w:rPr>
          <w:rFonts w:ascii="Verdana" w:hAnsi="Verdana"/>
          <w:b/>
          <w:bCs/>
          <w:kern w:val="0"/>
          <w:sz w:val="18"/>
          <w:szCs w:val="18"/>
          <w14:ligatures w14:val="none"/>
        </w:rPr>
      </w:pPr>
      <w:r w:rsidRPr="0014478B">
        <w:rPr>
          <w:rFonts w:ascii="Verdana" w:hAnsi="Verdana"/>
          <w:b/>
          <w:bCs/>
          <w:kern w:val="0"/>
          <w:sz w:val="18"/>
          <w:szCs w:val="18"/>
          <w14:ligatures w14:val="none"/>
        </w:rPr>
        <w:t>4</w:t>
      </w:r>
      <w:r w:rsidRPr="0014478B" w:rsidR="00E90DBA">
        <w:rPr>
          <w:rFonts w:ascii="Verdana" w:hAnsi="Verdana"/>
          <w:b/>
          <w:bCs/>
          <w:kern w:val="0"/>
          <w:sz w:val="18"/>
          <w:szCs w:val="18"/>
          <w14:ligatures w14:val="none"/>
        </w:rPr>
        <w:t>. Regeldruk</w:t>
      </w:r>
    </w:p>
    <w:p w:rsidRPr="0014478B" w:rsidR="003742C1" w:rsidP="00CD7A9A" w:rsidRDefault="003742C1" w14:paraId="68FB929A" w14:textId="77777777">
      <w:pPr>
        <w:spacing w:after="0" w:line="240" w:lineRule="atLeast"/>
        <w:rPr>
          <w:rFonts w:ascii="Verdana" w:hAnsi="Verdana"/>
          <w:sz w:val="18"/>
        </w:rPr>
      </w:pPr>
    </w:p>
    <w:p w:rsidRPr="0014478B" w:rsidR="003742C1" w:rsidP="00CD7A9A" w:rsidRDefault="003742C1" w14:paraId="67309817" w14:textId="451A37E1">
      <w:pPr>
        <w:spacing w:after="0" w:line="240" w:lineRule="atLeast"/>
        <w:rPr>
          <w:rFonts w:ascii="Verdana" w:hAnsi="Verdana"/>
          <w:b/>
          <w:bCs/>
          <w:kern w:val="0"/>
          <w:sz w:val="18"/>
          <w:szCs w:val="18"/>
          <w14:ligatures w14:val="none"/>
        </w:rPr>
      </w:pPr>
      <w:r w:rsidRPr="0014478B">
        <w:rPr>
          <w:rFonts w:ascii="Verdana" w:hAnsi="Verdana"/>
          <w:b/>
          <w:bCs/>
          <w:kern w:val="0"/>
          <w:sz w:val="18"/>
          <w:szCs w:val="18"/>
          <w14:ligatures w14:val="none"/>
        </w:rPr>
        <w:t>4.1 Regeldruk voor beëindiging salderingsregeling</w:t>
      </w:r>
    </w:p>
    <w:p w:rsidRPr="0014478B" w:rsidR="00E90DBA" w:rsidP="00CD7A9A" w:rsidRDefault="00E90DBA" w14:paraId="11129AF4" w14:textId="163415AF">
      <w:pPr>
        <w:spacing w:after="0" w:line="240" w:lineRule="atLeast"/>
        <w:rPr>
          <w:rFonts w:ascii="Verdana" w:hAnsi="Verdana"/>
          <w:sz w:val="18"/>
        </w:rPr>
      </w:pPr>
      <w:r w:rsidRPr="0014478B">
        <w:rPr>
          <w:rFonts w:ascii="Verdana" w:hAnsi="Verdana"/>
          <w:sz w:val="18"/>
        </w:rPr>
        <w:lastRenderedPageBreak/>
        <w:t xml:space="preserve">Voor de beëindiging van de salderingsregeling is een inschatting gemaakt van de regeldruk voor de leveranciers, de </w:t>
      </w:r>
      <w:r w:rsidRPr="0014478B" w:rsidR="00610489">
        <w:rPr>
          <w:rFonts w:ascii="Verdana" w:hAnsi="Verdana"/>
          <w:sz w:val="18"/>
        </w:rPr>
        <w:t xml:space="preserve">actieve afnemers </w:t>
      </w:r>
      <w:r w:rsidRPr="0014478B">
        <w:rPr>
          <w:rFonts w:ascii="Verdana" w:hAnsi="Verdana"/>
          <w:sz w:val="18"/>
        </w:rPr>
        <w:t xml:space="preserve">en installateurs. </w:t>
      </w:r>
    </w:p>
    <w:p w:rsidRPr="0014478B" w:rsidR="00E90DBA" w:rsidP="00CD7A9A" w:rsidRDefault="00E90DBA" w14:paraId="11CF32E6" w14:textId="77777777">
      <w:pPr>
        <w:spacing w:after="0" w:line="240" w:lineRule="atLeast"/>
        <w:rPr>
          <w:rFonts w:ascii="Verdana" w:hAnsi="Verdana"/>
          <w:i/>
          <w:iCs/>
          <w:sz w:val="18"/>
        </w:rPr>
      </w:pPr>
    </w:p>
    <w:p w:rsidRPr="0014478B" w:rsidR="00E90DBA" w:rsidP="00CD7A9A" w:rsidRDefault="00E90DBA" w14:paraId="54E05421" w14:textId="77777777">
      <w:pPr>
        <w:spacing w:after="0" w:line="240" w:lineRule="atLeast"/>
        <w:rPr>
          <w:rFonts w:ascii="Verdana" w:hAnsi="Verdana"/>
          <w:i/>
          <w:iCs/>
          <w:sz w:val="18"/>
        </w:rPr>
      </w:pPr>
      <w:r w:rsidRPr="0014478B">
        <w:rPr>
          <w:rFonts w:ascii="Verdana" w:hAnsi="Verdana"/>
          <w:i/>
          <w:iCs/>
          <w:sz w:val="18"/>
        </w:rPr>
        <w:t xml:space="preserve">Leveranciers </w:t>
      </w:r>
    </w:p>
    <w:p w:rsidRPr="0014478B" w:rsidR="00E90DBA" w:rsidP="00CD7A9A" w:rsidRDefault="00E90DBA" w14:paraId="3D086721" w14:textId="77777777">
      <w:pPr>
        <w:spacing w:after="0" w:line="240" w:lineRule="atLeast"/>
        <w:rPr>
          <w:rFonts w:ascii="Verdana" w:hAnsi="Verdana"/>
          <w:sz w:val="18"/>
        </w:rPr>
      </w:pPr>
      <w:r w:rsidRPr="0014478B">
        <w:rPr>
          <w:rFonts w:ascii="Verdana" w:hAnsi="Verdana"/>
          <w:sz w:val="18"/>
        </w:rPr>
        <w:t xml:space="preserve">Er is gekeken naar de regeldruk voor leveranciers als gevolg van dit wetsvoorstel en hoe deze regeldrukkosten zo veel mogelijk kunnen worden ondervangen. Het gaat hierbij om de volgende regeldrukkosten. </w:t>
      </w:r>
    </w:p>
    <w:p w:rsidRPr="0014478B" w:rsidR="00E90DBA" w:rsidP="00CD7A9A" w:rsidRDefault="3E5CA8CF" w14:paraId="06694179" w14:textId="45BB0ED2">
      <w:pPr>
        <w:spacing w:after="0" w:line="240" w:lineRule="atLeast"/>
        <w:rPr>
          <w:rFonts w:ascii="Verdana" w:hAnsi="Verdana"/>
          <w:sz w:val="18"/>
        </w:rPr>
      </w:pPr>
      <w:r w:rsidRPr="0014478B">
        <w:rPr>
          <w:rFonts w:ascii="Verdana" w:hAnsi="Verdana"/>
          <w:sz w:val="18"/>
        </w:rPr>
        <w:t xml:space="preserve">De benodigde eenmalige aanpassing van een ICT-systeem kost per leverancier ongeveer 500 uur voor 1 ICT-er. De kosten voor het aanpassen van de ICT-systemen nemen door de vereenvoudiging, vanwege het ontbreken van het afbouwpad, substantieel af naar ruim minder dan de helft van de kosten uit de </w:t>
      </w:r>
      <w:r w:rsidRPr="0014478B" w:rsidR="4FDAC26E">
        <w:rPr>
          <w:rFonts w:ascii="Verdana" w:hAnsi="Verdana"/>
          <w:sz w:val="18"/>
        </w:rPr>
        <w:t xml:space="preserve">memorie </w:t>
      </w:r>
      <w:r w:rsidRPr="0014478B">
        <w:rPr>
          <w:rFonts w:ascii="Verdana" w:hAnsi="Verdana"/>
          <w:sz w:val="18"/>
        </w:rPr>
        <w:t>v</w:t>
      </w:r>
      <w:r w:rsidRPr="0014478B" w:rsidR="4FDAC26E">
        <w:rPr>
          <w:rFonts w:ascii="Verdana" w:hAnsi="Verdana"/>
          <w:sz w:val="18"/>
        </w:rPr>
        <w:t>an toelichting</w:t>
      </w:r>
      <w:r w:rsidRPr="0014478B">
        <w:rPr>
          <w:rFonts w:ascii="Verdana" w:hAnsi="Verdana"/>
          <w:sz w:val="18"/>
        </w:rPr>
        <w:t xml:space="preserve"> bij het oude wetsvoorstel</w:t>
      </w:r>
      <w:r w:rsidRPr="0014478B" w:rsidR="009F0E43">
        <w:rPr>
          <w:rStyle w:val="Voetnootmarkering"/>
          <w:rFonts w:ascii="Verdana" w:hAnsi="Verdana"/>
          <w:sz w:val="18"/>
        </w:rPr>
        <w:footnoteReference w:id="27"/>
      </w:r>
      <w:r w:rsidRPr="0014478B">
        <w:rPr>
          <w:rFonts w:ascii="Verdana" w:hAnsi="Verdana"/>
          <w:sz w:val="18"/>
        </w:rPr>
        <w:t>. Met een uurtarief van €3</w:t>
      </w:r>
      <w:r w:rsidRPr="0014478B" w:rsidR="237F497D">
        <w:rPr>
          <w:rFonts w:ascii="Verdana" w:hAnsi="Verdana"/>
          <w:sz w:val="18"/>
        </w:rPr>
        <w:t>3</w:t>
      </w:r>
      <w:r w:rsidRPr="0014478B">
        <w:rPr>
          <w:rFonts w:ascii="Verdana" w:hAnsi="Verdana"/>
          <w:sz w:val="18"/>
        </w:rPr>
        <w:t xml:space="preserve"> kost </w:t>
      </w:r>
      <w:r w:rsidRPr="0014478B" w:rsidR="09DCFA0B">
        <w:rPr>
          <w:rFonts w:ascii="Verdana" w:hAnsi="Verdana"/>
          <w:sz w:val="18"/>
        </w:rPr>
        <w:t xml:space="preserve">de aanpassing </w:t>
      </w:r>
      <w:r w:rsidRPr="0014478B">
        <w:rPr>
          <w:rFonts w:ascii="Verdana" w:hAnsi="Verdana"/>
          <w:sz w:val="18"/>
        </w:rPr>
        <w:t>per leverancier eenmalig circa €1</w:t>
      </w:r>
      <w:r w:rsidRPr="0014478B" w:rsidR="3C1AF03A">
        <w:rPr>
          <w:rFonts w:ascii="Verdana" w:hAnsi="Verdana"/>
          <w:sz w:val="18"/>
        </w:rPr>
        <w:t>6</w:t>
      </w:r>
      <w:r w:rsidRPr="0014478B">
        <w:rPr>
          <w:rFonts w:ascii="Verdana" w:hAnsi="Verdana"/>
          <w:sz w:val="18"/>
        </w:rPr>
        <w:t>.</w:t>
      </w:r>
      <w:r w:rsidRPr="0014478B" w:rsidR="3C1AF03A">
        <w:rPr>
          <w:rFonts w:ascii="Verdana" w:hAnsi="Verdana"/>
          <w:sz w:val="18"/>
        </w:rPr>
        <w:t>5</w:t>
      </w:r>
      <w:r w:rsidRPr="0014478B">
        <w:rPr>
          <w:rFonts w:ascii="Verdana" w:hAnsi="Verdana"/>
          <w:sz w:val="18"/>
        </w:rPr>
        <w:t>00. De gebruikte uurtarieven zijn afkomstig uit Handboek meting regeldrukkosten</w:t>
      </w:r>
      <w:r w:rsidRPr="0014478B" w:rsidR="00E90DBA">
        <w:rPr>
          <w:rStyle w:val="Voetnootmarkering"/>
          <w:rFonts w:ascii="Verdana" w:hAnsi="Verdana"/>
          <w:sz w:val="18"/>
        </w:rPr>
        <w:footnoteReference w:id="28"/>
      </w:r>
      <w:r w:rsidRPr="0014478B">
        <w:rPr>
          <w:rFonts w:ascii="Verdana" w:hAnsi="Verdana"/>
          <w:sz w:val="18"/>
        </w:rPr>
        <w:t>. Uitgaande van circa 60 leveranciers met een vergunning voor de levering van elektriciteit in Nederland op dit moment, betreffen de eenmalige kosten in totaal €</w:t>
      </w:r>
      <w:r w:rsidRPr="0014478B" w:rsidR="420855C8">
        <w:rPr>
          <w:rFonts w:ascii="Verdana" w:hAnsi="Verdana"/>
          <w:sz w:val="18"/>
        </w:rPr>
        <w:t>990.000</w:t>
      </w:r>
      <w:r w:rsidRPr="0014478B">
        <w:rPr>
          <w:rFonts w:ascii="Verdana" w:hAnsi="Verdana"/>
          <w:sz w:val="18"/>
        </w:rPr>
        <w:t xml:space="preserve">. </w:t>
      </w:r>
    </w:p>
    <w:p w:rsidRPr="0014478B" w:rsidR="00E90DBA" w:rsidP="00CD7A9A" w:rsidRDefault="3E5CA8CF" w14:paraId="0F016254" w14:textId="574C0202">
      <w:pPr>
        <w:spacing w:after="0" w:line="240" w:lineRule="atLeast"/>
        <w:rPr>
          <w:rFonts w:ascii="Verdana" w:hAnsi="Verdana"/>
          <w:sz w:val="18"/>
        </w:rPr>
      </w:pPr>
      <w:r w:rsidRPr="0014478B">
        <w:rPr>
          <w:rFonts w:ascii="Verdana" w:hAnsi="Verdana"/>
          <w:sz w:val="18"/>
        </w:rPr>
        <w:t xml:space="preserve">Ook kan de wijziging bij invoering leiden tot extra vragen bij de helpdesk. Er zijn op 1 januari 2027 naar verwachting niet meer dan 4 miljoen </w:t>
      </w:r>
      <w:r w:rsidRPr="0014478B" w:rsidR="00E37F75">
        <w:rPr>
          <w:rFonts w:ascii="Verdana" w:hAnsi="Verdana"/>
          <w:sz w:val="18"/>
        </w:rPr>
        <w:t xml:space="preserve">actieve afnemers </w:t>
      </w:r>
      <w:r w:rsidRPr="0014478B">
        <w:rPr>
          <w:rFonts w:ascii="Verdana" w:hAnsi="Verdana"/>
          <w:sz w:val="18"/>
        </w:rPr>
        <w:t>met zonnepanelen (uitgaande van 2,</w:t>
      </w:r>
      <w:r w:rsidRPr="0014478B" w:rsidR="36A86CF5">
        <w:rPr>
          <w:rFonts w:ascii="Verdana" w:hAnsi="Verdana"/>
          <w:sz w:val="18"/>
        </w:rPr>
        <w:t>7</w:t>
      </w:r>
      <w:r w:rsidRPr="0014478B">
        <w:rPr>
          <w:rFonts w:ascii="Verdana" w:hAnsi="Verdana"/>
          <w:sz w:val="18"/>
        </w:rPr>
        <w:t xml:space="preserve"> miljoen </w:t>
      </w:r>
      <w:r w:rsidRPr="0014478B" w:rsidR="004C13C4">
        <w:rPr>
          <w:rFonts w:ascii="Verdana" w:hAnsi="Verdana"/>
          <w:sz w:val="18"/>
        </w:rPr>
        <w:t xml:space="preserve">actieve afnemers </w:t>
      </w:r>
      <w:r w:rsidRPr="0014478B">
        <w:rPr>
          <w:rFonts w:ascii="Verdana" w:hAnsi="Verdana"/>
          <w:sz w:val="18"/>
        </w:rPr>
        <w:t>in 2023</w:t>
      </w:r>
      <w:r w:rsidRPr="0014478B" w:rsidR="00946540">
        <w:rPr>
          <w:rStyle w:val="Voetnootmarkering"/>
          <w:rFonts w:ascii="Verdana" w:hAnsi="Verdana"/>
          <w:sz w:val="18"/>
        </w:rPr>
        <w:footnoteReference w:id="29"/>
      </w:r>
      <w:r w:rsidRPr="0014478B" w:rsidR="5300CFED">
        <w:rPr>
          <w:rFonts w:ascii="Verdana" w:hAnsi="Verdana"/>
          <w:sz w:val="18"/>
        </w:rPr>
        <w:t>)</w:t>
      </w:r>
      <w:r w:rsidRPr="0014478B" w:rsidR="4FDAC26E">
        <w:rPr>
          <w:rFonts w:ascii="Verdana" w:hAnsi="Verdana"/>
          <w:sz w:val="18"/>
        </w:rPr>
        <w:t xml:space="preserve">. </w:t>
      </w:r>
      <w:r w:rsidRPr="0014478B">
        <w:rPr>
          <w:rFonts w:ascii="Verdana" w:hAnsi="Verdana"/>
          <w:sz w:val="18"/>
        </w:rPr>
        <w:t>Als 25</w:t>
      </w:r>
      <w:r w:rsidRPr="0014478B" w:rsidR="00112CAC">
        <w:rPr>
          <w:rFonts w:ascii="Verdana" w:hAnsi="Verdana"/>
          <w:sz w:val="18"/>
        </w:rPr>
        <w:t>%</w:t>
      </w:r>
      <w:r w:rsidRPr="0014478B" w:rsidR="009C6271">
        <w:rPr>
          <w:rFonts w:ascii="Verdana" w:hAnsi="Verdana"/>
          <w:sz w:val="18"/>
        </w:rPr>
        <w:t xml:space="preserve"> </w:t>
      </w:r>
      <w:r w:rsidRPr="0014478B">
        <w:rPr>
          <w:rFonts w:ascii="Verdana" w:hAnsi="Verdana"/>
          <w:sz w:val="18"/>
        </w:rPr>
        <w:t>van de</w:t>
      </w:r>
      <w:r w:rsidRPr="0014478B" w:rsidR="5300CFED">
        <w:rPr>
          <w:rFonts w:ascii="Verdana" w:hAnsi="Verdana"/>
          <w:sz w:val="18"/>
        </w:rPr>
        <w:t xml:space="preserve"> </w:t>
      </w:r>
      <w:r w:rsidRPr="0014478B" w:rsidR="004C13C4">
        <w:rPr>
          <w:rFonts w:ascii="Verdana" w:hAnsi="Verdana"/>
          <w:sz w:val="18"/>
        </w:rPr>
        <w:t>actieve afnemers</w:t>
      </w:r>
      <w:r w:rsidRPr="0014478B">
        <w:rPr>
          <w:rFonts w:ascii="Verdana" w:hAnsi="Verdana"/>
          <w:sz w:val="18"/>
        </w:rPr>
        <w:t xml:space="preserve"> rond de start van de beëindiging van de salderingsregeling de helpdesk belt met een vraag van 10 minuten, kost dat circa 167.000 uur à €23 per uur. In totaal betekent dit een eenmalige kostenpost van circa €3.800.000 voor alle leveranciers samen. Aangezien het een volledige beëindiging van de regeling betreft, ligt het niet in de rede dat er in de jaren na de inwerkingtreding van het wetsvoorstel druk op de helpdesk blijft bestaan. Daarmee komen de totale kosten op eenmalig €4.</w:t>
      </w:r>
      <w:r w:rsidRPr="0014478B" w:rsidR="7A11F2E8">
        <w:rPr>
          <w:rFonts w:ascii="Verdana" w:hAnsi="Verdana"/>
          <w:sz w:val="18"/>
        </w:rPr>
        <w:t>790</w:t>
      </w:r>
      <w:r w:rsidRPr="0014478B">
        <w:rPr>
          <w:rFonts w:ascii="Verdana" w:hAnsi="Verdana"/>
          <w:sz w:val="18"/>
        </w:rPr>
        <w:t>.000.</w:t>
      </w:r>
    </w:p>
    <w:p w:rsidRPr="0014478B" w:rsidR="00E90DBA" w:rsidP="00CD7A9A" w:rsidRDefault="00E90DBA" w14:paraId="4325D9CD" w14:textId="77777777">
      <w:pPr>
        <w:spacing w:after="0" w:line="240" w:lineRule="atLeast"/>
        <w:rPr>
          <w:rFonts w:ascii="Verdana" w:hAnsi="Verdana"/>
          <w:i/>
          <w:iCs/>
          <w:sz w:val="18"/>
        </w:rPr>
      </w:pPr>
    </w:p>
    <w:p w:rsidRPr="0014478B" w:rsidR="00E90DBA" w:rsidP="00CD7A9A" w:rsidRDefault="00610489" w14:paraId="1E216A89" w14:textId="44FE7D6D">
      <w:pPr>
        <w:spacing w:after="0" w:line="240" w:lineRule="atLeast"/>
        <w:rPr>
          <w:rFonts w:ascii="Verdana" w:hAnsi="Verdana"/>
          <w:i/>
          <w:iCs/>
          <w:sz w:val="18"/>
        </w:rPr>
      </w:pPr>
      <w:r w:rsidRPr="0014478B">
        <w:rPr>
          <w:rFonts w:ascii="Verdana" w:hAnsi="Verdana"/>
          <w:i/>
          <w:iCs/>
          <w:sz w:val="18"/>
        </w:rPr>
        <w:t>Actieve a</w:t>
      </w:r>
      <w:r w:rsidRPr="0014478B" w:rsidR="00B010F8">
        <w:rPr>
          <w:rFonts w:ascii="Verdana" w:hAnsi="Verdana"/>
          <w:i/>
          <w:iCs/>
          <w:sz w:val="18"/>
        </w:rPr>
        <w:t>fnemers</w:t>
      </w:r>
    </w:p>
    <w:p w:rsidRPr="0014478B" w:rsidR="00246551" w:rsidP="00CD7A9A" w:rsidRDefault="00081957" w14:paraId="524C4D61" w14:textId="42D66FC4">
      <w:pPr>
        <w:spacing w:after="0" w:line="240" w:lineRule="atLeast"/>
        <w:rPr>
          <w:rFonts w:ascii="Verdana" w:hAnsi="Verdana"/>
          <w:sz w:val="18"/>
        </w:rPr>
      </w:pPr>
      <w:r w:rsidRPr="0014478B">
        <w:rPr>
          <w:rFonts w:ascii="Verdana" w:hAnsi="Verdana"/>
          <w:sz w:val="18"/>
        </w:rPr>
        <w:t xml:space="preserve">Voor </w:t>
      </w:r>
      <w:r w:rsidRPr="0014478B" w:rsidR="00B010F8">
        <w:rPr>
          <w:rFonts w:ascii="Verdana" w:hAnsi="Verdana"/>
          <w:sz w:val="18"/>
        </w:rPr>
        <w:t xml:space="preserve">actieve </w:t>
      </w:r>
      <w:r w:rsidRPr="0014478B">
        <w:rPr>
          <w:rFonts w:ascii="Verdana" w:hAnsi="Verdana"/>
          <w:sz w:val="18"/>
        </w:rPr>
        <w:t xml:space="preserve">afnemers met een kleine aansluiting die elektriciteit afnemen en </w:t>
      </w:r>
      <w:r w:rsidRPr="0014478B" w:rsidR="004C13C4">
        <w:rPr>
          <w:rFonts w:ascii="Verdana" w:hAnsi="Verdana"/>
          <w:sz w:val="18"/>
        </w:rPr>
        <w:t xml:space="preserve">terugleveren </w:t>
      </w:r>
      <w:r w:rsidRPr="0014478B">
        <w:rPr>
          <w:rFonts w:ascii="Verdana" w:hAnsi="Verdana"/>
          <w:sz w:val="18"/>
        </w:rPr>
        <w:t xml:space="preserve">levert dit wetsvoorstel een beperkte additionele regeldruk op. Zo hoeven </w:t>
      </w:r>
      <w:r w:rsidRPr="0014478B" w:rsidR="00B010F8">
        <w:rPr>
          <w:rFonts w:ascii="Verdana" w:hAnsi="Verdana"/>
          <w:sz w:val="18"/>
        </w:rPr>
        <w:t xml:space="preserve">actieve </w:t>
      </w:r>
      <w:r w:rsidRPr="0014478B">
        <w:rPr>
          <w:rFonts w:ascii="Verdana" w:hAnsi="Verdana"/>
          <w:sz w:val="18"/>
        </w:rPr>
        <w:t xml:space="preserve">afnemers met zonnepanelen zelf geen actie te ondernemen voordat of op het moment dat de salderingsregeling zal worden beëindigd. Zij krijgen hier automatisch mee te maken doordat hun leverancier die beëindiging verwerkt in de energierekening. Wel zullen </w:t>
      </w:r>
      <w:r w:rsidRPr="0014478B" w:rsidR="00E33030">
        <w:rPr>
          <w:rFonts w:ascii="Verdana" w:hAnsi="Verdana"/>
          <w:sz w:val="18"/>
        </w:rPr>
        <w:t xml:space="preserve">deze actieve </w:t>
      </w:r>
      <w:r w:rsidRPr="0014478B">
        <w:rPr>
          <w:rFonts w:ascii="Verdana" w:hAnsi="Verdana"/>
          <w:sz w:val="18"/>
        </w:rPr>
        <w:t>afnemers kennis moeten nemen van de verandering in de regeling als zij die informatie willen gebruiken bij het wisselen van leverancier</w:t>
      </w:r>
      <w:r w:rsidRPr="0014478B" w:rsidR="007D5764">
        <w:rPr>
          <w:rFonts w:ascii="Verdana" w:hAnsi="Verdana"/>
          <w:sz w:val="18"/>
        </w:rPr>
        <w:t xml:space="preserve">. </w:t>
      </w:r>
      <w:r w:rsidRPr="0014478B">
        <w:rPr>
          <w:rFonts w:ascii="Verdana" w:hAnsi="Verdana"/>
          <w:sz w:val="18"/>
        </w:rPr>
        <w:t xml:space="preserve">Er zijn op dit moment </w:t>
      </w:r>
      <w:r w:rsidRPr="0014478B" w:rsidR="00506548">
        <w:rPr>
          <w:rFonts w:ascii="Verdana" w:hAnsi="Verdana"/>
          <w:sz w:val="18"/>
        </w:rPr>
        <w:t xml:space="preserve">meerdere </w:t>
      </w:r>
      <w:r w:rsidRPr="0014478B">
        <w:rPr>
          <w:rFonts w:ascii="Verdana" w:hAnsi="Verdana"/>
          <w:sz w:val="18"/>
        </w:rPr>
        <w:t xml:space="preserve">onafhankelijke energievergelijkingswebsites op het internet beschikbaar waarmee een </w:t>
      </w:r>
      <w:r w:rsidRPr="0014478B" w:rsidR="00E33030">
        <w:rPr>
          <w:rFonts w:ascii="Verdana" w:hAnsi="Verdana"/>
          <w:sz w:val="18"/>
        </w:rPr>
        <w:t xml:space="preserve">actieve </w:t>
      </w:r>
      <w:r w:rsidRPr="0014478B">
        <w:rPr>
          <w:rFonts w:ascii="Verdana" w:hAnsi="Verdana"/>
          <w:sz w:val="18"/>
        </w:rPr>
        <w:t xml:space="preserve">afnemer kan inschatten welke leverancier </w:t>
      </w:r>
      <w:r w:rsidRPr="0014478B" w:rsidR="0085663B">
        <w:rPr>
          <w:rFonts w:ascii="Verdana" w:hAnsi="Verdana"/>
          <w:sz w:val="18"/>
        </w:rPr>
        <w:t xml:space="preserve">of andere marktdeelnemer </w:t>
      </w:r>
      <w:r w:rsidRPr="0014478B">
        <w:rPr>
          <w:rFonts w:ascii="Verdana" w:hAnsi="Verdana"/>
          <w:sz w:val="18"/>
        </w:rPr>
        <w:t xml:space="preserve">het beste past bij zijn eigen (nieuwe) situatie. </w:t>
      </w:r>
      <w:r w:rsidRPr="0014478B" w:rsidR="00DC3F32">
        <w:rPr>
          <w:rFonts w:ascii="Verdana" w:hAnsi="Verdana"/>
          <w:sz w:val="18"/>
        </w:rPr>
        <w:t>Ervan</w:t>
      </w:r>
      <w:r w:rsidRPr="0014478B" w:rsidR="00E12D52">
        <w:rPr>
          <w:rFonts w:ascii="Verdana" w:hAnsi="Verdana"/>
          <w:sz w:val="18"/>
        </w:rPr>
        <w:t xml:space="preserve"> </w:t>
      </w:r>
      <w:r w:rsidRPr="0014478B" w:rsidR="00DC3F32">
        <w:rPr>
          <w:rFonts w:ascii="Verdana" w:hAnsi="Verdana"/>
          <w:sz w:val="18"/>
        </w:rPr>
        <w:t>uitgaande dat een zonnepaneelbezitter</w:t>
      </w:r>
      <w:r w:rsidRPr="0014478B" w:rsidR="008203CE">
        <w:rPr>
          <w:rFonts w:ascii="Verdana" w:hAnsi="Verdana"/>
          <w:sz w:val="18"/>
        </w:rPr>
        <w:t xml:space="preserve"> vaak al actie</w:t>
      </w:r>
      <w:r w:rsidRPr="0014478B" w:rsidR="006B6C45">
        <w:rPr>
          <w:rFonts w:ascii="Verdana" w:hAnsi="Verdana"/>
          <w:sz w:val="18"/>
        </w:rPr>
        <w:t>f</w:t>
      </w:r>
      <w:r w:rsidRPr="0014478B" w:rsidR="008203CE">
        <w:rPr>
          <w:rFonts w:ascii="Verdana" w:hAnsi="Verdana"/>
          <w:sz w:val="18"/>
        </w:rPr>
        <w:t xml:space="preserve"> deelneemt aan de energiemarkt, zal de gewijzigde situatie omtrent de salderingsregeling </w:t>
      </w:r>
      <w:r w:rsidRPr="0014478B" w:rsidR="00D426FA">
        <w:rPr>
          <w:rFonts w:ascii="Verdana" w:hAnsi="Verdana"/>
          <w:sz w:val="18"/>
        </w:rPr>
        <w:t>de zonnepaneelbezitter circa 10 minuten extra kosten bij het al dan niet afsluiten van een nieuw contract</w:t>
      </w:r>
      <w:r w:rsidRPr="0014478B" w:rsidR="0085663B">
        <w:rPr>
          <w:rFonts w:ascii="Verdana" w:hAnsi="Verdana"/>
          <w:sz w:val="18"/>
        </w:rPr>
        <w:t xml:space="preserve"> voor levering of teruglevering</w:t>
      </w:r>
      <w:r w:rsidRPr="0014478B" w:rsidR="00D426FA">
        <w:rPr>
          <w:rFonts w:ascii="Verdana" w:hAnsi="Verdana"/>
          <w:sz w:val="18"/>
        </w:rPr>
        <w:t xml:space="preserve">. </w:t>
      </w:r>
      <w:r w:rsidRPr="0014478B">
        <w:rPr>
          <w:rFonts w:ascii="Verdana" w:hAnsi="Verdana"/>
          <w:sz w:val="18"/>
        </w:rPr>
        <w:t xml:space="preserve">Er zijn in 2027 naar verwachting niet meer dan 4 miljoen </w:t>
      </w:r>
      <w:r w:rsidRPr="0014478B" w:rsidR="00E33030">
        <w:rPr>
          <w:rFonts w:ascii="Verdana" w:hAnsi="Verdana"/>
          <w:sz w:val="18"/>
        </w:rPr>
        <w:t xml:space="preserve">actieve </w:t>
      </w:r>
      <w:r w:rsidRPr="0014478B">
        <w:rPr>
          <w:rFonts w:ascii="Verdana" w:hAnsi="Verdana"/>
          <w:sz w:val="18"/>
        </w:rPr>
        <w:t xml:space="preserve">afnemers met zonnepanelen. </w:t>
      </w:r>
      <w:r w:rsidRPr="0014478B" w:rsidR="00246551">
        <w:rPr>
          <w:rFonts w:ascii="Verdana" w:hAnsi="Verdana"/>
          <w:sz w:val="18"/>
        </w:rPr>
        <w:t xml:space="preserve">Bij een uurtarief van €17 bedragen de totale kosten voor de </w:t>
      </w:r>
      <w:r w:rsidRPr="0014478B" w:rsidR="00E33030">
        <w:rPr>
          <w:rFonts w:ascii="Verdana" w:hAnsi="Verdana"/>
          <w:sz w:val="18"/>
        </w:rPr>
        <w:t xml:space="preserve">actieve </w:t>
      </w:r>
      <w:r w:rsidRPr="0014478B" w:rsidR="00246551">
        <w:rPr>
          <w:rFonts w:ascii="Verdana" w:hAnsi="Verdana"/>
          <w:sz w:val="18"/>
        </w:rPr>
        <w:t>afnemers €</w:t>
      </w:r>
      <w:r w:rsidRPr="0014478B" w:rsidR="007D5764">
        <w:rPr>
          <w:rFonts w:ascii="Verdana" w:hAnsi="Verdana"/>
          <w:sz w:val="18"/>
        </w:rPr>
        <w:t>11.333.333</w:t>
      </w:r>
      <w:r w:rsidRPr="0014478B" w:rsidR="00581373">
        <w:rPr>
          <w:rStyle w:val="Voetnootmarkering"/>
          <w:rFonts w:ascii="Verdana" w:hAnsi="Verdana"/>
          <w:sz w:val="18"/>
        </w:rPr>
        <w:footnoteReference w:id="30"/>
      </w:r>
      <w:r w:rsidRPr="0014478B" w:rsidR="007D5764">
        <w:rPr>
          <w:rFonts w:ascii="Verdana" w:hAnsi="Verdana"/>
          <w:sz w:val="18"/>
        </w:rPr>
        <w:t>.</w:t>
      </w:r>
    </w:p>
    <w:p w:rsidRPr="0014478B" w:rsidR="00E90DBA" w:rsidP="00CD7A9A" w:rsidRDefault="00E90DBA" w14:paraId="51D883FC" w14:textId="77777777">
      <w:pPr>
        <w:spacing w:after="0" w:line="240" w:lineRule="atLeast"/>
        <w:rPr>
          <w:rFonts w:ascii="Verdana" w:hAnsi="Verdana"/>
          <w:i/>
          <w:iCs/>
          <w:sz w:val="18"/>
        </w:rPr>
      </w:pPr>
    </w:p>
    <w:p w:rsidRPr="0014478B" w:rsidR="00E90DBA" w:rsidP="00CD7A9A" w:rsidRDefault="00E90DBA" w14:paraId="7A4C38E1" w14:textId="77777777">
      <w:pPr>
        <w:spacing w:after="0" w:line="240" w:lineRule="atLeast"/>
        <w:rPr>
          <w:rFonts w:ascii="Verdana" w:hAnsi="Verdana"/>
          <w:i/>
          <w:iCs/>
          <w:sz w:val="18"/>
        </w:rPr>
      </w:pPr>
      <w:r w:rsidRPr="0014478B">
        <w:rPr>
          <w:rFonts w:ascii="Verdana" w:hAnsi="Verdana"/>
          <w:i/>
          <w:iCs/>
          <w:sz w:val="18"/>
        </w:rPr>
        <w:t xml:space="preserve">Installateurs van zonnepanelen </w:t>
      </w:r>
    </w:p>
    <w:p w:rsidRPr="0014478B" w:rsidR="00E90DBA" w:rsidP="00CD7A9A" w:rsidRDefault="3E5CA8CF" w14:paraId="592F1AE1" w14:textId="62AC87FE">
      <w:pPr>
        <w:spacing w:after="0" w:line="240" w:lineRule="atLeast"/>
        <w:rPr>
          <w:rFonts w:ascii="Verdana" w:hAnsi="Verdana"/>
          <w:sz w:val="18"/>
        </w:rPr>
      </w:pPr>
      <w:r w:rsidRPr="0014478B">
        <w:rPr>
          <w:rFonts w:ascii="Verdana" w:hAnsi="Verdana"/>
          <w:sz w:val="18"/>
        </w:rPr>
        <w:t>De installateurs van zonnepanelen zullen hun communicatie richting de klant moeten aanpassen op het beëindigen van de salderingsregeling. De beëindiging van de regeling heeft namelijk invloed op onder meer de terugverdientijd van de investering in zonnepanelen, waar veel klanten waarschijnlijk in geïnteresseerd zijn. Communicatie over verschillende scenario’s van de terugverdientijd op bijvoorbeeld de website van Milieu Centraal kan installateurs helpen bij de communicatie richting klanten. Installateurs hebben eenmalig ongeveer een dag (8 uur) nodig per installatiebedrijf om kennis te nemen van de regeling en de communicatie richting de klant aan te passen. Met een uurtarief van €54 betreft het een eenmalige kostenpost van €432 per installatiebedrijf.</w:t>
      </w:r>
      <w:r w:rsidRPr="0014478B" w:rsidR="00DF0B79">
        <w:rPr>
          <w:rFonts w:ascii="Verdana" w:hAnsi="Verdana"/>
          <w:sz w:val="18"/>
        </w:rPr>
        <w:t xml:space="preserve"> </w:t>
      </w:r>
      <w:r w:rsidRPr="0014478B">
        <w:rPr>
          <w:rFonts w:ascii="Verdana" w:hAnsi="Verdana"/>
          <w:sz w:val="18"/>
        </w:rPr>
        <w:t xml:space="preserve">Techniek Nederland stelt dat er in Nederland ongeveer 3.000 bedrijven zijn die </w:t>
      </w:r>
      <w:r w:rsidRPr="0014478B">
        <w:rPr>
          <w:rFonts w:ascii="Verdana" w:hAnsi="Verdana"/>
          <w:sz w:val="18"/>
        </w:rPr>
        <w:lastRenderedPageBreak/>
        <w:t>zich ‘dedicated’ bezighouden met de installatie van zonnepanelen</w:t>
      </w:r>
      <w:r w:rsidRPr="0014478B" w:rsidR="00E90DBA">
        <w:rPr>
          <w:rStyle w:val="Voetnootmarkering"/>
          <w:rFonts w:ascii="Verdana" w:hAnsi="Verdana"/>
          <w:sz w:val="18"/>
        </w:rPr>
        <w:footnoteReference w:id="31"/>
      </w:r>
      <w:r w:rsidRPr="0014478B">
        <w:rPr>
          <w:rFonts w:ascii="Verdana" w:hAnsi="Verdana"/>
          <w:sz w:val="18"/>
        </w:rPr>
        <w:t>. De totale administratieve lasten bedragen daarom circa €1.300.000.</w:t>
      </w:r>
    </w:p>
    <w:p w:rsidRPr="0014478B" w:rsidR="00E90DBA" w:rsidP="00CD7A9A" w:rsidRDefault="00E90DBA" w14:paraId="7F270F6A" w14:textId="77777777">
      <w:pPr>
        <w:spacing w:after="0" w:line="240" w:lineRule="atLeast"/>
        <w:rPr>
          <w:rFonts w:ascii="Verdana" w:hAnsi="Verdana"/>
          <w:sz w:val="18"/>
        </w:rPr>
      </w:pPr>
    </w:p>
    <w:p w:rsidRPr="0014478B" w:rsidR="00E90DBA" w:rsidP="00CD7A9A" w:rsidRDefault="00E90DBA" w14:paraId="18874202" w14:textId="1D505F54">
      <w:pPr>
        <w:spacing w:after="0" w:line="240" w:lineRule="atLeast"/>
        <w:rPr>
          <w:rFonts w:ascii="Verdana" w:hAnsi="Verdana"/>
          <w:sz w:val="18"/>
        </w:rPr>
      </w:pPr>
      <w:r w:rsidRPr="0014478B">
        <w:rPr>
          <w:rFonts w:ascii="Verdana" w:hAnsi="Verdana"/>
          <w:sz w:val="18"/>
        </w:rPr>
        <w:t xml:space="preserve">De </w:t>
      </w:r>
      <w:r w:rsidRPr="0014478B" w:rsidR="00987CCD">
        <w:rPr>
          <w:rFonts w:ascii="Verdana" w:hAnsi="Verdana"/>
          <w:sz w:val="18"/>
        </w:rPr>
        <w:t>(</w:t>
      </w:r>
      <w:r w:rsidRPr="0014478B" w:rsidR="007A0703">
        <w:rPr>
          <w:rFonts w:ascii="Verdana" w:hAnsi="Verdana"/>
          <w:sz w:val="18"/>
        </w:rPr>
        <w:t>incidentele</w:t>
      </w:r>
      <w:r w:rsidRPr="0014478B" w:rsidR="00987CCD">
        <w:rPr>
          <w:rFonts w:ascii="Verdana" w:hAnsi="Verdana"/>
          <w:sz w:val="18"/>
        </w:rPr>
        <w:t xml:space="preserve">) </w:t>
      </w:r>
      <w:r w:rsidRPr="0014478B">
        <w:rPr>
          <w:rFonts w:ascii="Verdana" w:hAnsi="Verdana"/>
          <w:sz w:val="18"/>
        </w:rPr>
        <w:t>totale regeldruk in euro’s voor burgers, installatiebedrijven en leveranciers worden hiermee ingeschat op circa €</w:t>
      </w:r>
      <w:r w:rsidRPr="0014478B" w:rsidR="00FF4DA3">
        <w:rPr>
          <w:rFonts w:ascii="Verdana" w:hAnsi="Verdana"/>
          <w:sz w:val="18"/>
        </w:rPr>
        <w:t>17.423.333</w:t>
      </w:r>
      <w:r w:rsidRPr="0014478B">
        <w:rPr>
          <w:rFonts w:ascii="Verdana" w:hAnsi="Verdana"/>
          <w:sz w:val="18"/>
        </w:rPr>
        <w:t>. Ten opzichte van de omvang van de structurele</w:t>
      </w:r>
      <w:r w:rsidRPr="0014478B" w:rsidR="00374AD2">
        <w:rPr>
          <w:rFonts w:ascii="Verdana" w:hAnsi="Verdana"/>
          <w:sz w:val="18"/>
        </w:rPr>
        <w:t xml:space="preserve"> jaarlijkse</w:t>
      </w:r>
      <w:r w:rsidRPr="0014478B">
        <w:rPr>
          <w:rFonts w:ascii="Verdana" w:hAnsi="Verdana"/>
          <w:sz w:val="18"/>
        </w:rPr>
        <w:t xml:space="preserve"> budgettaire gevolgen van deze regeling (€665.000.000) is dit</w:t>
      </w:r>
      <w:r w:rsidRPr="0014478B" w:rsidR="00581373">
        <w:rPr>
          <w:rFonts w:ascii="Verdana" w:hAnsi="Verdana"/>
          <w:sz w:val="18"/>
        </w:rPr>
        <w:t xml:space="preserve"> slechts</w:t>
      </w:r>
      <w:r w:rsidRPr="0014478B">
        <w:rPr>
          <w:rFonts w:ascii="Verdana" w:hAnsi="Verdana"/>
          <w:sz w:val="18"/>
        </w:rPr>
        <w:t xml:space="preserve"> </w:t>
      </w:r>
      <w:r w:rsidRPr="0014478B" w:rsidR="00021B6A">
        <w:rPr>
          <w:rFonts w:ascii="Verdana" w:hAnsi="Verdana"/>
          <w:sz w:val="18"/>
        </w:rPr>
        <w:t>2,6</w:t>
      </w:r>
      <w:r w:rsidRPr="0014478B">
        <w:rPr>
          <w:rFonts w:ascii="Verdana" w:hAnsi="Verdana"/>
          <w:sz w:val="18"/>
        </w:rPr>
        <w:t xml:space="preserve">%. </w:t>
      </w:r>
    </w:p>
    <w:p w:rsidRPr="0014478B" w:rsidR="00E90DBA" w:rsidP="00CD7A9A" w:rsidRDefault="00E90DBA" w14:paraId="17FBFACE" w14:textId="77777777">
      <w:pPr>
        <w:pStyle w:val="Kop3"/>
        <w:spacing w:before="0" w:line="240" w:lineRule="atLeast"/>
        <w:rPr>
          <w:rFonts w:ascii="Verdana" w:hAnsi="Verdana"/>
          <w:sz w:val="18"/>
        </w:rPr>
      </w:pPr>
    </w:p>
    <w:p w:rsidRPr="0014478B" w:rsidR="00E90DBA" w:rsidP="00CD7A9A" w:rsidRDefault="00C27DDE" w14:paraId="38D16D87" w14:textId="003482F5">
      <w:pPr>
        <w:spacing w:after="0" w:line="240" w:lineRule="atLeast"/>
        <w:rPr>
          <w:rFonts w:ascii="Verdana" w:hAnsi="Verdana"/>
          <w:b/>
          <w:bCs/>
          <w:kern w:val="0"/>
          <w:sz w:val="18"/>
          <w:szCs w:val="18"/>
          <w14:ligatures w14:val="none"/>
        </w:rPr>
      </w:pPr>
      <w:r w:rsidRPr="0014478B">
        <w:rPr>
          <w:rFonts w:ascii="Verdana" w:hAnsi="Verdana"/>
          <w:b/>
          <w:bCs/>
          <w:kern w:val="0"/>
          <w:sz w:val="18"/>
          <w:szCs w:val="18"/>
          <w14:ligatures w14:val="none"/>
        </w:rPr>
        <w:t>4</w:t>
      </w:r>
      <w:r w:rsidRPr="0014478B" w:rsidR="00E90DBA">
        <w:rPr>
          <w:rFonts w:ascii="Verdana" w:hAnsi="Verdana"/>
          <w:b/>
          <w:bCs/>
          <w:kern w:val="0"/>
          <w:sz w:val="18"/>
          <w:szCs w:val="18"/>
          <w14:ligatures w14:val="none"/>
        </w:rPr>
        <w:t xml:space="preserve">.2 Advies Adviescollege </w:t>
      </w:r>
      <w:r w:rsidRPr="0014478B" w:rsidR="003742C1">
        <w:rPr>
          <w:rFonts w:ascii="Verdana" w:hAnsi="Verdana"/>
          <w:b/>
          <w:bCs/>
          <w:kern w:val="0"/>
          <w:sz w:val="18"/>
          <w:szCs w:val="18"/>
          <w14:ligatures w14:val="none"/>
        </w:rPr>
        <w:t>t</w:t>
      </w:r>
      <w:r w:rsidRPr="0014478B" w:rsidR="00E90DBA">
        <w:rPr>
          <w:rFonts w:ascii="Verdana" w:hAnsi="Verdana"/>
          <w:b/>
          <w:bCs/>
          <w:kern w:val="0"/>
          <w:sz w:val="18"/>
          <w:szCs w:val="18"/>
          <w14:ligatures w14:val="none"/>
        </w:rPr>
        <w:t xml:space="preserve">oetsing </w:t>
      </w:r>
      <w:r w:rsidRPr="0014478B" w:rsidR="003742C1">
        <w:rPr>
          <w:rFonts w:ascii="Verdana" w:hAnsi="Verdana"/>
          <w:b/>
          <w:bCs/>
          <w:kern w:val="0"/>
          <w:sz w:val="18"/>
          <w:szCs w:val="18"/>
          <w14:ligatures w14:val="none"/>
        </w:rPr>
        <w:t>r</w:t>
      </w:r>
      <w:r w:rsidRPr="0014478B" w:rsidR="00E90DBA">
        <w:rPr>
          <w:rFonts w:ascii="Verdana" w:hAnsi="Verdana"/>
          <w:b/>
          <w:bCs/>
          <w:kern w:val="0"/>
          <w:sz w:val="18"/>
          <w:szCs w:val="18"/>
          <w14:ligatures w14:val="none"/>
        </w:rPr>
        <w:t>egeldruk</w:t>
      </w:r>
    </w:p>
    <w:p w:rsidRPr="0014478B" w:rsidR="00E90DBA" w:rsidP="00CD7A9A" w:rsidRDefault="00126B70" w14:paraId="0C3D3A1B" w14:textId="79CD7094">
      <w:pPr>
        <w:spacing w:after="0" w:line="240" w:lineRule="atLeast"/>
        <w:rPr>
          <w:rFonts w:ascii="Verdana" w:hAnsi="Verdana"/>
          <w:sz w:val="18"/>
        </w:rPr>
      </w:pPr>
      <w:r w:rsidRPr="0014478B">
        <w:rPr>
          <w:rFonts w:ascii="Verdana" w:hAnsi="Verdana"/>
          <w:sz w:val="18"/>
        </w:rPr>
        <w:t xml:space="preserve">Het wetsvoorstel is </w:t>
      </w:r>
      <w:r w:rsidRPr="0014478B" w:rsidR="008E6790">
        <w:rPr>
          <w:rFonts w:ascii="Verdana" w:hAnsi="Verdana"/>
          <w:sz w:val="18"/>
        </w:rPr>
        <w:t xml:space="preserve">voorgelegd aan het Adviescollege </w:t>
      </w:r>
      <w:r w:rsidRPr="0014478B" w:rsidR="003742C1">
        <w:rPr>
          <w:rFonts w:ascii="Verdana" w:hAnsi="Verdana"/>
          <w:sz w:val="18"/>
        </w:rPr>
        <w:t>t</w:t>
      </w:r>
      <w:r w:rsidRPr="0014478B" w:rsidR="008E6790">
        <w:rPr>
          <w:rFonts w:ascii="Verdana" w:hAnsi="Verdana"/>
          <w:sz w:val="18"/>
        </w:rPr>
        <w:t xml:space="preserve">oetsing </w:t>
      </w:r>
      <w:r w:rsidRPr="0014478B" w:rsidR="003742C1">
        <w:rPr>
          <w:rFonts w:ascii="Verdana" w:hAnsi="Verdana"/>
          <w:sz w:val="18"/>
        </w:rPr>
        <w:t>r</w:t>
      </w:r>
      <w:r w:rsidRPr="0014478B" w:rsidR="008E6790">
        <w:rPr>
          <w:rFonts w:ascii="Verdana" w:hAnsi="Verdana"/>
          <w:sz w:val="18"/>
        </w:rPr>
        <w:t xml:space="preserve">egeldruk (ATR). </w:t>
      </w:r>
      <w:r w:rsidRPr="0014478B" w:rsidR="004E62E0">
        <w:rPr>
          <w:rFonts w:ascii="Verdana" w:hAnsi="Verdana"/>
          <w:sz w:val="18"/>
        </w:rPr>
        <w:t xml:space="preserve">Het eindoordeel van het college is dictum 4: Niet indienen. </w:t>
      </w:r>
    </w:p>
    <w:p w:rsidRPr="0014478B" w:rsidR="00CD7A9A" w:rsidP="00CD7A9A" w:rsidRDefault="00CD7A9A" w14:paraId="5DB8E3E2" w14:textId="77777777">
      <w:pPr>
        <w:spacing w:after="0" w:line="240" w:lineRule="atLeast"/>
        <w:rPr>
          <w:rFonts w:ascii="Verdana" w:hAnsi="Verdana"/>
          <w:sz w:val="18"/>
        </w:rPr>
      </w:pPr>
    </w:p>
    <w:p w:rsidRPr="0014478B" w:rsidR="00085406" w:rsidP="00CD7A9A" w:rsidRDefault="00326E96" w14:paraId="3FCC70A1" w14:textId="437FA354">
      <w:pPr>
        <w:spacing w:after="0" w:line="240" w:lineRule="atLeast"/>
        <w:rPr>
          <w:rFonts w:ascii="Verdana" w:hAnsi="Verdana"/>
          <w:sz w:val="18"/>
        </w:rPr>
      </w:pPr>
      <w:r w:rsidRPr="0014478B">
        <w:rPr>
          <w:rFonts w:ascii="Verdana" w:hAnsi="Verdana"/>
          <w:sz w:val="18"/>
        </w:rPr>
        <w:t>Ten eerste adviseert h</w:t>
      </w:r>
      <w:r w:rsidRPr="0014478B" w:rsidR="00FA3D60">
        <w:rPr>
          <w:rFonts w:ascii="Verdana" w:hAnsi="Verdana"/>
          <w:sz w:val="18"/>
        </w:rPr>
        <w:t xml:space="preserve">et college om </w:t>
      </w:r>
      <w:r w:rsidRPr="0014478B" w:rsidR="00FF3904">
        <w:rPr>
          <w:rFonts w:ascii="Verdana" w:hAnsi="Verdana"/>
          <w:sz w:val="18"/>
        </w:rPr>
        <w:t xml:space="preserve">aan te geven in welke mate </w:t>
      </w:r>
      <w:r w:rsidRPr="0014478B" w:rsidR="003C08F6">
        <w:rPr>
          <w:rFonts w:ascii="Verdana" w:hAnsi="Verdana"/>
          <w:sz w:val="18"/>
        </w:rPr>
        <w:t xml:space="preserve">het afschaffen van de regeling bijdraagt aan de doelen die in de toelichting zijn benoemd. </w:t>
      </w:r>
      <w:r w:rsidRPr="0014478B" w:rsidR="00004BC8">
        <w:rPr>
          <w:rFonts w:ascii="Verdana" w:hAnsi="Verdana"/>
          <w:sz w:val="18"/>
        </w:rPr>
        <w:t>Dit advies is overgenomen.</w:t>
      </w:r>
      <w:r w:rsidRPr="0014478B" w:rsidR="00415E7E">
        <w:rPr>
          <w:rFonts w:ascii="Verdana" w:hAnsi="Verdana"/>
          <w:sz w:val="18"/>
        </w:rPr>
        <w:br/>
      </w:r>
      <w:r w:rsidRPr="0014478B" w:rsidR="004731F1">
        <w:rPr>
          <w:rFonts w:ascii="Verdana" w:hAnsi="Verdana"/>
          <w:sz w:val="18"/>
        </w:rPr>
        <w:t>De doelstellingen en het effect van het wetsvoorstel op deze doelstellingen zijn toegevoegd aan hoofdstuk 1</w:t>
      </w:r>
      <w:r w:rsidRPr="0014478B" w:rsidR="00004BC8">
        <w:rPr>
          <w:rFonts w:ascii="Verdana" w:hAnsi="Verdana"/>
          <w:sz w:val="18"/>
        </w:rPr>
        <w:t xml:space="preserve"> van het algemene deel van de toelichting</w:t>
      </w:r>
      <w:r w:rsidRPr="0014478B" w:rsidR="00085406">
        <w:rPr>
          <w:rFonts w:ascii="Verdana" w:hAnsi="Verdana"/>
          <w:sz w:val="18"/>
        </w:rPr>
        <w:t xml:space="preserve">. </w:t>
      </w:r>
      <w:r w:rsidRPr="0014478B" w:rsidR="00D649FD">
        <w:rPr>
          <w:rFonts w:ascii="Verdana" w:hAnsi="Verdana"/>
          <w:sz w:val="18"/>
        </w:rPr>
        <w:t xml:space="preserve">Hierin wordt omschreven dat </w:t>
      </w:r>
      <w:r w:rsidRPr="0014478B" w:rsidR="00B76187">
        <w:rPr>
          <w:rFonts w:ascii="Verdana" w:hAnsi="Verdana"/>
          <w:sz w:val="18"/>
        </w:rPr>
        <w:t xml:space="preserve">er door het wetsvoorstel direct per 2027 een financiële prikkel ontstaat om efficiënt met zelfopgewekte hernieuwbare energie om te gaan, wat ten goede komt aan het verminderen van netcongestie, en dat </w:t>
      </w:r>
      <w:r w:rsidRPr="0014478B" w:rsidR="004731F1">
        <w:rPr>
          <w:rFonts w:ascii="Verdana" w:hAnsi="Verdana"/>
          <w:sz w:val="18"/>
        </w:rPr>
        <w:t>het beëindigen van de</w:t>
      </w:r>
      <w:r w:rsidRPr="0014478B" w:rsidR="00D649FD">
        <w:rPr>
          <w:rFonts w:ascii="Verdana" w:hAnsi="Verdana"/>
          <w:sz w:val="18"/>
        </w:rPr>
        <w:t xml:space="preserve"> salderingsregeling </w:t>
      </w:r>
      <w:r w:rsidRPr="0014478B" w:rsidR="004731F1">
        <w:rPr>
          <w:rFonts w:ascii="Verdana" w:hAnsi="Verdana"/>
          <w:sz w:val="18"/>
        </w:rPr>
        <w:t>per 2027 een</w:t>
      </w:r>
      <w:r w:rsidRPr="0014478B" w:rsidR="00D649FD">
        <w:rPr>
          <w:rFonts w:ascii="Verdana" w:hAnsi="Verdana"/>
          <w:sz w:val="18"/>
        </w:rPr>
        <w:t xml:space="preserve"> belastingderving</w:t>
      </w:r>
      <w:r w:rsidRPr="0014478B" w:rsidR="0085577E">
        <w:rPr>
          <w:rFonts w:ascii="Verdana" w:hAnsi="Verdana"/>
          <w:sz w:val="18"/>
        </w:rPr>
        <w:t xml:space="preserve"> oplopend tot structureel </w:t>
      </w:r>
      <w:r w:rsidRPr="0014478B" w:rsidR="0085577E">
        <w:rPr>
          <w:rFonts w:ascii="Verdana" w:hAnsi="Verdana" w:cstheme="minorHAnsi"/>
          <w:sz w:val="18"/>
        </w:rPr>
        <w:t>€</w:t>
      </w:r>
      <w:r w:rsidRPr="0014478B" w:rsidR="0085577E">
        <w:rPr>
          <w:rFonts w:ascii="Verdana" w:hAnsi="Verdana"/>
          <w:sz w:val="18"/>
        </w:rPr>
        <w:t>665 miljoen</w:t>
      </w:r>
      <w:r w:rsidRPr="0014478B" w:rsidR="004731F1">
        <w:rPr>
          <w:rFonts w:ascii="Verdana" w:hAnsi="Verdana"/>
          <w:sz w:val="18"/>
        </w:rPr>
        <w:t xml:space="preserve"> </w:t>
      </w:r>
      <w:r w:rsidRPr="0014478B" w:rsidR="00581373">
        <w:rPr>
          <w:rFonts w:ascii="Verdana" w:hAnsi="Verdana"/>
          <w:sz w:val="18"/>
        </w:rPr>
        <w:t>ongedaan maakt</w:t>
      </w:r>
      <w:r w:rsidRPr="0014478B" w:rsidR="002D678A">
        <w:rPr>
          <w:rFonts w:ascii="Verdana" w:hAnsi="Verdana"/>
          <w:sz w:val="18"/>
        </w:rPr>
        <w:t xml:space="preserve">. </w:t>
      </w:r>
      <w:r w:rsidRPr="0014478B" w:rsidR="00085406">
        <w:rPr>
          <w:rFonts w:ascii="Verdana" w:hAnsi="Verdana"/>
          <w:sz w:val="18"/>
        </w:rPr>
        <w:t xml:space="preserve">De gevolgen van het wetsvoorstel zijn uitgewerkt in hoofdstuk 3 van het </w:t>
      </w:r>
      <w:r w:rsidRPr="0014478B" w:rsidR="00004BC8">
        <w:rPr>
          <w:rFonts w:ascii="Verdana" w:hAnsi="Verdana"/>
          <w:sz w:val="18"/>
        </w:rPr>
        <w:t xml:space="preserve">algemene deel van </w:t>
      </w:r>
      <w:r w:rsidRPr="0014478B" w:rsidR="0085663B">
        <w:rPr>
          <w:rFonts w:ascii="Verdana" w:hAnsi="Verdana"/>
          <w:sz w:val="18"/>
        </w:rPr>
        <w:t>de toelichting</w:t>
      </w:r>
      <w:r w:rsidRPr="0014478B" w:rsidR="00085406">
        <w:rPr>
          <w:rFonts w:ascii="Verdana" w:hAnsi="Verdana"/>
          <w:sz w:val="18"/>
        </w:rPr>
        <w:t xml:space="preserve">. </w:t>
      </w:r>
    </w:p>
    <w:p w:rsidRPr="0014478B" w:rsidR="00341C74" w:rsidP="00CD7A9A" w:rsidRDefault="00341C74" w14:paraId="68056E84" w14:textId="77777777">
      <w:pPr>
        <w:spacing w:after="0" w:line="240" w:lineRule="atLeast"/>
        <w:rPr>
          <w:rFonts w:ascii="Verdana" w:hAnsi="Verdana"/>
          <w:sz w:val="18"/>
        </w:rPr>
      </w:pPr>
    </w:p>
    <w:p w:rsidRPr="0014478B" w:rsidR="00A02A7F" w:rsidP="00CD7A9A" w:rsidRDefault="00C06729" w14:paraId="279F193A" w14:textId="22724496">
      <w:pPr>
        <w:spacing w:after="0" w:line="240" w:lineRule="atLeast"/>
        <w:rPr>
          <w:rFonts w:ascii="Verdana" w:hAnsi="Verdana"/>
          <w:i/>
          <w:iCs/>
          <w:sz w:val="18"/>
        </w:rPr>
      </w:pPr>
      <w:r w:rsidRPr="0014478B">
        <w:rPr>
          <w:rFonts w:ascii="Verdana" w:hAnsi="Verdana"/>
          <w:sz w:val="18"/>
        </w:rPr>
        <w:t xml:space="preserve">Ten tweede adviseert het college </w:t>
      </w:r>
      <w:r w:rsidRPr="0014478B" w:rsidR="00BB1C1D">
        <w:rPr>
          <w:rFonts w:ascii="Verdana" w:hAnsi="Verdana"/>
          <w:sz w:val="18"/>
        </w:rPr>
        <w:t>om in de memorie van toelichting aan te geven wat de toename van de terugverdientijd betekent voor de bereidheid van huishoudens om te investeren in zonnepanelen en voor de doelstellingen van de klimaattransitie.</w:t>
      </w:r>
      <w:r w:rsidRPr="0014478B">
        <w:rPr>
          <w:rFonts w:ascii="Verdana" w:hAnsi="Verdana"/>
          <w:i/>
          <w:iCs/>
          <w:sz w:val="18"/>
        </w:rPr>
        <w:t xml:space="preserve"> </w:t>
      </w:r>
      <w:r w:rsidRPr="0014478B" w:rsidR="0027154C">
        <w:rPr>
          <w:rFonts w:ascii="Verdana" w:hAnsi="Verdana"/>
          <w:sz w:val="18"/>
        </w:rPr>
        <w:t>Dit advies is overgenomen.</w:t>
      </w:r>
      <w:r w:rsidRPr="0014478B" w:rsidR="00415E7E">
        <w:rPr>
          <w:rFonts w:ascii="Verdana" w:hAnsi="Verdana"/>
          <w:sz w:val="18"/>
        </w:rPr>
        <w:br/>
      </w:r>
      <w:r w:rsidRPr="0014478B" w:rsidR="00313EC2">
        <w:rPr>
          <w:rFonts w:ascii="Verdana" w:hAnsi="Verdana"/>
          <w:sz w:val="18"/>
        </w:rPr>
        <w:t xml:space="preserve">In hoofdstuk </w:t>
      </w:r>
      <w:r w:rsidRPr="0014478B" w:rsidR="007F5F64">
        <w:rPr>
          <w:rFonts w:ascii="Verdana" w:hAnsi="Verdana"/>
          <w:sz w:val="18"/>
        </w:rPr>
        <w:t>3</w:t>
      </w:r>
      <w:r w:rsidRPr="0014478B" w:rsidR="00313EC2">
        <w:rPr>
          <w:rFonts w:ascii="Verdana" w:hAnsi="Verdana"/>
          <w:sz w:val="18"/>
        </w:rPr>
        <w:t xml:space="preserve"> van </w:t>
      </w:r>
      <w:r w:rsidRPr="0014478B" w:rsidR="00E32306">
        <w:rPr>
          <w:rFonts w:ascii="Verdana" w:hAnsi="Verdana"/>
          <w:sz w:val="18"/>
        </w:rPr>
        <w:t xml:space="preserve">het algemene deel van de </w:t>
      </w:r>
      <w:r w:rsidRPr="0014478B" w:rsidR="00313EC2">
        <w:rPr>
          <w:rFonts w:ascii="Verdana" w:hAnsi="Verdana"/>
          <w:sz w:val="18"/>
        </w:rPr>
        <w:t xml:space="preserve">toelichting is onder </w:t>
      </w:r>
      <w:r w:rsidRPr="0014478B" w:rsidR="007F5F64">
        <w:rPr>
          <w:rFonts w:ascii="Verdana" w:hAnsi="Verdana"/>
          <w:sz w:val="18"/>
        </w:rPr>
        <w:t xml:space="preserve">het kopje </w:t>
      </w:r>
      <w:r w:rsidRPr="0014478B" w:rsidR="0073205F">
        <w:rPr>
          <w:rFonts w:ascii="Verdana" w:hAnsi="Verdana"/>
          <w:sz w:val="18"/>
        </w:rPr>
        <w:t>‘</w:t>
      </w:r>
      <w:r w:rsidRPr="0014478B" w:rsidR="007F5F64">
        <w:rPr>
          <w:rFonts w:ascii="Verdana" w:hAnsi="Verdana"/>
          <w:sz w:val="18"/>
        </w:rPr>
        <w:t>G</w:t>
      </w:r>
      <w:r w:rsidRPr="0014478B" w:rsidR="00313EC2">
        <w:rPr>
          <w:rFonts w:ascii="Verdana" w:hAnsi="Verdana"/>
          <w:sz w:val="18"/>
        </w:rPr>
        <w:t xml:space="preserve">evolgen </w:t>
      </w:r>
      <w:r w:rsidRPr="0014478B" w:rsidR="00FC2AFE">
        <w:rPr>
          <w:rFonts w:ascii="Verdana" w:hAnsi="Verdana"/>
          <w:sz w:val="18"/>
        </w:rPr>
        <w:t>voor actieve afnemers</w:t>
      </w:r>
      <w:r w:rsidRPr="0014478B" w:rsidR="00D47CD4">
        <w:rPr>
          <w:rFonts w:ascii="Verdana" w:hAnsi="Verdana"/>
          <w:sz w:val="18"/>
        </w:rPr>
        <w:t>’</w:t>
      </w:r>
      <w:r w:rsidRPr="0014478B" w:rsidR="00FC2AFE">
        <w:rPr>
          <w:rFonts w:ascii="Verdana" w:hAnsi="Verdana"/>
          <w:sz w:val="18"/>
        </w:rPr>
        <w:t xml:space="preserve"> aangegeven dat </w:t>
      </w:r>
      <w:r w:rsidRPr="0014478B" w:rsidR="008F2F46">
        <w:rPr>
          <w:rFonts w:ascii="Verdana" w:hAnsi="Verdana"/>
          <w:sz w:val="18"/>
        </w:rPr>
        <w:t>zonnepanelen zich nog steeds binnen de verwachte levensduur terugverdienen.</w:t>
      </w:r>
      <w:r w:rsidRPr="0014478B" w:rsidR="00FC2AFE">
        <w:rPr>
          <w:rFonts w:ascii="Verdana" w:hAnsi="Verdana"/>
          <w:sz w:val="18"/>
        </w:rPr>
        <w:t xml:space="preserve"> </w:t>
      </w:r>
      <w:r w:rsidRPr="0014478B" w:rsidR="007F5F64">
        <w:rPr>
          <w:rFonts w:ascii="Verdana" w:hAnsi="Verdana"/>
          <w:sz w:val="18"/>
        </w:rPr>
        <w:t xml:space="preserve">Tegelijkertijd wordt ook aangegeven dat huishoudens naast het financiële aspect ook andere redenen kunnen hebben om te investeren in </w:t>
      </w:r>
      <w:r w:rsidRPr="0014478B" w:rsidR="00C93400">
        <w:rPr>
          <w:rFonts w:ascii="Verdana" w:hAnsi="Verdana"/>
          <w:sz w:val="18"/>
        </w:rPr>
        <w:t>zonnepanelen.</w:t>
      </w:r>
      <w:r w:rsidRPr="0014478B" w:rsidR="00AE4859">
        <w:rPr>
          <w:rFonts w:ascii="Verdana" w:hAnsi="Verdana"/>
          <w:sz w:val="18"/>
        </w:rPr>
        <w:t xml:space="preserve"> </w:t>
      </w:r>
      <w:r w:rsidRPr="0014478B" w:rsidR="00C2144A">
        <w:rPr>
          <w:rFonts w:ascii="Verdana" w:hAnsi="Verdana"/>
          <w:sz w:val="18"/>
        </w:rPr>
        <w:t>De verwachting is</w:t>
      </w:r>
      <w:r w:rsidRPr="0014478B" w:rsidR="00C93400">
        <w:rPr>
          <w:rFonts w:ascii="Verdana" w:hAnsi="Verdana"/>
          <w:sz w:val="18"/>
        </w:rPr>
        <w:t xml:space="preserve"> dat </w:t>
      </w:r>
      <w:r w:rsidRPr="0014478B" w:rsidR="009267DA">
        <w:rPr>
          <w:rFonts w:ascii="Verdana" w:hAnsi="Verdana"/>
          <w:sz w:val="18"/>
        </w:rPr>
        <w:t>h</w:t>
      </w:r>
      <w:r w:rsidRPr="0014478B" w:rsidR="00A02A7F">
        <w:rPr>
          <w:rFonts w:ascii="Verdana" w:hAnsi="Verdana"/>
          <w:sz w:val="18"/>
        </w:rPr>
        <w:t>et wetsvoorstel geen gevolgen heeft voor het behalen van de doelstelling voor de opwek</w:t>
      </w:r>
      <w:r w:rsidRPr="0014478B" w:rsidR="00817AA7">
        <w:rPr>
          <w:rFonts w:ascii="Verdana" w:hAnsi="Verdana"/>
          <w:sz w:val="18"/>
        </w:rPr>
        <w:t>king</w:t>
      </w:r>
      <w:r w:rsidRPr="0014478B" w:rsidR="00A02A7F">
        <w:rPr>
          <w:rFonts w:ascii="Verdana" w:hAnsi="Verdana"/>
          <w:sz w:val="18"/>
        </w:rPr>
        <w:t xml:space="preserve"> van hernieuwbare elektriciteit met grootschalig zon en wind op land in 2030, namelijk 35 TWh. De salderingsregeling is van toepassing op kleinschalige opwek</w:t>
      </w:r>
      <w:r w:rsidRPr="0014478B" w:rsidR="00C50CD9">
        <w:rPr>
          <w:rFonts w:ascii="Verdana" w:hAnsi="Verdana"/>
          <w:sz w:val="18"/>
        </w:rPr>
        <w:t>king</w:t>
      </w:r>
      <w:r w:rsidRPr="0014478B" w:rsidR="00A02A7F">
        <w:rPr>
          <w:rFonts w:ascii="Verdana" w:hAnsi="Verdana"/>
          <w:sz w:val="18"/>
        </w:rPr>
        <w:t xml:space="preserve"> met zon-pv. Kleinschalig</w:t>
      </w:r>
      <w:r w:rsidRPr="0014478B" w:rsidR="00C2144A">
        <w:rPr>
          <w:rFonts w:ascii="Verdana" w:hAnsi="Verdana"/>
          <w:sz w:val="18"/>
        </w:rPr>
        <w:t>e</w:t>
      </w:r>
      <w:r w:rsidRPr="0014478B" w:rsidR="00A02A7F">
        <w:rPr>
          <w:rFonts w:ascii="Verdana" w:hAnsi="Verdana"/>
          <w:sz w:val="18"/>
        </w:rPr>
        <w:t xml:space="preserve"> zon</w:t>
      </w:r>
      <w:r w:rsidRPr="0014478B" w:rsidR="00C2144A">
        <w:rPr>
          <w:rFonts w:ascii="Verdana" w:hAnsi="Verdana"/>
          <w:sz w:val="18"/>
        </w:rPr>
        <w:t>-pv</w:t>
      </w:r>
      <w:r w:rsidRPr="0014478B" w:rsidR="00A02A7F">
        <w:rPr>
          <w:rFonts w:ascii="Verdana" w:hAnsi="Verdana"/>
          <w:sz w:val="18"/>
        </w:rPr>
        <w:t xml:space="preserve"> wordt meegeteld </w:t>
      </w:r>
      <w:r w:rsidRPr="0014478B" w:rsidR="00C2144A">
        <w:rPr>
          <w:rFonts w:ascii="Verdana" w:hAnsi="Verdana"/>
          <w:sz w:val="18"/>
        </w:rPr>
        <w:t xml:space="preserve">in deze doelstelling </w:t>
      </w:r>
      <w:r w:rsidRPr="0014478B" w:rsidR="00A02A7F">
        <w:rPr>
          <w:rFonts w:ascii="Verdana" w:hAnsi="Verdana"/>
          <w:sz w:val="18"/>
        </w:rPr>
        <w:t xml:space="preserve">als 1) deze boven de aanvankelijk verwachte autonome groei van 7 TWh komt en 2) grootschalig zon en wind al tot 35 TWh zijn gekomen. Hiermee heeft het meer effect op de invulling van het RES-bod, dan </w:t>
      </w:r>
      <w:r w:rsidRPr="0014478B" w:rsidR="006109D9">
        <w:rPr>
          <w:rFonts w:ascii="Verdana" w:hAnsi="Verdana"/>
          <w:sz w:val="18"/>
        </w:rPr>
        <w:t xml:space="preserve">op </w:t>
      </w:r>
      <w:r w:rsidRPr="0014478B" w:rsidR="00A02A7F">
        <w:rPr>
          <w:rFonts w:ascii="Verdana" w:hAnsi="Verdana"/>
          <w:sz w:val="18"/>
        </w:rPr>
        <w:t xml:space="preserve">het wel of niet behalen van de RES-doelstelling. </w:t>
      </w:r>
    </w:p>
    <w:p w:rsidRPr="0014478B" w:rsidR="00CD7A9A" w:rsidP="00CD7A9A" w:rsidRDefault="00CD7A9A" w14:paraId="60CEFA49" w14:textId="77777777">
      <w:pPr>
        <w:spacing w:after="0" w:line="240" w:lineRule="atLeast"/>
        <w:rPr>
          <w:rFonts w:ascii="Verdana" w:hAnsi="Verdana"/>
          <w:sz w:val="18"/>
        </w:rPr>
      </w:pPr>
    </w:p>
    <w:p w:rsidRPr="0014478B" w:rsidR="004310DB" w:rsidP="00CD7A9A" w:rsidRDefault="00341403" w14:paraId="58D7FDB4" w14:textId="5DC9B1FA">
      <w:pPr>
        <w:spacing w:after="0" w:line="240" w:lineRule="atLeast"/>
        <w:rPr>
          <w:rFonts w:ascii="Verdana" w:hAnsi="Verdana"/>
          <w:sz w:val="18"/>
        </w:rPr>
      </w:pPr>
      <w:r w:rsidRPr="0014478B">
        <w:rPr>
          <w:rFonts w:ascii="Verdana" w:hAnsi="Verdana"/>
          <w:sz w:val="18"/>
        </w:rPr>
        <w:t>Ten derde adviseert het college</w:t>
      </w:r>
      <w:r w:rsidRPr="0014478B" w:rsidR="00E426CC">
        <w:rPr>
          <w:rFonts w:ascii="Verdana" w:hAnsi="Verdana"/>
          <w:sz w:val="18"/>
        </w:rPr>
        <w:t xml:space="preserve"> om aan te geven welke alternatieven </w:t>
      </w:r>
      <w:r w:rsidRPr="0014478B" w:rsidR="00A31499">
        <w:rPr>
          <w:rFonts w:ascii="Verdana" w:hAnsi="Verdana"/>
          <w:sz w:val="18"/>
        </w:rPr>
        <w:t xml:space="preserve">voor het voorliggende </w:t>
      </w:r>
      <w:r w:rsidRPr="0014478B" w:rsidR="0030755C">
        <w:rPr>
          <w:rFonts w:ascii="Verdana" w:hAnsi="Verdana"/>
          <w:sz w:val="18"/>
        </w:rPr>
        <w:t xml:space="preserve">voorstel </w:t>
      </w:r>
      <w:r w:rsidRPr="0014478B" w:rsidR="00E426CC">
        <w:rPr>
          <w:rFonts w:ascii="Verdana" w:hAnsi="Verdana"/>
          <w:sz w:val="18"/>
        </w:rPr>
        <w:t xml:space="preserve">zijn </w:t>
      </w:r>
      <w:r w:rsidRPr="0014478B" w:rsidR="0030755C">
        <w:rPr>
          <w:rFonts w:ascii="Verdana" w:hAnsi="Verdana"/>
          <w:sz w:val="18"/>
        </w:rPr>
        <w:t>over</w:t>
      </w:r>
      <w:r w:rsidRPr="0014478B" w:rsidR="00E426CC">
        <w:rPr>
          <w:rFonts w:ascii="Verdana" w:hAnsi="Verdana"/>
          <w:sz w:val="18"/>
        </w:rPr>
        <w:t>wogen en om inhoudelijk aan te geven waarom deze alternatieven niet zijn gekozen.</w:t>
      </w:r>
      <w:r w:rsidRPr="0014478B" w:rsidR="00F47237">
        <w:rPr>
          <w:rFonts w:ascii="Verdana" w:hAnsi="Verdana"/>
          <w:sz w:val="18"/>
        </w:rPr>
        <w:t xml:space="preserve"> </w:t>
      </w:r>
      <w:r w:rsidRPr="0014478B" w:rsidR="00336F68">
        <w:rPr>
          <w:rFonts w:ascii="Verdana" w:hAnsi="Verdana"/>
          <w:sz w:val="18"/>
        </w:rPr>
        <w:t>Dit advies is overgenomen.</w:t>
      </w:r>
      <w:r w:rsidRPr="0014478B" w:rsidR="00415E7E">
        <w:rPr>
          <w:rFonts w:ascii="Verdana" w:hAnsi="Verdana"/>
          <w:sz w:val="18"/>
        </w:rPr>
        <w:br/>
      </w:r>
      <w:r w:rsidRPr="0014478B" w:rsidR="00A17CD0">
        <w:rPr>
          <w:rFonts w:ascii="Verdana" w:hAnsi="Verdana"/>
          <w:sz w:val="18"/>
        </w:rPr>
        <w:t xml:space="preserve">Het </w:t>
      </w:r>
      <w:r w:rsidRPr="0014478B" w:rsidR="008F2B9E">
        <w:rPr>
          <w:rFonts w:ascii="Verdana" w:hAnsi="Verdana"/>
          <w:sz w:val="18"/>
        </w:rPr>
        <w:t>proces</w:t>
      </w:r>
      <w:r w:rsidRPr="0014478B" w:rsidR="00A17CD0">
        <w:rPr>
          <w:rFonts w:ascii="Verdana" w:hAnsi="Verdana"/>
          <w:sz w:val="18"/>
        </w:rPr>
        <w:t xml:space="preserve"> om de salderingsregeling af te bouwen loopt sinds 2017. Gedurende die periode zijn er meerdere alternatieven onderzocht en afgewogen</w:t>
      </w:r>
      <w:r w:rsidRPr="0014478B" w:rsidR="005D52C5">
        <w:rPr>
          <w:rFonts w:ascii="Verdana" w:hAnsi="Verdana"/>
          <w:sz w:val="18"/>
        </w:rPr>
        <w:t>.</w:t>
      </w:r>
      <w:r w:rsidRPr="0014478B" w:rsidR="00A17CD0">
        <w:rPr>
          <w:rFonts w:ascii="Verdana" w:hAnsi="Verdana"/>
          <w:sz w:val="18"/>
        </w:rPr>
        <w:t xml:space="preserve"> In het vorige wetsvoorstel</w:t>
      </w:r>
      <w:r w:rsidRPr="0014478B" w:rsidR="00A17CD0">
        <w:rPr>
          <w:rStyle w:val="Voetnootmarkering"/>
          <w:rFonts w:ascii="Verdana" w:hAnsi="Verdana"/>
          <w:sz w:val="18"/>
        </w:rPr>
        <w:footnoteReference w:id="32"/>
      </w:r>
      <w:r w:rsidRPr="0014478B" w:rsidR="00A17CD0">
        <w:rPr>
          <w:rFonts w:ascii="Verdana" w:hAnsi="Verdana"/>
          <w:sz w:val="18"/>
        </w:rPr>
        <w:t xml:space="preserve"> is gekozen voor een geleidelijke afbouw van de salderingsregeling. Dit </w:t>
      </w:r>
      <w:r w:rsidRPr="0014478B" w:rsidR="00313EC2">
        <w:rPr>
          <w:rFonts w:ascii="Verdana" w:hAnsi="Verdana"/>
          <w:sz w:val="18"/>
        </w:rPr>
        <w:t>voorstel</w:t>
      </w:r>
      <w:r w:rsidRPr="0014478B" w:rsidR="00A17CD0">
        <w:rPr>
          <w:rFonts w:ascii="Verdana" w:hAnsi="Verdana"/>
          <w:sz w:val="18"/>
        </w:rPr>
        <w:t xml:space="preserve"> is echter in februari</w:t>
      </w:r>
      <w:r w:rsidRPr="0014478B" w:rsidR="00401F3F">
        <w:rPr>
          <w:rFonts w:ascii="Verdana" w:hAnsi="Verdana"/>
          <w:sz w:val="18"/>
        </w:rPr>
        <w:t xml:space="preserve"> 2024</w:t>
      </w:r>
      <w:r w:rsidRPr="0014478B" w:rsidR="00A17CD0">
        <w:rPr>
          <w:rFonts w:ascii="Verdana" w:hAnsi="Verdana"/>
          <w:sz w:val="18"/>
        </w:rPr>
        <w:t xml:space="preserve"> door de Eerste Kamer verworpen. </w:t>
      </w:r>
      <w:r w:rsidRPr="0014478B" w:rsidR="002F6F04">
        <w:rPr>
          <w:rFonts w:ascii="Verdana" w:hAnsi="Verdana"/>
          <w:sz w:val="18"/>
        </w:rPr>
        <w:t xml:space="preserve">In het </w:t>
      </w:r>
      <w:r w:rsidRPr="0014478B" w:rsidR="0006497F">
        <w:rPr>
          <w:rFonts w:ascii="Verdana" w:hAnsi="Verdana"/>
          <w:sz w:val="18"/>
        </w:rPr>
        <w:t xml:space="preserve">debat over </w:t>
      </w:r>
      <w:r w:rsidRPr="0014478B" w:rsidR="008F1D3B">
        <w:rPr>
          <w:rFonts w:ascii="Verdana" w:hAnsi="Verdana"/>
          <w:sz w:val="18"/>
        </w:rPr>
        <w:t>het voorstel voor</w:t>
      </w:r>
      <w:r w:rsidRPr="0014478B" w:rsidR="0006497F">
        <w:rPr>
          <w:rFonts w:ascii="Verdana" w:hAnsi="Verdana"/>
          <w:sz w:val="18"/>
        </w:rPr>
        <w:t xml:space="preserve"> de Energiewet </w:t>
      </w:r>
      <w:r w:rsidRPr="0014478B" w:rsidR="00F407B0">
        <w:rPr>
          <w:rFonts w:ascii="Verdana" w:hAnsi="Verdana"/>
          <w:sz w:val="18"/>
        </w:rPr>
        <w:t xml:space="preserve">op 23 mei 2024 </w:t>
      </w:r>
      <w:r w:rsidRPr="0014478B" w:rsidR="0006497F">
        <w:rPr>
          <w:rFonts w:ascii="Verdana" w:hAnsi="Verdana"/>
          <w:sz w:val="18"/>
        </w:rPr>
        <w:t>heeft het lid Roode</w:t>
      </w:r>
      <w:r w:rsidRPr="0014478B" w:rsidR="00F407B0">
        <w:rPr>
          <w:rFonts w:ascii="Verdana" w:hAnsi="Verdana"/>
          <w:sz w:val="18"/>
        </w:rPr>
        <w:t>r</w:t>
      </w:r>
      <w:r w:rsidRPr="0014478B" w:rsidR="0006497F">
        <w:rPr>
          <w:rFonts w:ascii="Verdana" w:hAnsi="Verdana"/>
          <w:sz w:val="18"/>
        </w:rPr>
        <w:t xml:space="preserve">kerk (D66) </w:t>
      </w:r>
      <w:r w:rsidRPr="0014478B" w:rsidR="00F407B0">
        <w:rPr>
          <w:rFonts w:ascii="Verdana" w:hAnsi="Verdana"/>
          <w:sz w:val="18"/>
        </w:rPr>
        <w:t>een motie</w:t>
      </w:r>
      <w:r w:rsidRPr="0014478B" w:rsidR="00E4500B">
        <w:rPr>
          <w:rStyle w:val="Voetnootmarkering"/>
          <w:rFonts w:ascii="Verdana" w:hAnsi="Verdana"/>
          <w:sz w:val="18"/>
        </w:rPr>
        <w:footnoteReference w:id="33"/>
      </w:r>
      <w:r w:rsidRPr="0014478B" w:rsidR="00F407B0">
        <w:rPr>
          <w:rFonts w:ascii="Verdana" w:hAnsi="Verdana"/>
          <w:sz w:val="18"/>
        </w:rPr>
        <w:t xml:space="preserve"> ingediend </w:t>
      </w:r>
      <w:r w:rsidRPr="0014478B" w:rsidR="0087252B">
        <w:rPr>
          <w:rFonts w:ascii="Verdana" w:hAnsi="Verdana"/>
          <w:sz w:val="18"/>
        </w:rPr>
        <w:t xml:space="preserve">waarbij het kabinet werd opgeroepen om </w:t>
      </w:r>
      <w:r w:rsidRPr="0014478B" w:rsidR="00415E7E">
        <w:rPr>
          <w:rFonts w:ascii="Verdana" w:hAnsi="Verdana"/>
          <w:sz w:val="18"/>
        </w:rPr>
        <w:t xml:space="preserve">wederom </w:t>
      </w:r>
      <w:r w:rsidRPr="0014478B" w:rsidR="0087252B">
        <w:rPr>
          <w:rFonts w:ascii="Verdana" w:hAnsi="Verdana"/>
          <w:sz w:val="18"/>
        </w:rPr>
        <w:t xml:space="preserve">een </w:t>
      </w:r>
      <w:r w:rsidRPr="0014478B" w:rsidR="0028523E">
        <w:rPr>
          <w:rFonts w:ascii="Verdana" w:hAnsi="Verdana"/>
          <w:sz w:val="18"/>
        </w:rPr>
        <w:t xml:space="preserve">meerjarig afbouwpad uit te werken. Deze motie is door een meerderheid van de Tweede Kamer verworpen. </w:t>
      </w:r>
      <w:r w:rsidRPr="0014478B" w:rsidR="009F7DFB">
        <w:rPr>
          <w:rFonts w:ascii="Verdana" w:hAnsi="Verdana"/>
          <w:sz w:val="18"/>
        </w:rPr>
        <w:t>Andere alternatieven</w:t>
      </w:r>
      <w:r w:rsidRPr="0014478B" w:rsidR="00DF1473">
        <w:rPr>
          <w:rFonts w:ascii="Verdana" w:hAnsi="Verdana"/>
          <w:sz w:val="18"/>
        </w:rPr>
        <w:t xml:space="preserve"> d</w:t>
      </w:r>
      <w:r w:rsidRPr="0014478B" w:rsidR="009F7DFB">
        <w:rPr>
          <w:rFonts w:ascii="Verdana" w:hAnsi="Verdana"/>
          <w:sz w:val="18"/>
        </w:rPr>
        <w:t>ie</w:t>
      </w:r>
      <w:r w:rsidRPr="0014478B" w:rsidR="00DF1473">
        <w:rPr>
          <w:rFonts w:ascii="Verdana" w:hAnsi="Verdana"/>
          <w:sz w:val="18"/>
        </w:rPr>
        <w:t xml:space="preserve"> tijdens het traject </w:t>
      </w:r>
      <w:r w:rsidRPr="0014478B" w:rsidR="009F7DFB">
        <w:rPr>
          <w:rFonts w:ascii="Verdana" w:hAnsi="Verdana"/>
          <w:sz w:val="18"/>
        </w:rPr>
        <w:t xml:space="preserve">zijn afgewogen </w:t>
      </w:r>
      <w:r w:rsidRPr="0014478B" w:rsidR="00356128">
        <w:rPr>
          <w:rFonts w:ascii="Verdana" w:hAnsi="Verdana"/>
          <w:sz w:val="18"/>
        </w:rPr>
        <w:t xml:space="preserve">en afgevallen </w:t>
      </w:r>
      <w:r w:rsidRPr="0014478B" w:rsidR="009F7DFB">
        <w:rPr>
          <w:rFonts w:ascii="Verdana" w:hAnsi="Verdana"/>
          <w:sz w:val="18"/>
        </w:rPr>
        <w:t>omvatten het opsplitsen van de regels omtrent salderen in een fiscaal deel en een leveringsdeel</w:t>
      </w:r>
      <w:r w:rsidRPr="0014478B" w:rsidR="00517BD8">
        <w:rPr>
          <w:rStyle w:val="Voetnootmarkering"/>
          <w:rFonts w:ascii="Verdana" w:hAnsi="Verdana"/>
          <w:sz w:val="18"/>
        </w:rPr>
        <w:footnoteReference w:id="34"/>
      </w:r>
      <w:r w:rsidRPr="0014478B" w:rsidR="004101E2">
        <w:rPr>
          <w:rFonts w:ascii="Verdana" w:hAnsi="Verdana"/>
          <w:sz w:val="18"/>
        </w:rPr>
        <w:t xml:space="preserve">, </w:t>
      </w:r>
      <w:r w:rsidRPr="0014478B" w:rsidR="00B96FC2">
        <w:rPr>
          <w:rFonts w:ascii="Verdana" w:hAnsi="Verdana"/>
          <w:sz w:val="18"/>
        </w:rPr>
        <w:t xml:space="preserve">het geven van een belastingkorting per ingevoede kWh </w:t>
      </w:r>
      <w:r w:rsidRPr="0014478B" w:rsidR="004101E2">
        <w:rPr>
          <w:rFonts w:ascii="Verdana" w:hAnsi="Verdana"/>
          <w:sz w:val="18"/>
        </w:rPr>
        <w:t xml:space="preserve">en </w:t>
      </w:r>
      <w:r w:rsidRPr="0014478B" w:rsidR="00701206">
        <w:rPr>
          <w:rFonts w:ascii="Verdana" w:hAnsi="Verdana"/>
          <w:sz w:val="18"/>
        </w:rPr>
        <w:t>om in plaats van de salderingsregeling een investeringssubsidie aan te bieden</w:t>
      </w:r>
      <w:r w:rsidRPr="0014478B" w:rsidR="00260914">
        <w:rPr>
          <w:rStyle w:val="Voetnootmarkering"/>
          <w:rFonts w:ascii="Verdana" w:hAnsi="Verdana"/>
          <w:sz w:val="18"/>
        </w:rPr>
        <w:footnoteReference w:id="35"/>
      </w:r>
      <w:r w:rsidRPr="0014478B" w:rsidR="00B96FC2">
        <w:rPr>
          <w:rFonts w:ascii="Verdana" w:hAnsi="Verdana"/>
          <w:sz w:val="18"/>
        </w:rPr>
        <w:t xml:space="preserve">. </w:t>
      </w:r>
    </w:p>
    <w:p w:rsidRPr="0014478B" w:rsidR="00CD7A9A" w:rsidP="00CD7A9A" w:rsidRDefault="00CD7A9A" w14:paraId="53AC71A0" w14:textId="77777777">
      <w:pPr>
        <w:spacing w:after="0" w:line="240" w:lineRule="atLeast"/>
        <w:rPr>
          <w:rFonts w:ascii="Verdana" w:hAnsi="Verdana"/>
          <w:sz w:val="18"/>
        </w:rPr>
      </w:pPr>
    </w:p>
    <w:p w:rsidRPr="0014478B" w:rsidR="00A17CD0" w:rsidP="00CD7A9A" w:rsidRDefault="003366A5" w14:paraId="3760CEBE" w14:textId="7F64A8CB">
      <w:pPr>
        <w:spacing w:after="0" w:line="240" w:lineRule="atLeast"/>
        <w:rPr>
          <w:rFonts w:ascii="Verdana" w:hAnsi="Verdana"/>
          <w:sz w:val="18"/>
        </w:rPr>
      </w:pPr>
      <w:r w:rsidRPr="0014478B">
        <w:rPr>
          <w:rFonts w:ascii="Verdana" w:hAnsi="Verdana"/>
          <w:sz w:val="18"/>
        </w:rPr>
        <w:lastRenderedPageBreak/>
        <w:t>Tot slot adviseert h</w:t>
      </w:r>
      <w:r w:rsidRPr="0014478B" w:rsidR="007067A6">
        <w:rPr>
          <w:rFonts w:ascii="Verdana" w:hAnsi="Verdana"/>
          <w:sz w:val="18"/>
        </w:rPr>
        <w:t>et college om een publieke internetconsultatie te houden.</w:t>
      </w:r>
      <w:r w:rsidRPr="0014478B" w:rsidR="00301586">
        <w:rPr>
          <w:rFonts w:ascii="Verdana" w:hAnsi="Verdana"/>
          <w:sz w:val="18"/>
        </w:rPr>
        <w:t xml:space="preserve"> </w:t>
      </w:r>
      <w:r w:rsidRPr="0014478B" w:rsidR="00862D42">
        <w:rPr>
          <w:rFonts w:ascii="Verdana" w:hAnsi="Verdana"/>
          <w:sz w:val="18"/>
        </w:rPr>
        <w:t>Dit advies is niet overgenomen.</w:t>
      </w:r>
    </w:p>
    <w:p w:rsidRPr="0014478B" w:rsidR="00F821F9" w:rsidP="00CD7A9A" w:rsidRDefault="00405B3C" w14:paraId="5173A5FB" w14:textId="4CA7338C">
      <w:pPr>
        <w:spacing w:after="0" w:line="240" w:lineRule="atLeast"/>
        <w:rPr>
          <w:rFonts w:ascii="Verdana" w:hAnsi="Verdana"/>
          <w:sz w:val="18"/>
        </w:rPr>
      </w:pPr>
      <w:r w:rsidRPr="0014478B">
        <w:rPr>
          <w:rFonts w:ascii="Verdana" w:hAnsi="Verdana"/>
          <w:sz w:val="18"/>
        </w:rPr>
        <w:t xml:space="preserve">Gegeven het korte tijdsbestek om dit wetsvoorstel met het Belastingplan 2025 aan de Tweede Kamer te sturen en Prinsjesdag, is het niet haalbaar gebleken om een internetconsultatie te houden. </w:t>
      </w:r>
      <w:r w:rsidRPr="0014478B" w:rsidR="0079180F">
        <w:rPr>
          <w:rFonts w:ascii="Verdana" w:hAnsi="Verdana"/>
          <w:sz w:val="18"/>
        </w:rPr>
        <w:t>Wel is er gesproken met Energie</w:t>
      </w:r>
      <w:r w:rsidRPr="0014478B" w:rsidR="001C4731">
        <w:rPr>
          <w:rFonts w:ascii="Verdana" w:hAnsi="Verdana"/>
          <w:sz w:val="18"/>
        </w:rPr>
        <w:t>-</w:t>
      </w:r>
      <w:r w:rsidRPr="0014478B" w:rsidR="0079180F">
        <w:rPr>
          <w:rFonts w:ascii="Verdana" w:hAnsi="Verdana"/>
          <w:sz w:val="18"/>
        </w:rPr>
        <w:t xml:space="preserve">Nederland en Netbeheer Nederland over de technische haalbaarheid van het voorstel. </w:t>
      </w:r>
      <w:r w:rsidRPr="0014478B" w:rsidR="004620D7">
        <w:rPr>
          <w:rFonts w:ascii="Verdana" w:hAnsi="Verdana"/>
          <w:sz w:val="18"/>
        </w:rPr>
        <w:t xml:space="preserve">In aanvulling daarop is er daarnaast nog na het advies van de ATR aanvullend contact geweest met Techniek Nederland over de gevolgen van </w:t>
      </w:r>
      <w:r w:rsidRPr="0014478B" w:rsidR="00905541">
        <w:rPr>
          <w:rFonts w:ascii="Verdana" w:hAnsi="Verdana"/>
          <w:sz w:val="18"/>
        </w:rPr>
        <w:t>deze wijziging</w:t>
      </w:r>
      <w:r w:rsidRPr="0014478B" w:rsidR="004620D7">
        <w:rPr>
          <w:rFonts w:ascii="Verdana" w:hAnsi="Verdana"/>
          <w:sz w:val="18"/>
        </w:rPr>
        <w:t xml:space="preserve"> voor de markt en de installatiebranche. Daarnaast is er ook contact geweest met diverse maatschappelijke partijen die naar aanleiding van het </w:t>
      </w:r>
      <w:r w:rsidRPr="0014478B" w:rsidR="001F61CE">
        <w:rPr>
          <w:rFonts w:ascii="Verdana" w:hAnsi="Verdana"/>
          <w:sz w:val="18"/>
        </w:rPr>
        <w:t>H</w:t>
      </w:r>
      <w:r w:rsidRPr="0014478B" w:rsidR="004620D7">
        <w:rPr>
          <w:rFonts w:ascii="Verdana" w:hAnsi="Verdana"/>
          <w:sz w:val="18"/>
        </w:rPr>
        <w:t>oofdlijnenakkoord specifiek aandacht vragen voor de gevolgen van het beëindigen van de salderingsregeling of onderzoek doen hiernaar. Het betreft dan bijvoorbeeld partijen uit de energiesector, waaronder Energie</w:t>
      </w:r>
      <w:r w:rsidRPr="0014478B" w:rsidR="002E2489">
        <w:rPr>
          <w:rFonts w:ascii="Verdana" w:hAnsi="Verdana"/>
          <w:sz w:val="18"/>
        </w:rPr>
        <w:t>-</w:t>
      </w:r>
      <w:r w:rsidRPr="0014478B" w:rsidR="004620D7">
        <w:rPr>
          <w:rFonts w:ascii="Verdana" w:hAnsi="Verdana"/>
          <w:sz w:val="18"/>
        </w:rPr>
        <w:t xml:space="preserve">Nederland, Holland Solar, de Nederlandse Vereniging voor Duurzame Energie, of partijen die zich richten op woningbezitters of huurders, waaronder Vereniging Eigen Huis, AEDES, Woonbond en de Consumentenbond. Waar relevant is de </w:t>
      </w:r>
      <w:r w:rsidRPr="0014478B" w:rsidR="009B56C8">
        <w:rPr>
          <w:rFonts w:ascii="Verdana" w:hAnsi="Verdana"/>
          <w:sz w:val="18"/>
        </w:rPr>
        <w:t>m</w:t>
      </w:r>
      <w:r w:rsidRPr="0014478B" w:rsidR="004620D7">
        <w:rPr>
          <w:rFonts w:ascii="Verdana" w:hAnsi="Verdana"/>
          <w:sz w:val="18"/>
        </w:rPr>
        <w:t xml:space="preserve">emorie van </w:t>
      </w:r>
      <w:r w:rsidRPr="0014478B" w:rsidR="009B56C8">
        <w:rPr>
          <w:rFonts w:ascii="Verdana" w:hAnsi="Verdana"/>
          <w:sz w:val="18"/>
        </w:rPr>
        <w:t>t</w:t>
      </w:r>
      <w:r w:rsidRPr="0014478B" w:rsidR="004620D7">
        <w:rPr>
          <w:rFonts w:ascii="Verdana" w:hAnsi="Verdana"/>
          <w:sz w:val="18"/>
        </w:rPr>
        <w:t>oelichting naar aanleiding hiervan aangevuld.</w:t>
      </w:r>
      <w:r w:rsidRPr="0014478B" w:rsidR="009B6757">
        <w:rPr>
          <w:rFonts w:ascii="Verdana" w:hAnsi="Verdana"/>
          <w:sz w:val="18"/>
        </w:rPr>
        <w:t xml:space="preserve"> </w:t>
      </w:r>
      <w:r w:rsidRPr="0014478B" w:rsidR="00294984">
        <w:rPr>
          <w:rFonts w:ascii="Verdana" w:hAnsi="Verdana"/>
          <w:sz w:val="18"/>
        </w:rPr>
        <w:br/>
      </w:r>
      <w:r w:rsidRPr="0014478B" w:rsidR="009B6757">
        <w:rPr>
          <w:rFonts w:ascii="Verdana" w:hAnsi="Verdana"/>
          <w:sz w:val="18"/>
        </w:rPr>
        <w:t xml:space="preserve">In het advies stelt de ATR </w:t>
      </w:r>
      <w:r w:rsidRPr="0014478B" w:rsidR="00CE7064">
        <w:rPr>
          <w:rFonts w:ascii="Verdana" w:hAnsi="Verdana"/>
          <w:sz w:val="18"/>
        </w:rPr>
        <w:t xml:space="preserve">dat een internetconsultatie geen gevolgen hoeft te hebben op het moment van het beëindigen van de salderingsregeling omdat het wetsvoorstel </w:t>
      </w:r>
      <w:r w:rsidRPr="0014478B" w:rsidR="00EF76D2">
        <w:rPr>
          <w:rFonts w:ascii="Verdana" w:hAnsi="Verdana"/>
          <w:sz w:val="18"/>
        </w:rPr>
        <w:t xml:space="preserve">ook mee kan lopen met het Belastingplan van 2026. </w:t>
      </w:r>
      <w:r w:rsidRPr="0014478B" w:rsidR="00E7074F">
        <w:rPr>
          <w:rFonts w:ascii="Verdana" w:hAnsi="Verdana"/>
          <w:sz w:val="18"/>
        </w:rPr>
        <w:t xml:space="preserve">Hiermee zou het echter langer duren voordat er duidelijk komt voor </w:t>
      </w:r>
      <w:r w:rsidRPr="0014478B" w:rsidR="00157675">
        <w:rPr>
          <w:rFonts w:ascii="Verdana" w:hAnsi="Verdana"/>
          <w:sz w:val="18"/>
        </w:rPr>
        <w:t xml:space="preserve">consumenten, installateurs en andere belanghebbenden. </w:t>
      </w:r>
      <w:r w:rsidRPr="0014478B" w:rsidR="00D72063">
        <w:rPr>
          <w:rFonts w:ascii="Verdana" w:hAnsi="Verdana"/>
          <w:sz w:val="18"/>
        </w:rPr>
        <w:t>D</w:t>
      </w:r>
      <w:r w:rsidRPr="0014478B" w:rsidR="004F5AA1">
        <w:rPr>
          <w:rFonts w:ascii="Verdana" w:hAnsi="Verdana"/>
          <w:sz w:val="18"/>
        </w:rPr>
        <w:t xml:space="preserve">e Tweede Kamer </w:t>
      </w:r>
      <w:r w:rsidRPr="0014478B" w:rsidR="00D72063">
        <w:rPr>
          <w:rFonts w:ascii="Verdana" w:hAnsi="Verdana"/>
          <w:sz w:val="18"/>
        </w:rPr>
        <w:t xml:space="preserve">heeft </w:t>
      </w:r>
      <w:r w:rsidRPr="0014478B" w:rsidR="004F5AA1">
        <w:rPr>
          <w:rFonts w:ascii="Verdana" w:hAnsi="Verdana"/>
          <w:sz w:val="18"/>
        </w:rPr>
        <w:t xml:space="preserve">het kabinet per motie </w:t>
      </w:r>
      <w:r w:rsidRPr="0014478B" w:rsidR="00337398">
        <w:rPr>
          <w:rFonts w:ascii="Verdana" w:hAnsi="Verdana"/>
          <w:sz w:val="18"/>
        </w:rPr>
        <w:t xml:space="preserve">verzocht </w:t>
      </w:r>
      <w:r w:rsidRPr="0014478B" w:rsidR="004F5AA1">
        <w:rPr>
          <w:rFonts w:ascii="Verdana" w:hAnsi="Verdana"/>
          <w:sz w:val="18"/>
        </w:rPr>
        <w:t xml:space="preserve">om </w:t>
      </w:r>
      <w:r w:rsidRPr="0014478B" w:rsidR="00C45147">
        <w:rPr>
          <w:rFonts w:ascii="Verdana" w:hAnsi="Verdana"/>
          <w:sz w:val="18"/>
        </w:rPr>
        <w:t xml:space="preserve">middels het Belastingplan 2025 </w:t>
      </w:r>
      <w:r w:rsidRPr="0014478B" w:rsidR="00514712">
        <w:rPr>
          <w:rFonts w:ascii="Verdana" w:hAnsi="Verdana"/>
          <w:sz w:val="18"/>
        </w:rPr>
        <w:t>het wetsvoorstel te behandelen, zodat er op korte termijn duidelijkheid komt over de toekomst</w:t>
      </w:r>
      <w:r w:rsidRPr="0014478B" w:rsidR="00F87C3B">
        <w:rPr>
          <w:rFonts w:ascii="Verdana" w:hAnsi="Verdana"/>
          <w:sz w:val="18"/>
        </w:rPr>
        <w:t>ige</w:t>
      </w:r>
      <w:r w:rsidRPr="0014478B" w:rsidR="00514712">
        <w:rPr>
          <w:rFonts w:ascii="Verdana" w:hAnsi="Verdana"/>
          <w:sz w:val="18"/>
        </w:rPr>
        <w:t xml:space="preserve"> </w:t>
      </w:r>
      <w:r w:rsidRPr="0014478B" w:rsidR="00F87C3B">
        <w:rPr>
          <w:rFonts w:ascii="Verdana" w:hAnsi="Verdana"/>
          <w:sz w:val="18"/>
        </w:rPr>
        <w:t xml:space="preserve">regelgeving voor het terugleveren </w:t>
      </w:r>
      <w:r w:rsidRPr="0014478B" w:rsidR="00514712">
        <w:rPr>
          <w:rFonts w:ascii="Verdana" w:hAnsi="Verdana"/>
          <w:sz w:val="18"/>
        </w:rPr>
        <w:t xml:space="preserve">van </w:t>
      </w:r>
      <w:r w:rsidRPr="0014478B" w:rsidR="00F821F9">
        <w:rPr>
          <w:rFonts w:ascii="Verdana" w:hAnsi="Verdana"/>
          <w:sz w:val="18"/>
        </w:rPr>
        <w:t xml:space="preserve">zelfopgewekte hernieuwbare </w:t>
      </w:r>
      <w:r w:rsidRPr="0014478B" w:rsidR="004624A4">
        <w:rPr>
          <w:rFonts w:ascii="Verdana" w:hAnsi="Verdana"/>
          <w:sz w:val="18"/>
        </w:rPr>
        <w:t xml:space="preserve">elektriciteit door </w:t>
      </w:r>
      <w:r w:rsidRPr="0014478B" w:rsidR="00A665B4">
        <w:rPr>
          <w:rFonts w:ascii="Verdana" w:hAnsi="Verdana"/>
          <w:sz w:val="18"/>
        </w:rPr>
        <w:t>huishoudens.</w:t>
      </w:r>
    </w:p>
    <w:p w:rsidRPr="0014478B" w:rsidR="00CD7A9A" w:rsidP="00CD7A9A" w:rsidRDefault="00CD7A9A" w14:paraId="409C2B0E" w14:textId="77777777">
      <w:pPr>
        <w:spacing w:after="0" w:line="240" w:lineRule="atLeast"/>
        <w:rPr>
          <w:rFonts w:ascii="Verdana" w:hAnsi="Verdana"/>
          <w:sz w:val="18"/>
        </w:rPr>
      </w:pPr>
    </w:p>
    <w:p w:rsidRPr="0014478B" w:rsidR="009B6757" w:rsidP="00CD7A9A" w:rsidRDefault="00326E96" w14:paraId="0CE52742" w14:textId="3BD3611A">
      <w:pPr>
        <w:spacing w:after="0" w:line="240" w:lineRule="atLeast"/>
        <w:rPr>
          <w:rFonts w:ascii="Verdana" w:hAnsi="Verdana"/>
          <w:sz w:val="18"/>
        </w:rPr>
      </w:pPr>
      <w:r w:rsidRPr="0014478B">
        <w:rPr>
          <w:rFonts w:ascii="Verdana" w:hAnsi="Verdana"/>
          <w:sz w:val="18"/>
        </w:rPr>
        <w:t xml:space="preserve">Het advies </w:t>
      </w:r>
      <w:r w:rsidRPr="0014478B" w:rsidR="00FE05A3">
        <w:rPr>
          <w:rFonts w:ascii="Verdana" w:hAnsi="Verdana"/>
          <w:sz w:val="18"/>
        </w:rPr>
        <w:t xml:space="preserve">van ATR </w:t>
      </w:r>
      <w:r w:rsidRPr="0014478B">
        <w:rPr>
          <w:rFonts w:ascii="Verdana" w:hAnsi="Verdana"/>
          <w:sz w:val="18"/>
        </w:rPr>
        <w:t xml:space="preserve">bevat geen adviespunten over de regeldrukparagraaf uit </w:t>
      </w:r>
      <w:r w:rsidRPr="0014478B" w:rsidR="0070162E">
        <w:rPr>
          <w:rFonts w:ascii="Verdana" w:hAnsi="Verdana"/>
          <w:sz w:val="18"/>
        </w:rPr>
        <w:t>de memorie van toelichting</w:t>
      </w:r>
      <w:r w:rsidRPr="0014478B">
        <w:rPr>
          <w:rFonts w:ascii="Verdana" w:hAnsi="Verdana"/>
          <w:sz w:val="18"/>
        </w:rPr>
        <w:t>.</w:t>
      </w:r>
    </w:p>
    <w:p w:rsidRPr="0014478B" w:rsidR="00137682" w:rsidP="00CD7A9A" w:rsidRDefault="00137682" w14:paraId="4028D17B" w14:textId="77777777">
      <w:pPr>
        <w:spacing w:after="0" w:line="240" w:lineRule="atLeast"/>
        <w:rPr>
          <w:rFonts w:ascii="Verdana" w:hAnsi="Verdana"/>
          <w:sz w:val="18"/>
        </w:rPr>
      </w:pPr>
    </w:p>
    <w:p w:rsidRPr="0014478B" w:rsidR="00E90DBA" w:rsidP="00CD7A9A" w:rsidRDefault="00C27DDE" w14:paraId="23EADE79" w14:textId="6C569903">
      <w:pPr>
        <w:spacing w:after="0" w:line="240" w:lineRule="atLeast"/>
        <w:rPr>
          <w:rFonts w:ascii="Verdana" w:hAnsi="Verdana"/>
          <w:b/>
          <w:bCs/>
          <w:kern w:val="0"/>
          <w:sz w:val="18"/>
          <w:szCs w:val="18"/>
          <w14:ligatures w14:val="none"/>
        </w:rPr>
      </w:pPr>
      <w:r w:rsidRPr="0014478B">
        <w:rPr>
          <w:rFonts w:ascii="Verdana" w:hAnsi="Verdana"/>
          <w:b/>
          <w:bCs/>
          <w:kern w:val="0"/>
          <w:sz w:val="18"/>
          <w:szCs w:val="18"/>
          <w14:ligatures w14:val="none"/>
        </w:rPr>
        <w:t>5</w:t>
      </w:r>
      <w:r w:rsidRPr="0014478B" w:rsidR="00E90DBA">
        <w:rPr>
          <w:rFonts w:ascii="Verdana" w:hAnsi="Verdana"/>
          <w:b/>
          <w:bCs/>
          <w:kern w:val="0"/>
          <w:sz w:val="18"/>
          <w:szCs w:val="18"/>
          <w14:ligatures w14:val="none"/>
        </w:rPr>
        <w:t>. Toezicht, uitvoering en handhaving</w:t>
      </w:r>
    </w:p>
    <w:p w:rsidRPr="0014478B" w:rsidR="00E90DBA" w:rsidP="00CD7A9A" w:rsidRDefault="00E90DBA" w14:paraId="0465986F" w14:textId="77777777">
      <w:pPr>
        <w:spacing w:after="0" w:line="240" w:lineRule="atLeast"/>
        <w:rPr>
          <w:rFonts w:ascii="Verdana" w:hAnsi="Verdana"/>
          <w:sz w:val="18"/>
        </w:rPr>
      </w:pPr>
    </w:p>
    <w:p w:rsidRPr="0014478B" w:rsidR="00F32A5B" w:rsidP="00CD7A9A" w:rsidRDefault="00C27DDE" w14:paraId="023E178B" w14:textId="13B81A4E">
      <w:pPr>
        <w:spacing w:after="0" w:line="240" w:lineRule="atLeast"/>
        <w:rPr>
          <w:rFonts w:ascii="Verdana" w:hAnsi="Verdana"/>
          <w:b/>
          <w:bCs/>
          <w:kern w:val="0"/>
          <w:sz w:val="18"/>
          <w:szCs w:val="18"/>
          <w14:ligatures w14:val="none"/>
        </w:rPr>
      </w:pPr>
      <w:r w:rsidRPr="0014478B">
        <w:rPr>
          <w:rFonts w:ascii="Verdana" w:hAnsi="Verdana"/>
          <w:b/>
          <w:bCs/>
          <w:kern w:val="0"/>
          <w:sz w:val="18"/>
          <w:szCs w:val="18"/>
          <w14:ligatures w14:val="none"/>
        </w:rPr>
        <w:t>5</w:t>
      </w:r>
      <w:r w:rsidRPr="0014478B" w:rsidR="00F32A5B">
        <w:rPr>
          <w:rFonts w:ascii="Verdana" w:hAnsi="Verdana"/>
          <w:b/>
          <w:bCs/>
          <w:kern w:val="0"/>
          <w:sz w:val="18"/>
          <w:szCs w:val="18"/>
          <w14:ligatures w14:val="none"/>
        </w:rPr>
        <w:t>.1 Belastingdienst</w:t>
      </w:r>
    </w:p>
    <w:p w:rsidRPr="0014478B" w:rsidR="008B1750" w:rsidP="00CD7A9A" w:rsidRDefault="008B1750" w14:paraId="5AFFC3E8" w14:textId="28F52C8D">
      <w:pPr>
        <w:spacing w:after="0" w:line="240" w:lineRule="atLeast"/>
        <w:rPr>
          <w:rFonts w:ascii="Verdana" w:hAnsi="Verdana" w:eastAsia="Calibri" w:cs="Times New Roman"/>
          <w:bCs/>
          <w:kern w:val="0"/>
          <w:sz w:val="18"/>
          <w:szCs w:val="16"/>
          <w14:ligatures w14:val="none"/>
        </w:rPr>
      </w:pPr>
      <w:r w:rsidRPr="0014478B">
        <w:rPr>
          <w:rFonts w:ascii="Verdana" w:hAnsi="Verdana" w:eastAsia="Calibri" w:cs="Arial"/>
          <w:sz w:val="18"/>
        </w:rPr>
        <w:t xml:space="preserve">Dit wetsvoorstel is voor een uitvoeringstoets aan de Belastingdienst voorgelegd. De Belastingdienst acht het wetsvoorstel uitvoerbaar en geeft aan dat invoering per 1 januari 2027 mogelijk is. De Belastingdienst geeft aan dat </w:t>
      </w:r>
      <w:r w:rsidRPr="0014478B" w:rsidR="007F4E32">
        <w:rPr>
          <w:rFonts w:ascii="Verdana" w:hAnsi="Verdana" w:eastAsia="Calibri" w:cs="Arial"/>
          <w:sz w:val="18"/>
        </w:rPr>
        <w:t>beëindiging</w:t>
      </w:r>
      <w:r w:rsidRPr="0014478B">
        <w:rPr>
          <w:rFonts w:ascii="Verdana" w:hAnsi="Verdana" w:eastAsia="Calibri" w:cs="Arial"/>
          <w:sz w:val="18"/>
        </w:rPr>
        <w:t xml:space="preserve"> van de salderingsregeling de complexiteit voor de energiebelasting vermindert en dat er geen incidentele of structurele uitvoeringskosten zijn. </w:t>
      </w:r>
    </w:p>
    <w:p w:rsidRPr="0014478B" w:rsidR="00E90DBA" w:rsidP="00CD7A9A" w:rsidRDefault="00E90DBA" w14:paraId="2CE67DB7" w14:textId="77777777">
      <w:pPr>
        <w:spacing w:after="0" w:line="240" w:lineRule="atLeast"/>
        <w:rPr>
          <w:rFonts w:ascii="Verdana" w:hAnsi="Verdana"/>
          <w:sz w:val="18"/>
        </w:rPr>
      </w:pPr>
    </w:p>
    <w:p w:rsidRPr="0014478B" w:rsidR="00F32A5B" w:rsidP="00CD7A9A" w:rsidRDefault="00C27DDE" w14:paraId="74D65950" w14:textId="5EAEFBC7">
      <w:pPr>
        <w:spacing w:after="0" w:line="240" w:lineRule="atLeast"/>
        <w:rPr>
          <w:rFonts w:ascii="Verdana" w:hAnsi="Verdana"/>
          <w:b/>
          <w:bCs/>
          <w:kern w:val="0"/>
          <w:sz w:val="18"/>
          <w:szCs w:val="18"/>
          <w14:ligatures w14:val="none"/>
        </w:rPr>
      </w:pPr>
      <w:r w:rsidRPr="0014478B">
        <w:rPr>
          <w:rFonts w:ascii="Verdana" w:hAnsi="Verdana"/>
          <w:b/>
          <w:bCs/>
          <w:kern w:val="0"/>
          <w:sz w:val="18"/>
          <w:szCs w:val="18"/>
          <w14:ligatures w14:val="none"/>
        </w:rPr>
        <w:t>5</w:t>
      </w:r>
      <w:r w:rsidRPr="0014478B" w:rsidR="00F32A5B">
        <w:rPr>
          <w:rFonts w:ascii="Verdana" w:hAnsi="Verdana"/>
          <w:b/>
          <w:bCs/>
          <w:kern w:val="0"/>
          <w:sz w:val="18"/>
          <w:szCs w:val="18"/>
          <w14:ligatures w14:val="none"/>
        </w:rPr>
        <w:t>.2 Autoriteit Con</w:t>
      </w:r>
      <w:r w:rsidRPr="0014478B" w:rsidR="00B52E07">
        <w:rPr>
          <w:rFonts w:ascii="Verdana" w:hAnsi="Verdana"/>
          <w:b/>
          <w:bCs/>
          <w:kern w:val="0"/>
          <w:sz w:val="18"/>
          <w:szCs w:val="18"/>
          <w14:ligatures w14:val="none"/>
        </w:rPr>
        <w:t>sument en Markt</w:t>
      </w:r>
    </w:p>
    <w:p w:rsidRPr="0014478B" w:rsidR="00C71726" w:rsidP="00CD7A9A" w:rsidRDefault="00EA326B" w14:paraId="7622C7D4" w14:textId="0565263C">
      <w:pPr>
        <w:spacing w:after="0" w:line="240" w:lineRule="atLeast"/>
        <w:rPr>
          <w:rFonts w:ascii="Verdana" w:hAnsi="Verdana"/>
          <w:sz w:val="18"/>
        </w:rPr>
      </w:pPr>
      <w:r w:rsidRPr="0014478B">
        <w:rPr>
          <w:rFonts w:ascii="Verdana" w:hAnsi="Verdana"/>
          <w:sz w:val="18"/>
        </w:rPr>
        <w:t>De ACM acht het wetsvoorstel handhaafbaar en uitvoerbaar, op voorwaarde dat het wetsvoorstel en de toelichting op drie punten worden aangevuld.</w:t>
      </w:r>
    </w:p>
    <w:p w:rsidRPr="0014478B" w:rsidR="00CD7A9A" w:rsidP="00CD7A9A" w:rsidRDefault="00CD7A9A" w14:paraId="452BA8A5" w14:textId="77777777">
      <w:pPr>
        <w:spacing w:after="0" w:line="240" w:lineRule="atLeast"/>
        <w:rPr>
          <w:rFonts w:ascii="Verdana" w:hAnsi="Verdana"/>
          <w:sz w:val="18"/>
        </w:rPr>
      </w:pPr>
    </w:p>
    <w:p w:rsidRPr="0014478B" w:rsidR="001F0BD6" w:rsidP="00CD7A9A" w:rsidRDefault="00123868" w14:paraId="75687221" w14:textId="0777BEBC">
      <w:pPr>
        <w:spacing w:after="0" w:line="240" w:lineRule="atLeast"/>
        <w:rPr>
          <w:rFonts w:ascii="Verdana" w:hAnsi="Verdana"/>
          <w:sz w:val="18"/>
        </w:rPr>
      </w:pPr>
      <w:r w:rsidRPr="0014478B">
        <w:rPr>
          <w:rFonts w:ascii="Verdana" w:hAnsi="Verdana"/>
          <w:sz w:val="18"/>
        </w:rPr>
        <w:t>Ten eerste adviseert d</w:t>
      </w:r>
      <w:r w:rsidRPr="0014478B" w:rsidR="008F4F00">
        <w:rPr>
          <w:rFonts w:ascii="Verdana" w:hAnsi="Verdana"/>
          <w:sz w:val="18"/>
        </w:rPr>
        <w:t xml:space="preserve">e ACM </w:t>
      </w:r>
      <w:r w:rsidRPr="0014478B" w:rsidR="00CC30D5">
        <w:rPr>
          <w:rFonts w:ascii="Verdana" w:hAnsi="Verdana"/>
          <w:sz w:val="18"/>
        </w:rPr>
        <w:t xml:space="preserve">in het wetsvoorstel op te nemen dat een terugleververgoeding niet redelijk is wanneer deze </w:t>
      </w:r>
      <w:r w:rsidRPr="0014478B" w:rsidR="00F044DB">
        <w:rPr>
          <w:rFonts w:ascii="Verdana" w:hAnsi="Verdana"/>
          <w:sz w:val="18"/>
        </w:rPr>
        <w:t>onevenredig laag is gezien de kosten en baten van de leverancier, en bovendien niet concurrerend is.</w:t>
      </w:r>
      <w:r w:rsidRPr="0014478B">
        <w:rPr>
          <w:rFonts w:ascii="Verdana" w:hAnsi="Verdana"/>
          <w:sz w:val="18"/>
        </w:rPr>
        <w:t xml:space="preserve"> </w:t>
      </w:r>
      <w:r w:rsidRPr="0014478B" w:rsidR="00631BC5">
        <w:rPr>
          <w:rFonts w:ascii="Verdana" w:hAnsi="Verdana"/>
          <w:sz w:val="18"/>
        </w:rPr>
        <w:t>Naar aanleiding</w:t>
      </w:r>
      <w:r w:rsidRPr="0014478B">
        <w:rPr>
          <w:rFonts w:ascii="Verdana" w:hAnsi="Verdana"/>
          <w:sz w:val="18"/>
        </w:rPr>
        <w:t xml:space="preserve"> van dit advies is </w:t>
      </w:r>
      <w:r w:rsidRPr="0014478B" w:rsidR="002824FA">
        <w:rPr>
          <w:rFonts w:ascii="Verdana" w:hAnsi="Verdana"/>
          <w:sz w:val="18"/>
        </w:rPr>
        <w:t>deze uitwerking</w:t>
      </w:r>
      <w:r w:rsidRPr="0014478B" w:rsidR="000F469B">
        <w:rPr>
          <w:rFonts w:ascii="Verdana" w:hAnsi="Verdana"/>
          <w:sz w:val="18"/>
        </w:rPr>
        <w:t xml:space="preserve"> van </w:t>
      </w:r>
      <w:r w:rsidRPr="0014478B" w:rsidR="002824FA">
        <w:rPr>
          <w:rFonts w:ascii="Verdana" w:hAnsi="Verdana"/>
          <w:sz w:val="18"/>
        </w:rPr>
        <w:t xml:space="preserve">het redelijkheidscriterium </w:t>
      </w:r>
      <w:r w:rsidRPr="0014478B" w:rsidR="0070162E">
        <w:rPr>
          <w:rFonts w:ascii="Verdana" w:hAnsi="Verdana"/>
          <w:sz w:val="18"/>
        </w:rPr>
        <w:t>voor marktdeelnemers aan wie actieve afnemers zelfopgewekte hernieuwbare elektriciteit terug</w:t>
      </w:r>
      <w:r w:rsidRPr="0014478B" w:rsidR="00E04729">
        <w:rPr>
          <w:rFonts w:ascii="Verdana" w:hAnsi="Verdana"/>
          <w:sz w:val="18"/>
        </w:rPr>
        <w:t xml:space="preserve">leveren </w:t>
      </w:r>
      <w:r w:rsidRPr="0014478B" w:rsidR="002824FA">
        <w:rPr>
          <w:rFonts w:ascii="Verdana" w:hAnsi="Verdana"/>
          <w:sz w:val="18"/>
        </w:rPr>
        <w:t>opgenomen in</w:t>
      </w:r>
      <w:r w:rsidRPr="0014478B" w:rsidR="000F469B">
        <w:rPr>
          <w:rFonts w:ascii="Verdana" w:hAnsi="Verdana"/>
          <w:sz w:val="18"/>
        </w:rPr>
        <w:t xml:space="preserve"> </w:t>
      </w:r>
      <w:r w:rsidRPr="0014478B" w:rsidR="00CD1CAE">
        <w:rPr>
          <w:rFonts w:ascii="Verdana" w:hAnsi="Verdana"/>
          <w:sz w:val="18"/>
        </w:rPr>
        <w:t xml:space="preserve">artikel I, </w:t>
      </w:r>
      <w:r w:rsidRPr="0014478B" w:rsidR="00BB1CAD">
        <w:rPr>
          <w:rFonts w:ascii="Verdana" w:hAnsi="Verdana"/>
          <w:sz w:val="18"/>
        </w:rPr>
        <w:t>onderdeel C</w:t>
      </w:r>
      <w:r w:rsidRPr="0014478B" w:rsidR="00CD1CAE">
        <w:rPr>
          <w:rFonts w:ascii="Verdana" w:hAnsi="Verdana"/>
          <w:sz w:val="18"/>
        </w:rPr>
        <w:t>,</w:t>
      </w:r>
      <w:r w:rsidRPr="0014478B" w:rsidR="00D816E7">
        <w:rPr>
          <w:rFonts w:ascii="Verdana" w:hAnsi="Verdana"/>
          <w:sz w:val="18"/>
        </w:rPr>
        <w:t xml:space="preserve"> van het wetsvoorstel.</w:t>
      </w:r>
    </w:p>
    <w:p w:rsidRPr="0014478B" w:rsidR="00CD7A9A" w:rsidP="00CD7A9A" w:rsidRDefault="00CD7A9A" w14:paraId="6F9B862F" w14:textId="77777777">
      <w:pPr>
        <w:spacing w:after="0" w:line="240" w:lineRule="atLeast"/>
        <w:rPr>
          <w:rFonts w:ascii="Verdana" w:hAnsi="Verdana"/>
          <w:sz w:val="18"/>
        </w:rPr>
      </w:pPr>
    </w:p>
    <w:p w:rsidRPr="0014478B" w:rsidR="00E35497" w:rsidP="00CD7A9A" w:rsidRDefault="00E629C2" w14:paraId="07844C47" w14:textId="149CE578">
      <w:pPr>
        <w:spacing w:after="0" w:line="240" w:lineRule="atLeast"/>
        <w:rPr>
          <w:rFonts w:ascii="Verdana" w:hAnsi="Verdana"/>
          <w:sz w:val="18"/>
        </w:rPr>
      </w:pPr>
      <w:r w:rsidRPr="0014478B">
        <w:rPr>
          <w:rFonts w:ascii="Verdana" w:hAnsi="Verdana"/>
          <w:sz w:val="18"/>
        </w:rPr>
        <w:t xml:space="preserve">Ten tweede </w:t>
      </w:r>
      <w:r w:rsidRPr="0014478B" w:rsidR="00AA4C78">
        <w:rPr>
          <w:rFonts w:ascii="Verdana" w:hAnsi="Verdana"/>
          <w:sz w:val="18"/>
        </w:rPr>
        <w:t xml:space="preserve">vraagt de ACM om een bevoegdheid om in specifieke gevallen </w:t>
      </w:r>
      <w:r w:rsidRPr="0014478B" w:rsidR="00DC345C">
        <w:rPr>
          <w:rFonts w:ascii="Verdana" w:hAnsi="Verdana"/>
          <w:sz w:val="18"/>
        </w:rPr>
        <w:t xml:space="preserve">een minimum terugleververgoeding op te </w:t>
      </w:r>
      <w:r w:rsidRPr="0014478B" w:rsidR="00EA031D">
        <w:rPr>
          <w:rFonts w:ascii="Verdana" w:hAnsi="Verdana"/>
          <w:sz w:val="18"/>
        </w:rPr>
        <w:t xml:space="preserve">kunnen leggen aan leveranciers die </w:t>
      </w:r>
      <w:r w:rsidRPr="0014478B" w:rsidR="00EA49F7">
        <w:rPr>
          <w:rFonts w:ascii="Verdana" w:hAnsi="Verdana"/>
          <w:sz w:val="18"/>
        </w:rPr>
        <w:t xml:space="preserve">onredelijke vergoedingen hanteren. </w:t>
      </w:r>
      <w:r w:rsidRPr="0014478B" w:rsidR="00D63CFA">
        <w:rPr>
          <w:rFonts w:ascii="Verdana" w:hAnsi="Verdana"/>
          <w:sz w:val="18"/>
        </w:rPr>
        <w:t xml:space="preserve">Het </w:t>
      </w:r>
      <w:r w:rsidRPr="0014478B" w:rsidR="002824FA">
        <w:rPr>
          <w:rFonts w:ascii="Verdana" w:hAnsi="Verdana"/>
          <w:sz w:val="18"/>
        </w:rPr>
        <w:t xml:space="preserve">opleggen van een minimumvergoeding aan individuele </w:t>
      </w:r>
      <w:r w:rsidRPr="0014478B" w:rsidR="004524D7">
        <w:rPr>
          <w:rFonts w:ascii="Verdana" w:hAnsi="Verdana"/>
          <w:sz w:val="18"/>
        </w:rPr>
        <w:t>ma</w:t>
      </w:r>
      <w:r w:rsidRPr="0014478B" w:rsidR="00917A74">
        <w:rPr>
          <w:rFonts w:ascii="Verdana" w:hAnsi="Verdana"/>
          <w:sz w:val="18"/>
        </w:rPr>
        <w:t>rktdeelnemers aan wie actieve afnemers</w:t>
      </w:r>
      <w:r w:rsidRPr="0014478B" w:rsidR="00065EC0">
        <w:rPr>
          <w:rFonts w:ascii="Verdana" w:hAnsi="Verdana"/>
          <w:sz w:val="18"/>
        </w:rPr>
        <w:t xml:space="preserve"> zelfopgewekte hernieuwbare</w:t>
      </w:r>
      <w:r w:rsidRPr="0014478B" w:rsidR="005E57C2">
        <w:rPr>
          <w:rFonts w:ascii="Verdana" w:hAnsi="Verdana"/>
          <w:sz w:val="18"/>
        </w:rPr>
        <w:t xml:space="preserve"> elektriciteit terugleveren</w:t>
      </w:r>
      <w:r w:rsidRPr="0014478B" w:rsidR="004524D7">
        <w:rPr>
          <w:rFonts w:ascii="Verdana" w:hAnsi="Verdana"/>
          <w:sz w:val="18"/>
        </w:rPr>
        <w:t xml:space="preserve"> </w:t>
      </w:r>
      <w:r w:rsidRPr="0014478B" w:rsidR="002824FA">
        <w:rPr>
          <w:rFonts w:ascii="Verdana" w:hAnsi="Verdana"/>
          <w:sz w:val="18"/>
        </w:rPr>
        <w:t>verhoudt zich slecht tot het algemene beginsel van vrije prijsvorming op de elektriciteitsmarkt</w:t>
      </w:r>
      <w:r w:rsidRPr="0014478B" w:rsidR="00003DCD">
        <w:rPr>
          <w:rFonts w:ascii="Verdana" w:hAnsi="Verdana"/>
          <w:sz w:val="18"/>
        </w:rPr>
        <w:t xml:space="preserve"> </w:t>
      </w:r>
      <w:r w:rsidRPr="0014478B" w:rsidR="00D63CFA">
        <w:rPr>
          <w:rFonts w:ascii="Verdana" w:hAnsi="Verdana"/>
          <w:sz w:val="18"/>
        </w:rPr>
        <w:t xml:space="preserve">en kan marktverstorend werken. </w:t>
      </w:r>
      <w:r w:rsidRPr="0014478B" w:rsidR="00F45337">
        <w:rPr>
          <w:rFonts w:ascii="Verdana" w:hAnsi="Verdana"/>
          <w:sz w:val="18"/>
        </w:rPr>
        <w:t>M</w:t>
      </w:r>
      <w:r w:rsidRPr="0014478B" w:rsidR="002363AC">
        <w:rPr>
          <w:rFonts w:ascii="Verdana" w:hAnsi="Verdana"/>
          <w:sz w:val="18"/>
        </w:rPr>
        <w:t>et</w:t>
      </w:r>
      <w:r w:rsidRPr="0014478B" w:rsidR="00F45337">
        <w:rPr>
          <w:rFonts w:ascii="Verdana" w:hAnsi="Verdana"/>
          <w:sz w:val="18"/>
        </w:rPr>
        <w:t xml:space="preserve"> het</w:t>
      </w:r>
      <w:r w:rsidRPr="0014478B" w:rsidR="002363AC">
        <w:rPr>
          <w:rFonts w:ascii="Verdana" w:hAnsi="Verdana"/>
          <w:sz w:val="18"/>
        </w:rPr>
        <w:t xml:space="preserve"> overnemen van het eerste adviespunt </w:t>
      </w:r>
      <w:r w:rsidRPr="0014478B" w:rsidR="00F45337">
        <w:rPr>
          <w:rFonts w:ascii="Verdana" w:hAnsi="Verdana"/>
          <w:sz w:val="18"/>
        </w:rPr>
        <w:t>word</w:t>
      </w:r>
      <w:r w:rsidRPr="0014478B" w:rsidR="0092736A">
        <w:rPr>
          <w:rFonts w:ascii="Verdana" w:hAnsi="Verdana"/>
          <w:sz w:val="18"/>
        </w:rPr>
        <w:t>t</w:t>
      </w:r>
      <w:r w:rsidRPr="0014478B" w:rsidR="00F45337">
        <w:rPr>
          <w:rFonts w:ascii="Verdana" w:hAnsi="Verdana"/>
          <w:sz w:val="18"/>
        </w:rPr>
        <w:t xml:space="preserve"> al </w:t>
      </w:r>
      <w:r w:rsidRPr="0014478B" w:rsidR="006109D9">
        <w:rPr>
          <w:rFonts w:ascii="Verdana" w:hAnsi="Verdana"/>
          <w:sz w:val="18"/>
        </w:rPr>
        <w:t xml:space="preserve">een </w:t>
      </w:r>
      <w:r w:rsidRPr="0014478B" w:rsidR="00F45337">
        <w:rPr>
          <w:rFonts w:ascii="Verdana" w:hAnsi="Verdana"/>
          <w:sz w:val="18"/>
        </w:rPr>
        <w:t xml:space="preserve">duidelijke </w:t>
      </w:r>
      <w:r w:rsidRPr="0014478B" w:rsidR="0092736A">
        <w:rPr>
          <w:rFonts w:ascii="Verdana" w:hAnsi="Verdana"/>
          <w:sz w:val="18"/>
        </w:rPr>
        <w:t>en handhaafbare</w:t>
      </w:r>
      <w:r w:rsidRPr="0014478B" w:rsidR="00F45337">
        <w:rPr>
          <w:rFonts w:ascii="Verdana" w:hAnsi="Verdana"/>
          <w:sz w:val="18"/>
        </w:rPr>
        <w:t xml:space="preserve"> invulling </w:t>
      </w:r>
      <w:r w:rsidRPr="0014478B" w:rsidR="003C61E4">
        <w:rPr>
          <w:rFonts w:ascii="Verdana" w:hAnsi="Verdana"/>
          <w:sz w:val="18"/>
        </w:rPr>
        <w:t xml:space="preserve">gegeven </w:t>
      </w:r>
      <w:r w:rsidRPr="0014478B" w:rsidR="00F45337">
        <w:rPr>
          <w:rFonts w:ascii="Verdana" w:hAnsi="Verdana"/>
          <w:sz w:val="18"/>
        </w:rPr>
        <w:t xml:space="preserve">van </w:t>
      </w:r>
      <w:r w:rsidRPr="0014478B" w:rsidR="003C61E4">
        <w:rPr>
          <w:rFonts w:ascii="Verdana" w:hAnsi="Verdana"/>
          <w:sz w:val="18"/>
        </w:rPr>
        <w:t xml:space="preserve">het wettelijke vereiste van een </w:t>
      </w:r>
      <w:r w:rsidRPr="0014478B" w:rsidR="00F45337">
        <w:rPr>
          <w:rFonts w:ascii="Verdana" w:hAnsi="Verdana"/>
          <w:sz w:val="18"/>
        </w:rPr>
        <w:t>redelijk</w:t>
      </w:r>
      <w:r w:rsidRPr="0014478B" w:rsidR="003C61E4">
        <w:rPr>
          <w:rFonts w:ascii="Verdana" w:hAnsi="Verdana"/>
          <w:sz w:val="18"/>
        </w:rPr>
        <w:t>e</w:t>
      </w:r>
      <w:r w:rsidRPr="0014478B" w:rsidR="00F45337">
        <w:rPr>
          <w:rFonts w:ascii="Verdana" w:hAnsi="Verdana"/>
          <w:sz w:val="18"/>
        </w:rPr>
        <w:t xml:space="preserve"> vergoeding</w:t>
      </w:r>
      <w:r w:rsidRPr="0014478B" w:rsidR="00B80047">
        <w:rPr>
          <w:rFonts w:ascii="Verdana" w:hAnsi="Verdana"/>
          <w:sz w:val="18"/>
        </w:rPr>
        <w:t xml:space="preserve"> voor door een actieve afnemer teruggeleverde zelfopgewekte hernieuwbare elektriciteit</w:t>
      </w:r>
      <w:r w:rsidRPr="0014478B" w:rsidR="00F45337">
        <w:rPr>
          <w:rFonts w:ascii="Verdana" w:hAnsi="Verdana"/>
          <w:sz w:val="18"/>
        </w:rPr>
        <w:t>.</w:t>
      </w:r>
      <w:r w:rsidRPr="0014478B" w:rsidR="003C61E4">
        <w:rPr>
          <w:rFonts w:ascii="Verdana" w:hAnsi="Verdana"/>
          <w:sz w:val="18"/>
        </w:rPr>
        <w:t xml:space="preserve"> Daarom wordt dit adviespunt niet overgenomen.</w:t>
      </w:r>
      <w:r w:rsidRPr="0014478B" w:rsidR="00F45337">
        <w:rPr>
          <w:rFonts w:ascii="Verdana" w:hAnsi="Verdana"/>
          <w:sz w:val="18"/>
        </w:rPr>
        <w:t xml:space="preserve"> </w:t>
      </w:r>
    </w:p>
    <w:p w:rsidRPr="0014478B" w:rsidR="00CD7A9A" w:rsidP="00CD7A9A" w:rsidRDefault="00CD7A9A" w14:paraId="588FE497" w14:textId="77777777">
      <w:pPr>
        <w:spacing w:after="0" w:line="240" w:lineRule="atLeast"/>
        <w:rPr>
          <w:rFonts w:ascii="Verdana" w:hAnsi="Verdana"/>
          <w:sz w:val="18"/>
        </w:rPr>
      </w:pPr>
    </w:p>
    <w:p w:rsidRPr="0014478B" w:rsidR="006D6C0A" w:rsidP="00CD7A9A" w:rsidRDefault="006D6C0A" w14:paraId="2F2AD81F" w14:textId="23D4DB3E">
      <w:pPr>
        <w:spacing w:after="0" w:line="240" w:lineRule="atLeast"/>
        <w:rPr>
          <w:rFonts w:ascii="Verdana" w:hAnsi="Verdana"/>
          <w:sz w:val="18"/>
        </w:rPr>
      </w:pPr>
      <w:r w:rsidRPr="0014478B">
        <w:rPr>
          <w:rFonts w:ascii="Verdana" w:hAnsi="Verdana"/>
          <w:sz w:val="18"/>
        </w:rPr>
        <w:t xml:space="preserve">Tot slot vraagt de ACM de Minister om verduidelijking over hoe leveranciers om moeten gaan met vaste contracten die ingaan vóór 2027 en doorlopen tot nadat de salderingsregeling is beëindigd op 1 januari 2027 en geeft de </w:t>
      </w:r>
      <w:r w:rsidRPr="0014478B" w:rsidR="00B80047">
        <w:rPr>
          <w:rFonts w:ascii="Verdana" w:hAnsi="Verdana"/>
          <w:sz w:val="18"/>
        </w:rPr>
        <w:t>M</w:t>
      </w:r>
      <w:r w:rsidRPr="0014478B">
        <w:rPr>
          <w:rFonts w:ascii="Verdana" w:hAnsi="Verdana"/>
          <w:sz w:val="18"/>
        </w:rPr>
        <w:t xml:space="preserve">inister daarom in overweging om in het wetsvoorstel een overgangsregeling op te stellen die consumenten uniforme rechten geeft ten aanzien van de opzegvergoeding wanneer zij voortijdig het vaste contract willen opzeggen. </w:t>
      </w:r>
      <w:r w:rsidRPr="0014478B">
        <w:rPr>
          <w:rFonts w:ascii="Verdana" w:hAnsi="Verdana"/>
          <w:sz w:val="18"/>
        </w:rPr>
        <w:br/>
      </w:r>
      <w:r w:rsidRPr="0014478B">
        <w:rPr>
          <w:rFonts w:ascii="Verdana" w:hAnsi="Verdana"/>
          <w:sz w:val="18"/>
        </w:rPr>
        <w:lastRenderedPageBreak/>
        <w:t xml:space="preserve">De verwachting is dat leveranciers bij het aanbieden van energiecontracten zullen anticiperen op de beëindiging van de salderingsregeling per 2027 en (vaste) contracten met bepalingen over het terugleveren/salderen niet meer zullen aanbieden. Het gaat bij de consumenten waar de ACM op doelt dan ook om een kleine groep die dit jaar een driejarig contract hebben afgesloten en momenteel zonnepanelen hebben of deze nog voor 2027 laten installeren. Consumenten die een vast contract hebben afgesloten kunnen na wijziging van hun contractvoorwaarden te maken krijgen met een opzegvergoeding. In de Beleidsregel Redelijke opzegvergoedingen vergunninghouders 2023 van de ACM is een grondslag opgenomen waaruit blijkt dat </w:t>
      </w:r>
      <w:r w:rsidRPr="0014478B" w:rsidR="006109D9">
        <w:rPr>
          <w:rFonts w:ascii="Verdana" w:hAnsi="Verdana"/>
          <w:sz w:val="18"/>
        </w:rPr>
        <w:t xml:space="preserve">de </w:t>
      </w:r>
      <w:r w:rsidRPr="0014478B">
        <w:rPr>
          <w:rFonts w:ascii="Verdana" w:hAnsi="Verdana"/>
          <w:sz w:val="18"/>
        </w:rPr>
        <w:t>consument bij bepaalde bijzondere omstandigheden geen opzegvergoeding hoe</w:t>
      </w:r>
      <w:r w:rsidRPr="0014478B" w:rsidR="006109D9">
        <w:rPr>
          <w:rFonts w:ascii="Verdana" w:hAnsi="Verdana"/>
          <w:sz w:val="18"/>
        </w:rPr>
        <w:t>ft</w:t>
      </w:r>
      <w:r w:rsidRPr="0014478B">
        <w:rPr>
          <w:rFonts w:ascii="Verdana" w:hAnsi="Verdana"/>
          <w:sz w:val="18"/>
        </w:rPr>
        <w:t xml:space="preserve"> te betalen wanneer hij voortijdig een vast energiecontract opzegt (artikel 9). In dergelijke gevallen wordt aangenomen dat het vragen van een opzegvergoeding door de leverancier niet redelijk is te achten. Door de nieuwe situatie die vanaf 1 januari 2027 ontstaat, worden de voorwaarden ten aanzien van </w:t>
      </w:r>
      <w:r w:rsidRPr="0014478B" w:rsidR="00B80047">
        <w:rPr>
          <w:rFonts w:ascii="Verdana" w:hAnsi="Verdana"/>
          <w:sz w:val="18"/>
        </w:rPr>
        <w:t xml:space="preserve">het </w:t>
      </w:r>
      <w:r w:rsidRPr="0014478B">
        <w:rPr>
          <w:rFonts w:ascii="Verdana" w:hAnsi="Verdana"/>
          <w:sz w:val="18"/>
        </w:rPr>
        <w:t xml:space="preserve">terugleveren in energiecontracten van consumenten gewijzigd. Hoe leveranciers hiermee omgaan kan gaan verschillen. De ACM zal moeten beoordelen of het in dergelijke gevallen wel redelijk is om een opzegvergoeding te vragen van consumenten die geconfronteerd worden met een eenzijdige wijziging van hun vaste contract waardoor zij </w:t>
      </w:r>
      <w:r w:rsidRPr="0014478B" w:rsidR="002E7217">
        <w:rPr>
          <w:rFonts w:ascii="Verdana" w:hAnsi="Verdana"/>
          <w:sz w:val="18"/>
        </w:rPr>
        <w:t xml:space="preserve">voor de hoeveelheid door hen </w:t>
      </w:r>
      <w:r w:rsidRPr="0014478B" w:rsidR="009A6B10">
        <w:rPr>
          <w:rFonts w:ascii="Verdana" w:hAnsi="Verdana"/>
          <w:sz w:val="18"/>
        </w:rPr>
        <w:t xml:space="preserve">teruggeleverde </w:t>
      </w:r>
      <w:r w:rsidRPr="0014478B" w:rsidR="00121E2C">
        <w:rPr>
          <w:rFonts w:ascii="Verdana" w:hAnsi="Verdana"/>
          <w:sz w:val="18"/>
        </w:rPr>
        <w:t>zelfopgewekte elektriciteit die niet uitstijgt boven het jaarlijks verbruik, een andere vergoeding ontvangen (niet meer de leveringsprijs) en eventueel andere voorwaarden en kosten voor het terugleveren gaan gelden</w:t>
      </w:r>
      <w:r w:rsidRPr="0014478B">
        <w:rPr>
          <w:rFonts w:ascii="Verdana" w:hAnsi="Verdana"/>
          <w:sz w:val="18"/>
        </w:rPr>
        <w:t>. De ACM acht overeenkomstig genoemd artikel 9 een voorwaarde over de opzegvergoeding niet redelijk indien deze voorwaarde niet voorziet in het verlagen of op nihil vaststellen van de opzegvergoeding in het geval van zodanige bijzondere omstandigheden dat het in rekening brengen van het vastgesteld bedrag van de opzegvergoeding onevenredig zou zijn. Daarbij zal zeker worden meegewogen dat consumenten door een dergelijke contractwijziging direct in hun portemonnee geraakt kunnen worden.</w:t>
      </w:r>
    </w:p>
    <w:p w:rsidRPr="0014478B" w:rsidR="00713746" w:rsidP="00CD7A9A" w:rsidRDefault="00713746" w14:paraId="256B7F06" w14:textId="77777777">
      <w:pPr>
        <w:spacing w:after="0" w:line="240" w:lineRule="atLeast"/>
        <w:rPr>
          <w:rFonts w:ascii="Verdana" w:hAnsi="Verdana"/>
          <w:sz w:val="18"/>
        </w:rPr>
      </w:pPr>
    </w:p>
    <w:p w:rsidRPr="0014478B" w:rsidR="00E90DBA" w:rsidP="00CD7A9A" w:rsidRDefault="00A74D39" w14:paraId="7CFDE38E" w14:textId="729AF928">
      <w:pPr>
        <w:spacing w:after="0" w:line="240" w:lineRule="atLeast"/>
        <w:rPr>
          <w:rFonts w:ascii="Verdana" w:hAnsi="Verdana"/>
          <w:b/>
          <w:bCs/>
          <w:kern w:val="0"/>
          <w:sz w:val="18"/>
          <w:szCs w:val="18"/>
          <w14:ligatures w14:val="none"/>
        </w:rPr>
      </w:pPr>
      <w:r w:rsidRPr="0014478B">
        <w:rPr>
          <w:rFonts w:ascii="Verdana" w:hAnsi="Verdana"/>
          <w:b/>
          <w:bCs/>
          <w:kern w:val="0"/>
          <w:sz w:val="18"/>
          <w:szCs w:val="18"/>
          <w14:ligatures w14:val="none"/>
        </w:rPr>
        <w:t>6.</w:t>
      </w:r>
      <w:r w:rsidRPr="0014478B" w:rsidR="00B52E07">
        <w:rPr>
          <w:rFonts w:ascii="Verdana" w:hAnsi="Verdana"/>
          <w:b/>
          <w:bCs/>
          <w:kern w:val="0"/>
          <w:sz w:val="18"/>
          <w:szCs w:val="18"/>
          <w14:ligatures w14:val="none"/>
        </w:rPr>
        <w:t xml:space="preserve"> </w:t>
      </w:r>
      <w:r w:rsidRPr="0014478B" w:rsidR="00356128">
        <w:rPr>
          <w:rFonts w:ascii="Verdana" w:hAnsi="Verdana"/>
          <w:b/>
          <w:bCs/>
          <w:kern w:val="0"/>
          <w:sz w:val="18"/>
          <w:szCs w:val="18"/>
          <w14:ligatures w14:val="none"/>
        </w:rPr>
        <w:t>Consu</w:t>
      </w:r>
      <w:r w:rsidRPr="0014478B" w:rsidR="00EF5F87">
        <w:rPr>
          <w:rFonts w:ascii="Verdana" w:hAnsi="Verdana"/>
          <w:b/>
          <w:bCs/>
          <w:kern w:val="0"/>
          <w:sz w:val="18"/>
          <w:szCs w:val="18"/>
          <w14:ligatures w14:val="none"/>
        </w:rPr>
        <w:t>ltatie</w:t>
      </w:r>
    </w:p>
    <w:p w:rsidRPr="0014478B" w:rsidR="00A74D39" w:rsidP="00CD7A9A" w:rsidRDefault="00A74D39" w14:paraId="7F1C9E5C" w14:textId="77777777">
      <w:pPr>
        <w:spacing w:after="0" w:line="240" w:lineRule="atLeast"/>
        <w:rPr>
          <w:rFonts w:ascii="Verdana" w:hAnsi="Verdana"/>
          <w:sz w:val="18"/>
        </w:rPr>
      </w:pPr>
    </w:p>
    <w:p w:rsidRPr="0014478B" w:rsidR="00F21A51" w:rsidP="00CD7A9A" w:rsidRDefault="00EF5F87" w14:paraId="06AC8462" w14:textId="69B09D4A">
      <w:pPr>
        <w:spacing w:after="0" w:line="240" w:lineRule="atLeast"/>
        <w:rPr>
          <w:rFonts w:ascii="Verdana" w:hAnsi="Verdana"/>
          <w:sz w:val="18"/>
        </w:rPr>
      </w:pPr>
      <w:r w:rsidRPr="0014478B">
        <w:rPr>
          <w:rFonts w:ascii="Verdana" w:hAnsi="Verdana"/>
          <w:sz w:val="18"/>
        </w:rPr>
        <w:t>Het beëindigen van de salderingsregeling is opgenomen in het Hoofdlijnenakkoord tussen de PVV, VVD, NSC en BBB van 16 mei</w:t>
      </w:r>
      <w:r w:rsidRPr="0014478B" w:rsidR="001F61CE">
        <w:rPr>
          <w:rFonts w:ascii="Verdana" w:hAnsi="Verdana"/>
          <w:sz w:val="18"/>
        </w:rPr>
        <w:t xml:space="preserve"> 2024</w:t>
      </w:r>
      <w:r w:rsidRPr="0014478B">
        <w:rPr>
          <w:rFonts w:ascii="Verdana" w:hAnsi="Verdana"/>
          <w:sz w:val="18"/>
        </w:rPr>
        <w:t xml:space="preserve">. Op 4 juni heeft de Tweede Kamer de motie van het lid Bontenbal aangenomen om bij het Belastingplan een voorstel tot aanpassing van de salderingsregeling naar de Kamer toe te sturen. De wetsvoorstellen die daar onderdeel van uitmaken komen doorgaans in korte tijd tot stand. Daarom wordt het pakket Belastingplan </w:t>
      </w:r>
      <w:r w:rsidRPr="0014478B" w:rsidR="007F4E32">
        <w:rPr>
          <w:rFonts w:ascii="Verdana" w:hAnsi="Verdana"/>
          <w:sz w:val="18"/>
        </w:rPr>
        <w:t xml:space="preserve">2025 </w:t>
      </w:r>
      <w:r w:rsidRPr="0014478B">
        <w:rPr>
          <w:rFonts w:ascii="Verdana" w:hAnsi="Verdana"/>
          <w:sz w:val="18"/>
        </w:rPr>
        <w:t>niet in zijn geheel ter internetconsultatie aangeboden. Waar mogelijk worden onderdelen van het pakket Belastingplan wel voor internetconsultatie uitgezet.</w:t>
      </w:r>
      <w:r w:rsidRPr="0014478B" w:rsidR="00483759">
        <w:rPr>
          <w:rFonts w:ascii="Verdana" w:hAnsi="Verdana"/>
          <w:sz w:val="18"/>
        </w:rPr>
        <w:t xml:space="preserve"> </w:t>
      </w:r>
      <w:r w:rsidRPr="0014478B">
        <w:rPr>
          <w:rFonts w:ascii="Verdana" w:hAnsi="Verdana"/>
          <w:sz w:val="18"/>
        </w:rPr>
        <w:t xml:space="preserve">Gegeven het korte tijdsbestek tussen de bekendmaking van de maatregel en de </w:t>
      </w:r>
      <w:r w:rsidRPr="0014478B" w:rsidR="00174876">
        <w:rPr>
          <w:rFonts w:ascii="Verdana" w:hAnsi="Verdana"/>
          <w:sz w:val="18"/>
        </w:rPr>
        <w:t>aangenomen motie</w:t>
      </w:r>
      <w:r w:rsidRPr="0014478B">
        <w:rPr>
          <w:rFonts w:ascii="Verdana" w:hAnsi="Verdana"/>
          <w:sz w:val="18"/>
        </w:rPr>
        <w:t xml:space="preserve"> om het voorstel mee te sturen met het Belastingplan </w:t>
      </w:r>
      <w:r w:rsidRPr="0014478B" w:rsidR="00174876">
        <w:rPr>
          <w:rFonts w:ascii="Verdana" w:hAnsi="Verdana"/>
          <w:sz w:val="18"/>
        </w:rPr>
        <w:t xml:space="preserve">2025 </w:t>
      </w:r>
      <w:r w:rsidRPr="0014478B">
        <w:rPr>
          <w:rFonts w:ascii="Verdana" w:hAnsi="Verdana"/>
          <w:sz w:val="18"/>
        </w:rPr>
        <w:t>en Prinsjesdag, is een internetconsultatie niet haalbaar gebleken in de tijd.</w:t>
      </w:r>
      <w:r w:rsidRPr="0014478B" w:rsidR="001163BE">
        <w:rPr>
          <w:rFonts w:ascii="Verdana" w:hAnsi="Verdana"/>
          <w:sz w:val="18"/>
        </w:rPr>
        <w:t xml:space="preserve"> </w:t>
      </w:r>
      <w:r w:rsidRPr="0014478B">
        <w:rPr>
          <w:rFonts w:ascii="Verdana" w:hAnsi="Verdana"/>
          <w:sz w:val="18"/>
        </w:rPr>
        <w:t>De in het verleden eerder voorgestelde afbouw van de salderingsregeling is overigens wel op 28 oktober 2019 ter consultatie aangeboden</w:t>
      </w:r>
      <w:r w:rsidRPr="0014478B">
        <w:rPr>
          <w:rStyle w:val="Voetnootmarkering"/>
          <w:rFonts w:ascii="Verdana" w:hAnsi="Verdana"/>
          <w:sz w:val="18"/>
        </w:rPr>
        <w:footnoteReference w:id="36"/>
      </w:r>
      <w:r w:rsidRPr="0014478B">
        <w:rPr>
          <w:rFonts w:ascii="Verdana" w:hAnsi="Verdana"/>
          <w:sz w:val="18"/>
        </w:rPr>
        <w:t>.</w:t>
      </w:r>
      <w:r w:rsidRPr="0014478B" w:rsidR="00BF26DE">
        <w:rPr>
          <w:rFonts w:ascii="Verdana" w:hAnsi="Verdana"/>
          <w:sz w:val="18"/>
        </w:rPr>
        <w:t xml:space="preserve"> </w:t>
      </w:r>
      <w:r w:rsidRPr="0014478B" w:rsidR="00FB70BF">
        <w:rPr>
          <w:rFonts w:ascii="Verdana" w:hAnsi="Verdana"/>
          <w:sz w:val="18"/>
        </w:rPr>
        <w:t xml:space="preserve">In aanvulling daarop is er daarnaast nog aanvullend contact geweest met Techniek Nederland over de gevolgen van deze wijziging voor de markt en de installatiebranche. Daarnaast is er ook contact geweest met diverse maatschappelijke partijen die naar aanleiding van het </w:t>
      </w:r>
      <w:r w:rsidRPr="0014478B" w:rsidR="001F61CE">
        <w:rPr>
          <w:rFonts w:ascii="Verdana" w:hAnsi="Verdana"/>
          <w:sz w:val="18"/>
        </w:rPr>
        <w:t>H</w:t>
      </w:r>
      <w:r w:rsidRPr="0014478B" w:rsidR="00FB70BF">
        <w:rPr>
          <w:rFonts w:ascii="Verdana" w:hAnsi="Verdana"/>
          <w:sz w:val="18"/>
        </w:rPr>
        <w:t>oofdlijnenakkoord specifiek aandacht vragen voor de gevolgen van het beëindigen van de salderingsregeling of onderzoek doen hiernaar. Het betreft dan bijvoorbeeld partijen uit de energiesector, waaronder Energie-Nederland, Holland Solar, de Nederlandse Vereniging voor Duurzame Energie, of partijen die zich richten op woningbezitters of huurders, waaronder Vereniging Eigen Huis, AEDES, Woonbond en de Consumentenbond. Waar relevant is de memorie van toelichting naar aanleiding hiervan aangevuld.</w:t>
      </w:r>
    </w:p>
    <w:p w:rsidRPr="0014478B" w:rsidR="00F90247" w:rsidP="00CD7A9A" w:rsidRDefault="00F90247" w14:paraId="4FD59649" w14:textId="77777777">
      <w:pPr>
        <w:spacing w:after="0" w:line="240" w:lineRule="atLeast"/>
        <w:rPr>
          <w:rFonts w:ascii="Verdana" w:hAnsi="Verdana"/>
          <w:sz w:val="18"/>
        </w:rPr>
      </w:pPr>
    </w:p>
    <w:p w:rsidRPr="0014478B" w:rsidR="00E90DBA" w:rsidP="00CD7A9A" w:rsidRDefault="00A74D39" w14:paraId="63FA957B" w14:textId="5D668807">
      <w:pPr>
        <w:spacing w:after="0" w:line="240" w:lineRule="atLeast"/>
        <w:rPr>
          <w:rFonts w:ascii="Verdana" w:hAnsi="Verdana"/>
          <w:b/>
          <w:bCs/>
          <w:kern w:val="0"/>
          <w:sz w:val="18"/>
          <w:szCs w:val="18"/>
          <w14:ligatures w14:val="none"/>
        </w:rPr>
      </w:pPr>
      <w:r w:rsidRPr="0014478B">
        <w:rPr>
          <w:rFonts w:ascii="Verdana" w:hAnsi="Verdana"/>
          <w:b/>
          <w:bCs/>
          <w:kern w:val="0"/>
          <w:sz w:val="18"/>
          <w:szCs w:val="18"/>
          <w14:ligatures w14:val="none"/>
        </w:rPr>
        <w:t>7</w:t>
      </w:r>
      <w:r w:rsidRPr="0014478B" w:rsidR="00E90DBA">
        <w:rPr>
          <w:rFonts w:ascii="Verdana" w:hAnsi="Verdana"/>
          <w:b/>
          <w:bCs/>
          <w:kern w:val="0"/>
          <w:sz w:val="18"/>
          <w:szCs w:val="18"/>
          <w14:ligatures w14:val="none"/>
        </w:rPr>
        <w:t>. Budgettaire aspecten</w:t>
      </w:r>
    </w:p>
    <w:p w:rsidRPr="0014478B" w:rsidR="00E90DBA" w:rsidP="00CD7A9A" w:rsidRDefault="00E90DBA" w14:paraId="1F45846D" w14:textId="77777777">
      <w:pPr>
        <w:spacing w:after="0" w:line="240" w:lineRule="atLeast"/>
        <w:rPr>
          <w:rFonts w:ascii="Verdana" w:hAnsi="Verdana"/>
          <w:sz w:val="18"/>
        </w:rPr>
      </w:pPr>
    </w:p>
    <w:p w:rsidRPr="0014478B" w:rsidR="00CD7A9A" w:rsidP="00CD7A9A" w:rsidRDefault="00E90DBA" w14:paraId="38C94B2C" w14:textId="5A159376">
      <w:pPr>
        <w:spacing w:after="0" w:line="240" w:lineRule="atLeast"/>
        <w:rPr>
          <w:rFonts w:ascii="Verdana" w:hAnsi="Verdana"/>
          <w:sz w:val="18"/>
        </w:rPr>
      </w:pPr>
      <w:r w:rsidRPr="0014478B">
        <w:rPr>
          <w:rFonts w:ascii="Verdana" w:hAnsi="Verdana"/>
          <w:sz w:val="18"/>
        </w:rPr>
        <w:t xml:space="preserve">Dit wetsvoorstel beoogt de salderingsregeling te beëindigen, waarbij vanaf 1 januari 2027 niet meer kan </w:t>
      </w:r>
      <w:r w:rsidRPr="0014478B" w:rsidR="00C458A1">
        <w:rPr>
          <w:rFonts w:ascii="Verdana" w:hAnsi="Verdana"/>
          <w:sz w:val="18"/>
        </w:rPr>
        <w:t>worden gesaldeerd</w:t>
      </w:r>
      <w:r w:rsidRPr="0014478B">
        <w:rPr>
          <w:rFonts w:ascii="Verdana" w:hAnsi="Verdana"/>
          <w:sz w:val="18"/>
        </w:rPr>
        <w:t>. Tabel 1 laat zien dat het budgettaire effect vanaf 2032 structureel €665 mln bedraagt:</w:t>
      </w:r>
    </w:p>
    <w:p w:rsidRPr="0014478B" w:rsidR="00BE3765" w:rsidP="00CD7A9A" w:rsidRDefault="00BE3765" w14:paraId="6F277B6F" w14:textId="77777777">
      <w:pPr>
        <w:spacing w:after="0" w:line="240" w:lineRule="atLeast"/>
        <w:rPr>
          <w:rFonts w:ascii="Verdana" w:hAnsi="Verdana"/>
          <w:sz w:val="18"/>
        </w:rPr>
      </w:pPr>
    </w:p>
    <w:p w:rsidRPr="0014478B" w:rsidR="002437E7" w:rsidP="00CD7A9A" w:rsidRDefault="002437E7" w14:paraId="54A45061" w14:textId="77777777">
      <w:pPr>
        <w:spacing w:after="0" w:line="240" w:lineRule="atLeast"/>
        <w:rPr>
          <w:rFonts w:ascii="Verdana" w:hAnsi="Verdana"/>
          <w:sz w:val="18"/>
        </w:rPr>
      </w:pPr>
    </w:p>
    <w:tbl>
      <w:tblPr>
        <w:tblStyle w:val="Rastertabel4-Accent1"/>
        <w:tblW w:w="8805" w:type="dxa"/>
        <w:tblLayout w:type="fixed"/>
        <w:tblLook w:val="04A0" w:firstRow="1" w:lastRow="0" w:firstColumn="1" w:lastColumn="0" w:noHBand="0" w:noVBand="1"/>
      </w:tblPr>
      <w:tblGrid>
        <w:gridCol w:w="4061"/>
        <w:gridCol w:w="948"/>
        <w:gridCol w:w="949"/>
        <w:gridCol w:w="949"/>
        <w:gridCol w:w="949"/>
        <w:gridCol w:w="949"/>
      </w:tblGrid>
      <w:tr w:rsidRPr="0014478B" w:rsidR="00E90DBA" w14:paraId="52A26E9E" w14:textId="77777777">
        <w:trPr>
          <w:cnfStyle w:val="100000000000" w:firstRow="1" w:lastRow="0" w:firstColumn="0" w:lastColumn="0" w:oddVBand="0" w:evenVBand="0" w:oddHBand="0" w:evenHBand="0" w:firstRowFirstColumn="0" w:firstRowLastColumn="0" w:lastRowFirstColumn="0" w:lastRowLastColumn="0"/>
          <w:trHeight w:val="616"/>
        </w:trPr>
        <w:tc>
          <w:tcPr>
            <w:cnfStyle w:val="001000000000" w:firstRow="0" w:lastRow="0" w:firstColumn="1" w:lastColumn="0" w:oddVBand="0" w:evenVBand="0" w:oddHBand="0" w:evenHBand="0" w:firstRowFirstColumn="0" w:firstRowLastColumn="0" w:lastRowFirstColumn="0" w:lastRowLastColumn="0"/>
            <w:tcW w:w="4061" w:type="dxa"/>
            <w:noWrap/>
            <w:hideMark/>
          </w:tcPr>
          <w:p w:rsidRPr="0014478B" w:rsidR="00E90DBA" w:rsidP="00CD7A9A" w:rsidRDefault="00E90DBA" w14:paraId="0E6F7404" w14:textId="77777777">
            <w:pPr>
              <w:spacing w:line="240" w:lineRule="atLeast"/>
              <w:rPr>
                <w:rFonts w:ascii="Verdana" w:hAnsi="Verdana" w:cs="Calibri"/>
                <w:b w:val="0"/>
                <w:bCs w:val="0"/>
                <w:color w:val="000000"/>
                <w:sz w:val="18"/>
              </w:rPr>
            </w:pPr>
            <w:r w:rsidRPr="0014478B">
              <w:rPr>
                <w:rFonts w:ascii="Verdana" w:hAnsi="Verdana" w:cs="Calibri"/>
                <w:color w:val="000000"/>
                <w:sz w:val="18"/>
              </w:rPr>
              <w:lastRenderedPageBreak/>
              <w:t xml:space="preserve">Tabel 1: Budgettaire effecten maatregel </w:t>
            </w:r>
          </w:p>
          <w:p w:rsidRPr="0014478B" w:rsidR="00E90DBA" w:rsidP="00CD7A9A" w:rsidRDefault="00E90DBA" w14:paraId="64C26490" w14:textId="77777777">
            <w:pPr>
              <w:spacing w:line="240" w:lineRule="atLeast"/>
              <w:rPr>
                <w:rFonts w:ascii="Verdana" w:hAnsi="Verdana" w:cs="Calibri"/>
                <w:b w:val="0"/>
                <w:bCs w:val="0"/>
                <w:color w:val="000000"/>
                <w:sz w:val="18"/>
              </w:rPr>
            </w:pPr>
            <w:r w:rsidRPr="0014478B">
              <w:rPr>
                <w:rFonts w:ascii="Verdana" w:hAnsi="Verdana" w:cs="Calibri"/>
                <w:color w:val="000000"/>
                <w:sz w:val="18"/>
              </w:rPr>
              <w:t>‘+’ = saldoverbeterend/lastenverzwarend</w:t>
            </w:r>
          </w:p>
          <w:p w:rsidRPr="0014478B" w:rsidR="00E90DBA" w:rsidP="00CD7A9A" w:rsidRDefault="00E90DBA" w14:paraId="1098E17A" w14:textId="77777777">
            <w:pPr>
              <w:spacing w:line="240" w:lineRule="atLeast"/>
              <w:rPr>
                <w:rFonts w:ascii="Verdana" w:hAnsi="Verdana" w:cs="Calibri"/>
                <w:b w:val="0"/>
                <w:bCs w:val="0"/>
                <w:color w:val="FFFFFF"/>
                <w:sz w:val="18"/>
              </w:rPr>
            </w:pPr>
            <w:r w:rsidRPr="0014478B">
              <w:rPr>
                <w:rFonts w:ascii="Verdana" w:hAnsi="Verdana" w:cs="Calibri"/>
                <w:color w:val="FFFFFF"/>
                <w:sz w:val="18"/>
              </w:rPr>
              <w:t>(Bedragen in mln euro, prijzen 2024)</w:t>
            </w:r>
          </w:p>
        </w:tc>
        <w:tc>
          <w:tcPr>
            <w:tcW w:w="948" w:type="dxa"/>
            <w:noWrap/>
            <w:hideMark/>
          </w:tcPr>
          <w:p w:rsidRPr="0014478B" w:rsidR="00E90DBA" w:rsidP="00CD7A9A" w:rsidRDefault="00E90DBA" w14:paraId="540EADC8" w14:textId="77777777">
            <w:pPr>
              <w:spacing w:line="240" w:lineRule="atLeast"/>
              <w:jc w:val="center"/>
              <w:cnfStyle w:val="100000000000" w:firstRow="1" w:lastRow="0" w:firstColumn="0" w:lastColumn="0" w:oddVBand="0" w:evenVBand="0" w:oddHBand="0" w:evenHBand="0" w:firstRowFirstColumn="0" w:firstRowLastColumn="0" w:lastRowFirstColumn="0" w:lastRowLastColumn="0"/>
              <w:rPr>
                <w:rFonts w:ascii="Verdana" w:hAnsi="Verdana" w:cs="Calibri"/>
                <w:b w:val="0"/>
                <w:bCs w:val="0"/>
                <w:color w:val="FFFFFF"/>
                <w:sz w:val="18"/>
              </w:rPr>
            </w:pPr>
            <w:r w:rsidRPr="0014478B">
              <w:rPr>
                <w:rFonts w:ascii="Verdana" w:hAnsi="Verdana" w:cs="Calibri"/>
                <w:color w:val="FFFFFF"/>
                <w:sz w:val="18"/>
              </w:rPr>
              <w:t>2027</w:t>
            </w:r>
          </w:p>
        </w:tc>
        <w:tc>
          <w:tcPr>
            <w:tcW w:w="949" w:type="dxa"/>
            <w:noWrap/>
            <w:hideMark/>
          </w:tcPr>
          <w:p w:rsidRPr="0014478B" w:rsidR="00E90DBA" w:rsidP="00CD7A9A" w:rsidRDefault="00E90DBA" w14:paraId="522DAECB" w14:textId="77777777">
            <w:pPr>
              <w:spacing w:line="240" w:lineRule="atLeast"/>
              <w:jc w:val="center"/>
              <w:cnfStyle w:val="100000000000" w:firstRow="1" w:lastRow="0" w:firstColumn="0" w:lastColumn="0" w:oddVBand="0" w:evenVBand="0" w:oddHBand="0" w:evenHBand="0" w:firstRowFirstColumn="0" w:firstRowLastColumn="0" w:lastRowFirstColumn="0" w:lastRowLastColumn="0"/>
              <w:rPr>
                <w:rFonts w:ascii="Verdana" w:hAnsi="Verdana" w:cs="Calibri"/>
                <w:b w:val="0"/>
                <w:bCs w:val="0"/>
                <w:color w:val="FFFFFF"/>
                <w:sz w:val="18"/>
              </w:rPr>
            </w:pPr>
            <w:r w:rsidRPr="0014478B">
              <w:rPr>
                <w:rFonts w:ascii="Verdana" w:hAnsi="Verdana" w:cs="Calibri"/>
                <w:color w:val="FFFFFF"/>
                <w:sz w:val="18"/>
              </w:rPr>
              <w:t>2028</w:t>
            </w:r>
          </w:p>
        </w:tc>
        <w:tc>
          <w:tcPr>
            <w:tcW w:w="949" w:type="dxa"/>
            <w:noWrap/>
            <w:hideMark/>
          </w:tcPr>
          <w:p w:rsidRPr="0014478B" w:rsidR="00E90DBA" w:rsidP="00CD7A9A" w:rsidRDefault="00E90DBA" w14:paraId="3D97731E" w14:textId="77777777">
            <w:pPr>
              <w:spacing w:line="240" w:lineRule="atLeast"/>
              <w:jc w:val="center"/>
              <w:cnfStyle w:val="100000000000" w:firstRow="1" w:lastRow="0" w:firstColumn="0" w:lastColumn="0" w:oddVBand="0" w:evenVBand="0" w:oddHBand="0" w:evenHBand="0" w:firstRowFirstColumn="0" w:firstRowLastColumn="0" w:lastRowFirstColumn="0" w:lastRowLastColumn="0"/>
              <w:rPr>
                <w:rFonts w:ascii="Verdana" w:hAnsi="Verdana" w:cs="Calibri"/>
                <w:b w:val="0"/>
                <w:bCs w:val="0"/>
                <w:color w:val="FFFFFF"/>
                <w:sz w:val="18"/>
              </w:rPr>
            </w:pPr>
            <w:r w:rsidRPr="0014478B">
              <w:rPr>
                <w:rFonts w:ascii="Verdana" w:hAnsi="Verdana" w:cs="Calibri"/>
                <w:color w:val="FFFFFF"/>
                <w:sz w:val="18"/>
              </w:rPr>
              <w:t>2029</w:t>
            </w:r>
          </w:p>
        </w:tc>
        <w:tc>
          <w:tcPr>
            <w:tcW w:w="949" w:type="dxa"/>
            <w:noWrap/>
            <w:hideMark/>
          </w:tcPr>
          <w:p w:rsidRPr="0014478B" w:rsidR="00E90DBA" w:rsidP="00CD7A9A" w:rsidRDefault="00E90DBA" w14:paraId="762829C6" w14:textId="77777777">
            <w:pPr>
              <w:spacing w:line="240" w:lineRule="atLeast"/>
              <w:jc w:val="center"/>
              <w:cnfStyle w:val="100000000000" w:firstRow="1" w:lastRow="0" w:firstColumn="0" w:lastColumn="0" w:oddVBand="0" w:evenVBand="0" w:oddHBand="0" w:evenHBand="0" w:firstRowFirstColumn="0" w:firstRowLastColumn="0" w:lastRowFirstColumn="0" w:lastRowLastColumn="0"/>
              <w:rPr>
                <w:rFonts w:ascii="Verdana" w:hAnsi="Verdana" w:cs="Calibri"/>
                <w:b w:val="0"/>
                <w:bCs w:val="0"/>
                <w:color w:val="FFFFFF"/>
                <w:sz w:val="18"/>
              </w:rPr>
            </w:pPr>
            <w:r w:rsidRPr="0014478B">
              <w:rPr>
                <w:rFonts w:ascii="Verdana" w:hAnsi="Verdana" w:cs="Calibri"/>
                <w:color w:val="FFFFFF"/>
                <w:sz w:val="18"/>
              </w:rPr>
              <w:t>Struc-tureel</w:t>
            </w:r>
          </w:p>
        </w:tc>
        <w:tc>
          <w:tcPr>
            <w:tcW w:w="949" w:type="dxa"/>
            <w:noWrap/>
            <w:hideMark/>
          </w:tcPr>
          <w:p w:rsidRPr="0014478B" w:rsidR="00E90DBA" w:rsidP="00CD7A9A" w:rsidRDefault="00E90DBA" w14:paraId="7DD79600" w14:textId="77777777">
            <w:pPr>
              <w:spacing w:line="240" w:lineRule="atLeast"/>
              <w:jc w:val="center"/>
              <w:cnfStyle w:val="100000000000" w:firstRow="1" w:lastRow="0" w:firstColumn="0" w:lastColumn="0" w:oddVBand="0" w:evenVBand="0" w:oddHBand="0" w:evenHBand="0" w:firstRowFirstColumn="0" w:firstRowLastColumn="0" w:lastRowFirstColumn="0" w:lastRowLastColumn="0"/>
              <w:rPr>
                <w:rFonts w:ascii="Verdana" w:hAnsi="Verdana" w:cs="Calibri"/>
                <w:b w:val="0"/>
                <w:bCs w:val="0"/>
                <w:color w:val="FFFFFF"/>
                <w:sz w:val="18"/>
              </w:rPr>
            </w:pPr>
            <w:r w:rsidRPr="0014478B">
              <w:rPr>
                <w:rFonts w:ascii="Verdana" w:hAnsi="Verdana" w:cs="Calibri"/>
                <w:color w:val="FFFFFF"/>
                <w:sz w:val="18"/>
              </w:rPr>
              <w:t>Struc-tureel in</w:t>
            </w:r>
          </w:p>
        </w:tc>
      </w:tr>
      <w:tr w:rsidRPr="0014478B" w:rsidR="00E90DBA" w14:paraId="328ED3D2" w14:textId="77777777">
        <w:trPr>
          <w:cnfStyle w:val="000000100000" w:firstRow="0" w:lastRow="0" w:firstColumn="0" w:lastColumn="0" w:oddVBand="0" w:evenVBand="0" w:oddHBand="1" w:evenHBand="0" w:firstRowFirstColumn="0" w:firstRowLastColumn="0" w:lastRowFirstColumn="0" w:lastRowLastColumn="0"/>
          <w:trHeight w:val="616"/>
        </w:trPr>
        <w:tc>
          <w:tcPr>
            <w:cnfStyle w:val="001000000000" w:firstRow="0" w:lastRow="0" w:firstColumn="1" w:lastColumn="0" w:oddVBand="0" w:evenVBand="0" w:oddHBand="0" w:evenHBand="0" w:firstRowFirstColumn="0" w:firstRowLastColumn="0" w:lastRowFirstColumn="0" w:lastRowLastColumn="0"/>
            <w:tcW w:w="4061" w:type="dxa"/>
            <w:hideMark/>
          </w:tcPr>
          <w:p w:rsidRPr="0014478B" w:rsidR="00E90DBA" w:rsidP="00CD7A9A" w:rsidRDefault="00E90DBA" w14:paraId="3C7A7D8A" w14:textId="77777777">
            <w:pPr>
              <w:spacing w:line="240" w:lineRule="atLeast"/>
              <w:rPr>
                <w:rFonts w:ascii="Verdana" w:hAnsi="Verdana" w:cs="Calibri"/>
                <w:b w:val="0"/>
                <w:bCs w:val="0"/>
                <w:color w:val="000000"/>
                <w:sz w:val="18"/>
              </w:rPr>
            </w:pPr>
            <w:r w:rsidRPr="0014478B">
              <w:rPr>
                <w:rFonts w:ascii="Verdana" w:hAnsi="Verdana" w:cs="Calibri"/>
                <w:b w:val="0"/>
                <w:bCs w:val="0"/>
                <w:color w:val="000000"/>
                <w:sz w:val="18"/>
              </w:rPr>
              <w:t>Maatregel</w:t>
            </w:r>
          </w:p>
        </w:tc>
        <w:tc>
          <w:tcPr>
            <w:tcW w:w="948" w:type="dxa"/>
            <w:noWrap/>
            <w:hideMark/>
          </w:tcPr>
          <w:p w:rsidRPr="0014478B" w:rsidR="00E90DBA" w:rsidP="00CD7A9A" w:rsidRDefault="00E90DBA" w14:paraId="422EDE51" w14:textId="77777777">
            <w:pPr>
              <w:spacing w:line="240" w:lineRule="atLeast"/>
              <w:jc w:val="center"/>
              <w:cnfStyle w:val="000000100000" w:firstRow="0" w:lastRow="0" w:firstColumn="0" w:lastColumn="0" w:oddVBand="0" w:evenVBand="0" w:oddHBand="1" w:evenHBand="0" w:firstRowFirstColumn="0" w:firstRowLastColumn="0" w:lastRowFirstColumn="0" w:lastRowLastColumn="0"/>
              <w:rPr>
                <w:rFonts w:ascii="Verdana" w:hAnsi="Verdana" w:cs="Calibri"/>
                <w:b/>
                <w:bCs/>
                <w:color w:val="000000"/>
                <w:sz w:val="18"/>
              </w:rPr>
            </w:pPr>
            <w:r w:rsidRPr="0014478B">
              <w:rPr>
                <w:rFonts w:ascii="Verdana" w:hAnsi="Verdana" w:cs="Calibri"/>
                <w:b/>
                <w:bCs/>
                <w:color w:val="000000"/>
                <w:sz w:val="18"/>
              </w:rPr>
              <w:t>574</w:t>
            </w:r>
          </w:p>
        </w:tc>
        <w:tc>
          <w:tcPr>
            <w:tcW w:w="949" w:type="dxa"/>
            <w:noWrap/>
            <w:hideMark/>
          </w:tcPr>
          <w:p w:rsidRPr="0014478B" w:rsidR="00E90DBA" w:rsidP="00CD7A9A" w:rsidRDefault="00E90DBA" w14:paraId="1B139255" w14:textId="77777777">
            <w:pPr>
              <w:spacing w:line="240" w:lineRule="atLeast"/>
              <w:jc w:val="center"/>
              <w:cnfStyle w:val="000000100000" w:firstRow="0" w:lastRow="0" w:firstColumn="0" w:lastColumn="0" w:oddVBand="0" w:evenVBand="0" w:oddHBand="1" w:evenHBand="0" w:firstRowFirstColumn="0" w:firstRowLastColumn="0" w:lastRowFirstColumn="0" w:lastRowLastColumn="0"/>
              <w:rPr>
                <w:rFonts w:ascii="Verdana" w:hAnsi="Verdana" w:cs="Calibri"/>
                <w:b/>
                <w:bCs/>
                <w:color w:val="000000"/>
                <w:sz w:val="18"/>
              </w:rPr>
            </w:pPr>
            <w:r w:rsidRPr="0014478B">
              <w:rPr>
                <w:rFonts w:ascii="Verdana" w:hAnsi="Verdana" w:cs="Calibri"/>
                <w:b/>
                <w:bCs/>
                <w:color w:val="000000"/>
                <w:sz w:val="18"/>
              </w:rPr>
              <w:t>576</w:t>
            </w:r>
          </w:p>
        </w:tc>
        <w:tc>
          <w:tcPr>
            <w:tcW w:w="949" w:type="dxa"/>
            <w:noWrap/>
            <w:hideMark/>
          </w:tcPr>
          <w:p w:rsidRPr="0014478B" w:rsidR="00E90DBA" w:rsidP="00CD7A9A" w:rsidRDefault="00E90DBA" w14:paraId="58E1969A" w14:textId="77777777">
            <w:pPr>
              <w:spacing w:line="240" w:lineRule="atLeast"/>
              <w:jc w:val="center"/>
              <w:cnfStyle w:val="000000100000" w:firstRow="0" w:lastRow="0" w:firstColumn="0" w:lastColumn="0" w:oddVBand="0" w:evenVBand="0" w:oddHBand="1" w:evenHBand="0" w:firstRowFirstColumn="0" w:firstRowLastColumn="0" w:lastRowFirstColumn="0" w:lastRowLastColumn="0"/>
              <w:rPr>
                <w:rFonts w:ascii="Verdana" w:hAnsi="Verdana" w:cs="Calibri"/>
                <w:b/>
                <w:bCs/>
                <w:color w:val="000000"/>
                <w:sz w:val="18"/>
              </w:rPr>
            </w:pPr>
            <w:r w:rsidRPr="0014478B">
              <w:rPr>
                <w:rFonts w:ascii="Verdana" w:hAnsi="Verdana" w:cs="Calibri"/>
                <w:b/>
                <w:bCs/>
                <w:color w:val="000000"/>
                <w:sz w:val="18"/>
              </w:rPr>
              <w:t>573</w:t>
            </w:r>
          </w:p>
        </w:tc>
        <w:tc>
          <w:tcPr>
            <w:tcW w:w="949" w:type="dxa"/>
            <w:noWrap/>
            <w:hideMark/>
          </w:tcPr>
          <w:p w:rsidRPr="0014478B" w:rsidR="00E90DBA" w:rsidP="00CD7A9A" w:rsidRDefault="00E90DBA" w14:paraId="615B75F9" w14:textId="77777777">
            <w:pPr>
              <w:spacing w:line="240" w:lineRule="atLeast"/>
              <w:jc w:val="center"/>
              <w:cnfStyle w:val="000000100000" w:firstRow="0" w:lastRow="0" w:firstColumn="0" w:lastColumn="0" w:oddVBand="0" w:evenVBand="0" w:oddHBand="1" w:evenHBand="0" w:firstRowFirstColumn="0" w:firstRowLastColumn="0" w:lastRowFirstColumn="0" w:lastRowLastColumn="0"/>
              <w:rPr>
                <w:rFonts w:ascii="Verdana" w:hAnsi="Verdana" w:cs="Calibri"/>
                <w:b/>
                <w:bCs/>
                <w:color w:val="000000"/>
                <w:sz w:val="18"/>
              </w:rPr>
            </w:pPr>
            <w:r w:rsidRPr="0014478B">
              <w:rPr>
                <w:rFonts w:ascii="Verdana" w:hAnsi="Verdana" w:cs="Calibri"/>
                <w:b/>
                <w:bCs/>
                <w:color w:val="000000"/>
                <w:sz w:val="18"/>
              </w:rPr>
              <w:t>665</w:t>
            </w:r>
          </w:p>
        </w:tc>
        <w:tc>
          <w:tcPr>
            <w:tcW w:w="949" w:type="dxa"/>
            <w:noWrap/>
            <w:hideMark/>
          </w:tcPr>
          <w:p w:rsidRPr="0014478B" w:rsidR="00E90DBA" w:rsidP="00CD7A9A" w:rsidRDefault="00E90DBA" w14:paraId="0CC9BE1B" w14:textId="77777777">
            <w:pPr>
              <w:spacing w:line="240" w:lineRule="atLeast"/>
              <w:jc w:val="center"/>
              <w:cnfStyle w:val="000000100000" w:firstRow="0" w:lastRow="0" w:firstColumn="0" w:lastColumn="0" w:oddVBand="0" w:evenVBand="0" w:oddHBand="1" w:evenHBand="0" w:firstRowFirstColumn="0" w:firstRowLastColumn="0" w:lastRowFirstColumn="0" w:lastRowLastColumn="0"/>
              <w:rPr>
                <w:rFonts w:ascii="Verdana" w:hAnsi="Verdana" w:cs="Calibri"/>
                <w:b/>
                <w:bCs/>
                <w:color w:val="000000"/>
                <w:sz w:val="18"/>
              </w:rPr>
            </w:pPr>
            <w:r w:rsidRPr="0014478B">
              <w:rPr>
                <w:rFonts w:ascii="Verdana" w:hAnsi="Verdana" w:cs="Calibri"/>
                <w:b/>
                <w:bCs/>
                <w:color w:val="000000"/>
                <w:sz w:val="18"/>
              </w:rPr>
              <w:t>2032</w:t>
            </w:r>
          </w:p>
        </w:tc>
      </w:tr>
    </w:tbl>
    <w:p w:rsidRPr="0014478B" w:rsidR="00E90DBA" w:rsidP="00CD7A9A" w:rsidRDefault="00E90DBA" w14:paraId="2C60FA1B" w14:textId="77777777">
      <w:pPr>
        <w:spacing w:after="0" w:line="240" w:lineRule="atLeast"/>
        <w:rPr>
          <w:rFonts w:ascii="Verdana" w:hAnsi="Verdana"/>
          <w:sz w:val="18"/>
        </w:rPr>
      </w:pPr>
    </w:p>
    <w:p w:rsidRPr="0014478B" w:rsidR="00E90DBA" w:rsidP="00CD7A9A" w:rsidRDefault="00E90DBA" w14:paraId="1F6796FB" w14:textId="77777777">
      <w:pPr>
        <w:spacing w:after="0" w:line="240" w:lineRule="atLeast"/>
        <w:rPr>
          <w:rFonts w:ascii="Verdana" w:hAnsi="Verdana"/>
          <w:sz w:val="18"/>
        </w:rPr>
      </w:pPr>
      <w:r w:rsidRPr="0014478B">
        <w:rPr>
          <w:rFonts w:ascii="Verdana" w:hAnsi="Verdana"/>
          <w:sz w:val="18"/>
        </w:rPr>
        <w:t>De derving bestaat uit gederfde inkomsten uit energiebelasting, gederfde inkomsten uit btw over energiebelasting en gederfde inkomsten uit btw over de leveringskosten. In de raming zijn gedragseffecten meegenomen ten aanzien van verandering van de aanschaf van zonnepanelen en verhoogd eigen gebruik.</w:t>
      </w:r>
    </w:p>
    <w:p w:rsidRPr="0014478B" w:rsidR="00E90DBA" w:rsidP="00CD7A9A" w:rsidRDefault="00E90DBA" w14:paraId="6417E55C" w14:textId="77777777">
      <w:pPr>
        <w:spacing w:after="0" w:line="240" w:lineRule="atLeast"/>
        <w:rPr>
          <w:rFonts w:ascii="Verdana" w:hAnsi="Verdana"/>
          <w:sz w:val="18"/>
        </w:rPr>
      </w:pPr>
    </w:p>
    <w:p w:rsidRPr="0014478B" w:rsidR="00E90DBA" w:rsidP="00CD7A9A" w:rsidRDefault="00E90DBA" w14:paraId="03C6F3E2" w14:textId="77777777">
      <w:pPr>
        <w:spacing w:after="0" w:line="240" w:lineRule="atLeast"/>
        <w:rPr>
          <w:rFonts w:ascii="Verdana" w:hAnsi="Verdana"/>
          <w:b/>
          <w:bCs/>
          <w:kern w:val="0"/>
          <w:sz w:val="18"/>
          <w:szCs w:val="18"/>
          <w14:ligatures w14:val="none"/>
        </w:rPr>
      </w:pPr>
      <w:r w:rsidRPr="0014478B">
        <w:rPr>
          <w:rFonts w:ascii="Verdana" w:hAnsi="Verdana"/>
          <w:b/>
          <w:bCs/>
          <w:kern w:val="0"/>
          <w:sz w:val="18"/>
          <w:szCs w:val="18"/>
          <w14:ligatures w14:val="none"/>
        </w:rPr>
        <w:t>II Artikelen</w:t>
      </w:r>
    </w:p>
    <w:p w:rsidRPr="0014478B" w:rsidR="00E90DBA" w:rsidP="00CD7A9A" w:rsidRDefault="00E90DBA" w14:paraId="0286E971" w14:textId="77777777">
      <w:pPr>
        <w:spacing w:after="0" w:line="240" w:lineRule="atLeast"/>
        <w:rPr>
          <w:rFonts w:ascii="Verdana" w:hAnsi="Verdana"/>
          <w:sz w:val="18"/>
          <w:szCs w:val="18"/>
        </w:rPr>
      </w:pPr>
    </w:p>
    <w:p w:rsidRPr="0014478B" w:rsidR="00E90DBA" w:rsidP="00CD7A9A" w:rsidRDefault="00E90DBA" w14:paraId="0CB63A58" w14:textId="0D74AB02">
      <w:pPr>
        <w:spacing w:after="0" w:line="240" w:lineRule="atLeast"/>
        <w:rPr>
          <w:rFonts w:ascii="Verdana" w:hAnsi="Verdana"/>
          <w:b/>
          <w:bCs/>
          <w:kern w:val="0"/>
          <w:sz w:val="18"/>
          <w:szCs w:val="18"/>
          <w14:ligatures w14:val="none"/>
        </w:rPr>
      </w:pPr>
      <w:r w:rsidRPr="0014478B">
        <w:rPr>
          <w:rFonts w:ascii="Verdana" w:hAnsi="Verdana"/>
          <w:b/>
          <w:bCs/>
          <w:kern w:val="0"/>
          <w:sz w:val="18"/>
          <w:szCs w:val="18"/>
          <w14:ligatures w14:val="none"/>
        </w:rPr>
        <w:t>Artikel I</w:t>
      </w:r>
    </w:p>
    <w:p w:rsidRPr="0014478B" w:rsidR="00E90DBA" w:rsidP="00CD7A9A" w:rsidRDefault="00E90DBA" w14:paraId="7F7D74D2" w14:textId="77777777">
      <w:pPr>
        <w:spacing w:after="0" w:line="240" w:lineRule="atLeast"/>
        <w:rPr>
          <w:rFonts w:ascii="Verdana" w:hAnsi="Verdana" w:eastAsia="Calibri" w:cs="Arial"/>
          <w:sz w:val="18"/>
        </w:rPr>
      </w:pPr>
      <w:r w:rsidRPr="0014478B">
        <w:rPr>
          <w:rFonts w:ascii="Verdana" w:hAnsi="Verdana" w:eastAsia="Calibri" w:cs="Arial"/>
          <w:sz w:val="18"/>
        </w:rPr>
        <w:t xml:space="preserve">Artikel 2.31 van </w:t>
      </w:r>
      <w:r w:rsidRPr="0014478B" w:rsidR="009E66E8">
        <w:rPr>
          <w:rFonts w:ascii="Verdana" w:hAnsi="Verdana" w:eastAsia="Calibri" w:cs="Arial"/>
          <w:sz w:val="18"/>
        </w:rPr>
        <w:t>het voorstel voor de</w:t>
      </w:r>
      <w:r w:rsidRPr="0014478B">
        <w:rPr>
          <w:rFonts w:ascii="Verdana" w:hAnsi="Verdana" w:eastAsia="Calibri" w:cs="Arial"/>
          <w:sz w:val="18"/>
        </w:rPr>
        <w:t xml:space="preserve"> Energiewet bevat regels over het salderen van elektriciteit. De regels in het eerste en tweede lid, gaan over salderen en kunnen met de </w:t>
      </w:r>
      <w:r w:rsidRPr="0014478B" w:rsidR="00321D39">
        <w:rPr>
          <w:rFonts w:ascii="Verdana" w:hAnsi="Verdana" w:eastAsia="Calibri" w:cs="Arial"/>
          <w:sz w:val="18"/>
        </w:rPr>
        <w:t xml:space="preserve">beëindiging </w:t>
      </w:r>
      <w:r w:rsidRPr="0014478B">
        <w:rPr>
          <w:rFonts w:ascii="Verdana" w:hAnsi="Verdana" w:eastAsia="Calibri" w:cs="Arial"/>
          <w:sz w:val="18"/>
        </w:rPr>
        <w:t xml:space="preserve">van de salderingsregeling vervallen. </w:t>
      </w:r>
    </w:p>
    <w:p w:rsidRPr="0014478B" w:rsidR="00CD7A9A" w:rsidP="00CD7A9A" w:rsidRDefault="00CD7A9A" w14:paraId="396321BE" w14:textId="77777777">
      <w:pPr>
        <w:spacing w:after="0" w:line="240" w:lineRule="atLeast"/>
        <w:rPr>
          <w:rFonts w:ascii="Verdana" w:hAnsi="Verdana" w:eastAsia="Calibri" w:cs="Arial"/>
          <w:sz w:val="18"/>
        </w:rPr>
      </w:pPr>
    </w:p>
    <w:p w:rsidRPr="0014478B" w:rsidR="00E90DBA" w:rsidP="00CD7A9A" w:rsidRDefault="00E90DBA" w14:paraId="0AF79082" w14:textId="47C2786D">
      <w:pPr>
        <w:spacing w:after="0" w:line="240" w:lineRule="atLeast"/>
        <w:rPr>
          <w:rFonts w:ascii="Verdana" w:hAnsi="Verdana" w:eastAsia="Calibri" w:cs="Arial"/>
          <w:sz w:val="18"/>
        </w:rPr>
      </w:pPr>
      <w:r w:rsidRPr="0014478B">
        <w:rPr>
          <w:rFonts w:ascii="Verdana" w:hAnsi="Verdana" w:eastAsia="Calibri" w:cs="Arial"/>
          <w:sz w:val="18"/>
        </w:rPr>
        <w:t xml:space="preserve">De regels in het derde tot en met vijfde lid </w:t>
      </w:r>
      <w:r w:rsidRPr="0014478B" w:rsidR="006C4E86">
        <w:rPr>
          <w:rFonts w:ascii="Verdana" w:hAnsi="Verdana" w:eastAsia="Calibri" w:cs="Arial"/>
          <w:sz w:val="18"/>
        </w:rPr>
        <w:t xml:space="preserve">van artikel 2.31 van het voorstel voor de Energiewet </w:t>
      </w:r>
      <w:r w:rsidRPr="0014478B">
        <w:rPr>
          <w:rFonts w:ascii="Verdana" w:hAnsi="Verdana" w:eastAsia="Calibri" w:cs="Arial"/>
          <w:sz w:val="18"/>
        </w:rPr>
        <w:t>gaan over de redelijke vergoeding</w:t>
      </w:r>
      <w:r w:rsidRPr="0014478B" w:rsidR="00C42F23">
        <w:rPr>
          <w:rFonts w:ascii="Verdana" w:hAnsi="Verdana" w:eastAsia="Calibri" w:cs="Arial"/>
          <w:sz w:val="18"/>
        </w:rPr>
        <w:t xml:space="preserve"> voor teruggeleverde elektriciteit</w:t>
      </w:r>
      <w:r w:rsidRPr="0014478B" w:rsidR="00254816">
        <w:rPr>
          <w:rFonts w:ascii="Verdana" w:hAnsi="Verdana" w:eastAsia="Calibri" w:cs="Arial"/>
          <w:sz w:val="18"/>
        </w:rPr>
        <w:t>.</w:t>
      </w:r>
      <w:r w:rsidRPr="0014478B">
        <w:rPr>
          <w:rFonts w:ascii="Verdana" w:hAnsi="Verdana" w:eastAsia="Calibri" w:cs="Arial"/>
          <w:sz w:val="18"/>
        </w:rPr>
        <w:t xml:space="preserve"> Gelet op het beëindigen van de salderingsregeling blijft de redelijke vergoeding bestaan voor zover dit niet onlosmakelijk is verbonden met de salderingsregeling en er wordt </w:t>
      </w:r>
      <w:r w:rsidRPr="0014478B" w:rsidR="00206296">
        <w:rPr>
          <w:rFonts w:ascii="Verdana" w:hAnsi="Verdana" w:eastAsia="Calibri" w:cs="Arial"/>
          <w:sz w:val="18"/>
        </w:rPr>
        <w:t xml:space="preserve">nauwer </w:t>
      </w:r>
      <w:r w:rsidRPr="0014478B">
        <w:rPr>
          <w:rFonts w:ascii="Verdana" w:hAnsi="Verdana" w:eastAsia="Calibri" w:cs="Arial"/>
          <w:sz w:val="18"/>
        </w:rPr>
        <w:t xml:space="preserve">aangesloten bij de relevante eisen </w:t>
      </w:r>
      <w:r w:rsidRPr="0014478B" w:rsidR="00206296">
        <w:rPr>
          <w:rFonts w:ascii="Verdana" w:hAnsi="Verdana" w:eastAsia="Calibri" w:cs="Arial"/>
          <w:sz w:val="18"/>
        </w:rPr>
        <w:t>in</w:t>
      </w:r>
      <w:r w:rsidRPr="0014478B">
        <w:rPr>
          <w:rFonts w:ascii="Verdana" w:hAnsi="Verdana" w:eastAsia="Calibri" w:cs="Arial"/>
          <w:sz w:val="18"/>
        </w:rPr>
        <w:t xml:space="preserve"> artikel 21, tweede lid, onderdeel d, van richtlijn (EU) 2018/2001. Geregeld wordt dat een actieve afnemer voor de teruggeleverde zelfopgewekte hernieuwbare elektriciteit een redelijke vergoeding </w:t>
      </w:r>
      <w:r w:rsidRPr="0014478B" w:rsidR="00A84AA3">
        <w:rPr>
          <w:rFonts w:ascii="Verdana" w:hAnsi="Verdana" w:eastAsia="Calibri" w:cs="Arial"/>
          <w:sz w:val="18"/>
        </w:rPr>
        <w:t xml:space="preserve">ontvangt </w:t>
      </w:r>
      <w:r w:rsidRPr="0014478B">
        <w:rPr>
          <w:rFonts w:ascii="Verdana" w:hAnsi="Verdana" w:eastAsia="Calibri" w:cs="Arial"/>
          <w:sz w:val="18"/>
        </w:rPr>
        <w:t xml:space="preserve">van </w:t>
      </w:r>
      <w:r w:rsidRPr="0014478B" w:rsidR="00A84AA3">
        <w:rPr>
          <w:rFonts w:ascii="Verdana" w:hAnsi="Verdana" w:eastAsia="Calibri" w:cs="Arial"/>
          <w:sz w:val="18"/>
        </w:rPr>
        <w:t>de</w:t>
      </w:r>
      <w:r w:rsidRPr="0014478B" w:rsidR="00254816">
        <w:rPr>
          <w:rFonts w:ascii="Verdana" w:hAnsi="Verdana" w:eastAsia="Calibri" w:cs="Arial"/>
          <w:sz w:val="18"/>
        </w:rPr>
        <w:t xml:space="preserve"> marktdeelnemer </w:t>
      </w:r>
      <w:r w:rsidRPr="0014478B" w:rsidR="004460CB">
        <w:rPr>
          <w:rFonts w:ascii="Verdana" w:hAnsi="Verdana" w:eastAsia="Calibri" w:cs="Arial"/>
          <w:sz w:val="18"/>
        </w:rPr>
        <w:t>aan wie hij zelfopgewekte elektriciteit teruglevert. Dit kan de eigen leverancier van de actieve afnemer zijn met wie de actieve afnemer een terugleveringsovereenkomst sluit; voor de teruglevering is de leverancier dan ‘de marktdeelnemer aan wie wordt teruggeleverd’. Een actieve afnemer kan ook met een andere marktdeelnemer een terugleveringsovereenkomst sluiten.</w:t>
      </w:r>
      <w:r w:rsidRPr="0014478B">
        <w:rPr>
          <w:rFonts w:ascii="Verdana" w:hAnsi="Verdana" w:eastAsia="Calibri" w:cs="Arial"/>
          <w:sz w:val="18"/>
        </w:rPr>
        <w:t xml:space="preserve"> Aangezien de redelijke vergoeding niet </w:t>
      </w:r>
      <w:r w:rsidRPr="0014478B" w:rsidR="006C4E86">
        <w:rPr>
          <w:rFonts w:ascii="Verdana" w:hAnsi="Verdana" w:eastAsia="Calibri" w:cs="Arial"/>
          <w:sz w:val="18"/>
        </w:rPr>
        <w:t>noodzakelijkerwijs</w:t>
      </w:r>
      <w:r w:rsidRPr="0014478B">
        <w:rPr>
          <w:rFonts w:ascii="Verdana" w:hAnsi="Verdana" w:eastAsia="Calibri" w:cs="Arial"/>
          <w:sz w:val="18"/>
        </w:rPr>
        <w:t xml:space="preserve"> meer wordt betaald door de eigen leverancier, maar door elke marktdeelnemer aan wie de actieve afnemer zelfopgewekte hernieuwbare elektriciteit teruglevert, is niet langer relevant dat de leverancier </w:t>
      </w:r>
      <w:r w:rsidRPr="0014478B" w:rsidR="00340FAA">
        <w:rPr>
          <w:rFonts w:ascii="Verdana" w:hAnsi="Verdana" w:eastAsia="Calibri" w:cs="Arial"/>
          <w:sz w:val="18"/>
        </w:rPr>
        <w:t xml:space="preserve">die </w:t>
      </w:r>
      <w:r w:rsidRPr="0014478B" w:rsidR="00004ECE">
        <w:rPr>
          <w:rFonts w:ascii="Verdana" w:hAnsi="Verdana" w:eastAsia="Calibri" w:cs="Arial"/>
          <w:sz w:val="18"/>
        </w:rPr>
        <w:t xml:space="preserve">levert op het primaire of </w:t>
      </w:r>
      <w:r w:rsidRPr="0014478B" w:rsidR="00BE01BF">
        <w:rPr>
          <w:rFonts w:ascii="Verdana" w:hAnsi="Verdana" w:eastAsia="Calibri" w:cs="Arial"/>
          <w:sz w:val="18"/>
        </w:rPr>
        <w:t>parallelle</w:t>
      </w:r>
      <w:r w:rsidRPr="0014478B" w:rsidR="00004ECE">
        <w:rPr>
          <w:rFonts w:ascii="Verdana" w:hAnsi="Verdana" w:eastAsia="Calibri" w:cs="Arial"/>
          <w:sz w:val="18"/>
        </w:rPr>
        <w:t xml:space="preserve"> </w:t>
      </w:r>
      <w:r w:rsidRPr="0014478B">
        <w:rPr>
          <w:rFonts w:ascii="Verdana" w:hAnsi="Verdana" w:eastAsia="Calibri" w:cs="Arial"/>
          <w:sz w:val="18"/>
        </w:rPr>
        <w:t xml:space="preserve">allocatiepunt deze vergoeding moet betalen. Daarmee kan ook het vierde lid van artikel 2.31 vervallen. </w:t>
      </w:r>
    </w:p>
    <w:p w:rsidRPr="0014478B" w:rsidR="00E86EB9" w:rsidP="00CD7A9A" w:rsidRDefault="00E90DBA" w14:paraId="566F7436" w14:textId="08C446FD">
      <w:pPr>
        <w:spacing w:after="0" w:line="240" w:lineRule="atLeast"/>
        <w:rPr>
          <w:rFonts w:ascii="Verdana" w:hAnsi="Verdana" w:eastAsia="Calibri" w:cs="Arial"/>
          <w:sz w:val="18"/>
        </w:rPr>
      </w:pPr>
      <w:r w:rsidRPr="0014478B">
        <w:rPr>
          <w:rFonts w:ascii="Verdana" w:hAnsi="Verdana" w:eastAsia="Calibri" w:cs="Arial"/>
          <w:sz w:val="18"/>
        </w:rPr>
        <w:t>De regels over de redelijke vergoeding uit het derde en vijfde lid zien</w:t>
      </w:r>
      <w:r w:rsidRPr="0014478B" w:rsidR="00EA1C3E">
        <w:rPr>
          <w:rFonts w:ascii="Verdana" w:hAnsi="Verdana" w:eastAsia="Calibri" w:cs="Arial"/>
          <w:sz w:val="18"/>
        </w:rPr>
        <w:t xml:space="preserve"> vanaf 2027</w:t>
      </w:r>
      <w:r w:rsidRPr="0014478B">
        <w:rPr>
          <w:rFonts w:ascii="Verdana" w:hAnsi="Verdana" w:eastAsia="Calibri" w:cs="Arial"/>
          <w:sz w:val="18"/>
        </w:rPr>
        <w:t xml:space="preserve"> alleen nog op het terugleveren van hernieuwbare elektriciteit door een actieve afnemer. </w:t>
      </w:r>
      <w:r w:rsidRPr="0014478B" w:rsidR="00254816">
        <w:rPr>
          <w:rFonts w:ascii="Verdana" w:hAnsi="Verdana" w:eastAsia="Calibri" w:cs="Arial"/>
          <w:sz w:val="18"/>
        </w:rPr>
        <w:t xml:space="preserve">Daarom passen deze regels beter </w:t>
      </w:r>
      <w:r w:rsidRPr="0014478B" w:rsidR="00206296">
        <w:rPr>
          <w:rFonts w:ascii="Verdana" w:hAnsi="Verdana" w:eastAsia="Calibri" w:cs="Arial"/>
          <w:sz w:val="18"/>
        </w:rPr>
        <w:t>in</w:t>
      </w:r>
      <w:r w:rsidRPr="0014478B" w:rsidR="00254816">
        <w:rPr>
          <w:rFonts w:ascii="Verdana" w:hAnsi="Verdana" w:eastAsia="Calibri" w:cs="Arial"/>
          <w:sz w:val="18"/>
        </w:rPr>
        <w:t xml:space="preserve"> afdeling 2.3 van het voorstel voor de Energiewet</w:t>
      </w:r>
      <w:r w:rsidRPr="0014478B" w:rsidR="006922DC">
        <w:rPr>
          <w:rFonts w:ascii="Verdana" w:hAnsi="Verdana" w:eastAsia="Calibri" w:cs="Arial"/>
          <w:sz w:val="18"/>
        </w:rPr>
        <w:t xml:space="preserve"> over het terugleveren van elektriciteit</w:t>
      </w:r>
      <w:r w:rsidRPr="0014478B" w:rsidR="00254816">
        <w:rPr>
          <w:rFonts w:ascii="Verdana" w:hAnsi="Verdana" w:eastAsia="Calibri" w:cs="Arial"/>
          <w:sz w:val="18"/>
        </w:rPr>
        <w:t xml:space="preserve">. De regels uit het derde en vijfde lid </w:t>
      </w:r>
      <w:r w:rsidRPr="0014478B" w:rsidR="006922DC">
        <w:rPr>
          <w:rFonts w:ascii="Verdana" w:hAnsi="Verdana" w:eastAsia="Calibri" w:cs="Arial"/>
          <w:sz w:val="18"/>
        </w:rPr>
        <w:t xml:space="preserve">van het huidige artikel 2.31 van het voorstel voor de Energiewet </w:t>
      </w:r>
      <w:r w:rsidRPr="0014478B" w:rsidR="00254816">
        <w:rPr>
          <w:rFonts w:ascii="Verdana" w:hAnsi="Verdana" w:eastAsia="Calibri" w:cs="Arial"/>
          <w:sz w:val="18"/>
        </w:rPr>
        <w:t xml:space="preserve">zijn herschreven en samengevoegd in nieuwe artikelleden </w:t>
      </w:r>
      <w:r w:rsidRPr="0014478B" w:rsidR="004A5925">
        <w:rPr>
          <w:rFonts w:ascii="Verdana" w:hAnsi="Verdana" w:eastAsia="Calibri" w:cs="Arial"/>
          <w:sz w:val="18"/>
        </w:rPr>
        <w:t xml:space="preserve">van </w:t>
      </w:r>
      <w:r w:rsidRPr="0014478B" w:rsidR="00254816">
        <w:rPr>
          <w:rFonts w:ascii="Verdana" w:hAnsi="Verdana" w:eastAsia="Calibri" w:cs="Arial"/>
          <w:sz w:val="18"/>
        </w:rPr>
        <w:t xml:space="preserve">artikel 2.34 (artikel I, onderdeel C). In het nieuwe zesde lid staan de regels over de kosten en voorwaarden waaronder zelfopgewekte hernieuwbare elektriciteit door een actieve afnemer aan een marktdeelnemer wordt teruggeleverd. </w:t>
      </w:r>
      <w:r w:rsidRPr="0014478B" w:rsidR="008D4554">
        <w:rPr>
          <w:rFonts w:ascii="Verdana" w:hAnsi="Verdana" w:eastAsia="Calibri" w:cs="Arial"/>
          <w:sz w:val="18"/>
        </w:rPr>
        <w:t xml:space="preserve">Het gaat bijvoorbeeld om kosten en voorwaarden met betrekking tot de balanceringsverantwoordelijkheid van de marktdeelnemer aan wie de actieve afnemer teruglevert, bedoeld in artikel 2.42, eerste lid, van het voorstel voor de Energiewet. De van overeenkomstige toepassing van artikel 2.5, eerste lid, betekent dat de kosten en voorwaarden voor het terugleveren van zelfopgewekte hernieuwbare elektriciteit door een actieve afnemer aan een marktdeelnemer redelijk en transparant moeten zijn. </w:t>
      </w:r>
      <w:r w:rsidRPr="0014478B" w:rsidR="00254816">
        <w:rPr>
          <w:rFonts w:ascii="Verdana" w:hAnsi="Verdana" w:eastAsia="Calibri" w:cs="Arial"/>
          <w:sz w:val="18"/>
        </w:rPr>
        <w:t>Het nieuwe zevende lid ziet op de redelijke vergoeding</w:t>
      </w:r>
      <w:r w:rsidRPr="0014478B" w:rsidR="008D4554">
        <w:rPr>
          <w:rFonts w:ascii="Verdana" w:hAnsi="Verdana" w:eastAsia="Calibri" w:cs="Arial"/>
          <w:sz w:val="18"/>
        </w:rPr>
        <w:t xml:space="preserve"> voor de teruggeleverde elektriciteit</w:t>
      </w:r>
      <w:r w:rsidRPr="0014478B" w:rsidR="00254816">
        <w:rPr>
          <w:rFonts w:ascii="Verdana" w:hAnsi="Verdana" w:eastAsia="Calibri" w:cs="Arial"/>
          <w:sz w:val="18"/>
        </w:rPr>
        <w:t xml:space="preserve">. </w:t>
      </w:r>
      <w:r w:rsidRPr="0014478B" w:rsidR="006407F8">
        <w:rPr>
          <w:rFonts w:ascii="Verdana" w:hAnsi="Verdana" w:eastAsia="Calibri" w:cs="Arial"/>
          <w:sz w:val="18"/>
        </w:rPr>
        <w:t>De kosten en voorwaarden met betrekking tot het terugleveren (nieuwe zesde lid) en de redelijke vergoeding voor de teruggeleverde elektriciteit (nieuwe zevende lid) vormen tezamen de prijs voor de terugleveringsovereenkomst tussen de marktdeelnemer en de actieve afnemer. Dit geheel moet transparant en redelijk zijn en, gelet op de van overeenkomstige toepassing van artikel 2.5, derde lid, ook vergelijkbaar met het aanbod van terugleveringsovereenkomsten van andere marktdeelnemers.</w:t>
      </w:r>
      <w:r w:rsidRPr="0014478B" w:rsidR="007B209B">
        <w:rPr>
          <w:rFonts w:ascii="Verdana" w:hAnsi="Verdana" w:eastAsia="Calibri" w:cs="Arial"/>
          <w:sz w:val="18"/>
        </w:rPr>
        <w:t xml:space="preserve"> </w:t>
      </w:r>
      <w:r w:rsidRPr="0014478B" w:rsidR="006270AE">
        <w:rPr>
          <w:rFonts w:ascii="Verdana" w:hAnsi="Verdana" w:eastAsia="Calibri" w:cs="Arial"/>
          <w:sz w:val="18"/>
        </w:rPr>
        <w:t>De verschillende m</w:t>
      </w:r>
      <w:r w:rsidRPr="0014478B" w:rsidR="00496EB8">
        <w:rPr>
          <w:rFonts w:ascii="Verdana" w:hAnsi="Verdana" w:eastAsia="Calibri" w:cs="Arial"/>
          <w:sz w:val="18"/>
        </w:rPr>
        <w:t xml:space="preserve">arktdeelnemers kunnen immers ieder een eigen aanbod voor een terugleveringsovereenkomst </w:t>
      </w:r>
      <w:r w:rsidRPr="0014478B" w:rsidR="001660CF">
        <w:rPr>
          <w:rFonts w:ascii="Verdana" w:hAnsi="Verdana" w:eastAsia="Calibri" w:cs="Arial"/>
          <w:sz w:val="18"/>
        </w:rPr>
        <w:t>aan actieve afnemers</w:t>
      </w:r>
      <w:r w:rsidRPr="0014478B" w:rsidR="009C6642">
        <w:rPr>
          <w:rFonts w:ascii="Verdana" w:hAnsi="Verdana" w:eastAsia="Calibri" w:cs="Arial"/>
          <w:sz w:val="18"/>
        </w:rPr>
        <w:t xml:space="preserve"> vormgeven</w:t>
      </w:r>
      <w:r w:rsidRPr="0014478B" w:rsidR="00496EB8">
        <w:rPr>
          <w:rFonts w:ascii="Verdana" w:hAnsi="Verdana" w:eastAsia="Calibri" w:cs="Arial"/>
          <w:sz w:val="18"/>
        </w:rPr>
        <w:t>.</w:t>
      </w:r>
      <w:r w:rsidRPr="0014478B" w:rsidR="006407F8">
        <w:rPr>
          <w:rFonts w:ascii="Verdana" w:hAnsi="Verdana" w:eastAsia="Calibri" w:cs="Arial"/>
          <w:sz w:val="18"/>
        </w:rPr>
        <w:t xml:space="preserve"> </w:t>
      </w:r>
      <w:r w:rsidRPr="0014478B" w:rsidR="00254816">
        <w:rPr>
          <w:rFonts w:ascii="Verdana" w:hAnsi="Verdana" w:eastAsia="Calibri" w:cs="Arial"/>
          <w:sz w:val="18"/>
        </w:rPr>
        <w:t>Zie paragraaf 2 van het algeme</w:t>
      </w:r>
      <w:r w:rsidRPr="0014478B" w:rsidR="005F369D">
        <w:rPr>
          <w:rFonts w:ascii="Verdana" w:hAnsi="Verdana" w:eastAsia="Calibri" w:cs="Arial"/>
          <w:sz w:val="18"/>
        </w:rPr>
        <w:t>ne</w:t>
      </w:r>
      <w:r w:rsidRPr="0014478B" w:rsidR="00254816">
        <w:rPr>
          <w:rFonts w:ascii="Verdana" w:hAnsi="Verdana" w:eastAsia="Calibri" w:cs="Arial"/>
          <w:sz w:val="18"/>
        </w:rPr>
        <w:t xml:space="preserve"> deel van de</w:t>
      </w:r>
      <w:r w:rsidRPr="0014478B" w:rsidR="004A5925">
        <w:rPr>
          <w:rFonts w:ascii="Verdana" w:hAnsi="Verdana" w:eastAsia="Calibri" w:cs="Arial"/>
          <w:sz w:val="18"/>
        </w:rPr>
        <w:t>ze</w:t>
      </w:r>
      <w:r w:rsidRPr="0014478B" w:rsidR="00254816">
        <w:rPr>
          <w:rFonts w:ascii="Verdana" w:hAnsi="Verdana" w:eastAsia="Calibri" w:cs="Arial"/>
          <w:sz w:val="18"/>
        </w:rPr>
        <w:t xml:space="preserve"> toelichting voor </w:t>
      </w:r>
      <w:r w:rsidRPr="0014478B" w:rsidR="004A5925">
        <w:rPr>
          <w:rFonts w:ascii="Verdana" w:hAnsi="Verdana" w:eastAsia="Calibri" w:cs="Arial"/>
          <w:sz w:val="18"/>
        </w:rPr>
        <w:t>een nadere</w:t>
      </w:r>
      <w:r w:rsidRPr="0014478B" w:rsidR="00254816">
        <w:rPr>
          <w:rFonts w:ascii="Verdana" w:hAnsi="Verdana" w:eastAsia="Calibri" w:cs="Arial"/>
          <w:sz w:val="18"/>
        </w:rPr>
        <w:t xml:space="preserve"> toelichting. </w:t>
      </w:r>
    </w:p>
    <w:p w:rsidRPr="0014478B" w:rsidR="00CD7A9A" w:rsidP="00CD7A9A" w:rsidRDefault="00CD7A9A" w14:paraId="7552C833" w14:textId="77777777">
      <w:pPr>
        <w:spacing w:after="0" w:line="240" w:lineRule="atLeast"/>
        <w:rPr>
          <w:rFonts w:ascii="Verdana" w:hAnsi="Verdana" w:eastAsia="Calibri" w:cs="Arial"/>
          <w:sz w:val="18"/>
        </w:rPr>
      </w:pPr>
    </w:p>
    <w:p w:rsidRPr="0014478B" w:rsidR="00254816" w:rsidP="00CD7A9A" w:rsidRDefault="00254816" w14:paraId="41B40382" w14:textId="2B123A49">
      <w:pPr>
        <w:spacing w:after="0" w:line="240" w:lineRule="atLeast"/>
        <w:rPr>
          <w:rFonts w:ascii="Verdana" w:hAnsi="Verdana" w:eastAsia="Calibri" w:cs="Arial"/>
          <w:sz w:val="18"/>
        </w:rPr>
      </w:pPr>
      <w:r w:rsidRPr="0014478B">
        <w:rPr>
          <w:rFonts w:ascii="Verdana" w:hAnsi="Verdana" w:eastAsia="Calibri" w:cs="Arial"/>
          <w:sz w:val="18"/>
        </w:rPr>
        <w:t xml:space="preserve">In het nieuwe achtste lid wordt geregeld dat de </w:t>
      </w:r>
      <w:r w:rsidRPr="0014478B" w:rsidR="004A5925">
        <w:rPr>
          <w:rFonts w:ascii="Verdana" w:hAnsi="Verdana" w:eastAsia="Calibri" w:cs="Arial"/>
          <w:sz w:val="18"/>
        </w:rPr>
        <w:t>huidige</w:t>
      </w:r>
      <w:r w:rsidRPr="0014478B">
        <w:rPr>
          <w:rFonts w:ascii="Verdana" w:hAnsi="Verdana" w:eastAsia="Calibri" w:cs="Arial"/>
          <w:sz w:val="18"/>
        </w:rPr>
        <w:t xml:space="preserve"> (consumenten)bescherming </w:t>
      </w:r>
      <w:r w:rsidRPr="0014478B" w:rsidR="000E6286">
        <w:rPr>
          <w:rFonts w:ascii="Verdana" w:hAnsi="Verdana" w:eastAsia="Calibri" w:cs="Arial"/>
          <w:sz w:val="18"/>
        </w:rPr>
        <w:t xml:space="preserve">in </w:t>
      </w:r>
      <w:r w:rsidRPr="0014478B">
        <w:rPr>
          <w:rFonts w:ascii="Verdana" w:hAnsi="Verdana" w:eastAsia="Calibri" w:cs="Arial"/>
          <w:sz w:val="18"/>
        </w:rPr>
        <w:t>de huidige salderingsregeling</w:t>
      </w:r>
      <w:r w:rsidRPr="0014478B" w:rsidR="000E6286">
        <w:rPr>
          <w:rFonts w:ascii="Verdana" w:hAnsi="Verdana" w:eastAsia="Calibri" w:cs="Arial"/>
          <w:sz w:val="18"/>
        </w:rPr>
        <w:t xml:space="preserve">, waarbij </w:t>
      </w:r>
      <w:r w:rsidRPr="0014478B">
        <w:rPr>
          <w:rFonts w:ascii="Verdana" w:hAnsi="Verdana" w:eastAsia="Calibri" w:cs="Arial"/>
          <w:sz w:val="18"/>
        </w:rPr>
        <w:t>actieve afnemers met een kleine aansluiting hun zelfopgewekte hernieuwbare elektriciteit altijd kunnen terugleveren aan hun leverancier en dat deze dan verplicht is om deze elektriciteit af te nemen, blijft bestaan. Deze actieve afnemer kan er ook voor kiezen om met een andere marktdeelnemer dan de eigen leverancier een terugleverovereenkomst af te sluiten of om de elektriciteit te delen met een andere eindafnemer.</w:t>
      </w:r>
      <w:r w:rsidRPr="0014478B" w:rsidR="00A50D39">
        <w:rPr>
          <w:rFonts w:ascii="Verdana" w:hAnsi="Verdana" w:eastAsia="Calibri" w:cs="Arial"/>
          <w:sz w:val="18"/>
        </w:rPr>
        <w:t xml:space="preserve"> </w:t>
      </w:r>
      <w:r w:rsidRPr="0014478B">
        <w:rPr>
          <w:rFonts w:ascii="Verdana" w:hAnsi="Verdana" w:eastAsia="Calibri" w:cs="Arial"/>
          <w:sz w:val="18"/>
        </w:rPr>
        <w:t xml:space="preserve">Daarmee kan artikel 2.31 van het voorstel voor de Energiewet </w:t>
      </w:r>
      <w:r w:rsidRPr="0014478B" w:rsidR="000E6286">
        <w:rPr>
          <w:rFonts w:ascii="Verdana" w:hAnsi="Verdana" w:eastAsia="Calibri" w:cs="Arial"/>
          <w:sz w:val="18"/>
        </w:rPr>
        <w:t xml:space="preserve">in zijn geheel </w:t>
      </w:r>
      <w:r w:rsidRPr="0014478B">
        <w:rPr>
          <w:rFonts w:ascii="Verdana" w:hAnsi="Verdana" w:eastAsia="Calibri" w:cs="Arial"/>
          <w:sz w:val="18"/>
        </w:rPr>
        <w:t>vervallen (artikel I, onderdeel B). Daarnaast worden de verwijzingen binnen het voorstel voor de Energiewet naar artikel 2.31 aangepast (artikel I, onderdelen A en D).</w:t>
      </w:r>
    </w:p>
    <w:p w:rsidRPr="0014478B" w:rsidR="00E90DBA" w:rsidP="00CD7A9A" w:rsidRDefault="00E90DBA" w14:paraId="565F0F37" w14:textId="77777777">
      <w:pPr>
        <w:spacing w:after="0" w:line="240" w:lineRule="atLeast"/>
        <w:rPr>
          <w:rFonts w:ascii="Verdana" w:hAnsi="Verdana"/>
          <w:i/>
          <w:iCs/>
          <w:sz w:val="18"/>
        </w:rPr>
      </w:pPr>
    </w:p>
    <w:p w:rsidRPr="0014478B" w:rsidR="00E90DBA" w:rsidP="00CD7A9A" w:rsidRDefault="00E90DBA" w14:paraId="17D78DF8" w14:textId="00AE3CE4">
      <w:pPr>
        <w:spacing w:after="0" w:line="240" w:lineRule="atLeast"/>
        <w:rPr>
          <w:rFonts w:ascii="Verdana" w:hAnsi="Verdana"/>
          <w:b/>
          <w:bCs/>
          <w:kern w:val="0"/>
          <w:sz w:val="18"/>
          <w:szCs w:val="18"/>
          <w14:ligatures w14:val="none"/>
        </w:rPr>
      </w:pPr>
      <w:r w:rsidRPr="0014478B">
        <w:rPr>
          <w:rFonts w:ascii="Verdana" w:hAnsi="Verdana"/>
          <w:b/>
          <w:bCs/>
          <w:kern w:val="0"/>
          <w:sz w:val="18"/>
          <w:szCs w:val="18"/>
          <w14:ligatures w14:val="none"/>
        </w:rPr>
        <w:t>Artikel II</w:t>
      </w:r>
    </w:p>
    <w:p w:rsidRPr="0014478B" w:rsidR="00E90DBA" w:rsidP="00CD7A9A" w:rsidRDefault="00E90DBA" w14:paraId="436E2688" w14:textId="3AD09154">
      <w:pPr>
        <w:spacing w:after="0" w:line="240" w:lineRule="atLeast"/>
        <w:rPr>
          <w:rFonts w:ascii="Verdana" w:hAnsi="Verdana"/>
          <w:sz w:val="18"/>
        </w:rPr>
      </w:pPr>
      <w:r w:rsidRPr="0014478B">
        <w:rPr>
          <w:rFonts w:ascii="Verdana" w:hAnsi="Verdana"/>
          <w:sz w:val="18"/>
        </w:rPr>
        <w:t>Artikel 50, tweede lid, van de Wet belastingen op milieugrondslag geeft de grondslag op basis waarvan de belasting wordt geheven indien artikel 2.31, eerste en tweede lid, van de beoogde Energiewet (salderen) van toepassing is. Aangezien de salderingsregeling wordt beëindigd, is het bijbehorende belastingvoordeel niet meer van toepassing.</w:t>
      </w:r>
      <w:r w:rsidRPr="0014478B" w:rsidR="000B7726">
        <w:rPr>
          <w:rFonts w:ascii="Verdana" w:hAnsi="Verdana"/>
          <w:sz w:val="18"/>
        </w:rPr>
        <w:t xml:space="preserve"> Daarmee kan artikel 50, tweede lid, van de Wet belastingen op milieugrondslag </w:t>
      </w:r>
      <w:r w:rsidRPr="0014478B" w:rsidR="002613EA">
        <w:rPr>
          <w:rFonts w:ascii="Verdana" w:hAnsi="Verdana"/>
          <w:sz w:val="18"/>
        </w:rPr>
        <w:t>vervallen en worden de resterende leden hernummerd</w:t>
      </w:r>
      <w:r w:rsidRPr="0014478B" w:rsidR="000B3680">
        <w:rPr>
          <w:rFonts w:ascii="Verdana" w:hAnsi="Verdana"/>
          <w:sz w:val="18"/>
        </w:rPr>
        <w:t xml:space="preserve"> (</w:t>
      </w:r>
      <w:r w:rsidRPr="0014478B" w:rsidR="00AC7784">
        <w:rPr>
          <w:rFonts w:ascii="Verdana" w:hAnsi="Verdana"/>
          <w:sz w:val="18"/>
        </w:rPr>
        <w:t>artikel II, onderdeel A, eerste lid</w:t>
      </w:r>
      <w:r w:rsidRPr="0014478B" w:rsidR="000B3680">
        <w:rPr>
          <w:rFonts w:ascii="Verdana" w:hAnsi="Verdana"/>
          <w:sz w:val="18"/>
        </w:rPr>
        <w:t>)</w:t>
      </w:r>
      <w:r w:rsidRPr="0014478B" w:rsidR="002613EA">
        <w:rPr>
          <w:rFonts w:ascii="Verdana" w:hAnsi="Verdana"/>
          <w:sz w:val="18"/>
        </w:rPr>
        <w:t>. Daarnaast worden de verwijzingen naar artikel 50 van de Wet belastingen op milieugrondslag aangepast.</w:t>
      </w:r>
    </w:p>
    <w:p w:rsidRPr="0014478B" w:rsidR="00E90DBA" w:rsidP="00CD7A9A" w:rsidRDefault="00E90DBA" w14:paraId="73C8F529" w14:textId="77777777">
      <w:pPr>
        <w:spacing w:after="0" w:line="240" w:lineRule="atLeast"/>
        <w:rPr>
          <w:rFonts w:ascii="Verdana" w:hAnsi="Verdana"/>
          <w:i/>
          <w:iCs/>
          <w:sz w:val="18"/>
        </w:rPr>
      </w:pPr>
    </w:p>
    <w:p w:rsidRPr="0014478B" w:rsidR="001434A2" w:rsidP="00CD7A9A" w:rsidRDefault="001434A2" w14:paraId="3C993D62" w14:textId="5967D1C3">
      <w:pPr>
        <w:spacing w:after="0" w:line="240" w:lineRule="atLeast"/>
        <w:rPr>
          <w:rFonts w:ascii="Verdana" w:hAnsi="Verdana"/>
          <w:b/>
          <w:bCs/>
          <w:kern w:val="0"/>
          <w:sz w:val="18"/>
          <w:szCs w:val="18"/>
          <w14:ligatures w14:val="none"/>
        </w:rPr>
      </w:pPr>
      <w:r w:rsidRPr="0014478B">
        <w:rPr>
          <w:rFonts w:ascii="Verdana" w:hAnsi="Verdana"/>
          <w:b/>
          <w:bCs/>
          <w:kern w:val="0"/>
          <w:sz w:val="18"/>
          <w:szCs w:val="18"/>
          <w14:ligatures w14:val="none"/>
        </w:rPr>
        <w:t>Artikel III</w:t>
      </w:r>
    </w:p>
    <w:p w:rsidRPr="0014478B" w:rsidR="00760DA2" w:rsidP="00CD7A9A" w:rsidRDefault="00760DA2" w14:paraId="2B32BF5A" w14:textId="77777777">
      <w:pPr>
        <w:spacing w:after="0" w:line="240" w:lineRule="atLeast"/>
        <w:rPr>
          <w:rFonts w:ascii="Verdana" w:hAnsi="Verdana" w:eastAsia="Calibri" w:cs="Arial"/>
          <w:sz w:val="18"/>
        </w:rPr>
      </w:pPr>
      <w:r w:rsidRPr="0014478B">
        <w:rPr>
          <w:rFonts w:ascii="Verdana" w:hAnsi="Verdana" w:eastAsia="Calibri" w:cs="Arial"/>
          <w:sz w:val="18"/>
        </w:rPr>
        <w:t>Het betreft een technische verbetering van het wetsvoorstel Wet gemeentelijke instrumenten warmtetransitie</w:t>
      </w:r>
      <w:r w:rsidRPr="0014478B">
        <w:rPr>
          <w:rStyle w:val="Voetnootmarkering"/>
          <w:rFonts w:ascii="Verdana" w:hAnsi="Verdana" w:eastAsia="Calibri" w:cs="Arial"/>
          <w:sz w:val="18"/>
        </w:rPr>
        <w:footnoteReference w:id="37"/>
      </w:r>
      <w:r w:rsidRPr="0014478B">
        <w:rPr>
          <w:rFonts w:ascii="Verdana" w:hAnsi="Verdana" w:eastAsia="Calibri" w:cs="Arial"/>
          <w:sz w:val="18"/>
        </w:rPr>
        <w:t xml:space="preserve"> in verband met (i) een bij nota van wijziging in artikel 3.47 van het wetsvoorstel Energiewet aangebrachte wijziging waarmee een artikellid is komen te vervallen, en (ii) het feit dat de Tweede Kamer na de plenaire behandeling en stemming over het wetsvoorstel Energiewet een vernummering heeft doorgevoerd in het wetsvoorstel Energiewet. Tevens wordt een spelfout hersteld.</w:t>
      </w:r>
    </w:p>
    <w:p w:rsidRPr="0014478B" w:rsidR="00384EF0" w:rsidP="00CD7A9A" w:rsidRDefault="00384EF0" w14:paraId="7F199CBB" w14:textId="77777777">
      <w:pPr>
        <w:spacing w:after="0" w:line="240" w:lineRule="atLeast"/>
        <w:rPr>
          <w:rFonts w:ascii="Verdana" w:hAnsi="Verdana"/>
          <w:i/>
          <w:iCs/>
          <w:sz w:val="18"/>
        </w:rPr>
      </w:pPr>
    </w:p>
    <w:p w:rsidRPr="0014478B" w:rsidR="00384EF0" w:rsidP="00CD7A9A" w:rsidRDefault="00384EF0" w14:paraId="1A26274D" w14:textId="04279F5E">
      <w:pPr>
        <w:spacing w:after="0" w:line="240" w:lineRule="atLeast"/>
        <w:rPr>
          <w:rFonts w:ascii="Verdana" w:hAnsi="Verdana"/>
          <w:b/>
          <w:bCs/>
          <w:kern w:val="0"/>
          <w:sz w:val="18"/>
          <w:szCs w:val="18"/>
          <w14:ligatures w14:val="none"/>
        </w:rPr>
      </w:pPr>
      <w:r w:rsidRPr="0014478B">
        <w:rPr>
          <w:rFonts w:ascii="Verdana" w:hAnsi="Verdana"/>
          <w:b/>
          <w:bCs/>
          <w:kern w:val="0"/>
          <w:sz w:val="18"/>
          <w:szCs w:val="18"/>
          <w14:ligatures w14:val="none"/>
        </w:rPr>
        <w:t>Artikel IV</w:t>
      </w:r>
    </w:p>
    <w:p w:rsidRPr="0014478B" w:rsidR="001434A2" w:rsidP="00CD7A9A" w:rsidRDefault="00384EF0" w14:paraId="29FAE723" w14:textId="0D9883D4">
      <w:pPr>
        <w:spacing w:after="0" w:line="240" w:lineRule="atLeast"/>
        <w:rPr>
          <w:rFonts w:ascii="Verdana" w:hAnsi="Verdana"/>
          <w:sz w:val="18"/>
        </w:rPr>
      </w:pPr>
      <w:r w:rsidRPr="0014478B">
        <w:rPr>
          <w:rFonts w:ascii="Verdana" w:hAnsi="Verdana"/>
          <w:sz w:val="18"/>
        </w:rPr>
        <w:t xml:space="preserve">In de </w:t>
      </w:r>
      <w:r w:rsidRPr="0014478B" w:rsidR="006407F8">
        <w:rPr>
          <w:rFonts w:ascii="Verdana" w:hAnsi="Verdana"/>
          <w:sz w:val="18"/>
        </w:rPr>
        <w:t>W</w:t>
      </w:r>
      <w:r w:rsidRPr="0014478B">
        <w:rPr>
          <w:rFonts w:ascii="Verdana" w:hAnsi="Verdana"/>
          <w:sz w:val="18"/>
        </w:rPr>
        <w:t>et op de accijns wordt de verwijzing naar artikel 50, derde lid, van de Wet belastingen op milieugrondslag aangepast aangezien de artikelleden van dit artikel zijn hernummerd.</w:t>
      </w:r>
    </w:p>
    <w:p w:rsidRPr="0014478B" w:rsidR="00384EF0" w:rsidP="00CD7A9A" w:rsidRDefault="00384EF0" w14:paraId="7BA86CAA" w14:textId="77777777">
      <w:pPr>
        <w:spacing w:after="0" w:line="240" w:lineRule="atLeast"/>
        <w:rPr>
          <w:rFonts w:ascii="Verdana" w:hAnsi="Verdana"/>
          <w:i/>
          <w:iCs/>
          <w:sz w:val="18"/>
        </w:rPr>
      </w:pPr>
    </w:p>
    <w:p w:rsidRPr="0014478B" w:rsidR="00E90DBA" w:rsidP="00CD7A9A" w:rsidRDefault="00E90DBA" w14:paraId="7F722A37" w14:textId="7F7FC3DD">
      <w:pPr>
        <w:spacing w:after="0" w:line="240" w:lineRule="atLeast"/>
        <w:rPr>
          <w:rFonts w:ascii="Verdana" w:hAnsi="Verdana"/>
          <w:b/>
          <w:bCs/>
          <w:kern w:val="0"/>
          <w:sz w:val="18"/>
          <w:szCs w:val="18"/>
          <w14:ligatures w14:val="none"/>
        </w:rPr>
      </w:pPr>
      <w:r w:rsidRPr="0014478B">
        <w:rPr>
          <w:rFonts w:ascii="Verdana" w:hAnsi="Verdana"/>
          <w:b/>
          <w:bCs/>
          <w:kern w:val="0"/>
          <w:sz w:val="18"/>
          <w:szCs w:val="18"/>
          <w14:ligatures w14:val="none"/>
        </w:rPr>
        <w:t>Artikel V</w:t>
      </w:r>
    </w:p>
    <w:p w:rsidRPr="0014478B" w:rsidR="00C815D0" w:rsidP="00CD7A9A" w:rsidRDefault="00C815D0" w14:paraId="09D5B8A9" w14:textId="6B7E9061">
      <w:pPr>
        <w:spacing w:after="0" w:line="240" w:lineRule="atLeast"/>
        <w:rPr>
          <w:rFonts w:ascii="Verdana" w:hAnsi="Verdana" w:eastAsia="Calibri" w:cs="Arial"/>
          <w:sz w:val="18"/>
        </w:rPr>
      </w:pPr>
      <w:r w:rsidRPr="0014478B">
        <w:rPr>
          <w:rFonts w:ascii="Verdana" w:hAnsi="Verdana" w:eastAsia="Calibri" w:cs="Arial"/>
          <w:sz w:val="18"/>
        </w:rPr>
        <w:t xml:space="preserve">Het kabinet heeft in de budgettaire bijlage bij het </w:t>
      </w:r>
      <w:r w:rsidRPr="0014478B" w:rsidR="001F61CE">
        <w:rPr>
          <w:rFonts w:ascii="Verdana" w:hAnsi="Verdana" w:eastAsia="Calibri" w:cs="Arial"/>
          <w:sz w:val="18"/>
        </w:rPr>
        <w:t>H</w:t>
      </w:r>
      <w:r w:rsidRPr="0014478B">
        <w:rPr>
          <w:rFonts w:ascii="Verdana" w:hAnsi="Verdana" w:eastAsia="Calibri" w:cs="Arial"/>
          <w:sz w:val="18"/>
        </w:rPr>
        <w:t>oofdlijnenakkoord aangekondigd de salderingsregeling met ingang van 1 januari 2027 in één keer te beëindigen. Dit artikel regelt daarom dat het wetsvoorstel op 1 januari 2027 in werking treedt. Uitzondering hierop is de wijziging van het wetsvoorstel Wet gemeentelijke instrumenten warmtetransitie (artikel III)</w:t>
      </w:r>
      <w:r w:rsidRPr="0014478B" w:rsidR="001A181A">
        <w:rPr>
          <w:rFonts w:ascii="Verdana" w:hAnsi="Verdana" w:eastAsia="Calibri" w:cs="Arial"/>
          <w:sz w:val="18"/>
        </w:rPr>
        <w:t>.</w:t>
      </w:r>
      <w:r w:rsidRPr="0014478B">
        <w:rPr>
          <w:rFonts w:ascii="Verdana" w:hAnsi="Verdana" w:eastAsia="Calibri" w:cs="Arial"/>
          <w:sz w:val="18"/>
        </w:rPr>
        <w:t xml:space="preserve"> </w:t>
      </w:r>
      <w:r w:rsidRPr="0014478B" w:rsidR="001A181A">
        <w:rPr>
          <w:rFonts w:ascii="Verdana" w:hAnsi="Verdana" w:eastAsia="Calibri" w:cs="Arial"/>
          <w:sz w:val="18"/>
        </w:rPr>
        <w:t>O</w:t>
      </w:r>
      <w:r w:rsidRPr="0014478B">
        <w:rPr>
          <w:rFonts w:ascii="Verdana" w:hAnsi="Verdana" w:eastAsia="Calibri" w:cs="Arial"/>
          <w:sz w:val="18"/>
        </w:rPr>
        <w:t xml:space="preserve">m vertraging van de inwerkingtreding van </w:t>
      </w:r>
      <w:r w:rsidRPr="0014478B" w:rsidR="001A181A">
        <w:rPr>
          <w:rFonts w:ascii="Verdana" w:hAnsi="Verdana" w:eastAsia="Calibri" w:cs="Arial"/>
          <w:sz w:val="18"/>
        </w:rPr>
        <w:t>die wet, indien het voorstel daartoe zou worden aanvaard,</w:t>
      </w:r>
      <w:r w:rsidRPr="0014478B">
        <w:rPr>
          <w:rFonts w:ascii="Verdana" w:hAnsi="Verdana" w:eastAsia="Calibri" w:cs="Arial"/>
          <w:sz w:val="18"/>
        </w:rPr>
        <w:t xml:space="preserve"> te voorkomen</w:t>
      </w:r>
      <w:r w:rsidRPr="0014478B" w:rsidR="001A181A">
        <w:rPr>
          <w:rFonts w:ascii="Verdana" w:hAnsi="Verdana" w:eastAsia="Calibri" w:cs="Arial"/>
          <w:sz w:val="18"/>
        </w:rPr>
        <w:t>,</w:t>
      </w:r>
      <w:r w:rsidRPr="0014478B">
        <w:rPr>
          <w:rFonts w:ascii="Verdana" w:hAnsi="Verdana" w:eastAsia="Calibri" w:cs="Arial"/>
          <w:sz w:val="18"/>
        </w:rPr>
        <w:t xml:space="preserve"> is de inwerkingtreding van artikel III </w:t>
      </w:r>
      <w:r w:rsidRPr="0014478B" w:rsidR="009055D1">
        <w:rPr>
          <w:rFonts w:ascii="Verdana" w:hAnsi="Verdana" w:eastAsia="Calibri" w:cs="Arial"/>
          <w:sz w:val="18"/>
        </w:rPr>
        <w:t xml:space="preserve">voorzien met ingang van </w:t>
      </w:r>
      <w:r w:rsidRPr="0014478B">
        <w:rPr>
          <w:rFonts w:ascii="Verdana" w:hAnsi="Verdana" w:eastAsia="Calibri" w:cs="Arial"/>
          <w:sz w:val="18"/>
        </w:rPr>
        <w:t>de dag na publicatie in het Staatsblad.</w:t>
      </w:r>
    </w:p>
    <w:p w:rsidRPr="0014478B" w:rsidR="00E90DBA" w:rsidP="00CD7A9A" w:rsidRDefault="00E90DBA" w14:paraId="47626B4E" w14:textId="77777777">
      <w:pPr>
        <w:spacing w:after="0" w:line="240" w:lineRule="atLeast"/>
        <w:rPr>
          <w:rFonts w:ascii="Verdana" w:hAnsi="Verdana"/>
          <w:i/>
          <w:iCs/>
          <w:sz w:val="18"/>
        </w:rPr>
      </w:pPr>
    </w:p>
    <w:p w:rsidRPr="0014478B" w:rsidR="00CD7A9A" w:rsidP="00CD7A9A" w:rsidRDefault="00CD7A9A" w14:paraId="753A3898" w14:textId="77777777">
      <w:pPr>
        <w:spacing w:after="0" w:line="240" w:lineRule="atLeast"/>
        <w:rPr>
          <w:rFonts w:ascii="Verdana" w:hAnsi="Verdana"/>
          <w:i/>
          <w:iCs/>
          <w:sz w:val="18"/>
        </w:rPr>
      </w:pPr>
    </w:p>
    <w:p w:rsidRPr="0014478B" w:rsidR="00017B11" w:rsidP="00CD7A9A" w:rsidRDefault="00E90DBA" w14:paraId="10EA4AC8" w14:textId="08338382">
      <w:pPr>
        <w:spacing w:after="0" w:line="240" w:lineRule="atLeast"/>
        <w:rPr>
          <w:rFonts w:ascii="Verdana" w:hAnsi="Verdana"/>
          <w:sz w:val="18"/>
        </w:rPr>
      </w:pPr>
      <w:r w:rsidRPr="0014478B">
        <w:rPr>
          <w:rFonts w:ascii="Verdana" w:hAnsi="Verdana"/>
          <w:sz w:val="18"/>
        </w:rPr>
        <w:t>De Minister van Klimaat en Groene Groei,</w:t>
      </w:r>
    </w:p>
    <w:p w:rsidRPr="0014478B" w:rsidR="00725D76" w:rsidP="00CD7A9A" w:rsidRDefault="00725D76" w14:paraId="7370D94B" w14:textId="77777777">
      <w:pPr>
        <w:spacing w:after="0" w:line="240" w:lineRule="atLeast"/>
        <w:rPr>
          <w:rFonts w:ascii="Verdana" w:hAnsi="Verdana"/>
          <w:sz w:val="18"/>
        </w:rPr>
      </w:pPr>
    </w:p>
    <w:p w:rsidRPr="0014478B" w:rsidR="00483759" w:rsidRDefault="001B3717" w14:paraId="2995237F" w14:textId="30C50D98">
      <w:pPr>
        <w:rPr>
          <w:rFonts w:ascii="Verdana" w:hAnsi="Verdana"/>
          <w:sz w:val="18"/>
          <w:szCs w:val="18"/>
        </w:rPr>
      </w:pPr>
      <w:r w:rsidRPr="0014478B">
        <w:rPr>
          <w:rFonts w:ascii="Verdana" w:hAnsi="Verdana"/>
          <w:sz w:val="18"/>
          <w:szCs w:val="18"/>
        </w:rPr>
        <w:br w:type="page"/>
      </w:r>
    </w:p>
    <w:p w:rsidRPr="0014478B" w:rsidR="001B3717" w:rsidP="00483759" w:rsidRDefault="00483759" w14:paraId="6137BADD" w14:textId="77777777">
      <w:pPr>
        <w:pStyle w:val="Kop3"/>
      </w:pPr>
      <w:r w:rsidRPr="0014478B">
        <w:lastRenderedPageBreak/>
        <w:t>B</w:t>
      </w:r>
      <w:r w:rsidRPr="0014478B" w:rsidR="004E3FA6">
        <w:t xml:space="preserve">ijlage 1: Reacties </w:t>
      </w:r>
      <w:r w:rsidRPr="0014478B" w:rsidR="00FD76B3">
        <w:t>stakeholders</w:t>
      </w:r>
    </w:p>
    <w:p w:rsidRPr="0014478B" w:rsidR="00482CE7" w:rsidP="00F34448" w:rsidRDefault="00482CE7" w14:paraId="1DAE1FDE" w14:textId="77777777">
      <w:pPr>
        <w:spacing w:after="0" w:line="240" w:lineRule="atLeast"/>
        <w:rPr>
          <w:rFonts w:ascii="Verdana" w:hAnsi="Verdana"/>
          <w:sz w:val="18"/>
        </w:rPr>
      </w:pPr>
    </w:p>
    <w:p w:rsidRPr="0014478B" w:rsidR="00F34448" w:rsidP="00F34448" w:rsidRDefault="00EA1C3E" w14:paraId="2A5CFF9F" w14:textId="72B60B07">
      <w:pPr>
        <w:spacing w:after="0" w:line="240" w:lineRule="atLeast"/>
        <w:rPr>
          <w:rFonts w:ascii="Verdana" w:hAnsi="Verdana"/>
          <w:sz w:val="18"/>
        </w:rPr>
      </w:pPr>
      <w:r w:rsidRPr="0014478B">
        <w:rPr>
          <w:rFonts w:ascii="Verdana" w:hAnsi="Verdana"/>
          <w:sz w:val="18"/>
        </w:rPr>
        <w:t xml:space="preserve">Met diverse partijen heeft contact plaatsgevonden over de gevolgen van het beëindigen van de salderingsregeling, tijdens het opstellen van dit wetsvoorstel. Volledigheidshalve wordt hierbij kort weergegeven wat de reactie was van deze partijen, ondanks het feit dat vanwege het korte tijdsbestek geen reguliere internetconsultatie plaatsgevonden heeft. </w:t>
      </w:r>
      <w:r w:rsidRPr="0014478B" w:rsidR="00F34448">
        <w:rPr>
          <w:rFonts w:ascii="Verdana" w:hAnsi="Verdana"/>
          <w:sz w:val="18"/>
        </w:rPr>
        <w:t>Deze partijen zijn Energie-Nederland, Netbeheer Nederland, Nederlandse Vereniging Duurzame Energie, Techniek Nederland, Holland Solar, AEDES, Vereniging Eigen Huis, Woonbond en de Consumentenbond. De reacties gaan hoofdzakelijk over eigen verbruik, consumentenbescherming</w:t>
      </w:r>
      <w:r w:rsidRPr="0014478B" w:rsidR="00A40D48">
        <w:rPr>
          <w:rFonts w:ascii="Verdana" w:hAnsi="Verdana"/>
          <w:sz w:val="18"/>
        </w:rPr>
        <w:t xml:space="preserve">, </w:t>
      </w:r>
      <w:r w:rsidRPr="0014478B" w:rsidR="00F34448">
        <w:rPr>
          <w:rFonts w:ascii="Verdana" w:hAnsi="Verdana"/>
          <w:sz w:val="18"/>
        </w:rPr>
        <w:t>investeringsbereidheid</w:t>
      </w:r>
      <w:r w:rsidRPr="0014478B" w:rsidR="00A40D48">
        <w:rPr>
          <w:rFonts w:ascii="Verdana" w:hAnsi="Verdana"/>
          <w:sz w:val="18"/>
        </w:rPr>
        <w:t xml:space="preserve"> en de implementatie.</w:t>
      </w:r>
      <w:r w:rsidRPr="0014478B" w:rsidR="006A4B6D">
        <w:rPr>
          <w:rFonts w:ascii="Verdana" w:hAnsi="Verdana"/>
          <w:sz w:val="18"/>
        </w:rPr>
        <w:t xml:space="preserve"> </w:t>
      </w:r>
      <w:r w:rsidRPr="0014478B" w:rsidR="00A40D48">
        <w:rPr>
          <w:rFonts w:ascii="Verdana" w:hAnsi="Verdana"/>
          <w:sz w:val="18"/>
        </w:rPr>
        <w:t>De reacties zijn hieronder uitgewerkt</w:t>
      </w:r>
      <w:r w:rsidRPr="0014478B" w:rsidR="00AB6BB0">
        <w:rPr>
          <w:rFonts w:ascii="Verdana" w:hAnsi="Verdana"/>
          <w:sz w:val="18"/>
        </w:rPr>
        <w:t>.</w:t>
      </w:r>
    </w:p>
    <w:p w:rsidRPr="0014478B" w:rsidR="00F34448" w:rsidP="00F34448" w:rsidRDefault="00F34448" w14:paraId="4CC73208" w14:textId="77777777">
      <w:pPr>
        <w:spacing w:after="0" w:line="240" w:lineRule="atLeast"/>
        <w:rPr>
          <w:rFonts w:ascii="Verdana" w:hAnsi="Verdana"/>
          <w:sz w:val="18"/>
        </w:rPr>
      </w:pPr>
    </w:p>
    <w:p w:rsidRPr="0014478B" w:rsidR="00F34448" w:rsidP="00F34448" w:rsidRDefault="00F34448" w14:paraId="10D72A63" w14:textId="77777777">
      <w:pPr>
        <w:pStyle w:val="Lijstalinea"/>
        <w:numPr>
          <w:ilvl w:val="0"/>
          <w:numId w:val="14"/>
        </w:numPr>
        <w:spacing w:after="0" w:line="240" w:lineRule="atLeast"/>
        <w:rPr>
          <w:rFonts w:ascii="Verdana" w:hAnsi="Verdana"/>
          <w:i/>
          <w:iCs/>
          <w:sz w:val="18"/>
        </w:rPr>
      </w:pPr>
      <w:r w:rsidRPr="0014478B">
        <w:rPr>
          <w:rFonts w:ascii="Verdana" w:hAnsi="Verdana"/>
          <w:i/>
          <w:iCs/>
          <w:sz w:val="18"/>
        </w:rPr>
        <w:t>Eigen verbruik</w:t>
      </w:r>
    </w:p>
    <w:p w:rsidRPr="0014478B" w:rsidR="00F34448" w:rsidP="00F34448" w:rsidRDefault="00F34448" w14:paraId="5E4D740F" w14:textId="77777777">
      <w:pPr>
        <w:spacing w:after="0" w:line="240" w:lineRule="atLeast"/>
        <w:rPr>
          <w:rFonts w:ascii="Verdana" w:hAnsi="Verdana"/>
          <w:sz w:val="18"/>
        </w:rPr>
      </w:pPr>
      <w:r w:rsidRPr="0014478B">
        <w:rPr>
          <w:rFonts w:ascii="Verdana" w:hAnsi="Verdana"/>
          <w:sz w:val="18"/>
        </w:rPr>
        <w:t xml:space="preserve">Meerdere partijen erkennen het belang van het efficiënter met zelfopgewekte hernieuwbare energie omgaan door het stimuleren van het eigen verbruik hiervan ‘achter de meter’. De verwachting dat het beëindigen van de salderingsregeling hieraan bijdraagt wordt gedeeld. Tegelijkertijd hebben sectorpartijen vragen over de mate waarin de consument handelingsperspectief heeft. Meerdere partijen benadrukken dat er een bovengrens zit aan het verhogen van het eigen verbruik. Ook wordt benoemd dat alleen een financiële prikkel niet voldoende is om dit eigen verbruik sterk te verhogen. </w:t>
      </w:r>
    </w:p>
    <w:p w:rsidRPr="0014478B" w:rsidR="00F34448" w:rsidP="00F34448" w:rsidRDefault="00F34448" w14:paraId="72584BE0" w14:textId="77777777">
      <w:pPr>
        <w:spacing w:after="0" w:line="240" w:lineRule="atLeast"/>
        <w:rPr>
          <w:rFonts w:ascii="Verdana" w:hAnsi="Verdana"/>
          <w:sz w:val="18"/>
        </w:rPr>
      </w:pPr>
    </w:p>
    <w:p w:rsidRPr="0014478B" w:rsidR="00F34448" w:rsidP="00F34448" w:rsidRDefault="00F34448" w14:paraId="4063D3E0" w14:textId="77777777">
      <w:pPr>
        <w:pStyle w:val="Lijstalinea"/>
        <w:numPr>
          <w:ilvl w:val="0"/>
          <w:numId w:val="14"/>
        </w:numPr>
        <w:spacing w:after="0" w:line="240" w:lineRule="atLeast"/>
        <w:rPr>
          <w:rFonts w:ascii="Verdana" w:hAnsi="Verdana"/>
          <w:sz w:val="18"/>
        </w:rPr>
      </w:pPr>
      <w:r w:rsidRPr="0014478B">
        <w:rPr>
          <w:rFonts w:ascii="Verdana" w:hAnsi="Verdana"/>
          <w:i/>
          <w:iCs/>
          <w:sz w:val="18"/>
        </w:rPr>
        <w:t>Consumentenbescherming</w:t>
      </w:r>
    </w:p>
    <w:p w:rsidRPr="0014478B" w:rsidR="00F34448" w:rsidP="00F34448" w:rsidRDefault="00F34448" w14:paraId="50C409D2" w14:textId="4E16BC42">
      <w:pPr>
        <w:spacing w:after="0" w:line="240" w:lineRule="atLeast"/>
        <w:rPr>
          <w:rFonts w:ascii="Verdana" w:hAnsi="Verdana"/>
          <w:sz w:val="18"/>
        </w:rPr>
      </w:pPr>
      <w:r w:rsidRPr="0014478B">
        <w:rPr>
          <w:rFonts w:ascii="Verdana" w:hAnsi="Verdana"/>
          <w:sz w:val="18"/>
        </w:rPr>
        <w:t>Volgens enkele partijen biedt het wetsvoorstel te weinig kaders voor de hoogte van de redelijke vergoeding. Dit zou onzekerheid rondom de terugverdientijd veroorzaken en onvoldoende bescherming bieden tegen lage vergoedingen</w:t>
      </w:r>
      <w:r w:rsidRPr="0014478B" w:rsidR="006E3D4A">
        <w:rPr>
          <w:rFonts w:ascii="Verdana" w:hAnsi="Verdana"/>
          <w:sz w:val="18"/>
        </w:rPr>
        <w:t xml:space="preserve"> voor teruggeleverde elektriciteit</w:t>
      </w:r>
      <w:r w:rsidRPr="0014478B">
        <w:rPr>
          <w:rFonts w:ascii="Verdana" w:hAnsi="Verdana"/>
          <w:sz w:val="18"/>
        </w:rPr>
        <w:t>. De partijen noemen het opnemen van een minimum</w:t>
      </w:r>
      <w:r w:rsidRPr="0014478B" w:rsidR="00361FB3">
        <w:rPr>
          <w:rFonts w:ascii="Verdana" w:hAnsi="Verdana"/>
          <w:sz w:val="18"/>
        </w:rPr>
        <w:t xml:space="preserve"> voor de redelijke vergoeding</w:t>
      </w:r>
      <w:r w:rsidRPr="0014478B">
        <w:rPr>
          <w:rFonts w:ascii="Verdana" w:hAnsi="Verdana"/>
          <w:sz w:val="18"/>
        </w:rPr>
        <w:t xml:space="preserve"> of het stellen van eisen aan transparantie en toelichting vanuit de leverancier als mogelijke verbeteringen.</w:t>
      </w:r>
    </w:p>
    <w:p w:rsidRPr="0014478B" w:rsidR="00F34448" w:rsidP="00F34448" w:rsidRDefault="00F34448" w14:paraId="0BB9A824" w14:textId="77777777">
      <w:pPr>
        <w:spacing w:after="0" w:line="240" w:lineRule="atLeast"/>
        <w:rPr>
          <w:rFonts w:ascii="Verdana" w:hAnsi="Verdana"/>
          <w:sz w:val="18"/>
        </w:rPr>
      </w:pPr>
    </w:p>
    <w:p w:rsidRPr="0014478B" w:rsidR="00F34448" w:rsidP="00F34448" w:rsidRDefault="00F34448" w14:paraId="6C74214D" w14:textId="77777777">
      <w:pPr>
        <w:spacing w:after="0" w:line="240" w:lineRule="atLeast"/>
        <w:rPr>
          <w:rFonts w:ascii="Verdana" w:hAnsi="Verdana"/>
          <w:sz w:val="18"/>
        </w:rPr>
      </w:pPr>
      <w:r w:rsidRPr="0014478B">
        <w:rPr>
          <w:rFonts w:ascii="Verdana" w:hAnsi="Verdana"/>
          <w:sz w:val="18"/>
        </w:rPr>
        <w:t xml:space="preserve">Partijen stellen dat het onduidelijk blijft hoe leveranciers vanaf 2027 zullen omgaan met het doorberekenen van de meerkosten die veroorzaakt worden door klanten met zonnepanelen. Hierdoor zou het risico bestaan dat consumenten negatief uit zullen komen na teruglevering. Enkele partijen noemen uniformering als mogelijke oplossing voor het wegnemen van de onzekerheid en stellen dat er duidelijke kaders voor transparantie vanuit de leveranciers zouden moeten zijn. </w:t>
      </w:r>
    </w:p>
    <w:p w:rsidRPr="0014478B" w:rsidR="00F34448" w:rsidP="00F34448" w:rsidRDefault="00F34448" w14:paraId="3E2E77F7" w14:textId="77777777">
      <w:pPr>
        <w:spacing w:after="0" w:line="240" w:lineRule="atLeast"/>
        <w:rPr>
          <w:rFonts w:ascii="Verdana" w:hAnsi="Verdana"/>
          <w:sz w:val="18"/>
        </w:rPr>
      </w:pPr>
    </w:p>
    <w:p w:rsidRPr="0014478B" w:rsidR="00F34448" w:rsidP="00F34448" w:rsidRDefault="00F34448" w14:paraId="17BD1547" w14:textId="755F01FD">
      <w:pPr>
        <w:spacing w:after="0" w:line="240" w:lineRule="atLeast"/>
        <w:rPr>
          <w:rFonts w:ascii="Verdana" w:hAnsi="Verdana"/>
          <w:sz w:val="18"/>
        </w:rPr>
      </w:pPr>
      <w:r w:rsidRPr="0014478B">
        <w:rPr>
          <w:rFonts w:ascii="Verdana" w:hAnsi="Verdana"/>
          <w:sz w:val="18"/>
        </w:rPr>
        <w:t xml:space="preserve">Eén partij stelt voor dat er een modelcontract zou moeten komen dat geschikt is voor zonnepaneelbezitters. </w:t>
      </w:r>
      <w:r w:rsidRPr="0014478B" w:rsidR="006C2EE1">
        <w:rPr>
          <w:rFonts w:ascii="Verdana" w:hAnsi="Verdana"/>
          <w:sz w:val="18"/>
        </w:rPr>
        <w:br/>
      </w:r>
      <w:r w:rsidRPr="0014478B">
        <w:rPr>
          <w:rFonts w:ascii="Verdana" w:hAnsi="Verdana"/>
          <w:sz w:val="18"/>
        </w:rPr>
        <w:t>In het voorstel voor de Energiewet is opgenomen dat vergunninghoudende energieleveranciers verplicht zijn om aan alle eindafnemers naast het modelcontract voor onbepaalde tijd met variabele tarieven ook een modelcontract voor bepaalde tijd met vaste tarieven aan te bieden</w:t>
      </w:r>
      <w:r w:rsidRPr="0014478B">
        <w:rPr>
          <w:rStyle w:val="Voetnootmarkering"/>
          <w:rFonts w:ascii="Verdana" w:hAnsi="Verdana"/>
          <w:sz w:val="18"/>
        </w:rPr>
        <w:footnoteReference w:id="38"/>
      </w:r>
      <w:r w:rsidRPr="0014478B">
        <w:rPr>
          <w:rFonts w:ascii="Verdana" w:hAnsi="Verdana"/>
          <w:sz w:val="18"/>
        </w:rPr>
        <w:t>. Zonnepaneelbezitters hebben hierdoor dus altijd de mogelijkheid om zowel een contract met variabele als met vaste tarieven af te sluiten. Het is aan de ACM om te beoordelen of leveranciers al dan niet de mogelijkheid moeten krijgen om terugleverkosten in rekening te brengen bij modelcontracten.</w:t>
      </w:r>
    </w:p>
    <w:p w:rsidRPr="0014478B" w:rsidR="00F34448" w:rsidP="00F34448" w:rsidRDefault="00F34448" w14:paraId="4BE5F067" w14:textId="77777777">
      <w:pPr>
        <w:spacing w:after="0" w:line="240" w:lineRule="atLeast"/>
        <w:rPr>
          <w:rFonts w:ascii="Verdana" w:hAnsi="Verdana"/>
          <w:sz w:val="18"/>
        </w:rPr>
      </w:pPr>
    </w:p>
    <w:p w:rsidRPr="0014478B" w:rsidR="00F34448" w:rsidP="00F34448" w:rsidRDefault="002F7634" w14:paraId="4F446E51" w14:textId="62F79C82">
      <w:pPr>
        <w:spacing w:after="0" w:line="240" w:lineRule="atLeast"/>
        <w:rPr>
          <w:rFonts w:ascii="Verdana" w:hAnsi="Verdana"/>
          <w:sz w:val="18"/>
        </w:rPr>
      </w:pPr>
      <w:r w:rsidRPr="0014478B">
        <w:rPr>
          <w:rFonts w:ascii="Verdana" w:hAnsi="Verdana"/>
          <w:sz w:val="18"/>
        </w:rPr>
        <w:t xml:space="preserve">Voor dynamisch leveranciers geldt </w:t>
      </w:r>
      <w:r w:rsidRPr="0014478B" w:rsidR="00886429">
        <w:rPr>
          <w:rFonts w:ascii="Verdana" w:hAnsi="Verdana"/>
          <w:sz w:val="18"/>
        </w:rPr>
        <w:t xml:space="preserve">dat met name </w:t>
      </w:r>
      <w:r w:rsidRPr="0014478B" w:rsidR="0021771B">
        <w:rPr>
          <w:rFonts w:ascii="Verdana" w:hAnsi="Verdana"/>
          <w:sz w:val="18"/>
        </w:rPr>
        <w:t xml:space="preserve">de bepaling dat de </w:t>
      </w:r>
      <w:r w:rsidRPr="0014478B" w:rsidR="000A6E78">
        <w:rPr>
          <w:rFonts w:ascii="Verdana" w:hAnsi="Verdana"/>
          <w:sz w:val="18"/>
        </w:rPr>
        <w:t xml:space="preserve">redelijke </w:t>
      </w:r>
      <w:r w:rsidRPr="0014478B" w:rsidR="00DB7182">
        <w:rPr>
          <w:rFonts w:ascii="Verdana" w:hAnsi="Verdana"/>
          <w:sz w:val="18"/>
        </w:rPr>
        <w:t xml:space="preserve">vergoeding niet op een negatief bedrag vastgesteld </w:t>
      </w:r>
      <w:r w:rsidRPr="0014478B" w:rsidR="000A6E78">
        <w:rPr>
          <w:rFonts w:ascii="Verdana" w:hAnsi="Verdana"/>
          <w:sz w:val="18"/>
        </w:rPr>
        <w:t xml:space="preserve">kan </w:t>
      </w:r>
      <w:r w:rsidRPr="0014478B" w:rsidR="00DB7182">
        <w:rPr>
          <w:rFonts w:ascii="Verdana" w:hAnsi="Verdana"/>
          <w:sz w:val="18"/>
        </w:rPr>
        <w:t>worden, impact heeft.</w:t>
      </w:r>
      <w:r w:rsidRPr="0014478B" w:rsidR="000A6E78">
        <w:rPr>
          <w:rFonts w:ascii="Verdana" w:hAnsi="Verdana"/>
          <w:sz w:val="18"/>
        </w:rPr>
        <w:t xml:space="preserve"> </w:t>
      </w:r>
      <w:r w:rsidRPr="0014478B" w:rsidR="00CC585B">
        <w:rPr>
          <w:rFonts w:ascii="Verdana" w:hAnsi="Verdana"/>
          <w:sz w:val="18"/>
        </w:rPr>
        <w:t>Immers</w:t>
      </w:r>
      <w:r w:rsidRPr="0014478B" w:rsidR="001E6F73">
        <w:rPr>
          <w:rFonts w:ascii="Verdana" w:hAnsi="Verdana"/>
          <w:sz w:val="18"/>
        </w:rPr>
        <w:t>,</w:t>
      </w:r>
      <w:r w:rsidRPr="0014478B" w:rsidR="00665A86">
        <w:rPr>
          <w:rFonts w:ascii="Verdana" w:hAnsi="Verdana"/>
          <w:sz w:val="18"/>
        </w:rPr>
        <w:t xml:space="preserve"> uurtarieven </w:t>
      </w:r>
      <w:r w:rsidRPr="0014478B" w:rsidR="00385FCB">
        <w:rPr>
          <w:rFonts w:ascii="Verdana" w:hAnsi="Verdana"/>
          <w:sz w:val="18"/>
        </w:rPr>
        <w:t xml:space="preserve">en vergoedingen </w:t>
      </w:r>
      <w:r w:rsidRPr="0014478B" w:rsidR="002704BA">
        <w:rPr>
          <w:rFonts w:ascii="Verdana" w:hAnsi="Verdana"/>
          <w:sz w:val="18"/>
        </w:rPr>
        <w:t>van dynamisch</w:t>
      </w:r>
      <w:r w:rsidRPr="0014478B" w:rsidR="00295766">
        <w:rPr>
          <w:rFonts w:ascii="Verdana" w:hAnsi="Verdana"/>
          <w:sz w:val="18"/>
        </w:rPr>
        <w:t xml:space="preserve"> leveranciers komen tot stand op basis van de day-ahead markt</w:t>
      </w:r>
      <w:r w:rsidRPr="0014478B" w:rsidR="008C3082">
        <w:rPr>
          <w:rFonts w:ascii="Verdana" w:hAnsi="Verdana"/>
          <w:sz w:val="18"/>
        </w:rPr>
        <w:t xml:space="preserve">, waarbij het geregeld voorkomt dat </w:t>
      </w:r>
      <w:r w:rsidRPr="0014478B" w:rsidR="00BE127F">
        <w:rPr>
          <w:rFonts w:ascii="Verdana" w:hAnsi="Verdana"/>
          <w:sz w:val="18"/>
        </w:rPr>
        <w:t xml:space="preserve">er uren met negatieve prijzen zijn </w:t>
      </w:r>
      <w:r w:rsidRPr="0014478B" w:rsidR="00AA4239">
        <w:rPr>
          <w:rFonts w:ascii="Verdana" w:hAnsi="Verdana"/>
          <w:sz w:val="18"/>
        </w:rPr>
        <w:t xml:space="preserve">door een </w:t>
      </w:r>
      <w:r w:rsidRPr="0014478B" w:rsidR="00A92D48">
        <w:rPr>
          <w:rFonts w:ascii="Verdana" w:hAnsi="Verdana"/>
          <w:sz w:val="18"/>
        </w:rPr>
        <w:t xml:space="preserve">overaanbod </w:t>
      </w:r>
      <w:r w:rsidRPr="0014478B" w:rsidR="00AD21F2">
        <w:rPr>
          <w:rFonts w:ascii="Verdana" w:hAnsi="Verdana"/>
          <w:sz w:val="18"/>
        </w:rPr>
        <w:t>aan elektriciteit.</w:t>
      </w:r>
    </w:p>
    <w:p w:rsidRPr="0014478B" w:rsidR="00F34448" w:rsidP="00F34448" w:rsidRDefault="00F34448" w14:paraId="0F48FD89" w14:textId="77777777">
      <w:pPr>
        <w:spacing w:after="0" w:line="240" w:lineRule="atLeast"/>
        <w:rPr>
          <w:rFonts w:ascii="Verdana" w:hAnsi="Verdana"/>
          <w:sz w:val="18"/>
        </w:rPr>
      </w:pPr>
    </w:p>
    <w:p w:rsidRPr="0014478B" w:rsidR="00F34448" w:rsidP="00F34448" w:rsidRDefault="00F34448" w14:paraId="7E3317A7" w14:textId="77777777">
      <w:pPr>
        <w:pStyle w:val="Lijstalinea"/>
        <w:numPr>
          <w:ilvl w:val="0"/>
          <w:numId w:val="14"/>
        </w:numPr>
        <w:spacing w:after="0" w:line="240" w:lineRule="atLeast"/>
        <w:rPr>
          <w:rFonts w:ascii="Verdana" w:hAnsi="Verdana"/>
          <w:sz w:val="18"/>
        </w:rPr>
      </w:pPr>
      <w:r w:rsidRPr="0014478B">
        <w:rPr>
          <w:rFonts w:ascii="Verdana" w:hAnsi="Verdana"/>
          <w:i/>
          <w:iCs/>
          <w:sz w:val="18"/>
        </w:rPr>
        <w:t>Investeringsbereidheid</w:t>
      </w:r>
    </w:p>
    <w:p w:rsidRPr="0014478B" w:rsidR="00F34448" w:rsidP="00F34448" w:rsidRDefault="00F34448" w14:paraId="5C6A5B09" w14:textId="317FE2BB">
      <w:pPr>
        <w:spacing w:after="0" w:line="240" w:lineRule="atLeast"/>
        <w:rPr>
          <w:rFonts w:ascii="Verdana" w:hAnsi="Verdana"/>
          <w:sz w:val="18"/>
        </w:rPr>
      </w:pPr>
      <w:r w:rsidRPr="0014478B">
        <w:rPr>
          <w:rFonts w:ascii="Verdana" w:hAnsi="Verdana"/>
          <w:sz w:val="18"/>
        </w:rPr>
        <w:t xml:space="preserve">Eén partij maakt zich zorgen over de investeringsbereidheid onder woningeigenaren en stelt dat er een waarborg moet blijven op een terugverdientijd van 7 jaar. Daarnaast geven enkele partijen aan dat een investering in zonnepanelen in de huursector door dit wetsvoorstel niet meer uit kan, waardoor het gat tussen huur en koop in het aantal zonnepanelen zou toenemen. Ook worden meermaals zorgen geuit over de Energieprestatievergoeding. Dit zou sterk leunen op de </w:t>
      </w:r>
      <w:r w:rsidRPr="0014478B">
        <w:rPr>
          <w:rFonts w:ascii="Verdana" w:hAnsi="Verdana"/>
          <w:sz w:val="18"/>
        </w:rPr>
        <w:lastRenderedPageBreak/>
        <w:t xml:space="preserve">salderingsregeling en zal na het beëindigen hiervan niet meer in verhouding staan tot de besparing die zonnepanelen opleveren voor de huurders. Eén partij geeft aan dat de genoemde bandbreedte van de terugverdientijd van 8,1 tot 15,5 jaar uit het onderzoek van Berenschot naast verbruik en opwek ook afhankelijk is van het eigen verbruik. </w:t>
      </w:r>
    </w:p>
    <w:p w:rsidRPr="0014478B" w:rsidR="00F34448" w:rsidP="00F34448" w:rsidRDefault="00F34448" w14:paraId="158A07DC" w14:textId="77777777">
      <w:pPr>
        <w:spacing w:after="0" w:line="240" w:lineRule="atLeast"/>
        <w:rPr>
          <w:rFonts w:ascii="Verdana" w:hAnsi="Verdana"/>
          <w:i/>
          <w:iCs/>
          <w:sz w:val="18"/>
        </w:rPr>
      </w:pPr>
    </w:p>
    <w:p w:rsidRPr="0014478B" w:rsidR="00A547EC" w:rsidP="00117F5A" w:rsidRDefault="00A40D48" w14:paraId="4D559613" w14:textId="480B57E2">
      <w:pPr>
        <w:pStyle w:val="Lijstalinea"/>
        <w:numPr>
          <w:ilvl w:val="0"/>
          <w:numId w:val="14"/>
        </w:numPr>
        <w:spacing w:after="0" w:line="240" w:lineRule="atLeast"/>
        <w:rPr>
          <w:rFonts w:ascii="Verdana" w:hAnsi="Verdana"/>
          <w:i/>
          <w:iCs/>
          <w:sz w:val="18"/>
        </w:rPr>
      </w:pPr>
      <w:r w:rsidRPr="0014478B">
        <w:rPr>
          <w:rFonts w:ascii="Verdana" w:hAnsi="Verdana"/>
          <w:i/>
          <w:iCs/>
          <w:sz w:val="18"/>
        </w:rPr>
        <w:t>Implementatie</w:t>
      </w:r>
    </w:p>
    <w:p w:rsidRPr="0014478B" w:rsidR="00A547EC" w:rsidP="00117F5A" w:rsidRDefault="00A547EC" w14:paraId="3ED5164F" w14:textId="77777777">
      <w:pPr>
        <w:spacing w:after="0" w:line="240" w:lineRule="atLeast"/>
        <w:rPr>
          <w:rFonts w:ascii="Verdana" w:hAnsi="Verdana"/>
          <w:sz w:val="18"/>
        </w:rPr>
      </w:pPr>
      <w:r w:rsidRPr="0014478B">
        <w:rPr>
          <w:rFonts w:ascii="Verdana" w:hAnsi="Verdana"/>
          <w:sz w:val="18"/>
        </w:rPr>
        <w:t>Leveranciers hebben aangegeven dat de implementatie van het wetsvoorstel per 1 januari 2027 mogelijk is. Er is voldoende tijd om de ICT-systemen en de facturering aan te passen naar een situatie zonder salderen en met een redelijke vergoeding voor alle teruggeleverde elektriciteit. Wel bestaat de situatie dat klanten een contract hebben dat doorloopt tot na 1 januari 2027. In dat geval moet de leverancier de voorwaarden, vergoeding en kosten ten aanzien van terugleveren in energiecontracten aanpassen en gelden de regels voor de redelijke opzegvergoeding.</w:t>
      </w:r>
    </w:p>
    <w:p w:rsidRPr="0014478B" w:rsidR="00C83925" w:rsidP="00117F5A" w:rsidRDefault="00C83925" w14:paraId="77E3DE35" w14:textId="77777777">
      <w:pPr>
        <w:spacing w:after="0" w:line="240" w:lineRule="atLeast"/>
        <w:rPr>
          <w:rFonts w:ascii="Verdana" w:hAnsi="Verdana"/>
          <w:sz w:val="18"/>
        </w:rPr>
      </w:pPr>
    </w:p>
    <w:p w:rsidRPr="0014478B" w:rsidR="00C83925" w:rsidP="00C83925" w:rsidRDefault="00C83925" w14:paraId="06BC5B91" w14:textId="77777777">
      <w:pPr>
        <w:spacing w:after="0" w:line="240" w:lineRule="atLeast"/>
        <w:rPr>
          <w:rFonts w:ascii="Verdana" w:hAnsi="Verdana"/>
          <w:sz w:val="18"/>
        </w:rPr>
      </w:pPr>
      <w:r w:rsidRPr="0014478B">
        <w:rPr>
          <w:rFonts w:ascii="Verdana" w:hAnsi="Verdana"/>
          <w:sz w:val="18"/>
        </w:rPr>
        <w:t>Actieve afnemers hebben een meetinrichting nodig die de invoeding en afname afzonderlijk kan meten, zodat bij de facturering de regels voor de redelijke vergoeding toegepast kunnen worden. Netbeheerders zien uitdagingen bij de aanbieding van de laatste procenten geschikte meetinrichtingen voor huishoudens die dat nog niet hebben. Het gaat dan onder andere om het starten van het bouwen van IT-systemen, de beschikbare metervoorraden en monteurscapaciteit in relatie tot andere werkzaamheden van netbeheerders. Netbeheerders voorzien dat een klein percentage van de huishoudens nog geen geschikte meetinrichting heeft per 1 januari 2027. In overleg met leveranciers, netbeheerders en toezicht- en uitvoeringsorganisaties wordt bezien hoe een versnelling kan worden aangebracht in de uitrol van geschikte meetinrichtingen.</w:t>
      </w:r>
    </w:p>
    <w:p w:rsidRPr="0014478B" w:rsidR="00A547EC" w:rsidP="00A547EC" w:rsidRDefault="00A547EC" w14:paraId="53F9F76B" w14:textId="77777777">
      <w:pPr>
        <w:spacing w:after="0" w:line="240" w:lineRule="atLeast"/>
        <w:rPr>
          <w:rFonts w:ascii="Verdana" w:hAnsi="Verdana"/>
          <w:i/>
          <w:iCs/>
          <w:sz w:val="18"/>
        </w:rPr>
      </w:pPr>
    </w:p>
    <w:p w:rsidRPr="0014478B" w:rsidR="00F34448" w:rsidP="00F34448" w:rsidRDefault="00F34448" w14:paraId="6B5C4681" w14:textId="77777777">
      <w:pPr>
        <w:pStyle w:val="Lijstalinea"/>
        <w:numPr>
          <w:ilvl w:val="0"/>
          <w:numId w:val="14"/>
        </w:numPr>
        <w:spacing w:after="0" w:line="240" w:lineRule="atLeast"/>
        <w:rPr>
          <w:rFonts w:ascii="Verdana" w:hAnsi="Verdana"/>
          <w:i/>
          <w:iCs/>
          <w:sz w:val="18"/>
        </w:rPr>
      </w:pPr>
      <w:r w:rsidRPr="0014478B">
        <w:rPr>
          <w:rFonts w:ascii="Verdana" w:hAnsi="Verdana"/>
          <w:i/>
          <w:iCs/>
          <w:sz w:val="18"/>
        </w:rPr>
        <w:t>Overig</w:t>
      </w:r>
    </w:p>
    <w:p w:rsidRPr="0014478B" w:rsidR="00EE3BA1" w:rsidP="00F34448" w:rsidRDefault="00F34448" w14:paraId="1F38695F" w14:textId="77777777">
      <w:pPr>
        <w:spacing w:after="0" w:line="240" w:lineRule="atLeast"/>
        <w:rPr>
          <w:rFonts w:ascii="Verdana" w:hAnsi="Verdana"/>
          <w:sz w:val="18"/>
        </w:rPr>
      </w:pPr>
      <w:r w:rsidRPr="0014478B">
        <w:rPr>
          <w:rFonts w:ascii="Verdana" w:hAnsi="Verdana"/>
          <w:sz w:val="18"/>
        </w:rPr>
        <w:t xml:space="preserve">Enkele partijen geven aan te verwachten dat er onzekerheid zal blijven rondom zonnepanelen zolang er onduidelijkheid blijft over de rol van zonne-energie in het toekomstige energiesysteem en zolang het overheidsbeleid blijft wijzigen. Ook stellen enkele partijen dat er alternatieve stimulering nodig blijft vanaf 2027. </w:t>
      </w:r>
    </w:p>
    <w:p w:rsidRPr="0014478B" w:rsidR="00F34448" w:rsidP="00F34448" w:rsidRDefault="00F34448" w14:paraId="77333E36" w14:textId="611289AC">
      <w:pPr>
        <w:spacing w:after="0" w:line="240" w:lineRule="atLeast"/>
        <w:rPr>
          <w:rFonts w:ascii="Verdana" w:hAnsi="Verdana"/>
          <w:sz w:val="18"/>
        </w:rPr>
      </w:pPr>
      <w:r w:rsidRPr="0014478B">
        <w:rPr>
          <w:rFonts w:ascii="Verdana" w:hAnsi="Verdana"/>
          <w:sz w:val="18"/>
        </w:rPr>
        <w:t xml:space="preserve">Eén partij gaf aan dat het genoemde aantal van 2,6 miljoen woningen met zonnepanelen verouderd is. Dit aantal is gebaseerd op CBS gegevens van tot eind 2023. Uit actuele data van energieleveren.nl blijkt dat het aantal tot september 2024 inderdaad is toegenomen. Daarom is in hoofdstuk 3 aangegeven dat het op dit moment gaat om een aantal van bijna 3 miljoen woningen in plaats van 2,6 miljoen woningen. </w:t>
      </w:r>
    </w:p>
    <w:p w:rsidRPr="0014478B" w:rsidR="00F34448" w:rsidP="00F34448" w:rsidRDefault="00F34448" w14:paraId="66A17F86" w14:textId="77777777">
      <w:pPr>
        <w:spacing w:after="0" w:line="240" w:lineRule="atLeast"/>
        <w:rPr>
          <w:rFonts w:ascii="Verdana" w:hAnsi="Verdana"/>
          <w:sz w:val="18"/>
        </w:rPr>
      </w:pPr>
    </w:p>
    <w:p w:rsidRPr="0014478B" w:rsidR="00F34448" w:rsidP="00F34448" w:rsidRDefault="00F34448" w14:paraId="5CA6370E" w14:textId="77777777">
      <w:pPr>
        <w:spacing w:after="0" w:line="240" w:lineRule="atLeast"/>
        <w:rPr>
          <w:rFonts w:ascii="Verdana" w:hAnsi="Verdana"/>
          <w:sz w:val="18"/>
        </w:rPr>
      </w:pPr>
      <w:r w:rsidRPr="0014478B">
        <w:rPr>
          <w:rFonts w:ascii="Verdana" w:hAnsi="Verdana"/>
          <w:sz w:val="18"/>
        </w:rPr>
        <w:t>Tot slot zouden woningcorporaties te maken krijgen met extra regeldrukkosten, omdat er extra vragen van huurders aan de helpdesk komen. Voor woningcorporaties zou dit een kostenpost van circa €441.000</w:t>
      </w:r>
      <w:r w:rsidRPr="0014478B">
        <w:rPr>
          <w:rStyle w:val="Voetnootmarkering"/>
          <w:rFonts w:ascii="Verdana" w:hAnsi="Verdana"/>
          <w:sz w:val="18"/>
        </w:rPr>
        <w:footnoteReference w:id="39"/>
      </w:r>
      <w:r w:rsidRPr="0014478B">
        <w:rPr>
          <w:rFonts w:ascii="Verdana" w:hAnsi="Verdana"/>
          <w:sz w:val="18"/>
        </w:rPr>
        <w:t xml:space="preserve"> opleveren.</w:t>
      </w:r>
    </w:p>
    <w:p w:rsidRPr="0014478B" w:rsidR="00F34448" w:rsidP="00F34448" w:rsidRDefault="00F34448" w14:paraId="520B9D0A" w14:textId="77777777">
      <w:pPr>
        <w:spacing w:after="0" w:line="240" w:lineRule="atLeast"/>
        <w:rPr>
          <w:rFonts w:ascii="Verdana" w:hAnsi="Verdana"/>
          <w:sz w:val="18"/>
        </w:rPr>
      </w:pPr>
    </w:p>
    <w:p w:rsidRPr="0014478B" w:rsidR="00FD76B3" w:rsidP="00FD76B3" w:rsidRDefault="00FD76B3" w14:paraId="27CC8657" w14:textId="2CE0302A">
      <w:pPr>
        <w:sectPr w:rsidRPr="0014478B" w:rsidR="00FD76B3">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417" w:left="1417" w:header="708" w:footer="708" w:gutter="0"/>
          <w:cols w:space="708"/>
          <w:docGrid w:linePitch="360"/>
        </w:sectPr>
      </w:pPr>
    </w:p>
    <w:p w:rsidRPr="0014478B" w:rsidR="00725D76" w:rsidP="001B3717" w:rsidRDefault="001B3717" w14:paraId="5F0DD3F0" w14:textId="2DA3DAA0">
      <w:pPr>
        <w:pStyle w:val="Kop2"/>
      </w:pPr>
      <w:r w:rsidRPr="0014478B">
        <w:lastRenderedPageBreak/>
        <w:t>Bijlage</w:t>
      </w:r>
      <w:r w:rsidRPr="0014478B" w:rsidR="00F34448">
        <w:t xml:space="preserve"> 2</w:t>
      </w:r>
      <w:r w:rsidRPr="0014478B">
        <w:t>: Beleidsalternatieven</w:t>
      </w:r>
    </w:p>
    <w:p w:rsidRPr="0014478B" w:rsidR="00BE3765" w:rsidP="008F4A07" w:rsidRDefault="00BE3765" w14:paraId="0C5D92C1" w14:textId="77777777">
      <w:pPr>
        <w:rPr>
          <w:rFonts w:ascii="Verdana" w:hAnsi="Verdana"/>
          <w:sz w:val="18"/>
          <w:szCs w:val="18"/>
        </w:rPr>
      </w:pPr>
    </w:p>
    <w:p w:rsidRPr="0014478B" w:rsidR="008F4A07" w:rsidP="008F4A07" w:rsidRDefault="008F4A07" w14:paraId="0445E24B" w14:textId="58B755A5">
      <w:pPr>
        <w:rPr>
          <w:rFonts w:ascii="Verdana" w:hAnsi="Verdana"/>
          <w:sz w:val="18"/>
          <w:szCs w:val="18"/>
        </w:rPr>
      </w:pPr>
      <w:r w:rsidRPr="0014478B">
        <w:rPr>
          <w:rFonts w:ascii="Verdana" w:hAnsi="Verdana"/>
          <w:sz w:val="18"/>
          <w:szCs w:val="18"/>
        </w:rPr>
        <w:t>Het traject om de salderingsregeling af te bouwen loopt sinds 2017. Gedurende die periode zijn er meerdere alternatieven onderzocht en afgewogen. In het vorige wetsvoorstel</w:t>
      </w:r>
      <w:r w:rsidRPr="0014478B">
        <w:rPr>
          <w:rStyle w:val="Voetnootmarkering"/>
          <w:rFonts w:ascii="Verdana" w:hAnsi="Verdana"/>
          <w:sz w:val="18"/>
          <w:szCs w:val="18"/>
        </w:rPr>
        <w:footnoteReference w:id="40"/>
      </w:r>
      <w:r w:rsidRPr="0014478B">
        <w:rPr>
          <w:rFonts w:ascii="Verdana" w:hAnsi="Verdana"/>
          <w:sz w:val="18"/>
          <w:szCs w:val="18"/>
        </w:rPr>
        <w:t xml:space="preserve"> is gekozen voor een geleidelijke afbouw van de salderingsregeling. Dit voorstel is in februari 2024 door de Eerste Kamer gewogen en verworpen. Andere alternatieven die tijdens het traject zijn afgewogen en afgevallen omvatten het opsplitsen van de regels omtrent salderen in een fiscaal deel en een leveringsdeel</w:t>
      </w:r>
      <w:r w:rsidRPr="0014478B">
        <w:rPr>
          <w:rStyle w:val="Voetnootmarkering"/>
          <w:rFonts w:ascii="Verdana" w:hAnsi="Verdana"/>
          <w:sz w:val="18"/>
          <w:szCs w:val="18"/>
        </w:rPr>
        <w:footnoteReference w:id="41"/>
      </w:r>
      <w:r w:rsidRPr="0014478B">
        <w:rPr>
          <w:rFonts w:ascii="Verdana" w:hAnsi="Verdana"/>
          <w:sz w:val="18"/>
          <w:szCs w:val="18"/>
        </w:rPr>
        <w:t>, het geven van een belastingkorting per ingevoede kWh en om in plaats van de salderingsregeling een investeringssubsidie aan te bieden</w:t>
      </w:r>
      <w:r w:rsidRPr="0014478B">
        <w:rPr>
          <w:rStyle w:val="Voetnootmarkering"/>
          <w:rFonts w:ascii="Verdana" w:hAnsi="Verdana"/>
          <w:sz w:val="18"/>
          <w:szCs w:val="18"/>
        </w:rPr>
        <w:footnoteReference w:id="42"/>
      </w:r>
      <w:r w:rsidRPr="0014478B">
        <w:rPr>
          <w:rFonts w:ascii="Verdana" w:hAnsi="Verdana"/>
          <w:sz w:val="18"/>
          <w:szCs w:val="18"/>
        </w:rPr>
        <w:t>.</w:t>
      </w:r>
      <w:r w:rsidRPr="0014478B" w:rsidR="004953DD">
        <w:rPr>
          <w:rFonts w:ascii="Verdana" w:hAnsi="Verdana"/>
          <w:sz w:val="18"/>
          <w:szCs w:val="18"/>
        </w:rPr>
        <w:t xml:space="preserve"> Volledigheidshalve wordt in deze bijlage een overzicht gegeven van deze alternatieven met de belangrijkste verschillen ten aanzien van dit wetsvoorstel.</w:t>
      </w:r>
    </w:p>
    <w:p w:rsidRPr="0014478B" w:rsidR="008F4A07" w:rsidP="008F4A07" w:rsidRDefault="008F4A07" w14:paraId="0807016F" w14:textId="313987BC">
      <w:pPr>
        <w:rPr>
          <w:rFonts w:ascii="Verdana" w:hAnsi="Verdana"/>
          <w:sz w:val="18"/>
          <w:szCs w:val="18"/>
        </w:rPr>
      </w:pPr>
      <w:r w:rsidRPr="0014478B">
        <w:rPr>
          <w:rFonts w:ascii="Verdana" w:hAnsi="Verdana"/>
          <w:sz w:val="18"/>
          <w:szCs w:val="18"/>
        </w:rPr>
        <w:t xml:space="preserve">Bij deze alternatieven kan gekeken worden naar het effect hiervan op het verhogen van het eigen verbruik en dus het verminderen van netcongestie, de budgettaire effecten, het effect op de uitrol van zonnepanelen en de uitvoerbaarheid. Hierbij verschilt het effect van de alternatieven op deze drie onderdelen voornamelijk in de periode tot en met 2030. Het structurele effect na 2030 is vergelijkbaar voor de meeste alternatieven. Elk alternatief dat de salderingsregeling </w:t>
      </w:r>
      <w:r w:rsidRPr="0014478B" w:rsidR="000D24D1">
        <w:rPr>
          <w:rFonts w:ascii="Verdana" w:hAnsi="Verdana"/>
          <w:sz w:val="18"/>
          <w:szCs w:val="18"/>
        </w:rPr>
        <w:t>a</w:t>
      </w:r>
      <w:r w:rsidRPr="0014478B" w:rsidR="008102E9">
        <w:rPr>
          <w:rFonts w:ascii="Verdana" w:hAnsi="Verdana"/>
          <w:sz w:val="18"/>
          <w:szCs w:val="18"/>
        </w:rPr>
        <w:t>fbouwt</w:t>
      </w:r>
      <w:r w:rsidRPr="0014478B" w:rsidR="000D24D1">
        <w:rPr>
          <w:rFonts w:ascii="Verdana" w:hAnsi="Verdana"/>
          <w:sz w:val="18"/>
          <w:szCs w:val="18"/>
        </w:rPr>
        <w:t xml:space="preserve"> </w:t>
      </w:r>
      <w:r w:rsidRPr="0014478B">
        <w:rPr>
          <w:rFonts w:ascii="Verdana" w:hAnsi="Verdana"/>
          <w:sz w:val="18"/>
          <w:szCs w:val="18"/>
        </w:rPr>
        <w:t xml:space="preserve">zal zorgen voor een </w:t>
      </w:r>
      <w:r w:rsidRPr="0014478B" w:rsidR="00944724">
        <w:rPr>
          <w:rFonts w:ascii="Verdana" w:hAnsi="Verdana"/>
          <w:sz w:val="18"/>
          <w:szCs w:val="18"/>
        </w:rPr>
        <w:t xml:space="preserve">grotere </w:t>
      </w:r>
      <w:r w:rsidRPr="0014478B">
        <w:rPr>
          <w:rFonts w:ascii="Verdana" w:hAnsi="Verdana"/>
          <w:sz w:val="18"/>
          <w:szCs w:val="18"/>
        </w:rPr>
        <w:t xml:space="preserve">prikkel om zelfopgewekte elektriciteit zoveel mogelijk zelf te verbruiken, tot minder </w:t>
      </w:r>
      <w:r w:rsidRPr="0014478B" w:rsidR="003D2014">
        <w:rPr>
          <w:rFonts w:ascii="Verdana" w:hAnsi="Verdana"/>
          <w:sz w:val="18"/>
          <w:szCs w:val="18"/>
        </w:rPr>
        <w:t>of</w:t>
      </w:r>
      <w:r w:rsidRPr="0014478B">
        <w:rPr>
          <w:rFonts w:ascii="Verdana" w:hAnsi="Verdana"/>
          <w:sz w:val="18"/>
          <w:szCs w:val="18"/>
        </w:rPr>
        <w:t xml:space="preserve"> geen belastingderving en tot een meer </w:t>
      </w:r>
      <w:r w:rsidRPr="0014478B" w:rsidR="00EE5212">
        <w:rPr>
          <w:rFonts w:ascii="Verdana" w:hAnsi="Verdana"/>
          <w:sz w:val="18"/>
          <w:szCs w:val="18"/>
        </w:rPr>
        <w:t xml:space="preserve">beheerste </w:t>
      </w:r>
      <w:r w:rsidRPr="0014478B">
        <w:rPr>
          <w:rFonts w:ascii="Verdana" w:hAnsi="Verdana"/>
          <w:sz w:val="18"/>
          <w:szCs w:val="18"/>
        </w:rPr>
        <w:t xml:space="preserve">uitrol van zonnepanelen. </w:t>
      </w:r>
    </w:p>
    <w:p w:rsidRPr="0014478B" w:rsidR="008F4A07" w:rsidP="008F4A07" w:rsidRDefault="008F4A07" w14:paraId="0FCEBCEB" w14:textId="77777777">
      <w:pPr>
        <w:rPr>
          <w:rFonts w:ascii="Verdana" w:hAnsi="Verdana"/>
          <w:sz w:val="18"/>
          <w:szCs w:val="18"/>
        </w:rPr>
      </w:pPr>
    </w:p>
    <w:tbl>
      <w:tblPr>
        <w:tblW w:w="14293" w:type="dxa"/>
        <w:tblCellMar>
          <w:left w:w="70" w:type="dxa"/>
          <w:right w:w="70" w:type="dxa"/>
        </w:tblCellMar>
        <w:tblLook w:val="04A0" w:firstRow="1" w:lastRow="0" w:firstColumn="1" w:lastColumn="0" w:noHBand="0" w:noVBand="1"/>
      </w:tblPr>
      <w:tblGrid>
        <w:gridCol w:w="2459"/>
        <w:gridCol w:w="2426"/>
        <w:gridCol w:w="1967"/>
        <w:gridCol w:w="1551"/>
        <w:gridCol w:w="3024"/>
        <w:gridCol w:w="2866"/>
      </w:tblGrid>
      <w:tr w:rsidRPr="0014478B" w:rsidR="008F4A07" w14:paraId="0D49512A" w14:textId="77777777">
        <w:trPr>
          <w:trHeight w:val="300"/>
        </w:trPr>
        <w:tc>
          <w:tcPr>
            <w:tcW w:w="2023" w:type="dxa"/>
            <w:vMerge w:val="restart"/>
            <w:tcBorders>
              <w:top w:val="single" w:color="auto" w:sz="4" w:space="0"/>
              <w:left w:val="single" w:color="auto" w:sz="4" w:space="0"/>
              <w:bottom w:val="single" w:color="000000" w:sz="4" w:space="0"/>
              <w:right w:val="single" w:color="auto" w:sz="4" w:space="0"/>
            </w:tcBorders>
            <w:shd w:val="clear" w:color="auto" w:fill="auto"/>
            <w:noWrap/>
            <w:vAlign w:val="bottom"/>
            <w:hideMark/>
          </w:tcPr>
          <w:p w:rsidRPr="0014478B" w:rsidR="008F4A07" w:rsidRDefault="008F4A07" w14:paraId="093242B0" w14:textId="77777777">
            <w:pPr>
              <w:spacing w:after="0" w:line="240" w:lineRule="auto"/>
              <w:jc w:val="center"/>
              <w:rPr>
                <w:rFonts w:ascii="Verdana" w:hAnsi="Verdana" w:eastAsia="Times New Roman" w:cs="Times New Roman"/>
                <w:b/>
                <w:color w:val="000000"/>
                <w:kern w:val="0"/>
                <w:sz w:val="18"/>
                <w:szCs w:val="18"/>
                <w:lang w:eastAsia="nl-NL"/>
                <w14:ligatures w14:val="none"/>
              </w:rPr>
            </w:pPr>
            <w:r w:rsidRPr="0014478B">
              <w:rPr>
                <w:rFonts w:ascii="Verdana" w:hAnsi="Verdana" w:eastAsia="Times New Roman" w:cs="Times New Roman"/>
                <w:b/>
                <w:color w:val="000000"/>
                <w:kern w:val="0"/>
                <w:sz w:val="18"/>
                <w:szCs w:val="18"/>
                <w:lang w:eastAsia="nl-NL"/>
                <w14:ligatures w14:val="none"/>
              </w:rPr>
              <w:t>Alternatief</w:t>
            </w:r>
          </w:p>
        </w:tc>
        <w:tc>
          <w:tcPr>
            <w:tcW w:w="5182" w:type="dxa"/>
            <w:gridSpan w:val="3"/>
            <w:tcBorders>
              <w:top w:val="single" w:color="auto" w:sz="4" w:space="0"/>
              <w:left w:val="nil"/>
              <w:bottom w:val="single" w:color="auto" w:sz="4" w:space="0"/>
              <w:right w:val="single" w:color="auto" w:sz="4" w:space="0"/>
            </w:tcBorders>
            <w:shd w:val="clear" w:color="auto" w:fill="auto"/>
            <w:noWrap/>
            <w:vAlign w:val="bottom"/>
            <w:hideMark/>
          </w:tcPr>
          <w:p w:rsidRPr="0014478B" w:rsidR="008F4A07" w:rsidRDefault="008F4A07" w14:paraId="68352011" w14:textId="77777777">
            <w:pPr>
              <w:spacing w:after="0" w:line="240" w:lineRule="auto"/>
              <w:jc w:val="center"/>
              <w:rPr>
                <w:rFonts w:ascii="Verdana" w:hAnsi="Verdana" w:eastAsia="Times New Roman" w:cs="Times New Roman"/>
                <w:b/>
                <w:color w:val="000000"/>
                <w:kern w:val="0"/>
                <w:sz w:val="18"/>
                <w:szCs w:val="18"/>
                <w:lang w:eastAsia="nl-NL"/>
                <w14:ligatures w14:val="none"/>
              </w:rPr>
            </w:pPr>
            <w:r w:rsidRPr="0014478B">
              <w:rPr>
                <w:rFonts w:ascii="Verdana" w:hAnsi="Verdana" w:eastAsia="Times New Roman" w:cs="Times New Roman"/>
                <w:b/>
                <w:color w:val="000000"/>
                <w:kern w:val="0"/>
                <w:sz w:val="18"/>
                <w:szCs w:val="18"/>
                <w:lang w:eastAsia="nl-NL"/>
                <w14:ligatures w14:val="none"/>
              </w:rPr>
              <w:t>Effect tot en met 2030</w:t>
            </w:r>
          </w:p>
        </w:tc>
        <w:tc>
          <w:tcPr>
            <w:tcW w:w="3544" w:type="dxa"/>
            <w:vMerge w:val="restart"/>
            <w:tcBorders>
              <w:top w:val="single" w:color="auto" w:sz="4" w:space="0"/>
              <w:left w:val="single" w:color="auto" w:sz="4" w:space="0"/>
              <w:right w:val="single" w:color="000000" w:sz="4" w:space="0"/>
            </w:tcBorders>
            <w:vAlign w:val="center"/>
          </w:tcPr>
          <w:p w:rsidRPr="0014478B" w:rsidR="008F4A07" w:rsidRDefault="008F4A07" w14:paraId="591C2CFA" w14:textId="1DF987D1">
            <w:pPr>
              <w:spacing w:after="0" w:line="240" w:lineRule="auto"/>
              <w:jc w:val="center"/>
              <w:rPr>
                <w:rFonts w:ascii="Verdana" w:hAnsi="Verdana" w:eastAsia="Times New Roman" w:cs="Times New Roman"/>
                <w:b/>
                <w:color w:val="000000"/>
                <w:kern w:val="0"/>
                <w:sz w:val="18"/>
                <w:szCs w:val="18"/>
                <w:lang w:eastAsia="nl-NL"/>
                <w14:ligatures w14:val="none"/>
              </w:rPr>
            </w:pPr>
            <w:r w:rsidRPr="0014478B">
              <w:rPr>
                <w:rFonts w:ascii="Verdana" w:hAnsi="Verdana" w:eastAsia="Times New Roman" w:cs="Times New Roman"/>
                <w:b/>
                <w:color w:val="000000"/>
                <w:kern w:val="0"/>
                <w:sz w:val="18"/>
                <w:szCs w:val="18"/>
                <w:lang w:eastAsia="nl-NL"/>
                <w14:ligatures w14:val="none"/>
              </w:rPr>
              <w:t xml:space="preserve">Uitvoerbaarheid voor betrokken </w:t>
            </w:r>
            <w:r w:rsidRPr="0014478B" w:rsidR="00BE3765">
              <w:rPr>
                <w:rFonts w:ascii="Verdana" w:hAnsi="Verdana" w:eastAsia="Times New Roman" w:cs="Times New Roman"/>
                <w:b/>
                <w:color w:val="000000"/>
                <w:kern w:val="0"/>
                <w:sz w:val="18"/>
                <w:szCs w:val="18"/>
                <w:lang w:eastAsia="nl-NL"/>
                <w14:ligatures w14:val="none"/>
              </w:rPr>
              <w:t>markt</w:t>
            </w:r>
            <w:r w:rsidRPr="0014478B">
              <w:rPr>
                <w:rFonts w:ascii="Verdana" w:hAnsi="Verdana" w:eastAsia="Times New Roman" w:cs="Times New Roman"/>
                <w:b/>
                <w:color w:val="000000"/>
                <w:kern w:val="0"/>
                <w:sz w:val="18"/>
                <w:szCs w:val="18"/>
                <w:lang w:eastAsia="nl-NL"/>
                <w14:ligatures w14:val="none"/>
              </w:rPr>
              <w:t>partijen</w:t>
            </w:r>
          </w:p>
        </w:tc>
        <w:tc>
          <w:tcPr>
            <w:tcW w:w="3544" w:type="dxa"/>
            <w:tcBorders>
              <w:top w:val="single" w:color="auto" w:sz="4" w:space="0"/>
              <w:left w:val="single" w:color="auto" w:sz="4" w:space="0"/>
              <w:right w:val="single" w:color="000000" w:sz="4" w:space="0"/>
            </w:tcBorders>
          </w:tcPr>
          <w:p w:rsidRPr="0014478B" w:rsidR="008F4A07" w:rsidRDefault="008F4A07" w14:paraId="28F655E1" w14:textId="77777777">
            <w:pPr>
              <w:spacing w:after="0" w:line="240" w:lineRule="auto"/>
              <w:jc w:val="center"/>
              <w:rPr>
                <w:rFonts w:ascii="Verdana" w:hAnsi="Verdana" w:eastAsia="Times New Roman" w:cs="Times New Roman"/>
                <w:b/>
                <w:color w:val="000000"/>
                <w:kern w:val="0"/>
                <w:sz w:val="18"/>
                <w:szCs w:val="18"/>
                <w:lang w:eastAsia="nl-NL"/>
                <w14:ligatures w14:val="none"/>
              </w:rPr>
            </w:pPr>
          </w:p>
        </w:tc>
      </w:tr>
      <w:tr w:rsidRPr="0014478B" w:rsidR="008F4A07" w14:paraId="5402FBEB" w14:textId="77777777">
        <w:trPr>
          <w:trHeight w:val="315"/>
        </w:trPr>
        <w:tc>
          <w:tcPr>
            <w:tcW w:w="2023" w:type="dxa"/>
            <w:vMerge/>
            <w:tcBorders>
              <w:top w:val="single" w:color="auto" w:sz="4" w:space="0"/>
              <w:left w:val="single" w:color="auto" w:sz="4" w:space="0"/>
              <w:bottom w:val="single" w:color="000000" w:sz="4" w:space="0"/>
              <w:right w:val="single" w:color="auto" w:sz="4" w:space="0"/>
            </w:tcBorders>
            <w:vAlign w:val="center"/>
            <w:hideMark/>
          </w:tcPr>
          <w:p w:rsidRPr="0014478B" w:rsidR="008F4A07" w:rsidRDefault="008F4A07" w14:paraId="50BB631E" w14:textId="77777777">
            <w:pPr>
              <w:spacing w:after="0" w:line="240" w:lineRule="auto"/>
              <w:rPr>
                <w:rFonts w:ascii="Verdana" w:hAnsi="Verdana" w:eastAsia="Times New Roman" w:cs="Times New Roman"/>
                <w:b/>
                <w:color w:val="000000"/>
                <w:kern w:val="0"/>
                <w:sz w:val="18"/>
                <w:szCs w:val="18"/>
                <w:lang w:eastAsia="nl-NL"/>
                <w14:ligatures w14:val="none"/>
              </w:rPr>
            </w:pPr>
          </w:p>
        </w:tc>
        <w:tc>
          <w:tcPr>
            <w:tcW w:w="1762" w:type="dxa"/>
            <w:tcBorders>
              <w:top w:val="nil"/>
              <w:left w:val="nil"/>
              <w:bottom w:val="nil"/>
              <w:right w:val="nil"/>
            </w:tcBorders>
            <w:shd w:val="clear" w:color="auto" w:fill="auto"/>
            <w:noWrap/>
            <w:vAlign w:val="center"/>
            <w:hideMark/>
          </w:tcPr>
          <w:p w:rsidRPr="0014478B" w:rsidR="008F4A07" w:rsidRDefault="008F4A07" w14:paraId="3FD64BD7" w14:textId="77777777">
            <w:pPr>
              <w:spacing w:after="0" w:line="240" w:lineRule="auto"/>
              <w:rPr>
                <w:rFonts w:ascii="Verdana" w:hAnsi="Verdana" w:eastAsia="Times New Roman" w:cs="Times New Roman"/>
                <w:b/>
                <w:color w:val="000000"/>
                <w:kern w:val="0"/>
                <w:sz w:val="18"/>
                <w:szCs w:val="18"/>
                <w:lang w:eastAsia="nl-NL"/>
                <w14:ligatures w14:val="none"/>
              </w:rPr>
            </w:pPr>
            <w:r w:rsidRPr="0014478B">
              <w:rPr>
                <w:rFonts w:ascii="Verdana" w:hAnsi="Verdana" w:eastAsia="Times New Roman" w:cs="Times New Roman"/>
                <w:b/>
                <w:color w:val="000000"/>
                <w:kern w:val="0"/>
                <w:sz w:val="18"/>
                <w:szCs w:val="18"/>
                <w:lang w:eastAsia="nl-NL"/>
                <w14:ligatures w14:val="none"/>
              </w:rPr>
              <w:t>Verhogen eigen verbruik/Verminderen netcongestie</w:t>
            </w:r>
          </w:p>
        </w:tc>
        <w:tc>
          <w:tcPr>
            <w:tcW w:w="1933" w:type="dxa"/>
            <w:tcBorders>
              <w:top w:val="nil"/>
              <w:left w:val="nil"/>
              <w:bottom w:val="nil"/>
              <w:right w:val="nil"/>
            </w:tcBorders>
            <w:shd w:val="clear" w:color="auto" w:fill="auto"/>
            <w:noWrap/>
            <w:vAlign w:val="center"/>
            <w:hideMark/>
          </w:tcPr>
          <w:p w:rsidRPr="0014478B" w:rsidR="008F4A07" w:rsidRDefault="008F4A07" w14:paraId="1B285E0F" w14:textId="48464941">
            <w:pPr>
              <w:spacing w:after="0" w:line="240" w:lineRule="auto"/>
              <w:rPr>
                <w:rFonts w:ascii="Verdana" w:hAnsi="Verdana" w:eastAsia="Times New Roman" w:cs="Times New Roman"/>
                <w:b/>
                <w:color w:val="000000"/>
                <w:kern w:val="0"/>
                <w:sz w:val="18"/>
                <w:szCs w:val="18"/>
                <w:lang w:eastAsia="nl-NL"/>
                <w14:ligatures w14:val="none"/>
              </w:rPr>
            </w:pPr>
            <w:r w:rsidRPr="0014478B">
              <w:rPr>
                <w:rFonts w:ascii="Verdana" w:hAnsi="Verdana" w:eastAsia="Times New Roman" w:cs="Times New Roman"/>
                <w:b/>
                <w:color w:val="000000"/>
                <w:kern w:val="0"/>
                <w:sz w:val="18"/>
                <w:szCs w:val="18"/>
                <w:lang w:eastAsia="nl-NL"/>
                <w14:ligatures w14:val="none"/>
              </w:rPr>
              <w:t>Budgettaire effecten</w:t>
            </w:r>
            <w:r w:rsidRPr="0014478B" w:rsidR="00BE3765">
              <w:rPr>
                <w:rFonts w:ascii="Verdana" w:hAnsi="Verdana" w:eastAsia="Times New Roman" w:cs="Times New Roman"/>
                <w:b/>
                <w:color w:val="000000"/>
                <w:kern w:val="0"/>
                <w:sz w:val="18"/>
                <w:szCs w:val="18"/>
                <w:lang w:eastAsia="nl-NL"/>
                <w14:ligatures w14:val="none"/>
              </w:rPr>
              <w:t xml:space="preserve"> t.o.v. basispad</w:t>
            </w:r>
          </w:p>
        </w:tc>
        <w:tc>
          <w:tcPr>
            <w:tcW w:w="1487" w:type="dxa"/>
            <w:tcBorders>
              <w:top w:val="nil"/>
              <w:left w:val="nil"/>
              <w:bottom w:val="nil"/>
              <w:right w:val="single" w:color="auto" w:sz="4" w:space="0"/>
            </w:tcBorders>
            <w:shd w:val="clear" w:color="auto" w:fill="auto"/>
            <w:noWrap/>
            <w:vAlign w:val="center"/>
            <w:hideMark/>
          </w:tcPr>
          <w:p w:rsidRPr="0014478B" w:rsidR="008F4A07" w:rsidRDefault="008F4A07" w14:paraId="76AD2EF3" w14:textId="77777777">
            <w:pPr>
              <w:spacing w:after="0" w:line="240" w:lineRule="auto"/>
              <w:rPr>
                <w:rFonts w:ascii="Verdana" w:hAnsi="Verdana" w:eastAsia="Times New Roman" w:cs="Times New Roman"/>
                <w:b/>
                <w:color w:val="000000"/>
                <w:kern w:val="0"/>
                <w:sz w:val="18"/>
                <w:szCs w:val="18"/>
                <w:lang w:eastAsia="nl-NL"/>
                <w14:ligatures w14:val="none"/>
              </w:rPr>
            </w:pPr>
            <w:r w:rsidRPr="0014478B">
              <w:rPr>
                <w:rFonts w:ascii="Verdana" w:hAnsi="Verdana" w:eastAsia="Times New Roman" w:cs="Times New Roman"/>
                <w:b/>
                <w:color w:val="000000"/>
                <w:kern w:val="0"/>
                <w:sz w:val="18"/>
                <w:szCs w:val="18"/>
                <w:lang w:eastAsia="nl-NL"/>
                <w14:ligatures w14:val="none"/>
              </w:rPr>
              <w:t>Uitrol zonnepanelen</w:t>
            </w:r>
          </w:p>
        </w:tc>
        <w:tc>
          <w:tcPr>
            <w:tcW w:w="3544" w:type="dxa"/>
            <w:vMerge/>
            <w:tcBorders>
              <w:left w:val="single" w:color="auto" w:sz="4" w:space="0"/>
              <w:bottom w:val="nil"/>
              <w:right w:val="single" w:color="000000" w:sz="4" w:space="0"/>
            </w:tcBorders>
          </w:tcPr>
          <w:p w:rsidRPr="0014478B" w:rsidR="008F4A07" w:rsidRDefault="008F4A07" w14:paraId="6CEF27BF" w14:textId="77777777">
            <w:pPr>
              <w:spacing w:after="0" w:line="240" w:lineRule="auto"/>
              <w:rPr>
                <w:rFonts w:ascii="Verdana" w:hAnsi="Verdana" w:eastAsia="Times New Roman" w:cs="Times New Roman"/>
                <w:b/>
                <w:color w:val="000000"/>
                <w:kern w:val="0"/>
                <w:sz w:val="18"/>
                <w:szCs w:val="18"/>
                <w:lang w:eastAsia="nl-NL"/>
                <w14:ligatures w14:val="none"/>
              </w:rPr>
            </w:pPr>
          </w:p>
        </w:tc>
        <w:tc>
          <w:tcPr>
            <w:tcW w:w="3544" w:type="dxa"/>
            <w:tcBorders>
              <w:left w:val="single" w:color="auto" w:sz="4" w:space="0"/>
              <w:bottom w:val="nil"/>
              <w:right w:val="single" w:color="000000" w:sz="4" w:space="0"/>
            </w:tcBorders>
          </w:tcPr>
          <w:p w:rsidRPr="0014478B" w:rsidR="008F4A07" w:rsidRDefault="008F4A07" w14:paraId="2DD4B3D0" w14:textId="77777777">
            <w:pPr>
              <w:spacing w:after="0" w:line="240" w:lineRule="auto"/>
              <w:jc w:val="center"/>
              <w:rPr>
                <w:rFonts w:ascii="Verdana" w:hAnsi="Verdana" w:eastAsia="Times New Roman" w:cs="Times New Roman"/>
                <w:b/>
                <w:color w:val="000000"/>
                <w:kern w:val="0"/>
                <w:sz w:val="18"/>
                <w:szCs w:val="18"/>
                <w:lang w:eastAsia="nl-NL"/>
                <w14:ligatures w14:val="none"/>
              </w:rPr>
            </w:pPr>
            <w:r w:rsidRPr="0014478B">
              <w:rPr>
                <w:rFonts w:ascii="Verdana" w:hAnsi="Verdana" w:eastAsia="Times New Roman" w:cs="Times New Roman"/>
                <w:b/>
                <w:color w:val="000000"/>
                <w:kern w:val="0"/>
                <w:sz w:val="18"/>
                <w:szCs w:val="18"/>
                <w:lang w:val="en-US" w:eastAsia="nl-NL"/>
                <w14:ligatures w14:val="none"/>
              </w:rPr>
              <w:t>Structureel effect</w:t>
            </w:r>
          </w:p>
        </w:tc>
      </w:tr>
      <w:tr w:rsidRPr="0014478B" w:rsidR="008F4A07" w14:paraId="19902CE8" w14:textId="77777777">
        <w:trPr>
          <w:trHeight w:val="1726"/>
        </w:trPr>
        <w:tc>
          <w:tcPr>
            <w:tcW w:w="2023" w:type="dxa"/>
            <w:tcBorders>
              <w:top w:val="nil"/>
              <w:left w:val="single" w:color="auto" w:sz="4" w:space="0"/>
              <w:bottom w:val="single" w:color="auto" w:sz="4" w:space="0"/>
              <w:right w:val="nil"/>
            </w:tcBorders>
            <w:shd w:val="clear" w:color="auto" w:fill="auto"/>
            <w:vAlign w:val="center"/>
            <w:hideMark/>
          </w:tcPr>
          <w:p w:rsidRPr="0014478B" w:rsidR="008F4A07" w:rsidRDefault="008F4A07" w14:paraId="1187398B" w14:textId="77777777">
            <w:pPr>
              <w:spacing w:after="0" w:line="240" w:lineRule="auto"/>
              <w:rPr>
                <w:rFonts w:ascii="Verdana" w:hAnsi="Verdana" w:eastAsia="Times New Roman" w:cs="Times New Roman"/>
                <w:b/>
                <w:color w:val="000000"/>
                <w:kern w:val="0"/>
                <w:sz w:val="18"/>
                <w:szCs w:val="18"/>
                <w:lang w:eastAsia="nl-NL"/>
                <w14:ligatures w14:val="none"/>
              </w:rPr>
            </w:pPr>
            <w:r w:rsidRPr="0014478B">
              <w:rPr>
                <w:rFonts w:ascii="Verdana" w:hAnsi="Verdana" w:eastAsia="Times New Roman" w:cs="Times New Roman"/>
                <w:b/>
                <w:color w:val="000000"/>
                <w:kern w:val="0"/>
                <w:sz w:val="18"/>
                <w:szCs w:val="18"/>
                <w:lang w:eastAsia="nl-NL"/>
                <w14:ligatures w14:val="none"/>
              </w:rPr>
              <w:t>0: Salderingsregeling behouden</w:t>
            </w:r>
          </w:p>
        </w:tc>
        <w:tc>
          <w:tcPr>
            <w:tcW w:w="1762" w:type="dxa"/>
            <w:tcBorders>
              <w:top w:val="single" w:color="auto" w:sz="8" w:space="0"/>
              <w:left w:val="single" w:color="auto" w:sz="8" w:space="0"/>
              <w:bottom w:val="single" w:color="auto" w:sz="4" w:space="0"/>
              <w:right w:val="nil"/>
            </w:tcBorders>
            <w:shd w:val="clear" w:color="auto" w:fill="auto"/>
            <w:hideMark/>
          </w:tcPr>
          <w:p w:rsidRPr="0014478B" w:rsidR="008F4A07" w:rsidRDefault="008F4A07" w14:paraId="0BB754CD" w14:textId="77777777">
            <w:pPr>
              <w:spacing w:after="0" w:line="240" w:lineRule="auto"/>
              <w:rPr>
                <w:rFonts w:ascii="Verdana" w:hAnsi="Verdana" w:eastAsia="Times New Roman" w:cs="Times New Roman"/>
                <w:i/>
                <w:color w:val="000000"/>
                <w:kern w:val="0"/>
                <w:sz w:val="18"/>
                <w:szCs w:val="18"/>
                <w:lang w:eastAsia="nl-NL"/>
                <w14:ligatures w14:val="none"/>
              </w:rPr>
            </w:pPr>
            <w:r w:rsidRPr="0014478B">
              <w:rPr>
                <w:rFonts w:ascii="Verdana" w:hAnsi="Verdana" w:eastAsia="Times New Roman" w:cs="Times New Roman"/>
                <w:i/>
                <w:color w:val="000000"/>
                <w:kern w:val="0"/>
                <w:sz w:val="18"/>
                <w:szCs w:val="18"/>
                <w:lang w:eastAsia="nl-NL"/>
                <w14:ligatures w14:val="none"/>
              </w:rPr>
              <w:t xml:space="preserve">Geen effect: </w:t>
            </w:r>
          </w:p>
          <w:p w:rsidRPr="0014478B" w:rsidR="008F4A07" w:rsidRDefault="008F4A07" w14:paraId="133D0502" w14:textId="77777777">
            <w:pPr>
              <w:spacing w:after="0" w:line="240" w:lineRule="auto"/>
              <w:rPr>
                <w:rFonts w:ascii="Verdana" w:hAnsi="Verdana" w:eastAsia="Times New Roman" w:cs="Times New Roman"/>
                <w:color w:val="000000"/>
                <w:kern w:val="0"/>
                <w:sz w:val="18"/>
                <w:szCs w:val="18"/>
                <w:lang w:eastAsia="nl-NL"/>
                <w14:ligatures w14:val="none"/>
              </w:rPr>
            </w:pPr>
            <w:r w:rsidRPr="0014478B">
              <w:rPr>
                <w:rFonts w:ascii="Verdana" w:hAnsi="Verdana" w:eastAsia="Times New Roman" w:cs="Times New Roman"/>
                <w:color w:val="000000"/>
                <w:kern w:val="0"/>
                <w:sz w:val="18"/>
                <w:szCs w:val="18"/>
                <w:lang w:eastAsia="nl-NL"/>
                <w14:ligatures w14:val="none"/>
              </w:rPr>
              <w:t>Geen financiële prikkel tot verhogen eigen verbruik, dit is ongunstig voor de belasting van het energiesysteem. De verwachte toename in het aantal zonnepanelen zal de problematiek verergeren.</w:t>
            </w:r>
          </w:p>
        </w:tc>
        <w:tc>
          <w:tcPr>
            <w:tcW w:w="1933" w:type="dxa"/>
            <w:tcBorders>
              <w:top w:val="single" w:color="auto" w:sz="8" w:space="0"/>
              <w:left w:val="nil"/>
              <w:bottom w:val="single" w:color="auto" w:sz="4" w:space="0"/>
              <w:right w:val="nil"/>
            </w:tcBorders>
            <w:shd w:val="clear" w:color="auto" w:fill="auto"/>
            <w:hideMark/>
          </w:tcPr>
          <w:p w:rsidRPr="0014478B" w:rsidR="008F4A07" w:rsidRDefault="00BE3765" w14:paraId="26F5CA9C" w14:textId="482AB3E9">
            <w:pPr>
              <w:spacing w:after="0" w:line="240" w:lineRule="auto"/>
              <w:rPr>
                <w:rFonts w:ascii="Verdana" w:hAnsi="Verdana" w:eastAsia="Times New Roman" w:cs="Times New Roman"/>
                <w:color w:val="000000"/>
                <w:kern w:val="0"/>
                <w:sz w:val="18"/>
                <w:szCs w:val="18"/>
                <w:lang w:eastAsia="nl-NL"/>
                <w14:ligatures w14:val="none"/>
              </w:rPr>
            </w:pPr>
            <w:r w:rsidRPr="0014478B">
              <w:rPr>
                <w:rFonts w:ascii="Verdana" w:hAnsi="Verdana" w:eastAsia="Times New Roman" w:cs="Times New Roman"/>
                <w:i/>
                <w:color w:val="000000"/>
                <w:kern w:val="0"/>
                <w:sz w:val="18"/>
                <w:szCs w:val="18"/>
                <w:lang w:eastAsia="nl-NL"/>
                <w14:ligatures w14:val="none"/>
              </w:rPr>
              <w:t>Groot</w:t>
            </w:r>
            <w:r w:rsidRPr="0014478B" w:rsidR="008F4A07">
              <w:rPr>
                <w:rFonts w:ascii="Verdana" w:hAnsi="Verdana" w:eastAsia="Times New Roman" w:cs="Times New Roman"/>
                <w:i/>
                <w:color w:val="000000"/>
                <w:kern w:val="0"/>
                <w:sz w:val="18"/>
                <w:szCs w:val="18"/>
                <w:lang w:eastAsia="nl-NL"/>
                <w14:ligatures w14:val="none"/>
              </w:rPr>
              <w:t xml:space="preserve"> effect:</w:t>
            </w:r>
            <w:r w:rsidRPr="0014478B" w:rsidR="008F4A07">
              <w:rPr>
                <w:rFonts w:ascii="Verdana" w:hAnsi="Verdana" w:eastAsia="Times New Roman" w:cs="Times New Roman"/>
                <w:color w:val="000000"/>
                <w:kern w:val="0"/>
                <w:sz w:val="18"/>
                <w:szCs w:val="18"/>
                <w:lang w:eastAsia="nl-NL"/>
                <w14:ligatures w14:val="none"/>
              </w:rPr>
              <w:t xml:space="preserve"> Belastingderving blijft bestaan, minimaal €500 miljoen per jaar.</w:t>
            </w:r>
          </w:p>
        </w:tc>
        <w:tc>
          <w:tcPr>
            <w:tcW w:w="1487" w:type="dxa"/>
            <w:tcBorders>
              <w:top w:val="single" w:color="auto" w:sz="8" w:space="0"/>
              <w:left w:val="nil"/>
              <w:bottom w:val="single" w:color="auto" w:sz="4" w:space="0"/>
              <w:right w:val="single" w:color="auto" w:sz="4" w:space="0"/>
            </w:tcBorders>
            <w:shd w:val="clear" w:color="auto" w:fill="auto"/>
            <w:hideMark/>
          </w:tcPr>
          <w:p w:rsidRPr="0014478B" w:rsidR="008F4A07" w:rsidRDefault="008F4A07" w14:paraId="3E6A94F2" w14:textId="77777777">
            <w:pPr>
              <w:spacing w:after="0" w:line="240" w:lineRule="auto"/>
              <w:rPr>
                <w:rFonts w:ascii="Verdana" w:hAnsi="Verdana" w:eastAsia="Times New Roman" w:cs="Times New Roman"/>
                <w:i/>
                <w:color w:val="000000"/>
                <w:kern w:val="0"/>
                <w:sz w:val="18"/>
                <w:szCs w:val="18"/>
                <w:lang w:eastAsia="nl-NL"/>
                <w14:ligatures w14:val="none"/>
              </w:rPr>
            </w:pPr>
            <w:r w:rsidRPr="0014478B">
              <w:rPr>
                <w:rFonts w:ascii="Verdana" w:hAnsi="Verdana" w:eastAsia="Times New Roman" w:cs="Times New Roman"/>
                <w:i/>
                <w:color w:val="000000"/>
                <w:kern w:val="0"/>
                <w:sz w:val="18"/>
                <w:szCs w:val="18"/>
                <w:lang w:eastAsia="nl-NL"/>
                <w14:ligatures w14:val="none"/>
              </w:rPr>
              <w:t xml:space="preserve">Geen effect: </w:t>
            </w:r>
          </w:p>
          <w:p w:rsidRPr="0014478B" w:rsidR="008F4A07" w:rsidRDefault="008F4A07" w14:paraId="19E0CC54" w14:textId="77777777">
            <w:pPr>
              <w:spacing w:after="0" w:line="240" w:lineRule="auto"/>
              <w:rPr>
                <w:rFonts w:ascii="Verdana" w:hAnsi="Verdana" w:eastAsia="Times New Roman" w:cs="Times New Roman"/>
                <w:color w:val="000000"/>
                <w:kern w:val="0"/>
                <w:sz w:val="18"/>
                <w:szCs w:val="18"/>
                <w:lang w:eastAsia="nl-NL"/>
                <w14:ligatures w14:val="none"/>
              </w:rPr>
            </w:pPr>
            <w:r w:rsidRPr="0014478B">
              <w:rPr>
                <w:rFonts w:ascii="Verdana" w:hAnsi="Verdana" w:eastAsia="Times New Roman" w:cs="Times New Roman"/>
                <w:color w:val="000000"/>
                <w:kern w:val="0"/>
                <w:sz w:val="18"/>
                <w:szCs w:val="18"/>
                <w:lang w:eastAsia="nl-NL"/>
                <w14:ligatures w14:val="none"/>
              </w:rPr>
              <w:t>De uitrol van zonnepanelen zal geen vertraging oplopen of zelfs sneller gaan. Hierdoor zal het resterende potentieel</w:t>
            </w:r>
            <w:r w:rsidRPr="0014478B">
              <w:rPr>
                <w:rStyle w:val="Voetnootmarkering"/>
                <w:rFonts w:ascii="Verdana" w:hAnsi="Verdana" w:eastAsia="Times New Roman" w:cs="Times New Roman"/>
                <w:color w:val="000000"/>
                <w:kern w:val="0"/>
                <w:sz w:val="18"/>
                <w:szCs w:val="18"/>
                <w:lang w:eastAsia="nl-NL"/>
                <w14:ligatures w14:val="none"/>
              </w:rPr>
              <w:footnoteReference w:id="43"/>
            </w:r>
            <w:r w:rsidRPr="0014478B">
              <w:rPr>
                <w:rFonts w:ascii="Verdana" w:hAnsi="Verdana" w:eastAsia="Times New Roman" w:cs="Times New Roman"/>
                <w:color w:val="000000"/>
                <w:kern w:val="0"/>
                <w:sz w:val="18"/>
                <w:szCs w:val="18"/>
                <w:lang w:eastAsia="nl-NL"/>
                <w14:ligatures w14:val="none"/>
              </w:rPr>
              <w:t xml:space="preserve"> voor zon op </w:t>
            </w:r>
            <w:r w:rsidRPr="0014478B">
              <w:rPr>
                <w:rFonts w:ascii="Verdana" w:hAnsi="Verdana" w:eastAsia="Times New Roman" w:cs="Times New Roman"/>
                <w:color w:val="000000"/>
                <w:kern w:val="0"/>
                <w:sz w:val="18"/>
                <w:szCs w:val="18"/>
                <w:lang w:eastAsia="nl-NL"/>
                <w14:ligatures w14:val="none"/>
              </w:rPr>
              <w:lastRenderedPageBreak/>
              <w:t>dak snel ingevuld worden.</w:t>
            </w:r>
          </w:p>
        </w:tc>
        <w:tc>
          <w:tcPr>
            <w:tcW w:w="3544" w:type="dxa"/>
            <w:tcBorders>
              <w:top w:val="single" w:color="auto" w:sz="8" w:space="0"/>
              <w:left w:val="nil"/>
              <w:bottom w:val="single" w:color="auto" w:sz="4" w:space="0"/>
              <w:right w:val="single" w:color="auto" w:sz="8" w:space="0"/>
            </w:tcBorders>
          </w:tcPr>
          <w:p w:rsidRPr="0014478B" w:rsidR="008F4A07" w:rsidRDefault="008F4A07" w14:paraId="600B5FC5" w14:textId="77777777">
            <w:pPr>
              <w:spacing w:after="0" w:line="240" w:lineRule="auto"/>
              <w:rPr>
                <w:rFonts w:ascii="Verdana" w:hAnsi="Verdana" w:eastAsia="Times New Roman" w:cs="Times New Roman"/>
                <w:color w:val="000000"/>
                <w:kern w:val="0"/>
                <w:sz w:val="18"/>
                <w:szCs w:val="18"/>
                <w:lang w:eastAsia="nl-NL"/>
                <w14:ligatures w14:val="none"/>
              </w:rPr>
            </w:pPr>
            <w:r w:rsidRPr="0014478B">
              <w:rPr>
                <w:rFonts w:ascii="Verdana" w:hAnsi="Verdana" w:eastAsia="Times New Roman" w:cs="Times New Roman"/>
                <w:i/>
                <w:iCs/>
                <w:color w:val="000000"/>
                <w:kern w:val="0"/>
                <w:sz w:val="18"/>
                <w:szCs w:val="18"/>
                <w:lang w:eastAsia="nl-NL"/>
                <w14:ligatures w14:val="none"/>
              </w:rPr>
              <w:lastRenderedPageBreak/>
              <w:t>Geen effect</w:t>
            </w:r>
            <w:r w:rsidRPr="0014478B">
              <w:rPr>
                <w:rFonts w:ascii="Verdana" w:hAnsi="Verdana" w:eastAsia="Times New Roman" w:cs="Times New Roman"/>
                <w:color w:val="000000"/>
                <w:kern w:val="0"/>
                <w:sz w:val="18"/>
                <w:szCs w:val="18"/>
                <w:lang w:eastAsia="nl-NL"/>
                <w14:ligatures w14:val="none"/>
              </w:rPr>
              <w:t>:</w:t>
            </w:r>
          </w:p>
          <w:p w:rsidRPr="0014478B" w:rsidR="008F4A07" w:rsidRDefault="008F4A07" w14:paraId="2F65FDAE" w14:textId="77777777">
            <w:pPr>
              <w:spacing w:after="0" w:line="240" w:lineRule="auto"/>
              <w:rPr>
                <w:rFonts w:ascii="Verdana" w:hAnsi="Verdana" w:eastAsia="Times New Roman" w:cs="Times New Roman"/>
                <w:color w:val="000000"/>
                <w:kern w:val="0"/>
                <w:sz w:val="18"/>
                <w:szCs w:val="18"/>
                <w:lang w:eastAsia="nl-NL"/>
                <w14:ligatures w14:val="none"/>
              </w:rPr>
            </w:pPr>
            <w:r w:rsidRPr="0014478B">
              <w:rPr>
                <w:rFonts w:ascii="Verdana" w:hAnsi="Verdana" w:eastAsia="Times New Roman" w:cs="Times New Roman"/>
                <w:color w:val="000000"/>
                <w:kern w:val="0"/>
                <w:sz w:val="18"/>
                <w:szCs w:val="18"/>
                <w:lang w:eastAsia="nl-NL"/>
                <w14:ligatures w14:val="none"/>
              </w:rPr>
              <w:t xml:space="preserve">Vergt geen aanpassingen van systemen. </w:t>
            </w:r>
          </w:p>
        </w:tc>
        <w:tc>
          <w:tcPr>
            <w:tcW w:w="3544" w:type="dxa"/>
            <w:tcBorders>
              <w:top w:val="single" w:color="auto" w:sz="8" w:space="0"/>
              <w:left w:val="nil"/>
              <w:bottom w:val="single" w:color="auto" w:sz="4" w:space="0"/>
              <w:right w:val="single" w:color="auto" w:sz="8" w:space="0"/>
            </w:tcBorders>
          </w:tcPr>
          <w:p w:rsidRPr="0014478B" w:rsidR="008F4A07" w:rsidRDefault="008F4A07" w14:paraId="76C1D260" w14:textId="77777777">
            <w:pPr>
              <w:spacing w:after="0" w:line="240" w:lineRule="auto"/>
              <w:rPr>
                <w:rFonts w:ascii="Verdana" w:hAnsi="Verdana" w:eastAsia="Times New Roman" w:cs="Times New Roman"/>
                <w:color w:val="000000"/>
                <w:kern w:val="0"/>
                <w:sz w:val="18"/>
                <w:szCs w:val="18"/>
                <w:lang w:eastAsia="nl-NL"/>
                <w14:ligatures w14:val="none"/>
              </w:rPr>
            </w:pPr>
            <w:r w:rsidRPr="0014478B">
              <w:rPr>
                <w:rFonts w:ascii="Verdana" w:hAnsi="Verdana" w:eastAsia="Times New Roman" w:cs="Times New Roman"/>
                <w:color w:val="000000"/>
                <w:kern w:val="0"/>
                <w:sz w:val="18"/>
                <w:szCs w:val="18"/>
                <w:lang w:eastAsia="nl-NL"/>
                <w14:ligatures w14:val="none"/>
              </w:rPr>
              <w:t>Ongunstig voor belasting van het energiesysteem.</w:t>
            </w:r>
          </w:p>
          <w:p w:rsidRPr="0014478B" w:rsidR="008F4A07" w:rsidRDefault="008F4A07" w14:paraId="04B0A8BC" w14:textId="77777777">
            <w:pPr>
              <w:spacing w:after="0" w:line="240" w:lineRule="auto"/>
              <w:rPr>
                <w:rFonts w:ascii="Verdana" w:hAnsi="Verdana" w:eastAsia="Times New Roman" w:cs="Times New Roman"/>
                <w:color w:val="000000"/>
                <w:kern w:val="0"/>
                <w:sz w:val="18"/>
                <w:szCs w:val="18"/>
                <w:lang w:eastAsia="nl-NL"/>
                <w14:ligatures w14:val="none"/>
              </w:rPr>
            </w:pPr>
          </w:p>
          <w:p w:rsidRPr="0014478B" w:rsidR="008F4A07" w:rsidRDefault="008F4A07" w14:paraId="0845F184" w14:textId="343D3DE5">
            <w:pPr>
              <w:spacing w:after="0" w:line="240" w:lineRule="auto"/>
              <w:rPr>
                <w:rFonts w:ascii="Verdana" w:hAnsi="Verdana" w:eastAsia="Times New Roman" w:cs="Times New Roman"/>
                <w:color w:val="000000"/>
                <w:kern w:val="0"/>
                <w:sz w:val="18"/>
                <w:szCs w:val="18"/>
                <w:lang w:eastAsia="nl-NL"/>
                <w14:ligatures w14:val="none"/>
              </w:rPr>
            </w:pPr>
            <w:r w:rsidRPr="0014478B">
              <w:rPr>
                <w:rFonts w:ascii="Verdana" w:hAnsi="Verdana" w:eastAsia="Times New Roman" w:cs="Times New Roman"/>
                <w:color w:val="000000"/>
                <w:kern w:val="0"/>
                <w:sz w:val="18"/>
                <w:szCs w:val="18"/>
                <w:lang w:eastAsia="nl-NL"/>
                <w14:ligatures w14:val="none"/>
              </w:rPr>
              <w:t>Belastingderving van €6</w:t>
            </w:r>
            <w:r w:rsidRPr="0014478B" w:rsidR="009A192B">
              <w:rPr>
                <w:rFonts w:ascii="Verdana" w:hAnsi="Verdana" w:eastAsia="Times New Roman" w:cs="Times New Roman"/>
                <w:color w:val="000000"/>
                <w:kern w:val="0"/>
                <w:sz w:val="18"/>
                <w:szCs w:val="18"/>
                <w:lang w:eastAsia="nl-NL"/>
                <w14:ligatures w14:val="none"/>
              </w:rPr>
              <w:t>6</w:t>
            </w:r>
            <w:r w:rsidRPr="0014478B">
              <w:rPr>
                <w:rFonts w:ascii="Verdana" w:hAnsi="Verdana" w:eastAsia="Times New Roman" w:cs="Times New Roman"/>
                <w:color w:val="000000"/>
                <w:kern w:val="0"/>
                <w:sz w:val="18"/>
                <w:szCs w:val="18"/>
                <w:lang w:eastAsia="nl-NL"/>
                <w14:ligatures w14:val="none"/>
              </w:rPr>
              <w:t>5 miljoen per jaar.</w:t>
            </w:r>
          </w:p>
          <w:p w:rsidRPr="0014478B" w:rsidR="008F4A07" w:rsidRDefault="008F4A07" w14:paraId="7E4F17C9" w14:textId="77777777">
            <w:pPr>
              <w:spacing w:after="0" w:line="240" w:lineRule="auto"/>
              <w:rPr>
                <w:rFonts w:ascii="Verdana" w:hAnsi="Verdana" w:eastAsia="Times New Roman" w:cs="Times New Roman"/>
                <w:color w:val="000000"/>
                <w:kern w:val="0"/>
                <w:sz w:val="18"/>
                <w:szCs w:val="18"/>
                <w:lang w:eastAsia="nl-NL"/>
                <w14:ligatures w14:val="none"/>
              </w:rPr>
            </w:pPr>
          </w:p>
          <w:p w:rsidRPr="0014478B" w:rsidR="008F4A07" w:rsidRDefault="008F4A07" w14:paraId="3B507B1F" w14:textId="77777777">
            <w:pPr>
              <w:spacing w:after="0" w:line="240" w:lineRule="auto"/>
              <w:rPr>
                <w:rFonts w:ascii="Verdana" w:hAnsi="Verdana" w:eastAsia="Times New Roman" w:cs="Times New Roman"/>
                <w:color w:val="000000"/>
                <w:kern w:val="0"/>
                <w:sz w:val="18"/>
                <w:szCs w:val="18"/>
                <w:lang w:eastAsia="nl-NL"/>
                <w14:ligatures w14:val="none"/>
              </w:rPr>
            </w:pPr>
            <w:r w:rsidRPr="0014478B">
              <w:rPr>
                <w:rFonts w:ascii="Verdana" w:hAnsi="Verdana" w:eastAsia="Times New Roman" w:cs="Times New Roman"/>
                <w:color w:val="000000"/>
                <w:kern w:val="0"/>
                <w:sz w:val="18"/>
                <w:szCs w:val="18"/>
                <w:lang w:eastAsia="nl-NL"/>
                <w14:ligatures w14:val="none"/>
              </w:rPr>
              <w:t>Uitrol zonnepanelen zal afnemen door snelle invulling van de potentie van onbenutte daken.</w:t>
            </w:r>
          </w:p>
        </w:tc>
      </w:tr>
      <w:tr w:rsidRPr="0014478B" w:rsidR="008F4A07" w14:paraId="36432766" w14:textId="77777777">
        <w:trPr>
          <w:trHeight w:val="2102"/>
        </w:trPr>
        <w:tc>
          <w:tcPr>
            <w:tcW w:w="2023" w:type="dxa"/>
            <w:tcBorders>
              <w:top w:val="nil"/>
              <w:left w:val="single" w:color="auto" w:sz="4" w:space="0"/>
              <w:bottom w:val="single" w:color="auto" w:sz="4" w:space="0"/>
              <w:right w:val="nil"/>
            </w:tcBorders>
            <w:shd w:val="clear" w:color="auto" w:fill="auto"/>
            <w:vAlign w:val="center"/>
            <w:hideMark/>
          </w:tcPr>
          <w:p w:rsidRPr="0014478B" w:rsidR="008F4A07" w:rsidRDefault="008F4A07" w14:paraId="4B176F30" w14:textId="77777777">
            <w:pPr>
              <w:spacing w:after="0" w:line="240" w:lineRule="auto"/>
              <w:rPr>
                <w:rFonts w:ascii="Verdana" w:hAnsi="Verdana" w:eastAsia="Times New Roman" w:cs="Times New Roman"/>
                <w:b/>
                <w:color w:val="000000"/>
                <w:kern w:val="0"/>
                <w:sz w:val="18"/>
                <w:szCs w:val="18"/>
                <w:lang w:eastAsia="nl-NL"/>
                <w14:ligatures w14:val="none"/>
              </w:rPr>
            </w:pPr>
            <w:r w:rsidRPr="0014478B">
              <w:rPr>
                <w:rFonts w:ascii="Verdana" w:hAnsi="Verdana" w:eastAsia="Times New Roman" w:cs="Times New Roman"/>
                <w:b/>
                <w:color w:val="000000"/>
                <w:kern w:val="0"/>
                <w:sz w:val="18"/>
                <w:szCs w:val="18"/>
                <w:lang w:eastAsia="nl-NL"/>
                <w14:ligatures w14:val="none"/>
              </w:rPr>
              <w:t>1: Salderingsregeling beëindigen per 2027</w:t>
            </w:r>
          </w:p>
        </w:tc>
        <w:tc>
          <w:tcPr>
            <w:tcW w:w="1762" w:type="dxa"/>
            <w:tcBorders>
              <w:top w:val="nil"/>
              <w:left w:val="single" w:color="auto" w:sz="8" w:space="0"/>
              <w:bottom w:val="single" w:color="auto" w:sz="4" w:space="0"/>
              <w:right w:val="nil"/>
            </w:tcBorders>
            <w:shd w:val="clear" w:color="auto" w:fill="auto"/>
            <w:hideMark/>
          </w:tcPr>
          <w:p w:rsidRPr="0014478B" w:rsidR="008F4A07" w:rsidRDefault="008F4A07" w14:paraId="5D115309" w14:textId="77777777">
            <w:pPr>
              <w:spacing w:after="0" w:line="240" w:lineRule="auto"/>
              <w:rPr>
                <w:rFonts w:ascii="Verdana" w:hAnsi="Verdana" w:eastAsia="Times New Roman" w:cs="Times New Roman"/>
                <w:i/>
                <w:color w:val="000000"/>
                <w:kern w:val="0"/>
                <w:sz w:val="18"/>
                <w:szCs w:val="18"/>
                <w:lang w:eastAsia="nl-NL"/>
                <w14:ligatures w14:val="none"/>
              </w:rPr>
            </w:pPr>
            <w:r w:rsidRPr="0014478B">
              <w:rPr>
                <w:rFonts w:ascii="Verdana" w:hAnsi="Verdana" w:eastAsia="Times New Roman" w:cs="Times New Roman"/>
                <w:i/>
                <w:color w:val="000000"/>
                <w:kern w:val="0"/>
                <w:sz w:val="18"/>
                <w:szCs w:val="18"/>
                <w:lang w:eastAsia="nl-NL"/>
                <w14:ligatures w14:val="none"/>
              </w:rPr>
              <w:t xml:space="preserve">Groot effect: </w:t>
            </w:r>
          </w:p>
          <w:p w:rsidRPr="0014478B" w:rsidR="008F4A07" w:rsidRDefault="008F4A07" w14:paraId="7CAB6EDC" w14:textId="77777777">
            <w:pPr>
              <w:spacing w:after="0" w:line="240" w:lineRule="auto"/>
              <w:rPr>
                <w:rFonts w:ascii="Verdana" w:hAnsi="Verdana" w:eastAsia="Times New Roman" w:cs="Times New Roman"/>
                <w:color w:val="000000"/>
                <w:kern w:val="0"/>
                <w:sz w:val="18"/>
                <w:szCs w:val="18"/>
                <w:lang w:eastAsia="nl-NL"/>
                <w14:ligatures w14:val="none"/>
              </w:rPr>
            </w:pPr>
            <w:r w:rsidRPr="0014478B">
              <w:rPr>
                <w:rFonts w:ascii="Verdana" w:hAnsi="Verdana" w:eastAsia="Times New Roman" w:cs="Times New Roman"/>
                <w:color w:val="000000"/>
                <w:kern w:val="0"/>
                <w:sz w:val="18"/>
                <w:szCs w:val="18"/>
                <w:lang w:eastAsia="nl-NL"/>
                <w14:ligatures w14:val="none"/>
              </w:rPr>
              <w:t>Vanaf 2027 maximale financiële prikkel om het eigen verbruik te verhogen. Dit heeft per direct een effect op het verminderen van het risico op netcongestie.</w:t>
            </w:r>
          </w:p>
        </w:tc>
        <w:tc>
          <w:tcPr>
            <w:tcW w:w="1933" w:type="dxa"/>
            <w:tcBorders>
              <w:top w:val="nil"/>
              <w:left w:val="nil"/>
              <w:bottom w:val="single" w:color="auto" w:sz="4" w:space="0"/>
              <w:right w:val="nil"/>
            </w:tcBorders>
            <w:shd w:val="clear" w:color="auto" w:fill="auto"/>
            <w:hideMark/>
          </w:tcPr>
          <w:p w:rsidRPr="0014478B" w:rsidR="008F4A07" w:rsidRDefault="00BE3765" w14:paraId="57C8F205" w14:textId="5B4D6EEE">
            <w:pPr>
              <w:spacing w:after="0" w:line="240" w:lineRule="auto"/>
              <w:rPr>
                <w:rFonts w:ascii="Verdana" w:hAnsi="Verdana" w:eastAsia="Times New Roman" w:cs="Times New Roman"/>
                <w:i/>
                <w:color w:val="000000"/>
                <w:kern w:val="0"/>
                <w:sz w:val="18"/>
                <w:szCs w:val="18"/>
                <w:lang w:eastAsia="nl-NL"/>
                <w14:ligatures w14:val="none"/>
              </w:rPr>
            </w:pPr>
            <w:r w:rsidRPr="0014478B">
              <w:rPr>
                <w:rFonts w:ascii="Verdana" w:hAnsi="Verdana" w:eastAsia="Times New Roman" w:cs="Times New Roman"/>
                <w:i/>
                <w:color w:val="000000"/>
                <w:kern w:val="0"/>
                <w:sz w:val="18"/>
                <w:szCs w:val="18"/>
                <w:lang w:eastAsia="nl-NL"/>
                <w14:ligatures w14:val="none"/>
              </w:rPr>
              <w:t>Geen</w:t>
            </w:r>
            <w:r w:rsidRPr="0014478B" w:rsidR="008F4A07">
              <w:rPr>
                <w:rFonts w:ascii="Verdana" w:hAnsi="Verdana" w:eastAsia="Times New Roman" w:cs="Times New Roman"/>
                <w:i/>
                <w:color w:val="000000"/>
                <w:kern w:val="0"/>
                <w:sz w:val="18"/>
                <w:szCs w:val="18"/>
                <w:lang w:eastAsia="nl-NL"/>
                <w14:ligatures w14:val="none"/>
              </w:rPr>
              <w:t xml:space="preserve"> effect: </w:t>
            </w:r>
          </w:p>
          <w:p w:rsidRPr="0014478B" w:rsidR="008F4A07" w:rsidRDefault="008F4A07" w14:paraId="52F98CA5" w14:textId="77777777">
            <w:pPr>
              <w:spacing w:after="0" w:line="240" w:lineRule="auto"/>
              <w:rPr>
                <w:rFonts w:ascii="Verdana" w:hAnsi="Verdana" w:eastAsia="Times New Roman" w:cs="Times New Roman"/>
                <w:color w:val="000000"/>
                <w:kern w:val="0"/>
                <w:sz w:val="18"/>
                <w:szCs w:val="18"/>
                <w:lang w:eastAsia="nl-NL"/>
                <w14:ligatures w14:val="none"/>
              </w:rPr>
            </w:pPr>
            <w:r w:rsidRPr="0014478B">
              <w:rPr>
                <w:rFonts w:ascii="Verdana" w:hAnsi="Verdana" w:eastAsia="Times New Roman" w:cs="Times New Roman"/>
                <w:color w:val="000000"/>
                <w:kern w:val="0"/>
                <w:sz w:val="18"/>
                <w:szCs w:val="18"/>
                <w:lang w:eastAsia="nl-NL"/>
                <w14:ligatures w14:val="none"/>
              </w:rPr>
              <w:t>Vanaf 2027 per direct geen belastingderving meer.</w:t>
            </w:r>
          </w:p>
        </w:tc>
        <w:tc>
          <w:tcPr>
            <w:tcW w:w="1487" w:type="dxa"/>
            <w:tcBorders>
              <w:top w:val="nil"/>
              <w:left w:val="nil"/>
              <w:bottom w:val="single" w:color="auto" w:sz="4" w:space="0"/>
              <w:right w:val="single" w:color="auto" w:sz="4" w:space="0"/>
            </w:tcBorders>
            <w:shd w:val="clear" w:color="auto" w:fill="auto"/>
            <w:hideMark/>
          </w:tcPr>
          <w:p w:rsidRPr="0014478B" w:rsidR="008F4A07" w:rsidRDefault="008F4A07" w14:paraId="4A95862F" w14:textId="77777777">
            <w:pPr>
              <w:spacing w:after="0" w:line="240" w:lineRule="auto"/>
              <w:rPr>
                <w:rFonts w:ascii="Verdana" w:hAnsi="Verdana" w:eastAsia="Times New Roman" w:cs="Times New Roman"/>
                <w:i/>
                <w:color w:val="000000"/>
                <w:kern w:val="0"/>
                <w:sz w:val="18"/>
                <w:szCs w:val="18"/>
                <w:lang w:eastAsia="nl-NL"/>
                <w14:ligatures w14:val="none"/>
              </w:rPr>
            </w:pPr>
            <w:r w:rsidRPr="0014478B">
              <w:rPr>
                <w:rFonts w:ascii="Verdana" w:hAnsi="Verdana" w:eastAsia="Times New Roman" w:cs="Times New Roman"/>
                <w:i/>
                <w:color w:val="000000"/>
                <w:kern w:val="0"/>
                <w:sz w:val="18"/>
                <w:szCs w:val="18"/>
                <w:lang w:eastAsia="nl-NL"/>
                <w14:ligatures w14:val="none"/>
              </w:rPr>
              <w:t xml:space="preserve">Groot effect: </w:t>
            </w:r>
          </w:p>
          <w:p w:rsidRPr="0014478B" w:rsidR="008F4A07" w:rsidRDefault="008F4A07" w14:paraId="654996A8" w14:textId="2C7C59BA">
            <w:pPr>
              <w:spacing w:after="0" w:line="240" w:lineRule="auto"/>
              <w:rPr>
                <w:rFonts w:ascii="Verdana" w:hAnsi="Verdana" w:eastAsia="Times New Roman" w:cs="Times New Roman"/>
                <w:color w:val="000000"/>
                <w:kern w:val="0"/>
                <w:sz w:val="18"/>
                <w:szCs w:val="18"/>
                <w:lang w:eastAsia="nl-NL"/>
                <w14:ligatures w14:val="none"/>
              </w:rPr>
            </w:pPr>
            <w:r w:rsidRPr="0014478B">
              <w:rPr>
                <w:rFonts w:ascii="Verdana" w:hAnsi="Verdana" w:eastAsia="Times New Roman" w:cs="Times New Roman"/>
                <w:color w:val="000000"/>
                <w:kern w:val="0"/>
                <w:sz w:val="18"/>
                <w:szCs w:val="18"/>
                <w:lang w:eastAsia="nl-NL"/>
                <w14:ligatures w14:val="none"/>
              </w:rPr>
              <w:t xml:space="preserve">De uitrol van zonnepanelen zal trager gaan ten opzichte van de afgelopen jaren. Hiermee zal het resterende potentieel voor de uitrol van zon op dak </w:t>
            </w:r>
            <w:r w:rsidRPr="0014478B" w:rsidR="00EE3F75">
              <w:rPr>
                <w:rFonts w:ascii="Verdana" w:hAnsi="Verdana" w:eastAsia="Times New Roman" w:cs="Times New Roman"/>
                <w:color w:val="000000"/>
                <w:kern w:val="0"/>
                <w:sz w:val="18"/>
                <w:szCs w:val="18"/>
                <w:lang w:eastAsia="nl-NL"/>
                <w14:ligatures w14:val="none"/>
              </w:rPr>
              <w:t>naar verwachting niet volledig benut</w:t>
            </w:r>
            <w:r w:rsidRPr="0014478B">
              <w:rPr>
                <w:rFonts w:ascii="Verdana" w:hAnsi="Verdana" w:eastAsia="Times New Roman" w:cs="Times New Roman"/>
                <w:color w:val="000000"/>
                <w:kern w:val="0"/>
                <w:sz w:val="18"/>
                <w:szCs w:val="18"/>
                <w:lang w:eastAsia="nl-NL"/>
                <w14:ligatures w14:val="none"/>
              </w:rPr>
              <w:t xml:space="preserve"> worden.  </w:t>
            </w:r>
          </w:p>
        </w:tc>
        <w:tc>
          <w:tcPr>
            <w:tcW w:w="3544" w:type="dxa"/>
            <w:tcBorders>
              <w:top w:val="nil"/>
              <w:left w:val="nil"/>
              <w:bottom w:val="single" w:color="auto" w:sz="4" w:space="0"/>
              <w:right w:val="single" w:color="auto" w:sz="8" w:space="0"/>
            </w:tcBorders>
          </w:tcPr>
          <w:p w:rsidRPr="0014478B" w:rsidR="008F4A07" w:rsidRDefault="008F4A07" w14:paraId="5325A636" w14:textId="77777777">
            <w:pPr>
              <w:spacing w:after="0" w:line="240" w:lineRule="auto"/>
              <w:rPr>
                <w:rFonts w:ascii="Verdana" w:hAnsi="Verdana" w:eastAsia="Times New Roman" w:cs="Times New Roman"/>
                <w:color w:val="000000"/>
                <w:kern w:val="0"/>
                <w:sz w:val="18"/>
                <w:szCs w:val="18"/>
                <w:lang w:eastAsia="nl-NL"/>
                <w14:ligatures w14:val="none"/>
              </w:rPr>
            </w:pPr>
            <w:r w:rsidRPr="0014478B">
              <w:rPr>
                <w:rFonts w:ascii="Verdana" w:hAnsi="Verdana" w:eastAsia="Times New Roman" w:cs="Times New Roman"/>
                <w:i/>
                <w:iCs/>
                <w:color w:val="000000"/>
                <w:kern w:val="0"/>
                <w:sz w:val="18"/>
                <w:szCs w:val="18"/>
                <w:lang w:eastAsia="nl-NL"/>
                <w14:ligatures w14:val="none"/>
              </w:rPr>
              <w:t>Klein effect</w:t>
            </w:r>
            <w:r w:rsidRPr="0014478B">
              <w:rPr>
                <w:rFonts w:ascii="Verdana" w:hAnsi="Verdana" w:eastAsia="Times New Roman" w:cs="Times New Roman"/>
                <w:color w:val="000000"/>
                <w:kern w:val="0"/>
                <w:sz w:val="18"/>
                <w:szCs w:val="18"/>
                <w:lang w:eastAsia="nl-NL"/>
                <w14:ligatures w14:val="none"/>
              </w:rPr>
              <w:t>:</w:t>
            </w:r>
          </w:p>
          <w:p w:rsidRPr="0014478B" w:rsidR="008F4A07" w:rsidRDefault="008F4A07" w14:paraId="66665722" w14:textId="77777777">
            <w:pPr>
              <w:spacing w:after="0" w:line="240" w:lineRule="auto"/>
              <w:rPr>
                <w:rFonts w:ascii="Verdana" w:hAnsi="Verdana" w:eastAsia="Times New Roman" w:cs="Times New Roman"/>
                <w:color w:val="000000"/>
                <w:kern w:val="0"/>
                <w:sz w:val="18"/>
                <w:szCs w:val="18"/>
                <w:lang w:eastAsia="nl-NL"/>
                <w14:ligatures w14:val="none"/>
              </w:rPr>
            </w:pPr>
            <w:r w:rsidRPr="0014478B">
              <w:rPr>
                <w:rFonts w:ascii="Verdana" w:hAnsi="Verdana" w:eastAsia="Times New Roman" w:cs="Times New Roman"/>
                <w:color w:val="000000"/>
                <w:kern w:val="0"/>
                <w:sz w:val="18"/>
                <w:szCs w:val="18"/>
                <w:lang w:eastAsia="nl-NL"/>
                <w14:ligatures w14:val="none"/>
              </w:rPr>
              <w:t>Vergt een eenvoudige systeemaanpassing voor energieleveranciers.</w:t>
            </w:r>
          </w:p>
          <w:p w:rsidRPr="0014478B" w:rsidR="008F4A07" w:rsidRDefault="008F4A07" w14:paraId="7F29944E" w14:textId="77777777">
            <w:pPr>
              <w:spacing w:after="0" w:line="240" w:lineRule="auto"/>
              <w:rPr>
                <w:rFonts w:ascii="Verdana" w:hAnsi="Verdana" w:eastAsia="Times New Roman" w:cs="Times New Roman"/>
                <w:color w:val="000000"/>
                <w:kern w:val="0"/>
                <w:sz w:val="18"/>
                <w:szCs w:val="18"/>
                <w:lang w:eastAsia="nl-NL"/>
                <w14:ligatures w14:val="none"/>
              </w:rPr>
            </w:pPr>
          </w:p>
          <w:p w:rsidRPr="0014478B" w:rsidR="008F4A07" w:rsidRDefault="008F4A07" w14:paraId="792B762F" w14:textId="398AFEC0">
            <w:pPr>
              <w:spacing w:after="0" w:line="240" w:lineRule="auto"/>
              <w:rPr>
                <w:rFonts w:ascii="Verdana" w:hAnsi="Verdana" w:eastAsia="Times New Roman" w:cs="Times New Roman"/>
                <w:color w:val="000000"/>
                <w:kern w:val="0"/>
                <w:sz w:val="18"/>
                <w:szCs w:val="18"/>
                <w:lang w:eastAsia="nl-NL"/>
                <w14:ligatures w14:val="none"/>
              </w:rPr>
            </w:pPr>
            <w:r w:rsidRPr="0014478B">
              <w:rPr>
                <w:rFonts w:ascii="Verdana" w:hAnsi="Verdana" w:eastAsia="Times New Roman" w:cs="Times New Roman"/>
                <w:color w:val="000000"/>
                <w:kern w:val="0"/>
                <w:sz w:val="18"/>
                <w:szCs w:val="18"/>
                <w:lang w:eastAsia="nl-NL"/>
                <w14:ligatures w14:val="none"/>
              </w:rPr>
              <w:t xml:space="preserve">Vergt dat elke zonnepaneelbezitter beschikking heeft over een </w:t>
            </w:r>
            <w:r w:rsidRPr="0014478B" w:rsidR="002C7BE8">
              <w:rPr>
                <w:rFonts w:ascii="Verdana" w:hAnsi="Verdana" w:eastAsia="Times New Roman" w:cs="Times New Roman"/>
                <w:color w:val="000000"/>
                <w:kern w:val="0"/>
                <w:sz w:val="18"/>
                <w:szCs w:val="18"/>
                <w:lang w:eastAsia="nl-NL"/>
                <w14:ligatures w14:val="none"/>
              </w:rPr>
              <w:t xml:space="preserve">geschikte </w:t>
            </w:r>
            <w:r w:rsidRPr="0014478B">
              <w:rPr>
                <w:rFonts w:ascii="Verdana" w:hAnsi="Verdana" w:eastAsia="Times New Roman" w:cs="Times New Roman"/>
                <w:color w:val="000000"/>
                <w:kern w:val="0"/>
                <w:sz w:val="18"/>
                <w:szCs w:val="18"/>
                <w:lang w:eastAsia="nl-NL"/>
                <w14:ligatures w14:val="none"/>
              </w:rPr>
              <w:t>meter.</w:t>
            </w:r>
          </w:p>
        </w:tc>
        <w:tc>
          <w:tcPr>
            <w:tcW w:w="3544" w:type="dxa"/>
            <w:tcBorders>
              <w:top w:val="nil"/>
              <w:left w:val="nil"/>
              <w:bottom w:val="single" w:color="auto" w:sz="4" w:space="0"/>
              <w:right w:val="single" w:color="auto" w:sz="8" w:space="0"/>
            </w:tcBorders>
          </w:tcPr>
          <w:p w:rsidRPr="0014478B" w:rsidR="008F4A07" w:rsidRDefault="008F4A07" w14:paraId="1361E10A" w14:textId="245BDED9">
            <w:pPr>
              <w:spacing w:after="0" w:line="240" w:lineRule="auto"/>
              <w:rPr>
                <w:rFonts w:ascii="Verdana" w:hAnsi="Verdana" w:eastAsia="Times New Roman" w:cs="Times New Roman"/>
                <w:color w:val="000000"/>
                <w:kern w:val="0"/>
                <w:sz w:val="18"/>
                <w:szCs w:val="18"/>
                <w:lang w:eastAsia="nl-NL"/>
                <w14:ligatures w14:val="none"/>
              </w:rPr>
            </w:pPr>
            <w:r w:rsidRPr="0014478B">
              <w:rPr>
                <w:rFonts w:ascii="Verdana" w:hAnsi="Verdana" w:eastAsia="Times New Roman" w:cs="Times New Roman"/>
                <w:color w:val="000000"/>
                <w:kern w:val="0"/>
                <w:sz w:val="18"/>
                <w:szCs w:val="18"/>
                <w:lang w:eastAsia="nl-NL"/>
                <w14:ligatures w14:val="none"/>
              </w:rPr>
              <w:t>Financiële prikkel om zoveel mogelijk zelfopgewekte elektriciteit zelf te verbruiken.</w:t>
            </w:r>
          </w:p>
          <w:p w:rsidRPr="0014478B" w:rsidR="008F4A07" w:rsidRDefault="008F4A07" w14:paraId="2D02E8C4" w14:textId="77777777">
            <w:pPr>
              <w:spacing w:after="0" w:line="240" w:lineRule="auto"/>
              <w:rPr>
                <w:rFonts w:ascii="Verdana" w:hAnsi="Verdana" w:eastAsia="Times New Roman" w:cs="Times New Roman"/>
                <w:color w:val="000000"/>
                <w:kern w:val="0"/>
                <w:sz w:val="18"/>
                <w:szCs w:val="18"/>
                <w:lang w:eastAsia="nl-NL"/>
                <w14:ligatures w14:val="none"/>
              </w:rPr>
            </w:pPr>
          </w:p>
          <w:p w:rsidRPr="0014478B" w:rsidR="008F4A07" w:rsidRDefault="008F4A07" w14:paraId="63A88084" w14:textId="77777777">
            <w:pPr>
              <w:spacing w:after="0" w:line="240" w:lineRule="auto"/>
              <w:rPr>
                <w:rFonts w:ascii="Verdana" w:hAnsi="Verdana" w:eastAsia="Times New Roman" w:cs="Times New Roman"/>
                <w:color w:val="000000"/>
                <w:kern w:val="0"/>
                <w:sz w:val="18"/>
                <w:szCs w:val="18"/>
                <w:lang w:eastAsia="nl-NL"/>
                <w14:ligatures w14:val="none"/>
              </w:rPr>
            </w:pPr>
            <w:r w:rsidRPr="0014478B">
              <w:rPr>
                <w:rFonts w:ascii="Verdana" w:hAnsi="Verdana" w:eastAsia="Times New Roman" w:cs="Times New Roman"/>
                <w:color w:val="000000"/>
                <w:kern w:val="0"/>
                <w:sz w:val="18"/>
                <w:szCs w:val="18"/>
                <w:lang w:eastAsia="nl-NL"/>
                <w14:ligatures w14:val="none"/>
              </w:rPr>
              <w:t>Geen belastingderving.</w:t>
            </w:r>
          </w:p>
          <w:p w:rsidRPr="0014478B" w:rsidR="008F4A07" w:rsidRDefault="008F4A07" w14:paraId="52573593" w14:textId="77777777">
            <w:pPr>
              <w:spacing w:after="0" w:line="240" w:lineRule="auto"/>
              <w:rPr>
                <w:rFonts w:ascii="Verdana" w:hAnsi="Verdana" w:eastAsia="Times New Roman" w:cs="Times New Roman"/>
                <w:color w:val="000000"/>
                <w:kern w:val="0"/>
                <w:sz w:val="18"/>
                <w:szCs w:val="18"/>
                <w:lang w:eastAsia="nl-NL"/>
                <w14:ligatures w14:val="none"/>
              </w:rPr>
            </w:pPr>
          </w:p>
          <w:p w:rsidRPr="0014478B" w:rsidR="008F4A07" w:rsidRDefault="008F4A07" w14:paraId="76AF1846" w14:textId="7380EF2A">
            <w:pPr>
              <w:spacing w:after="0" w:line="240" w:lineRule="auto"/>
              <w:rPr>
                <w:rFonts w:ascii="Verdana" w:hAnsi="Verdana" w:eastAsia="Times New Roman" w:cs="Times New Roman"/>
                <w:color w:val="000000"/>
                <w:kern w:val="0"/>
                <w:sz w:val="18"/>
                <w:szCs w:val="18"/>
                <w:lang w:eastAsia="nl-NL"/>
                <w14:ligatures w14:val="none"/>
              </w:rPr>
            </w:pPr>
            <w:r w:rsidRPr="0014478B">
              <w:rPr>
                <w:rFonts w:ascii="Verdana" w:hAnsi="Verdana" w:eastAsia="Times New Roman" w:cs="Times New Roman"/>
                <w:color w:val="000000"/>
                <w:kern w:val="0"/>
                <w:sz w:val="18"/>
                <w:szCs w:val="18"/>
                <w:lang w:eastAsia="nl-NL"/>
                <w14:ligatures w14:val="none"/>
              </w:rPr>
              <w:t xml:space="preserve">Onbenutte potentie zal </w:t>
            </w:r>
            <w:r w:rsidRPr="0014478B" w:rsidR="00996029">
              <w:rPr>
                <w:rFonts w:ascii="Verdana" w:hAnsi="Verdana" w:eastAsia="Times New Roman" w:cs="Times New Roman"/>
                <w:color w:val="000000"/>
                <w:kern w:val="0"/>
                <w:sz w:val="18"/>
                <w:szCs w:val="18"/>
                <w:lang w:eastAsia="nl-NL"/>
                <w14:ligatures w14:val="none"/>
              </w:rPr>
              <w:t xml:space="preserve">meer </w:t>
            </w:r>
            <w:r w:rsidRPr="0014478B" w:rsidR="001150D4">
              <w:rPr>
                <w:rFonts w:ascii="Verdana" w:hAnsi="Verdana" w:eastAsia="Times New Roman" w:cs="Times New Roman"/>
                <w:color w:val="000000"/>
                <w:kern w:val="0"/>
                <w:sz w:val="18"/>
                <w:szCs w:val="18"/>
                <w:lang w:eastAsia="nl-NL"/>
                <w14:ligatures w14:val="none"/>
              </w:rPr>
              <w:t xml:space="preserve">beheerst </w:t>
            </w:r>
            <w:r w:rsidRPr="0014478B">
              <w:rPr>
                <w:rFonts w:ascii="Verdana" w:hAnsi="Verdana" w:eastAsia="Times New Roman" w:cs="Times New Roman"/>
                <w:color w:val="000000"/>
                <w:kern w:val="0"/>
                <w:sz w:val="18"/>
                <w:szCs w:val="18"/>
                <w:lang w:eastAsia="nl-NL"/>
                <w14:ligatures w14:val="none"/>
              </w:rPr>
              <w:t xml:space="preserve">worden ingevuld. </w:t>
            </w:r>
          </w:p>
        </w:tc>
      </w:tr>
      <w:tr w:rsidRPr="0014478B" w:rsidR="008F4A07" w14:paraId="65D04AFD" w14:textId="77777777">
        <w:trPr>
          <w:trHeight w:val="2102"/>
        </w:trPr>
        <w:tc>
          <w:tcPr>
            <w:tcW w:w="2023" w:type="dxa"/>
            <w:tcBorders>
              <w:top w:val="nil"/>
              <w:left w:val="single" w:color="auto" w:sz="4" w:space="0"/>
              <w:bottom w:val="single" w:color="auto" w:sz="4" w:space="0"/>
              <w:right w:val="nil"/>
            </w:tcBorders>
            <w:shd w:val="clear" w:color="auto" w:fill="auto"/>
            <w:vAlign w:val="center"/>
            <w:hideMark/>
          </w:tcPr>
          <w:p w:rsidRPr="0014478B" w:rsidR="008F4A07" w:rsidRDefault="008F4A07" w14:paraId="494B322C" w14:textId="77777777">
            <w:pPr>
              <w:spacing w:after="0" w:line="240" w:lineRule="auto"/>
              <w:rPr>
                <w:rFonts w:ascii="Verdana" w:hAnsi="Verdana" w:eastAsia="Times New Roman" w:cs="Times New Roman"/>
                <w:b/>
                <w:color w:val="000000"/>
                <w:kern w:val="0"/>
                <w:sz w:val="18"/>
                <w:szCs w:val="18"/>
                <w:lang w:eastAsia="nl-NL"/>
                <w14:ligatures w14:val="none"/>
              </w:rPr>
            </w:pPr>
            <w:r w:rsidRPr="0014478B">
              <w:rPr>
                <w:rFonts w:ascii="Verdana" w:hAnsi="Verdana" w:eastAsia="Times New Roman" w:cs="Times New Roman"/>
                <w:b/>
                <w:color w:val="000000"/>
                <w:kern w:val="0"/>
                <w:sz w:val="18"/>
                <w:szCs w:val="18"/>
                <w:lang w:eastAsia="nl-NL"/>
                <w14:ligatures w14:val="none"/>
              </w:rPr>
              <w:t>2: Salderingsregeling geleidelijk afbouwen tot en met 2030</w:t>
            </w:r>
            <w:r w:rsidRPr="0014478B">
              <w:rPr>
                <w:rStyle w:val="Voetnootmarkering"/>
                <w:rFonts w:ascii="Verdana" w:hAnsi="Verdana" w:eastAsia="Times New Roman" w:cs="Times New Roman"/>
                <w:b/>
                <w:color w:val="000000"/>
                <w:kern w:val="0"/>
                <w:sz w:val="18"/>
                <w:szCs w:val="18"/>
                <w:lang w:eastAsia="nl-NL"/>
                <w14:ligatures w14:val="none"/>
              </w:rPr>
              <w:footnoteReference w:id="44"/>
            </w:r>
            <w:r w:rsidRPr="0014478B">
              <w:rPr>
                <w:rFonts w:ascii="Verdana" w:hAnsi="Verdana" w:eastAsia="Times New Roman" w:cs="Times New Roman"/>
                <w:b/>
                <w:color w:val="000000"/>
                <w:kern w:val="0"/>
                <w:sz w:val="18"/>
                <w:szCs w:val="18"/>
                <w:lang w:eastAsia="nl-NL"/>
                <w14:ligatures w14:val="none"/>
              </w:rPr>
              <w:t>.</w:t>
            </w:r>
          </w:p>
          <w:p w:rsidRPr="0014478B" w:rsidR="008F4A07" w:rsidRDefault="008F4A07" w14:paraId="64D08BB6" w14:textId="77777777">
            <w:pPr>
              <w:spacing w:after="0" w:line="240" w:lineRule="auto"/>
              <w:rPr>
                <w:rFonts w:ascii="Verdana" w:hAnsi="Verdana" w:eastAsia="Times New Roman" w:cs="Times New Roman"/>
                <w:b/>
                <w:color w:val="000000"/>
                <w:kern w:val="0"/>
                <w:sz w:val="18"/>
                <w:szCs w:val="18"/>
                <w:lang w:eastAsia="nl-NL"/>
                <w14:ligatures w14:val="none"/>
              </w:rPr>
            </w:pPr>
          </w:p>
        </w:tc>
        <w:tc>
          <w:tcPr>
            <w:tcW w:w="1762" w:type="dxa"/>
            <w:tcBorders>
              <w:top w:val="nil"/>
              <w:left w:val="single" w:color="auto" w:sz="8" w:space="0"/>
              <w:bottom w:val="single" w:color="auto" w:sz="4" w:space="0"/>
              <w:right w:val="nil"/>
            </w:tcBorders>
            <w:shd w:val="clear" w:color="auto" w:fill="auto"/>
            <w:hideMark/>
          </w:tcPr>
          <w:p w:rsidRPr="0014478B" w:rsidR="00263E74" w:rsidRDefault="008F4A07" w14:paraId="10268FAB" w14:textId="77777777">
            <w:pPr>
              <w:spacing w:after="0" w:line="240" w:lineRule="auto"/>
              <w:rPr>
                <w:rFonts w:ascii="Verdana" w:hAnsi="Verdana" w:eastAsia="Times New Roman" w:cs="Times New Roman"/>
                <w:color w:val="000000"/>
                <w:kern w:val="0"/>
                <w:sz w:val="18"/>
                <w:szCs w:val="18"/>
                <w:lang w:eastAsia="nl-NL"/>
                <w14:ligatures w14:val="none"/>
              </w:rPr>
            </w:pPr>
            <w:r w:rsidRPr="0014478B">
              <w:rPr>
                <w:rFonts w:ascii="Verdana" w:hAnsi="Verdana" w:eastAsia="Times New Roman" w:cs="Times New Roman"/>
                <w:i/>
                <w:iCs/>
                <w:color w:val="000000"/>
                <w:kern w:val="0"/>
                <w:sz w:val="18"/>
                <w:szCs w:val="18"/>
                <w:lang w:eastAsia="nl-NL"/>
                <w14:ligatures w14:val="none"/>
              </w:rPr>
              <w:t>Klein effect</w:t>
            </w:r>
            <w:r w:rsidRPr="0014478B">
              <w:rPr>
                <w:rFonts w:ascii="Verdana" w:hAnsi="Verdana" w:eastAsia="Times New Roman" w:cs="Times New Roman"/>
                <w:color w:val="000000"/>
                <w:kern w:val="0"/>
                <w:sz w:val="18"/>
                <w:szCs w:val="18"/>
                <w:lang w:eastAsia="nl-NL"/>
                <w14:ligatures w14:val="none"/>
              </w:rPr>
              <w:t xml:space="preserve">: </w:t>
            </w:r>
          </w:p>
          <w:p w:rsidRPr="0014478B" w:rsidR="008F4A07" w:rsidRDefault="008F4A07" w14:paraId="2F8CBB21" w14:textId="05DD26CF">
            <w:pPr>
              <w:spacing w:after="0" w:line="240" w:lineRule="auto"/>
              <w:rPr>
                <w:rFonts w:ascii="Verdana" w:hAnsi="Verdana" w:eastAsia="Times New Roman" w:cs="Times New Roman"/>
                <w:color w:val="000000"/>
                <w:kern w:val="0"/>
                <w:sz w:val="18"/>
                <w:szCs w:val="18"/>
                <w:lang w:eastAsia="nl-NL"/>
                <w14:ligatures w14:val="none"/>
              </w:rPr>
            </w:pPr>
            <w:r w:rsidRPr="0014478B">
              <w:rPr>
                <w:rFonts w:ascii="Verdana" w:hAnsi="Verdana" w:eastAsia="Times New Roman" w:cs="Times New Roman"/>
                <w:color w:val="000000"/>
                <w:kern w:val="0"/>
                <w:sz w:val="18"/>
                <w:szCs w:val="18"/>
                <w:lang w:eastAsia="nl-NL"/>
                <w14:ligatures w14:val="none"/>
              </w:rPr>
              <w:t xml:space="preserve">Financiële prikkel om eigen verbruik te verhogen groeit geleidelijk tot 2030. </w:t>
            </w:r>
          </w:p>
        </w:tc>
        <w:tc>
          <w:tcPr>
            <w:tcW w:w="1933" w:type="dxa"/>
            <w:tcBorders>
              <w:top w:val="nil"/>
              <w:left w:val="nil"/>
              <w:bottom w:val="single" w:color="auto" w:sz="4" w:space="0"/>
              <w:right w:val="nil"/>
            </w:tcBorders>
            <w:shd w:val="clear" w:color="auto" w:fill="auto"/>
            <w:hideMark/>
          </w:tcPr>
          <w:p w:rsidRPr="0014478B" w:rsidR="008F4A07" w:rsidRDefault="008F4A07" w14:paraId="44F3BE0D" w14:textId="77777777">
            <w:pPr>
              <w:spacing w:after="0" w:line="240" w:lineRule="auto"/>
              <w:rPr>
                <w:rFonts w:ascii="Verdana" w:hAnsi="Verdana" w:eastAsia="Times New Roman" w:cs="Times New Roman"/>
                <w:color w:val="000000"/>
                <w:kern w:val="0"/>
                <w:sz w:val="18"/>
                <w:szCs w:val="18"/>
                <w:lang w:eastAsia="nl-NL"/>
                <w14:ligatures w14:val="none"/>
              </w:rPr>
            </w:pPr>
            <w:r w:rsidRPr="0014478B">
              <w:rPr>
                <w:rFonts w:ascii="Verdana" w:hAnsi="Verdana" w:eastAsia="Times New Roman" w:cs="Times New Roman"/>
                <w:i/>
                <w:iCs/>
                <w:color w:val="000000"/>
                <w:kern w:val="0"/>
                <w:sz w:val="18"/>
                <w:szCs w:val="18"/>
                <w:lang w:eastAsia="nl-NL"/>
                <w14:ligatures w14:val="none"/>
              </w:rPr>
              <w:t>Klein effect</w:t>
            </w:r>
            <w:r w:rsidRPr="0014478B">
              <w:rPr>
                <w:rFonts w:ascii="Verdana" w:hAnsi="Verdana" w:eastAsia="Times New Roman" w:cs="Times New Roman"/>
                <w:color w:val="000000"/>
                <w:kern w:val="0"/>
                <w:sz w:val="18"/>
                <w:szCs w:val="18"/>
                <w:lang w:eastAsia="nl-NL"/>
                <w14:ligatures w14:val="none"/>
              </w:rPr>
              <w:t>: Geleidelijk aan minder belastingderving. Na 2030 stopt de derving.</w:t>
            </w:r>
          </w:p>
        </w:tc>
        <w:tc>
          <w:tcPr>
            <w:tcW w:w="1487" w:type="dxa"/>
            <w:tcBorders>
              <w:top w:val="nil"/>
              <w:left w:val="nil"/>
              <w:bottom w:val="single" w:color="auto" w:sz="4" w:space="0"/>
              <w:right w:val="single" w:color="auto" w:sz="4" w:space="0"/>
            </w:tcBorders>
            <w:shd w:val="clear" w:color="auto" w:fill="auto"/>
            <w:hideMark/>
          </w:tcPr>
          <w:p w:rsidRPr="0014478B" w:rsidR="008F4A07" w:rsidRDefault="008F4A07" w14:paraId="55CEC320" w14:textId="77777777">
            <w:pPr>
              <w:spacing w:after="0" w:line="240" w:lineRule="auto"/>
              <w:rPr>
                <w:rFonts w:ascii="Verdana" w:hAnsi="Verdana" w:eastAsia="Times New Roman" w:cs="Times New Roman"/>
                <w:color w:val="000000"/>
                <w:kern w:val="0"/>
                <w:sz w:val="18"/>
                <w:szCs w:val="18"/>
                <w:lang w:eastAsia="nl-NL"/>
                <w14:ligatures w14:val="none"/>
              </w:rPr>
            </w:pPr>
            <w:r w:rsidRPr="0014478B">
              <w:rPr>
                <w:rFonts w:ascii="Verdana" w:hAnsi="Verdana" w:eastAsia="Times New Roman" w:cs="Times New Roman"/>
                <w:i/>
                <w:iCs/>
                <w:color w:val="000000"/>
                <w:kern w:val="0"/>
                <w:sz w:val="18"/>
                <w:szCs w:val="18"/>
                <w:lang w:eastAsia="nl-NL"/>
                <w14:ligatures w14:val="none"/>
              </w:rPr>
              <w:t>Klein effect</w:t>
            </w:r>
            <w:r w:rsidRPr="0014478B">
              <w:rPr>
                <w:rFonts w:ascii="Verdana" w:hAnsi="Verdana" w:eastAsia="Times New Roman" w:cs="Times New Roman"/>
                <w:color w:val="000000"/>
                <w:kern w:val="0"/>
                <w:sz w:val="18"/>
                <w:szCs w:val="18"/>
                <w:lang w:eastAsia="nl-NL"/>
                <w14:ligatures w14:val="none"/>
              </w:rPr>
              <w:t xml:space="preserve">: </w:t>
            </w:r>
          </w:p>
          <w:p w:rsidRPr="0014478B" w:rsidR="008F4A07" w:rsidRDefault="008F4A07" w14:paraId="78208A9F" w14:textId="34641146">
            <w:pPr>
              <w:spacing w:after="0" w:line="240" w:lineRule="auto"/>
              <w:rPr>
                <w:rFonts w:ascii="Verdana" w:hAnsi="Verdana" w:eastAsia="Times New Roman" w:cs="Times New Roman"/>
                <w:color w:val="000000"/>
                <w:kern w:val="0"/>
                <w:sz w:val="18"/>
                <w:szCs w:val="18"/>
                <w:lang w:eastAsia="nl-NL"/>
                <w14:ligatures w14:val="none"/>
              </w:rPr>
            </w:pPr>
            <w:r w:rsidRPr="0014478B">
              <w:rPr>
                <w:rFonts w:ascii="Verdana" w:hAnsi="Verdana" w:eastAsia="Times New Roman" w:cs="Times New Roman"/>
                <w:color w:val="000000"/>
                <w:kern w:val="0"/>
                <w:sz w:val="18"/>
                <w:szCs w:val="18"/>
                <w:lang w:eastAsia="nl-NL"/>
                <w14:ligatures w14:val="none"/>
              </w:rPr>
              <w:t xml:space="preserve">De uitrol van zonnepanelen zal iets trager gaan ten opzichte van de afgelopen jaren. Hiermee zal het resterende potentieel voor de uitrol van zon op dak </w:t>
            </w:r>
            <w:r w:rsidRPr="0014478B" w:rsidR="00BE7DE4">
              <w:rPr>
                <w:rFonts w:ascii="Verdana" w:hAnsi="Verdana" w:eastAsia="Times New Roman" w:cs="Times New Roman"/>
                <w:color w:val="000000"/>
                <w:kern w:val="0"/>
                <w:sz w:val="18"/>
                <w:szCs w:val="18"/>
                <w:lang w:eastAsia="nl-NL"/>
                <w14:ligatures w14:val="none"/>
              </w:rPr>
              <w:lastRenderedPageBreak/>
              <w:t>meer beheerst</w:t>
            </w:r>
            <w:r w:rsidRPr="0014478B" w:rsidR="00673054">
              <w:rPr>
                <w:rFonts w:ascii="Verdana" w:hAnsi="Verdana" w:eastAsia="Times New Roman" w:cs="Times New Roman"/>
                <w:color w:val="000000"/>
                <w:kern w:val="0"/>
                <w:sz w:val="18"/>
                <w:szCs w:val="18"/>
                <w:lang w:eastAsia="nl-NL"/>
                <w14:ligatures w14:val="none"/>
              </w:rPr>
              <w:t xml:space="preserve"> </w:t>
            </w:r>
            <w:r w:rsidRPr="0014478B">
              <w:rPr>
                <w:rFonts w:ascii="Verdana" w:hAnsi="Verdana" w:eastAsia="Times New Roman" w:cs="Times New Roman"/>
                <w:color w:val="000000"/>
                <w:kern w:val="0"/>
                <w:sz w:val="18"/>
                <w:szCs w:val="18"/>
                <w:lang w:eastAsia="nl-NL"/>
                <w14:ligatures w14:val="none"/>
              </w:rPr>
              <w:t xml:space="preserve">benut worden.  </w:t>
            </w:r>
          </w:p>
        </w:tc>
        <w:tc>
          <w:tcPr>
            <w:tcW w:w="3544" w:type="dxa"/>
            <w:tcBorders>
              <w:top w:val="nil"/>
              <w:left w:val="nil"/>
              <w:bottom w:val="single" w:color="auto" w:sz="4" w:space="0"/>
              <w:right w:val="single" w:color="auto" w:sz="8" w:space="0"/>
            </w:tcBorders>
          </w:tcPr>
          <w:p w:rsidRPr="0014478B" w:rsidR="008F4A07" w:rsidRDefault="008F4A07" w14:paraId="1372FA76" w14:textId="77777777">
            <w:pPr>
              <w:spacing w:after="0" w:line="240" w:lineRule="auto"/>
              <w:rPr>
                <w:rFonts w:ascii="Verdana" w:hAnsi="Verdana" w:eastAsia="Times New Roman" w:cs="Times New Roman"/>
                <w:color w:val="000000"/>
                <w:kern w:val="0"/>
                <w:sz w:val="18"/>
                <w:szCs w:val="18"/>
                <w:lang w:eastAsia="nl-NL"/>
                <w14:ligatures w14:val="none"/>
              </w:rPr>
            </w:pPr>
            <w:r w:rsidRPr="0014478B">
              <w:rPr>
                <w:rFonts w:ascii="Verdana" w:hAnsi="Verdana" w:eastAsia="Times New Roman" w:cs="Times New Roman"/>
                <w:i/>
                <w:iCs/>
                <w:color w:val="000000"/>
                <w:kern w:val="0"/>
                <w:sz w:val="18"/>
                <w:szCs w:val="18"/>
                <w:lang w:eastAsia="nl-NL"/>
                <w14:ligatures w14:val="none"/>
              </w:rPr>
              <w:lastRenderedPageBreak/>
              <w:t>Gemiddeld effect</w:t>
            </w:r>
            <w:r w:rsidRPr="0014478B">
              <w:rPr>
                <w:rFonts w:ascii="Verdana" w:hAnsi="Verdana" w:eastAsia="Times New Roman" w:cs="Times New Roman"/>
                <w:color w:val="000000"/>
                <w:kern w:val="0"/>
                <w:sz w:val="18"/>
                <w:szCs w:val="18"/>
                <w:lang w:eastAsia="nl-NL"/>
                <w14:ligatures w14:val="none"/>
              </w:rPr>
              <w:t>:</w:t>
            </w:r>
          </w:p>
          <w:p w:rsidRPr="0014478B" w:rsidR="008F4A07" w:rsidRDefault="008F4A07" w14:paraId="3CFF4EB8" w14:textId="77777777">
            <w:pPr>
              <w:spacing w:after="0" w:line="240" w:lineRule="auto"/>
              <w:rPr>
                <w:rFonts w:ascii="Verdana" w:hAnsi="Verdana" w:eastAsia="Times New Roman" w:cs="Times New Roman"/>
                <w:color w:val="000000"/>
                <w:kern w:val="0"/>
                <w:sz w:val="18"/>
                <w:szCs w:val="18"/>
                <w:lang w:eastAsia="nl-NL"/>
                <w14:ligatures w14:val="none"/>
              </w:rPr>
            </w:pPr>
            <w:r w:rsidRPr="0014478B">
              <w:rPr>
                <w:rFonts w:ascii="Verdana" w:hAnsi="Verdana" w:eastAsia="Times New Roman" w:cs="Times New Roman"/>
                <w:color w:val="000000"/>
                <w:kern w:val="0"/>
                <w:sz w:val="18"/>
                <w:szCs w:val="18"/>
                <w:lang w:eastAsia="nl-NL"/>
                <w14:ligatures w14:val="none"/>
              </w:rPr>
              <w:t xml:space="preserve">Vergt een uitgebreide aanpassing van de systemen van energieleveranciers. </w:t>
            </w:r>
          </w:p>
          <w:p w:rsidRPr="0014478B" w:rsidR="008F4A07" w:rsidRDefault="008F4A07" w14:paraId="297BB81F" w14:textId="77777777">
            <w:pPr>
              <w:spacing w:after="0" w:line="240" w:lineRule="auto"/>
              <w:rPr>
                <w:rFonts w:ascii="Verdana" w:hAnsi="Verdana" w:eastAsia="Times New Roman" w:cs="Times New Roman"/>
                <w:color w:val="000000"/>
                <w:kern w:val="0"/>
                <w:sz w:val="18"/>
                <w:szCs w:val="18"/>
                <w:lang w:eastAsia="nl-NL"/>
                <w14:ligatures w14:val="none"/>
              </w:rPr>
            </w:pPr>
          </w:p>
          <w:p w:rsidRPr="0014478B" w:rsidR="008F4A07" w:rsidRDefault="008F4A07" w14:paraId="0A53377C" w14:textId="7DF77D5F">
            <w:pPr>
              <w:spacing w:after="0" w:line="240" w:lineRule="auto"/>
              <w:rPr>
                <w:rFonts w:ascii="Verdana" w:hAnsi="Verdana" w:eastAsia="Times New Roman" w:cs="Times New Roman"/>
                <w:color w:val="000000"/>
                <w:kern w:val="0"/>
                <w:sz w:val="18"/>
                <w:szCs w:val="18"/>
                <w:lang w:eastAsia="nl-NL"/>
                <w14:ligatures w14:val="none"/>
              </w:rPr>
            </w:pPr>
            <w:r w:rsidRPr="0014478B">
              <w:rPr>
                <w:rFonts w:ascii="Verdana" w:hAnsi="Verdana" w:eastAsia="Times New Roman" w:cs="Times New Roman"/>
                <w:color w:val="000000"/>
                <w:kern w:val="0"/>
                <w:sz w:val="18"/>
                <w:szCs w:val="18"/>
                <w:lang w:eastAsia="nl-NL"/>
                <w14:ligatures w14:val="none"/>
              </w:rPr>
              <w:t xml:space="preserve">Vergt dat elke zonnepaneelbezitter beschikking heeft over een </w:t>
            </w:r>
            <w:r w:rsidRPr="0014478B" w:rsidR="004E5AFE">
              <w:rPr>
                <w:rFonts w:ascii="Verdana" w:hAnsi="Verdana" w:eastAsia="Times New Roman" w:cs="Times New Roman"/>
                <w:color w:val="000000"/>
                <w:kern w:val="0"/>
                <w:sz w:val="18"/>
                <w:szCs w:val="18"/>
                <w:lang w:eastAsia="nl-NL"/>
                <w14:ligatures w14:val="none"/>
              </w:rPr>
              <w:t xml:space="preserve">geschikte </w:t>
            </w:r>
            <w:r w:rsidRPr="0014478B">
              <w:rPr>
                <w:rFonts w:ascii="Verdana" w:hAnsi="Verdana" w:eastAsia="Times New Roman" w:cs="Times New Roman"/>
                <w:color w:val="000000"/>
                <w:kern w:val="0"/>
                <w:sz w:val="18"/>
                <w:szCs w:val="18"/>
                <w:lang w:eastAsia="nl-NL"/>
                <w14:ligatures w14:val="none"/>
              </w:rPr>
              <w:t>meter.</w:t>
            </w:r>
          </w:p>
          <w:p w:rsidRPr="0014478B" w:rsidR="008F4A07" w:rsidRDefault="008F4A07" w14:paraId="358448B2" w14:textId="77777777">
            <w:pPr>
              <w:spacing w:after="0" w:line="240" w:lineRule="auto"/>
              <w:rPr>
                <w:rFonts w:ascii="Verdana" w:hAnsi="Verdana" w:eastAsia="Times New Roman" w:cs="Times New Roman"/>
                <w:color w:val="000000"/>
                <w:kern w:val="0"/>
                <w:sz w:val="18"/>
                <w:szCs w:val="18"/>
                <w:lang w:eastAsia="nl-NL"/>
                <w14:ligatures w14:val="none"/>
              </w:rPr>
            </w:pPr>
            <w:r w:rsidRPr="0014478B">
              <w:rPr>
                <w:rFonts w:ascii="Verdana" w:hAnsi="Verdana" w:eastAsia="Times New Roman" w:cs="Times New Roman"/>
                <w:color w:val="000000"/>
                <w:kern w:val="0"/>
                <w:sz w:val="18"/>
                <w:szCs w:val="18"/>
                <w:lang w:eastAsia="nl-NL"/>
                <w14:ligatures w14:val="none"/>
              </w:rPr>
              <w:br/>
            </w:r>
          </w:p>
        </w:tc>
        <w:tc>
          <w:tcPr>
            <w:tcW w:w="3544" w:type="dxa"/>
            <w:tcBorders>
              <w:top w:val="nil"/>
              <w:left w:val="nil"/>
              <w:bottom w:val="single" w:color="auto" w:sz="4" w:space="0"/>
              <w:right w:val="single" w:color="auto" w:sz="8" w:space="0"/>
            </w:tcBorders>
          </w:tcPr>
          <w:p w:rsidRPr="0014478B" w:rsidR="008F4A07" w:rsidRDefault="008F4A07" w14:paraId="2EE5946E" w14:textId="1A91A8A4">
            <w:pPr>
              <w:spacing w:after="0" w:line="240" w:lineRule="auto"/>
              <w:rPr>
                <w:rFonts w:ascii="Verdana" w:hAnsi="Verdana" w:eastAsia="Times New Roman" w:cs="Times New Roman"/>
                <w:color w:val="000000"/>
                <w:kern w:val="0"/>
                <w:sz w:val="18"/>
                <w:szCs w:val="18"/>
                <w:lang w:eastAsia="nl-NL"/>
                <w14:ligatures w14:val="none"/>
              </w:rPr>
            </w:pPr>
            <w:r w:rsidRPr="0014478B">
              <w:rPr>
                <w:rFonts w:ascii="Verdana" w:hAnsi="Verdana" w:eastAsia="Times New Roman" w:cs="Times New Roman"/>
                <w:color w:val="000000"/>
                <w:kern w:val="0"/>
                <w:sz w:val="18"/>
                <w:szCs w:val="18"/>
                <w:lang w:eastAsia="nl-NL"/>
                <w14:ligatures w14:val="none"/>
              </w:rPr>
              <w:t>Financiële prikkel om zoveel mogelijk zelfopgewekte elektriciteit zelf te verbruiken.</w:t>
            </w:r>
          </w:p>
          <w:p w:rsidRPr="0014478B" w:rsidR="008F4A07" w:rsidRDefault="008F4A07" w14:paraId="387C098B" w14:textId="77777777">
            <w:pPr>
              <w:spacing w:after="0" w:line="240" w:lineRule="auto"/>
              <w:rPr>
                <w:rFonts w:ascii="Verdana" w:hAnsi="Verdana" w:eastAsia="Times New Roman" w:cs="Times New Roman"/>
                <w:color w:val="000000"/>
                <w:kern w:val="0"/>
                <w:sz w:val="18"/>
                <w:szCs w:val="18"/>
                <w:lang w:eastAsia="nl-NL"/>
                <w14:ligatures w14:val="none"/>
              </w:rPr>
            </w:pPr>
          </w:p>
          <w:p w:rsidRPr="0014478B" w:rsidR="008F4A07" w:rsidRDefault="008F4A07" w14:paraId="0986DB36" w14:textId="77777777">
            <w:pPr>
              <w:spacing w:after="0" w:line="240" w:lineRule="auto"/>
              <w:rPr>
                <w:rFonts w:ascii="Verdana" w:hAnsi="Verdana" w:eastAsia="Times New Roman" w:cs="Times New Roman"/>
                <w:color w:val="000000"/>
                <w:kern w:val="0"/>
                <w:sz w:val="18"/>
                <w:szCs w:val="18"/>
                <w:lang w:eastAsia="nl-NL"/>
                <w14:ligatures w14:val="none"/>
              </w:rPr>
            </w:pPr>
            <w:r w:rsidRPr="0014478B">
              <w:rPr>
                <w:rFonts w:ascii="Verdana" w:hAnsi="Verdana" w:eastAsia="Times New Roman" w:cs="Times New Roman"/>
                <w:color w:val="000000"/>
                <w:kern w:val="0"/>
                <w:sz w:val="18"/>
                <w:szCs w:val="18"/>
                <w:lang w:eastAsia="nl-NL"/>
                <w14:ligatures w14:val="none"/>
              </w:rPr>
              <w:t>Geen belastingderving.</w:t>
            </w:r>
          </w:p>
          <w:p w:rsidRPr="0014478B" w:rsidR="008F4A07" w:rsidRDefault="008F4A07" w14:paraId="1594658F" w14:textId="77777777">
            <w:pPr>
              <w:spacing w:after="0" w:line="240" w:lineRule="auto"/>
              <w:rPr>
                <w:rFonts w:ascii="Verdana" w:hAnsi="Verdana" w:eastAsia="Times New Roman" w:cs="Times New Roman"/>
                <w:color w:val="000000"/>
                <w:kern w:val="0"/>
                <w:sz w:val="18"/>
                <w:szCs w:val="18"/>
                <w:lang w:eastAsia="nl-NL"/>
                <w14:ligatures w14:val="none"/>
              </w:rPr>
            </w:pPr>
          </w:p>
          <w:p w:rsidRPr="0014478B" w:rsidR="008F4A07" w:rsidRDefault="008F4A07" w14:paraId="7908E89A" w14:textId="60FF4A42">
            <w:pPr>
              <w:spacing w:after="0" w:line="240" w:lineRule="auto"/>
              <w:rPr>
                <w:rFonts w:ascii="Verdana" w:hAnsi="Verdana" w:eastAsia="Times New Roman" w:cs="Times New Roman"/>
                <w:color w:val="000000"/>
                <w:kern w:val="0"/>
                <w:sz w:val="18"/>
                <w:szCs w:val="18"/>
                <w:lang w:eastAsia="nl-NL"/>
                <w14:ligatures w14:val="none"/>
              </w:rPr>
            </w:pPr>
            <w:r w:rsidRPr="0014478B">
              <w:rPr>
                <w:rFonts w:ascii="Verdana" w:hAnsi="Verdana" w:eastAsia="Times New Roman" w:cs="Times New Roman"/>
                <w:color w:val="000000"/>
                <w:kern w:val="0"/>
                <w:sz w:val="18"/>
                <w:szCs w:val="18"/>
                <w:lang w:eastAsia="nl-NL"/>
                <w14:ligatures w14:val="none"/>
              </w:rPr>
              <w:t xml:space="preserve">Onbenutte potentie zal </w:t>
            </w:r>
            <w:r w:rsidRPr="0014478B" w:rsidR="00BE7DE4">
              <w:rPr>
                <w:rFonts w:ascii="Verdana" w:hAnsi="Verdana" w:eastAsia="Times New Roman" w:cs="Times New Roman"/>
                <w:color w:val="000000"/>
                <w:kern w:val="0"/>
                <w:sz w:val="18"/>
                <w:szCs w:val="18"/>
                <w:lang w:eastAsia="nl-NL"/>
                <w14:ligatures w14:val="none"/>
              </w:rPr>
              <w:t xml:space="preserve">meer </w:t>
            </w:r>
            <w:r w:rsidRPr="0014478B" w:rsidR="0065435A">
              <w:rPr>
                <w:rFonts w:ascii="Verdana" w:hAnsi="Verdana" w:eastAsia="Times New Roman" w:cs="Times New Roman"/>
                <w:color w:val="000000"/>
                <w:kern w:val="0"/>
                <w:sz w:val="18"/>
                <w:szCs w:val="18"/>
                <w:lang w:eastAsia="nl-NL"/>
                <w14:ligatures w14:val="none"/>
              </w:rPr>
              <w:t>beheers</w:t>
            </w:r>
            <w:r w:rsidRPr="0014478B" w:rsidR="00BE7DE4">
              <w:rPr>
                <w:rFonts w:ascii="Verdana" w:hAnsi="Verdana" w:eastAsia="Times New Roman" w:cs="Times New Roman"/>
                <w:color w:val="000000"/>
                <w:kern w:val="0"/>
                <w:sz w:val="18"/>
                <w:szCs w:val="18"/>
                <w:lang w:eastAsia="nl-NL"/>
                <w14:ligatures w14:val="none"/>
              </w:rPr>
              <w:t>t</w:t>
            </w:r>
            <w:r w:rsidRPr="0014478B" w:rsidR="0065435A">
              <w:rPr>
                <w:rFonts w:ascii="Verdana" w:hAnsi="Verdana" w:eastAsia="Times New Roman" w:cs="Times New Roman"/>
                <w:color w:val="000000"/>
                <w:kern w:val="0"/>
                <w:sz w:val="18"/>
                <w:szCs w:val="18"/>
                <w:lang w:eastAsia="nl-NL"/>
                <w14:ligatures w14:val="none"/>
              </w:rPr>
              <w:t xml:space="preserve"> </w:t>
            </w:r>
            <w:r w:rsidRPr="0014478B">
              <w:rPr>
                <w:rFonts w:ascii="Verdana" w:hAnsi="Verdana" w:eastAsia="Times New Roman" w:cs="Times New Roman"/>
                <w:color w:val="000000"/>
                <w:kern w:val="0"/>
                <w:sz w:val="18"/>
                <w:szCs w:val="18"/>
                <w:lang w:eastAsia="nl-NL"/>
                <w14:ligatures w14:val="none"/>
              </w:rPr>
              <w:t xml:space="preserve">worden ingevuld. </w:t>
            </w:r>
          </w:p>
        </w:tc>
      </w:tr>
      <w:tr w:rsidRPr="0014478B" w:rsidR="008F4A07" w14:paraId="4F8FDA46" w14:textId="77777777">
        <w:trPr>
          <w:trHeight w:val="1801"/>
        </w:trPr>
        <w:tc>
          <w:tcPr>
            <w:tcW w:w="2023" w:type="dxa"/>
            <w:tcBorders>
              <w:top w:val="nil"/>
              <w:left w:val="single" w:color="auto" w:sz="4" w:space="0"/>
              <w:bottom w:val="single" w:color="auto" w:sz="4" w:space="0"/>
              <w:right w:val="nil"/>
            </w:tcBorders>
            <w:shd w:val="clear" w:color="auto" w:fill="auto"/>
            <w:vAlign w:val="center"/>
            <w:hideMark/>
          </w:tcPr>
          <w:p w:rsidRPr="0014478B" w:rsidR="008F4A07" w:rsidRDefault="008F4A07" w14:paraId="02D9AD3F" w14:textId="77777777">
            <w:pPr>
              <w:spacing w:after="0" w:line="240" w:lineRule="auto"/>
              <w:rPr>
                <w:rFonts w:ascii="Verdana" w:hAnsi="Verdana" w:eastAsia="Times New Roman" w:cs="Times New Roman"/>
                <w:b/>
                <w:color w:val="000000"/>
                <w:kern w:val="0"/>
                <w:sz w:val="18"/>
                <w:szCs w:val="18"/>
                <w:lang w:eastAsia="nl-NL"/>
                <w14:ligatures w14:val="none"/>
              </w:rPr>
            </w:pPr>
            <w:r w:rsidRPr="0014478B">
              <w:rPr>
                <w:rFonts w:ascii="Verdana" w:hAnsi="Verdana" w:eastAsia="Times New Roman" w:cs="Times New Roman"/>
                <w:b/>
                <w:color w:val="000000"/>
                <w:kern w:val="0"/>
                <w:sz w:val="18"/>
                <w:szCs w:val="18"/>
                <w:lang w:eastAsia="nl-NL"/>
                <w14:ligatures w14:val="none"/>
              </w:rPr>
              <w:t>3: Fiscaal deel tot en met 2030 behouden, leveringsdeel vanaf 2025 vrijgeven</w:t>
            </w:r>
            <w:r w:rsidRPr="0014478B">
              <w:rPr>
                <w:rStyle w:val="Voetnootmarkering"/>
                <w:rFonts w:ascii="Verdana" w:hAnsi="Verdana" w:eastAsia="Times New Roman" w:cs="Times New Roman"/>
                <w:b/>
                <w:color w:val="000000"/>
                <w:kern w:val="0"/>
                <w:sz w:val="18"/>
                <w:szCs w:val="18"/>
                <w:lang w:eastAsia="nl-NL"/>
                <w14:ligatures w14:val="none"/>
              </w:rPr>
              <w:footnoteReference w:id="45"/>
            </w:r>
            <w:r w:rsidRPr="0014478B">
              <w:rPr>
                <w:rFonts w:ascii="Verdana" w:hAnsi="Verdana" w:eastAsia="Times New Roman" w:cs="Times New Roman"/>
                <w:b/>
                <w:color w:val="000000"/>
                <w:kern w:val="0"/>
                <w:sz w:val="18"/>
                <w:szCs w:val="18"/>
                <w:lang w:eastAsia="nl-NL"/>
                <w14:ligatures w14:val="none"/>
              </w:rPr>
              <w:t>.</w:t>
            </w:r>
          </w:p>
          <w:p w:rsidRPr="0014478B" w:rsidR="008F4A07" w:rsidRDefault="008F4A07" w14:paraId="73D7FB7D" w14:textId="77777777">
            <w:pPr>
              <w:spacing w:after="0" w:line="240" w:lineRule="auto"/>
              <w:rPr>
                <w:rFonts w:ascii="Verdana" w:hAnsi="Verdana" w:eastAsia="Times New Roman" w:cs="Times New Roman"/>
                <w:b/>
                <w:color w:val="000000"/>
                <w:kern w:val="0"/>
                <w:sz w:val="18"/>
                <w:szCs w:val="18"/>
                <w:lang w:eastAsia="nl-NL"/>
                <w14:ligatures w14:val="none"/>
              </w:rPr>
            </w:pPr>
          </w:p>
          <w:p w:rsidRPr="0014478B" w:rsidR="008F4A07" w:rsidRDefault="008F4A07" w14:paraId="3FD7CDB1" w14:textId="77777777">
            <w:pPr>
              <w:spacing w:after="0" w:line="240" w:lineRule="auto"/>
              <w:rPr>
                <w:rFonts w:ascii="Verdana" w:hAnsi="Verdana" w:eastAsia="Times New Roman" w:cs="Times New Roman"/>
                <w:b/>
                <w:color w:val="000000"/>
                <w:kern w:val="0"/>
                <w:sz w:val="18"/>
                <w:szCs w:val="18"/>
                <w:lang w:eastAsia="nl-NL"/>
                <w14:ligatures w14:val="none"/>
              </w:rPr>
            </w:pPr>
          </w:p>
        </w:tc>
        <w:tc>
          <w:tcPr>
            <w:tcW w:w="1762" w:type="dxa"/>
            <w:tcBorders>
              <w:top w:val="nil"/>
              <w:left w:val="single" w:color="auto" w:sz="8" w:space="0"/>
              <w:bottom w:val="single" w:color="auto" w:sz="4" w:space="0"/>
              <w:right w:val="nil"/>
            </w:tcBorders>
            <w:shd w:val="clear" w:color="auto" w:fill="auto"/>
            <w:hideMark/>
          </w:tcPr>
          <w:p w:rsidRPr="0014478B" w:rsidR="00263E74" w:rsidRDefault="008F4A07" w14:paraId="756FBCCA" w14:textId="77777777">
            <w:pPr>
              <w:spacing w:after="0" w:line="240" w:lineRule="auto"/>
              <w:rPr>
                <w:rFonts w:ascii="Verdana" w:hAnsi="Verdana" w:eastAsia="Times New Roman" w:cs="Times New Roman"/>
                <w:color w:val="000000"/>
                <w:kern w:val="0"/>
                <w:sz w:val="18"/>
                <w:szCs w:val="18"/>
                <w:lang w:eastAsia="nl-NL"/>
                <w14:ligatures w14:val="none"/>
              </w:rPr>
            </w:pPr>
            <w:r w:rsidRPr="0014478B">
              <w:rPr>
                <w:rFonts w:ascii="Verdana" w:hAnsi="Verdana" w:eastAsia="Times New Roman" w:cs="Times New Roman"/>
                <w:i/>
                <w:iCs/>
                <w:color w:val="000000"/>
                <w:kern w:val="0"/>
                <w:sz w:val="18"/>
                <w:szCs w:val="18"/>
                <w:lang w:eastAsia="nl-NL"/>
                <w14:ligatures w14:val="none"/>
              </w:rPr>
              <w:t>Klein effect</w:t>
            </w:r>
            <w:r w:rsidRPr="0014478B">
              <w:rPr>
                <w:rFonts w:ascii="Verdana" w:hAnsi="Verdana" w:eastAsia="Times New Roman" w:cs="Times New Roman"/>
                <w:color w:val="000000"/>
                <w:kern w:val="0"/>
                <w:sz w:val="18"/>
                <w:szCs w:val="18"/>
                <w:lang w:eastAsia="nl-NL"/>
                <w14:ligatures w14:val="none"/>
              </w:rPr>
              <w:t xml:space="preserve">: </w:t>
            </w:r>
          </w:p>
          <w:p w:rsidRPr="0014478B" w:rsidR="008F4A07" w:rsidRDefault="008F4A07" w14:paraId="54FAE3A1" w14:textId="56CF9ABA">
            <w:pPr>
              <w:spacing w:after="0" w:line="240" w:lineRule="auto"/>
              <w:rPr>
                <w:rFonts w:ascii="Verdana" w:hAnsi="Verdana" w:eastAsia="Times New Roman" w:cs="Times New Roman"/>
                <w:color w:val="000000"/>
                <w:kern w:val="0"/>
                <w:sz w:val="18"/>
                <w:szCs w:val="18"/>
                <w:lang w:eastAsia="nl-NL"/>
                <w14:ligatures w14:val="none"/>
              </w:rPr>
            </w:pPr>
            <w:r w:rsidRPr="0014478B">
              <w:rPr>
                <w:rFonts w:ascii="Verdana" w:hAnsi="Verdana" w:eastAsia="Times New Roman" w:cs="Times New Roman"/>
                <w:color w:val="000000"/>
                <w:kern w:val="0"/>
                <w:sz w:val="18"/>
                <w:szCs w:val="18"/>
                <w:lang w:eastAsia="nl-NL"/>
                <w14:ligatures w14:val="none"/>
              </w:rPr>
              <w:t>Financiële prikkel om eigen verbruik te verhogen stijgt per 2025, maar blijft beperkt door belastingvoordeel.</w:t>
            </w:r>
          </w:p>
        </w:tc>
        <w:tc>
          <w:tcPr>
            <w:tcW w:w="1933" w:type="dxa"/>
            <w:tcBorders>
              <w:top w:val="nil"/>
              <w:left w:val="nil"/>
              <w:bottom w:val="single" w:color="auto" w:sz="4" w:space="0"/>
              <w:right w:val="nil"/>
            </w:tcBorders>
            <w:shd w:val="clear" w:color="auto" w:fill="auto"/>
            <w:hideMark/>
          </w:tcPr>
          <w:p w:rsidRPr="0014478B" w:rsidR="008F4A07" w:rsidRDefault="00BE3765" w14:paraId="37FB79A5" w14:textId="2A08F709">
            <w:pPr>
              <w:spacing w:after="0" w:line="240" w:lineRule="auto"/>
              <w:rPr>
                <w:rFonts w:ascii="Verdana" w:hAnsi="Verdana" w:eastAsia="Times New Roman" w:cs="Times New Roman"/>
                <w:color w:val="000000"/>
                <w:kern w:val="0"/>
                <w:sz w:val="18"/>
                <w:szCs w:val="18"/>
                <w:lang w:eastAsia="nl-NL"/>
                <w14:ligatures w14:val="none"/>
              </w:rPr>
            </w:pPr>
            <w:r w:rsidRPr="0014478B">
              <w:rPr>
                <w:rFonts w:ascii="Verdana" w:hAnsi="Verdana" w:eastAsia="Times New Roman" w:cs="Times New Roman"/>
                <w:i/>
                <w:iCs/>
                <w:color w:val="000000"/>
                <w:kern w:val="0"/>
                <w:sz w:val="18"/>
                <w:szCs w:val="18"/>
                <w:lang w:eastAsia="nl-NL"/>
                <w14:ligatures w14:val="none"/>
              </w:rPr>
              <w:t>Groot</w:t>
            </w:r>
            <w:r w:rsidRPr="0014478B" w:rsidR="008F4A07">
              <w:rPr>
                <w:rFonts w:ascii="Verdana" w:hAnsi="Verdana" w:eastAsia="Times New Roman" w:cs="Times New Roman"/>
                <w:i/>
                <w:iCs/>
                <w:color w:val="000000"/>
                <w:kern w:val="0"/>
                <w:sz w:val="18"/>
                <w:szCs w:val="18"/>
                <w:lang w:eastAsia="nl-NL"/>
                <w14:ligatures w14:val="none"/>
              </w:rPr>
              <w:t xml:space="preserve"> effect</w:t>
            </w:r>
            <w:r w:rsidRPr="0014478B" w:rsidR="008F4A07">
              <w:rPr>
                <w:rFonts w:ascii="Verdana" w:hAnsi="Verdana" w:eastAsia="Times New Roman" w:cs="Times New Roman"/>
                <w:color w:val="000000"/>
                <w:kern w:val="0"/>
                <w:sz w:val="18"/>
                <w:szCs w:val="18"/>
                <w:lang w:eastAsia="nl-NL"/>
                <w14:ligatures w14:val="none"/>
              </w:rPr>
              <w:t>: Belastingderving blijft bestaan, minimaal €500 miljoen per jaar.</w:t>
            </w:r>
          </w:p>
        </w:tc>
        <w:tc>
          <w:tcPr>
            <w:tcW w:w="1487" w:type="dxa"/>
            <w:tcBorders>
              <w:top w:val="nil"/>
              <w:left w:val="nil"/>
              <w:bottom w:val="single" w:color="auto" w:sz="4" w:space="0"/>
              <w:right w:val="single" w:color="auto" w:sz="4" w:space="0"/>
            </w:tcBorders>
            <w:shd w:val="clear" w:color="auto" w:fill="auto"/>
            <w:hideMark/>
          </w:tcPr>
          <w:p w:rsidRPr="0014478B" w:rsidR="008F4A07" w:rsidRDefault="008F4A07" w14:paraId="457686D5" w14:textId="77777777">
            <w:pPr>
              <w:spacing w:after="0" w:line="240" w:lineRule="auto"/>
              <w:rPr>
                <w:rFonts w:ascii="Verdana" w:hAnsi="Verdana" w:eastAsia="Times New Roman" w:cs="Times New Roman"/>
                <w:color w:val="000000"/>
                <w:kern w:val="0"/>
                <w:sz w:val="18"/>
                <w:szCs w:val="18"/>
                <w:lang w:eastAsia="nl-NL"/>
                <w14:ligatures w14:val="none"/>
              </w:rPr>
            </w:pPr>
            <w:r w:rsidRPr="0014478B">
              <w:rPr>
                <w:rFonts w:ascii="Verdana" w:hAnsi="Verdana" w:eastAsia="Times New Roman" w:cs="Times New Roman"/>
                <w:i/>
                <w:iCs/>
                <w:color w:val="000000"/>
                <w:kern w:val="0"/>
                <w:sz w:val="18"/>
                <w:szCs w:val="18"/>
                <w:lang w:eastAsia="nl-NL"/>
                <w14:ligatures w14:val="none"/>
              </w:rPr>
              <w:t>Klein effect</w:t>
            </w:r>
            <w:r w:rsidRPr="0014478B">
              <w:rPr>
                <w:rFonts w:ascii="Verdana" w:hAnsi="Verdana" w:eastAsia="Times New Roman" w:cs="Times New Roman"/>
                <w:color w:val="000000"/>
                <w:kern w:val="0"/>
                <w:sz w:val="18"/>
                <w:szCs w:val="18"/>
                <w:lang w:eastAsia="nl-NL"/>
                <w14:ligatures w14:val="none"/>
              </w:rPr>
              <w:t xml:space="preserve">: </w:t>
            </w:r>
          </w:p>
          <w:p w:rsidRPr="0014478B" w:rsidR="008F4A07" w:rsidRDefault="008F4A07" w14:paraId="6F1F75B0" w14:textId="3CD0A609">
            <w:pPr>
              <w:spacing w:after="0" w:line="240" w:lineRule="auto"/>
              <w:rPr>
                <w:rFonts w:ascii="Verdana" w:hAnsi="Verdana" w:eastAsia="Times New Roman" w:cs="Times New Roman"/>
                <w:color w:val="000000"/>
                <w:kern w:val="0"/>
                <w:sz w:val="18"/>
                <w:szCs w:val="18"/>
                <w:lang w:eastAsia="nl-NL"/>
                <w14:ligatures w14:val="none"/>
              </w:rPr>
            </w:pPr>
            <w:r w:rsidRPr="0014478B">
              <w:rPr>
                <w:rFonts w:ascii="Verdana" w:hAnsi="Verdana" w:eastAsia="Times New Roman" w:cs="Times New Roman"/>
                <w:color w:val="000000"/>
                <w:kern w:val="0"/>
                <w:sz w:val="18"/>
                <w:szCs w:val="18"/>
                <w:lang w:eastAsia="nl-NL"/>
                <w14:ligatures w14:val="none"/>
              </w:rPr>
              <w:t xml:space="preserve">De uitrol van zonnepanelen zal iets trager gaan ten opzichte van de afgelopen jaren. Hiermee zal het resterende potentieel voor de uitrol van zon op dak </w:t>
            </w:r>
            <w:r w:rsidRPr="0014478B" w:rsidR="00BE7DE4">
              <w:rPr>
                <w:rFonts w:ascii="Verdana" w:hAnsi="Verdana" w:eastAsia="Times New Roman" w:cs="Times New Roman"/>
                <w:color w:val="000000"/>
                <w:kern w:val="0"/>
                <w:sz w:val="18"/>
                <w:szCs w:val="18"/>
                <w:lang w:eastAsia="nl-NL"/>
                <w14:ligatures w14:val="none"/>
              </w:rPr>
              <w:t>meer beheerst</w:t>
            </w:r>
            <w:r w:rsidRPr="0014478B" w:rsidR="00EE3F75">
              <w:rPr>
                <w:rFonts w:ascii="Verdana" w:hAnsi="Verdana" w:eastAsia="Times New Roman" w:cs="Times New Roman"/>
                <w:color w:val="000000"/>
                <w:kern w:val="0"/>
                <w:sz w:val="18"/>
                <w:szCs w:val="18"/>
                <w:lang w:eastAsia="nl-NL"/>
                <w14:ligatures w14:val="none"/>
              </w:rPr>
              <w:t xml:space="preserve"> </w:t>
            </w:r>
            <w:r w:rsidRPr="0014478B">
              <w:rPr>
                <w:rFonts w:ascii="Verdana" w:hAnsi="Verdana" w:eastAsia="Times New Roman" w:cs="Times New Roman"/>
                <w:color w:val="000000"/>
                <w:kern w:val="0"/>
                <w:sz w:val="18"/>
                <w:szCs w:val="18"/>
                <w:lang w:eastAsia="nl-NL"/>
                <w14:ligatures w14:val="none"/>
              </w:rPr>
              <w:t xml:space="preserve">benut worden.  </w:t>
            </w:r>
          </w:p>
        </w:tc>
        <w:tc>
          <w:tcPr>
            <w:tcW w:w="3544" w:type="dxa"/>
            <w:tcBorders>
              <w:top w:val="nil"/>
              <w:left w:val="nil"/>
              <w:bottom w:val="single" w:color="auto" w:sz="4" w:space="0"/>
              <w:right w:val="single" w:color="auto" w:sz="8" w:space="0"/>
            </w:tcBorders>
          </w:tcPr>
          <w:p w:rsidRPr="0014478B" w:rsidR="008F4A07" w:rsidRDefault="008F4A07" w14:paraId="24F2D8C0" w14:textId="77777777">
            <w:pPr>
              <w:spacing w:after="0" w:line="240" w:lineRule="auto"/>
              <w:rPr>
                <w:rFonts w:ascii="Verdana" w:hAnsi="Verdana" w:eastAsia="Times New Roman" w:cs="Times New Roman"/>
                <w:color w:val="000000"/>
                <w:kern w:val="0"/>
                <w:sz w:val="18"/>
                <w:szCs w:val="18"/>
                <w:lang w:eastAsia="nl-NL"/>
                <w14:ligatures w14:val="none"/>
              </w:rPr>
            </w:pPr>
            <w:r w:rsidRPr="0014478B">
              <w:rPr>
                <w:rFonts w:ascii="Verdana" w:hAnsi="Verdana" w:eastAsia="Times New Roman" w:cs="Times New Roman"/>
                <w:i/>
                <w:iCs/>
                <w:color w:val="000000"/>
                <w:kern w:val="0"/>
                <w:sz w:val="18"/>
                <w:szCs w:val="18"/>
                <w:lang w:eastAsia="nl-NL"/>
                <w14:ligatures w14:val="none"/>
              </w:rPr>
              <w:t>Gemiddeld effect</w:t>
            </w:r>
            <w:r w:rsidRPr="0014478B">
              <w:rPr>
                <w:rFonts w:ascii="Verdana" w:hAnsi="Verdana" w:eastAsia="Times New Roman" w:cs="Times New Roman"/>
                <w:color w:val="000000"/>
                <w:kern w:val="0"/>
                <w:sz w:val="18"/>
                <w:szCs w:val="18"/>
                <w:lang w:eastAsia="nl-NL"/>
                <w14:ligatures w14:val="none"/>
              </w:rPr>
              <w:t>:</w:t>
            </w:r>
          </w:p>
          <w:p w:rsidRPr="0014478B" w:rsidR="008F4A07" w:rsidRDefault="008F4A07" w14:paraId="13720250" w14:textId="105C863B">
            <w:pPr>
              <w:spacing w:after="0" w:line="240" w:lineRule="auto"/>
              <w:rPr>
                <w:rFonts w:ascii="Verdana" w:hAnsi="Verdana" w:eastAsia="Times New Roman" w:cs="Times New Roman"/>
                <w:color w:val="000000"/>
                <w:kern w:val="0"/>
                <w:sz w:val="18"/>
                <w:szCs w:val="18"/>
                <w:lang w:eastAsia="nl-NL"/>
                <w14:ligatures w14:val="none"/>
              </w:rPr>
            </w:pPr>
            <w:r w:rsidRPr="0014478B">
              <w:rPr>
                <w:rFonts w:ascii="Verdana" w:hAnsi="Verdana" w:eastAsia="Times New Roman" w:cs="Times New Roman"/>
                <w:color w:val="000000"/>
                <w:kern w:val="0"/>
                <w:sz w:val="18"/>
                <w:szCs w:val="18"/>
                <w:lang w:eastAsia="nl-NL"/>
                <w14:ligatures w14:val="none"/>
              </w:rPr>
              <w:t xml:space="preserve">Vergt enkele systeemaanpassingen bij leveranciers. </w:t>
            </w:r>
          </w:p>
        </w:tc>
        <w:tc>
          <w:tcPr>
            <w:tcW w:w="3544" w:type="dxa"/>
            <w:tcBorders>
              <w:top w:val="nil"/>
              <w:left w:val="nil"/>
              <w:bottom w:val="single" w:color="auto" w:sz="4" w:space="0"/>
              <w:right w:val="single" w:color="auto" w:sz="8" w:space="0"/>
            </w:tcBorders>
          </w:tcPr>
          <w:p w:rsidRPr="0014478B" w:rsidR="008F4A07" w:rsidRDefault="008F4A07" w14:paraId="17CF7242" w14:textId="2B7E7BDD">
            <w:pPr>
              <w:spacing w:after="0" w:line="240" w:lineRule="auto"/>
              <w:rPr>
                <w:rFonts w:ascii="Verdana" w:hAnsi="Verdana" w:eastAsia="Times New Roman" w:cs="Times New Roman"/>
                <w:color w:val="000000"/>
                <w:kern w:val="0"/>
                <w:sz w:val="18"/>
                <w:szCs w:val="18"/>
                <w:lang w:eastAsia="nl-NL"/>
                <w14:ligatures w14:val="none"/>
              </w:rPr>
            </w:pPr>
            <w:r w:rsidRPr="0014478B">
              <w:rPr>
                <w:rFonts w:ascii="Verdana" w:hAnsi="Verdana" w:eastAsia="Times New Roman" w:cs="Times New Roman"/>
                <w:color w:val="000000"/>
                <w:kern w:val="0"/>
                <w:sz w:val="18"/>
                <w:szCs w:val="18"/>
                <w:lang w:eastAsia="nl-NL"/>
                <w14:ligatures w14:val="none"/>
              </w:rPr>
              <w:t>Financiële prikkel om zoveel mogelijk zelfopgewekte elektriciteit zelf te verbruiken.</w:t>
            </w:r>
          </w:p>
          <w:p w:rsidRPr="0014478B" w:rsidR="008F4A07" w:rsidRDefault="008F4A07" w14:paraId="0C5F147D" w14:textId="77777777">
            <w:pPr>
              <w:spacing w:after="0" w:line="240" w:lineRule="auto"/>
              <w:rPr>
                <w:rFonts w:ascii="Verdana" w:hAnsi="Verdana" w:eastAsia="Times New Roman" w:cs="Times New Roman"/>
                <w:color w:val="000000"/>
                <w:kern w:val="0"/>
                <w:sz w:val="18"/>
                <w:szCs w:val="18"/>
                <w:lang w:eastAsia="nl-NL"/>
                <w14:ligatures w14:val="none"/>
              </w:rPr>
            </w:pPr>
          </w:p>
          <w:p w:rsidRPr="0014478B" w:rsidR="008F4A07" w:rsidRDefault="008F4A07" w14:paraId="36A1AFF7" w14:textId="77777777">
            <w:pPr>
              <w:spacing w:after="0" w:line="240" w:lineRule="auto"/>
              <w:rPr>
                <w:rFonts w:ascii="Verdana" w:hAnsi="Verdana" w:eastAsia="Times New Roman" w:cs="Times New Roman"/>
                <w:color w:val="000000"/>
                <w:kern w:val="0"/>
                <w:sz w:val="18"/>
                <w:szCs w:val="18"/>
                <w:lang w:eastAsia="nl-NL"/>
                <w14:ligatures w14:val="none"/>
              </w:rPr>
            </w:pPr>
            <w:r w:rsidRPr="0014478B">
              <w:rPr>
                <w:rFonts w:ascii="Verdana" w:hAnsi="Verdana" w:eastAsia="Times New Roman" w:cs="Times New Roman"/>
                <w:color w:val="000000"/>
                <w:kern w:val="0"/>
                <w:sz w:val="18"/>
                <w:szCs w:val="18"/>
                <w:lang w:eastAsia="nl-NL"/>
                <w14:ligatures w14:val="none"/>
              </w:rPr>
              <w:t>Geen belastingderving.</w:t>
            </w:r>
          </w:p>
          <w:p w:rsidRPr="0014478B" w:rsidR="008F4A07" w:rsidRDefault="008F4A07" w14:paraId="73E8652D" w14:textId="77777777">
            <w:pPr>
              <w:spacing w:after="0" w:line="240" w:lineRule="auto"/>
              <w:rPr>
                <w:rFonts w:ascii="Verdana" w:hAnsi="Verdana" w:eastAsia="Times New Roman" w:cs="Times New Roman"/>
                <w:color w:val="000000"/>
                <w:kern w:val="0"/>
                <w:sz w:val="18"/>
                <w:szCs w:val="18"/>
                <w:lang w:eastAsia="nl-NL"/>
                <w14:ligatures w14:val="none"/>
              </w:rPr>
            </w:pPr>
          </w:p>
          <w:p w:rsidRPr="0014478B" w:rsidR="008F4A07" w:rsidRDefault="008F4A07" w14:paraId="357E765F" w14:textId="2E62A9E6">
            <w:pPr>
              <w:spacing w:after="0" w:line="240" w:lineRule="auto"/>
              <w:rPr>
                <w:rFonts w:ascii="Verdana" w:hAnsi="Verdana" w:eastAsia="Times New Roman" w:cs="Times New Roman"/>
                <w:color w:val="000000"/>
                <w:kern w:val="0"/>
                <w:sz w:val="18"/>
                <w:szCs w:val="18"/>
                <w:lang w:eastAsia="nl-NL"/>
                <w14:ligatures w14:val="none"/>
              </w:rPr>
            </w:pPr>
            <w:r w:rsidRPr="0014478B">
              <w:rPr>
                <w:rFonts w:ascii="Verdana" w:hAnsi="Verdana" w:eastAsia="Times New Roman" w:cs="Times New Roman"/>
                <w:color w:val="000000"/>
                <w:kern w:val="0"/>
                <w:sz w:val="18"/>
                <w:szCs w:val="18"/>
                <w:lang w:eastAsia="nl-NL"/>
                <w14:ligatures w14:val="none"/>
              </w:rPr>
              <w:t xml:space="preserve">Onbenutte potentie zal </w:t>
            </w:r>
            <w:r w:rsidRPr="0014478B" w:rsidR="00996029">
              <w:rPr>
                <w:rFonts w:ascii="Verdana" w:hAnsi="Verdana" w:eastAsia="Times New Roman" w:cs="Times New Roman"/>
                <w:color w:val="000000"/>
                <w:kern w:val="0"/>
                <w:sz w:val="18"/>
                <w:szCs w:val="18"/>
                <w:lang w:eastAsia="nl-NL"/>
                <w14:ligatures w14:val="none"/>
              </w:rPr>
              <w:t>meer beheerst</w:t>
            </w:r>
            <w:r w:rsidRPr="0014478B">
              <w:rPr>
                <w:rFonts w:ascii="Verdana" w:hAnsi="Verdana" w:eastAsia="Times New Roman" w:cs="Times New Roman"/>
                <w:color w:val="000000"/>
                <w:kern w:val="0"/>
                <w:sz w:val="18"/>
                <w:szCs w:val="18"/>
                <w:lang w:eastAsia="nl-NL"/>
                <w14:ligatures w14:val="none"/>
              </w:rPr>
              <w:t xml:space="preserve"> worden ingevuld. </w:t>
            </w:r>
          </w:p>
        </w:tc>
      </w:tr>
      <w:tr w:rsidRPr="0014478B" w:rsidR="008F4A07" w14:paraId="24C79FA8" w14:textId="77777777">
        <w:trPr>
          <w:trHeight w:val="566"/>
        </w:trPr>
        <w:tc>
          <w:tcPr>
            <w:tcW w:w="2023" w:type="dxa"/>
            <w:tcBorders>
              <w:top w:val="nil"/>
              <w:left w:val="single" w:color="auto" w:sz="4" w:space="0"/>
              <w:bottom w:val="single" w:color="auto" w:sz="4" w:space="0"/>
              <w:right w:val="nil"/>
            </w:tcBorders>
            <w:shd w:val="clear" w:color="auto" w:fill="auto"/>
            <w:vAlign w:val="center"/>
            <w:hideMark/>
          </w:tcPr>
          <w:p w:rsidRPr="0014478B" w:rsidR="008F4A07" w:rsidRDefault="008F4A07" w14:paraId="5CB59F5F" w14:textId="77777777">
            <w:pPr>
              <w:spacing w:after="0" w:line="240" w:lineRule="auto"/>
              <w:rPr>
                <w:rFonts w:ascii="Verdana" w:hAnsi="Verdana" w:eastAsia="Times New Roman" w:cs="Times New Roman"/>
                <w:b/>
                <w:color w:val="000000"/>
                <w:kern w:val="0"/>
                <w:sz w:val="18"/>
                <w:szCs w:val="18"/>
                <w:lang w:eastAsia="nl-NL"/>
                <w14:ligatures w14:val="none"/>
              </w:rPr>
            </w:pPr>
            <w:r w:rsidRPr="0014478B">
              <w:rPr>
                <w:rFonts w:ascii="Verdana" w:hAnsi="Verdana" w:eastAsia="Times New Roman" w:cs="Times New Roman"/>
                <w:b/>
                <w:color w:val="000000"/>
                <w:kern w:val="0"/>
                <w:sz w:val="18"/>
                <w:szCs w:val="18"/>
                <w:lang w:eastAsia="nl-NL"/>
                <w14:ligatures w14:val="none"/>
              </w:rPr>
              <w:t>4: Salderingsregeling per direct beëindigen en vervangen door een belastingkorting per ingevoede kWh</w:t>
            </w:r>
            <w:r w:rsidRPr="0014478B">
              <w:rPr>
                <w:rStyle w:val="Voetnootmarkering"/>
                <w:rFonts w:ascii="Verdana" w:hAnsi="Verdana" w:eastAsia="Times New Roman" w:cs="Times New Roman"/>
                <w:b/>
                <w:color w:val="000000"/>
                <w:kern w:val="0"/>
                <w:sz w:val="18"/>
                <w:szCs w:val="18"/>
                <w:lang w:eastAsia="nl-NL"/>
                <w14:ligatures w14:val="none"/>
              </w:rPr>
              <w:footnoteReference w:id="46"/>
            </w:r>
            <w:r w:rsidRPr="0014478B">
              <w:rPr>
                <w:rFonts w:ascii="Verdana" w:hAnsi="Verdana" w:eastAsia="Times New Roman" w:cs="Times New Roman"/>
                <w:b/>
                <w:color w:val="000000"/>
                <w:kern w:val="0"/>
                <w:sz w:val="18"/>
                <w:szCs w:val="18"/>
                <w:lang w:eastAsia="nl-NL"/>
                <w14:ligatures w14:val="none"/>
              </w:rPr>
              <w:t>.</w:t>
            </w:r>
          </w:p>
          <w:p w:rsidRPr="0014478B" w:rsidR="008F4A07" w:rsidRDefault="008F4A07" w14:paraId="3EAFE796" w14:textId="77777777">
            <w:pPr>
              <w:spacing w:after="0" w:line="240" w:lineRule="auto"/>
              <w:rPr>
                <w:rFonts w:ascii="Verdana" w:hAnsi="Verdana" w:eastAsia="Times New Roman" w:cs="Times New Roman"/>
                <w:b/>
                <w:color w:val="000000"/>
                <w:kern w:val="0"/>
                <w:sz w:val="18"/>
                <w:szCs w:val="18"/>
                <w:lang w:eastAsia="nl-NL"/>
                <w14:ligatures w14:val="none"/>
              </w:rPr>
            </w:pPr>
          </w:p>
        </w:tc>
        <w:tc>
          <w:tcPr>
            <w:tcW w:w="1762" w:type="dxa"/>
            <w:tcBorders>
              <w:top w:val="nil"/>
              <w:left w:val="single" w:color="auto" w:sz="8" w:space="0"/>
              <w:bottom w:val="single" w:color="auto" w:sz="4" w:space="0"/>
              <w:right w:val="nil"/>
            </w:tcBorders>
            <w:shd w:val="clear" w:color="auto" w:fill="auto"/>
            <w:hideMark/>
          </w:tcPr>
          <w:p w:rsidRPr="0014478B" w:rsidR="00263E74" w:rsidRDefault="008F4A07" w14:paraId="72BCFB59" w14:textId="77777777">
            <w:pPr>
              <w:spacing w:after="0" w:line="240" w:lineRule="auto"/>
              <w:rPr>
                <w:rFonts w:ascii="Verdana" w:hAnsi="Verdana" w:eastAsia="Times New Roman" w:cs="Times New Roman"/>
                <w:color w:val="000000"/>
                <w:kern w:val="0"/>
                <w:sz w:val="18"/>
                <w:szCs w:val="18"/>
                <w:lang w:eastAsia="nl-NL"/>
                <w14:ligatures w14:val="none"/>
              </w:rPr>
            </w:pPr>
            <w:r w:rsidRPr="0014478B">
              <w:rPr>
                <w:rFonts w:ascii="Verdana" w:hAnsi="Verdana" w:eastAsia="Times New Roman" w:cs="Times New Roman"/>
                <w:i/>
                <w:iCs/>
                <w:color w:val="000000"/>
                <w:kern w:val="0"/>
                <w:sz w:val="18"/>
                <w:szCs w:val="18"/>
                <w:lang w:eastAsia="nl-NL"/>
                <w14:ligatures w14:val="none"/>
              </w:rPr>
              <w:t>Klein effect</w:t>
            </w:r>
            <w:r w:rsidRPr="0014478B">
              <w:rPr>
                <w:rFonts w:ascii="Verdana" w:hAnsi="Verdana" w:eastAsia="Times New Roman" w:cs="Times New Roman"/>
                <w:color w:val="000000"/>
                <w:kern w:val="0"/>
                <w:sz w:val="18"/>
                <w:szCs w:val="18"/>
                <w:lang w:eastAsia="nl-NL"/>
                <w14:ligatures w14:val="none"/>
              </w:rPr>
              <w:t xml:space="preserve">: </w:t>
            </w:r>
          </w:p>
          <w:p w:rsidRPr="0014478B" w:rsidR="008F4A07" w:rsidRDefault="008F4A07" w14:paraId="7D544ACB" w14:textId="535EB119">
            <w:pPr>
              <w:spacing w:after="0" w:line="240" w:lineRule="auto"/>
              <w:rPr>
                <w:rFonts w:ascii="Verdana" w:hAnsi="Verdana" w:eastAsia="Times New Roman" w:cs="Times New Roman"/>
                <w:color w:val="000000"/>
                <w:kern w:val="0"/>
                <w:sz w:val="18"/>
                <w:szCs w:val="18"/>
                <w:lang w:eastAsia="nl-NL"/>
                <w14:ligatures w14:val="none"/>
              </w:rPr>
            </w:pPr>
            <w:r w:rsidRPr="0014478B">
              <w:rPr>
                <w:rFonts w:ascii="Verdana" w:hAnsi="Verdana" w:eastAsia="Times New Roman" w:cs="Times New Roman"/>
                <w:color w:val="000000"/>
                <w:kern w:val="0"/>
                <w:sz w:val="18"/>
                <w:szCs w:val="18"/>
                <w:lang w:eastAsia="nl-NL"/>
                <w14:ligatures w14:val="none"/>
              </w:rPr>
              <w:t>Financiële prikkel om eigen verbruik te verhogen stijgt per 2025, maar blijft beperkt door belastingvoordeel.</w:t>
            </w:r>
          </w:p>
        </w:tc>
        <w:tc>
          <w:tcPr>
            <w:tcW w:w="1933" w:type="dxa"/>
            <w:tcBorders>
              <w:top w:val="nil"/>
              <w:left w:val="nil"/>
              <w:bottom w:val="single" w:color="auto" w:sz="4" w:space="0"/>
              <w:right w:val="nil"/>
            </w:tcBorders>
            <w:shd w:val="clear" w:color="auto" w:fill="auto"/>
            <w:hideMark/>
          </w:tcPr>
          <w:p w:rsidRPr="0014478B" w:rsidR="008F4A07" w:rsidRDefault="00BE3765" w14:paraId="25C63DC4" w14:textId="401B80F7">
            <w:pPr>
              <w:spacing w:after="0" w:line="240" w:lineRule="auto"/>
              <w:rPr>
                <w:rFonts w:ascii="Verdana" w:hAnsi="Verdana" w:eastAsia="Times New Roman" w:cs="Times New Roman"/>
                <w:color w:val="000000"/>
                <w:kern w:val="0"/>
                <w:sz w:val="18"/>
                <w:szCs w:val="18"/>
                <w:lang w:eastAsia="nl-NL"/>
                <w14:ligatures w14:val="none"/>
              </w:rPr>
            </w:pPr>
            <w:r w:rsidRPr="0014478B">
              <w:rPr>
                <w:rFonts w:ascii="Verdana" w:hAnsi="Verdana" w:eastAsia="Times New Roman" w:cs="Times New Roman"/>
                <w:i/>
                <w:iCs/>
                <w:color w:val="000000"/>
                <w:kern w:val="0"/>
                <w:sz w:val="18"/>
                <w:szCs w:val="18"/>
                <w:lang w:eastAsia="nl-NL"/>
                <w14:ligatures w14:val="none"/>
              </w:rPr>
              <w:t>Gemiddeld</w:t>
            </w:r>
            <w:r w:rsidRPr="0014478B" w:rsidR="008F4A07">
              <w:rPr>
                <w:rFonts w:ascii="Verdana" w:hAnsi="Verdana" w:eastAsia="Times New Roman" w:cs="Times New Roman"/>
                <w:i/>
                <w:iCs/>
                <w:color w:val="000000"/>
                <w:kern w:val="0"/>
                <w:sz w:val="18"/>
                <w:szCs w:val="18"/>
                <w:lang w:eastAsia="nl-NL"/>
                <w14:ligatures w14:val="none"/>
              </w:rPr>
              <w:t xml:space="preserve"> effect</w:t>
            </w:r>
            <w:r w:rsidRPr="0014478B" w:rsidR="008F4A07">
              <w:rPr>
                <w:rFonts w:ascii="Verdana" w:hAnsi="Verdana" w:eastAsia="Times New Roman" w:cs="Times New Roman"/>
                <w:color w:val="000000"/>
                <w:kern w:val="0"/>
                <w:sz w:val="18"/>
                <w:szCs w:val="18"/>
                <w:lang w:eastAsia="nl-NL"/>
                <w14:ligatures w14:val="none"/>
              </w:rPr>
              <w:t>: Belastingderving daalt, maar zal er nog steeds zijn afhankelijk van de belastingkorting.</w:t>
            </w:r>
          </w:p>
        </w:tc>
        <w:tc>
          <w:tcPr>
            <w:tcW w:w="1487" w:type="dxa"/>
            <w:tcBorders>
              <w:top w:val="nil"/>
              <w:left w:val="nil"/>
              <w:bottom w:val="single" w:color="auto" w:sz="4" w:space="0"/>
              <w:right w:val="single" w:color="auto" w:sz="4" w:space="0"/>
            </w:tcBorders>
            <w:shd w:val="clear" w:color="auto" w:fill="auto"/>
            <w:hideMark/>
          </w:tcPr>
          <w:p w:rsidRPr="0014478B" w:rsidR="008F4A07" w:rsidRDefault="008F4A07" w14:paraId="413C50F5" w14:textId="77777777">
            <w:pPr>
              <w:spacing w:after="0" w:line="240" w:lineRule="auto"/>
              <w:rPr>
                <w:rFonts w:ascii="Verdana" w:hAnsi="Verdana" w:eastAsia="Times New Roman" w:cs="Times New Roman"/>
                <w:color w:val="000000"/>
                <w:kern w:val="0"/>
                <w:sz w:val="18"/>
                <w:szCs w:val="18"/>
                <w:lang w:eastAsia="nl-NL"/>
                <w14:ligatures w14:val="none"/>
              </w:rPr>
            </w:pPr>
            <w:r w:rsidRPr="0014478B">
              <w:rPr>
                <w:rFonts w:ascii="Verdana" w:hAnsi="Verdana" w:eastAsia="Times New Roman" w:cs="Times New Roman"/>
                <w:i/>
                <w:iCs/>
                <w:color w:val="000000"/>
                <w:kern w:val="0"/>
                <w:sz w:val="18"/>
                <w:szCs w:val="18"/>
                <w:lang w:eastAsia="nl-NL"/>
                <w14:ligatures w14:val="none"/>
              </w:rPr>
              <w:t>Klein effect</w:t>
            </w:r>
            <w:r w:rsidRPr="0014478B">
              <w:rPr>
                <w:rFonts w:ascii="Verdana" w:hAnsi="Verdana" w:eastAsia="Times New Roman" w:cs="Times New Roman"/>
                <w:color w:val="000000"/>
                <w:kern w:val="0"/>
                <w:sz w:val="18"/>
                <w:szCs w:val="18"/>
                <w:lang w:eastAsia="nl-NL"/>
                <w14:ligatures w14:val="none"/>
              </w:rPr>
              <w:t xml:space="preserve">: </w:t>
            </w:r>
          </w:p>
          <w:p w:rsidRPr="0014478B" w:rsidR="008F4A07" w:rsidRDefault="008F4A07" w14:paraId="41FAAF28" w14:textId="1A1CA384">
            <w:pPr>
              <w:spacing w:after="0" w:line="240" w:lineRule="auto"/>
              <w:rPr>
                <w:rFonts w:ascii="Verdana" w:hAnsi="Verdana" w:eastAsia="Times New Roman" w:cs="Times New Roman"/>
                <w:color w:val="000000"/>
                <w:kern w:val="0"/>
                <w:sz w:val="18"/>
                <w:szCs w:val="18"/>
                <w:lang w:eastAsia="nl-NL"/>
                <w14:ligatures w14:val="none"/>
              </w:rPr>
            </w:pPr>
            <w:r w:rsidRPr="0014478B">
              <w:rPr>
                <w:rFonts w:ascii="Verdana" w:hAnsi="Verdana" w:eastAsia="Times New Roman" w:cs="Times New Roman"/>
                <w:color w:val="000000"/>
                <w:kern w:val="0"/>
                <w:sz w:val="18"/>
                <w:szCs w:val="18"/>
                <w:lang w:eastAsia="nl-NL"/>
                <w14:ligatures w14:val="none"/>
              </w:rPr>
              <w:t xml:space="preserve">De uitrol van zonnepanelen zal iets trager gaan ten opzichte van de afgelopen jaren. Hiermee zal het resterende potentieel voor de uitrol van zon op dak </w:t>
            </w:r>
            <w:r w:rsidRPr="0014478B" w:rsidR="00BE7DE4">
              <w:rPr>
                <w:rFonts w:ascii="Verdana" w:hAnsi="Verdana" w:eastAsia="Times New Roman" w:cs="Times New Roman"/>
                <w:color w:val="000000"/>
                <w:kern w:val="0"/>
                <w:sz w:val="18"/>
                <w:szCs w:val="18"/>
                <w:lang w:eastAsia="nl-NL"/>
                <w14:ligatures w14:val="none"/>
              </w:rPr>
              <w:lastRenderedPageBreak/>
              <w:t>meer beheerst</w:t>
            </w:r>
            <w:r w:rsidRPr="0014478B" w:rsidR="00EE3F75">
              <w:rPr>
                <w:rFonts w:ascii="Verdana" w:hAnsi="Verdana" w:eastAsia="Times New Roman" w:cs="Times New Roman"/>
                <w:color w:val="000000"/>
                <w:kern w:val="0"/>
                <w:sz w:val="18"/>
                <w:szCs w:val="18"/>
                <w:lang w:eastAsia="nl-NL"/>
                <w14:ligatures w14:val="none"/>
              </w:rPr>
              <w:t xml:space="preserve"> </w:t>
            </w:r>
            <w:r w:rsidRPr="0014478B">
              <w:rPr>
                <w:rFonts w:ascii="Verdana" w:hAnsi="Verdana" w:eastAsia="Times New Roman" w:cs="Times New Roman"/>
                <w:color w:val="000000"/>
                <w:kern w:val="0"/>
                <w:sz w:val="18"/>
                <w:szCs w:val="18"/>
                <w:lang w:eastAsia="nl-NL"/>
                <w14:ligatures w14:val="none"/>
              </w:rPr>
              <w:t xml:space="preserve">benut worden.  </w:t>
            </w:r>
          </w:p>
        </w:tc>
        <w:tc>
          <w:tcPr>
            <w:tcW w:w="3544" w:type="dxa"/>
            <w:tcBorders>
              <w:top w:val="nil"/>
              <w:left w:val="nil"/>
              <w:bottom w:val="single" w:color="auto" w:sz="4" w:space="0"/>
              <w:right w:val="single" w:color="auto" w:sz="8" w:space="0"/>
            </w:tcBorders>
          </w:tcPr>
          <w:p w:rsidRPr="0014478B" w:rsidR="008F4A07" w:rsidRDefault="008F4A07" w14:paraId="491E5770" w14:textId="77777777">
            <w:pPr>
              <w:spacing w:after="0" w:line="240" w:lineRule="auto"/>
              <w:rPr>
                <w:rFonts w:ascii="Verdana" w:hAnsi="Verdana" w:eastAsia="Times New Roman" w:cs="Times New Roman"/>
                <w:color w:val="000000"/>
                <w:kern w:val="0"/>
                <w:sz w:val="18"/>
                <w:szCs w:val="18"/>
                <w:lang w:eastAsia="nl-NL"/>
                <w14:ligatures w14:val="none"/>
              </w:rPr>
            </w:pPr>
            <w:r w:rsidRPr="0014478B">
              <w:rPr>
                <w:rFonts w:ascii="Verdana" w:hAnsi="Verdana" w:eastAsia="Times New Roman" w:cs="Times New Roman"/>
                <w:i/>
                <w:iCs/>
                <w:color w:val="000000"/>
                <w:kern w:val="0"/>
                <w:sz w:val="18"/>
                <w:szCs w:val="18"/>
                <w:lang w:eastAsia="nl-NL"/>
                <w14:ligatures w14:val="none"/>
              </w:rPr>
              <w:lastRenderedPageBreak/>
              <w:t>Groot effect</w:t>
            </w:r>
            <w:r w:rsidRPr="0014478B">
              <w:rPr>
                <w:rFonts w:ascii="Verdana" w:hAnsi="Verdana" w:eastAsia="Times New Roman" w:cs="Times New Roman"/>
                <w:color w:val="000000"/>
                <w:kern w:val="0"/>
                <w:sz w:val="18"/>
                <w:szCs w:val="18"/>
                <w:lang w:eastAsia="nl-NL"/>
                <w14:ligatures w14:val="none"/>
              </w:rPr>
              <w:t>:</w:t>
            </w:r>
          </w:p>
          <w:p w:rsidRPr="0014478B" w:rsidR="008F4A07" w:rsidRDefault="008F4A07" w14:paraId="2C0D4F96" w14:textId="0A1316BB">
            <w:pPr>
              <w:spacing w:after="0" w:line="240" w:lineRule="auto"/>
              <w:rPr>
                <w:rFonts w:ascii="Verdana" w:hAnsi="Verdana" w:eastAsia="Times New Roman" w:cs="Times New Roman"/>
                <w:color w:val="000000"/>
                <w:kern w:val="0"/>
                <w:sz w:val="18"/>
                <w:szCs w:val="18"/>
                <w:lang w:eastAsia="nl-NL"/>
                <w14:ligatures w14:val="none"/>
              </w:rPr>
            </w:pPr>
            <w:r w:rsidRPr="0014478B">
              <w:rPr>
                <w:rFonts w:ascii="Verdana" w:hAnsi="Verdana" w:eastAsia="Times New Roman" w:cs="Times New Roman"/>
                <w:color w:val="000000"/>
                <w:kern w:val="0"/>
                <w:sz w:val="18"/>
                <w:szCs w:val="18"/>
                <w:lang w:eastAsia="nl-NL"/>
                <w14:ligatures w14:val="none"/>
              </w:rPr>
              <w:t xml:space="preserve">Bleek in gesprekken met betrokken partijen complexer in uitvoering dan </w:t>
            </w:r>
            <w:r w:rsidRPr="0014478B" w:rsidR="006E533E">
              <w:rPr>
                <w:rFonts w:ascii="Verdana" w:hAnsi="Verdana" w:eastAsia="Times New Roman" w:cs="Times New Roman"/>
                <w:color w:val="000000"/>
                <w:kern w:val="0"/>
                <w:sz w:val="18"/>
                <w:szCs w:val="18"/>
                <w:lang w:eastAsia="nl-NL"/>
                <w14:ligatures w14:val="none"/>
              </w:rPr>
              <w:t>aanvankelijk werd aangenomen</w:t>
            </w:r>
            <w:r w:rsidRPr="0014478B">
              <w:rPr>
                <w:rFonts w:ascii="Verdana" w:hAnsi="Verdana" w:eastAsia="Times New Roman" w:cs="Times New Roman"/>
                <w:color w:val="000000"/>
                <w:kern w:val="0"/>
                <w:sz w:val="18"/>
                <w:szCs w:val="18"/>
                <w:lang w:eastAsia="nl-NL"/>
                <w14:ligatures w14:val="none"/>
              </w:rPr>
              <w:t>. De Tweede Kamer is hier op een eerder moment over geïnformeerd (Kamerstukken II 2018</w:t>
            </w:r>
            <w:r w:rsidRPr="0014478B" w:rsidR="00263E74">
              <w:rPr>
                <w:rFonts w:ascii="Verdana" w:hAnsi="Verdana" w:eastAsia="Times New Roman" w:cs="Times New Roman"/>
                <w:color w:val="000000"/>
                <w:kern w:val="0"/>
                <w:sz w:val="18"/>
                <w:szCs w:val="18"/>
                <w:lang w:eastAsia="nl-NL"/>
                <w14:ligatures w14:val="none"/>
              </w:rPr>
              <w:t>-20</w:t>
            </w:r>
            <w:r w:rsidRPr="0014478B">
              <w:rPr>
                <w:rFonts w:ascii="Verdana" w:hAnsi="Verdana" w:eastAsia="Times New Roman" w:cs="Times New Roman"/>
                <w:color w:val="000000"/>
                <w:kern w:val="0"/>
                <w:sz w:val="18"/>
                <w:szCs w:val="18"/>
                <w:lang w:eastAsia="nl-NL"/>
                <w14:ligatures w14:val="none"/>
              </w:rPr>
              <w:t>19, 31 239, nr. 299.)</w:t>
            </w:r>
          </w:p>
        </w:tc>
        <w:tc>
          <w:tcPr>
            <w:tcW w:w="3544" w:type="dxa"/>
            <w:tcBorders>
              <w:top w:val="nil"/>
              <w:left w:val="nil"/>
              <w:bottom w:val="single" w:color="auto" w:sz="4" w:space="0"/>
              <w:right w:val="single" w:color="auto" w:sz="8" w:space="0"/>
            </w:tcBorders>
          </w:tcPr>
          <w:p w:rsidRPr="0014478B" w:rsidR="008F4A07" w:rsidRDefault="008F4A07" w14:paraId="15B2F68D" w14:textId="195BC07A">
            <w:pPr>
              <w:spacing w:after="0" w:line="240" w:lineRule="auto"/>
              <w:rPr>
                <w:rFonts w:ascii="Verdana" w:hAnsi="Verdana" w:eastAsia="Times New Roman" w:cs="Times New Roman"/>
                <w:color w:val="000000"/>
                <w:kern w:val="0"/>
                <w:sz w:val="18"/>
                <w:szCs w:val="18"/>
                <w:lang w:eastAsia="nl-NL"/>
                <w14:ligatures w14:val="none"/>
              </w:rPr>
            </w:pPr>
            <w:r w:rsidRPr="0014478B">
              <w:rPr>
                <w:rFonts w:ascii="Verdana" w:hAnsi="Verdana" w:eastAsia="Times New Roman" w:cs="Times New Roman"/>
                <w:color w:val="000000"/>
                <w:kern w:val="0"/>
                <w:sz w:val="18"/>
                <w:szCs w:val="18"/>
                <w:lang w:eastAsia="nl-NL"/>
                <w14:ligatures w14:val="none"/>
              </w:rPr>
              <w:t>Beperkte financiële prikkel om zoveel mogelijk zelfopgewekte elektriciteit zelf te verbruiken.</w:t>
            </w:r>
          </w:p>
          <w:p w:rsidRPr="0014478B" w:rsidR="008F4A07" w:rsidRDefault="008F4A07" w14:paraId="0DA93686" w14:textId="77777777">
            <w:pPr>
              <w:spacing w:after="0" w:line="240" w:lineRule="auto"/>
              <w:rPr>
                <w:rFonts w:ascii="Verdana" w:hAnsi="Verdana" w:eastAsia="Times New Roman" w:cs="Times New Roman"/>
                <w:color w:val="000000"/>
                <w:kern w:val="0"/>
                <w:sz w:val="18"/>
                <w:szCs w:val="18"/>
                <w:lang w:eastAsia="nl-NL"/>
                <w14:ligatures w14:val="none"/>
              </w:rPr>
            </w:pPr>
          </w:p>
          <w:p w:rsidRPr="0014478B" w:rsidR="008F4A07" w:rsidRDefault="008F4A07" w14:paraId="2F9D681B" w14:textId="77777777">
            <w:pPr>
              <w:spacing w:after="0" w:line="240" w:lineRule="auto"/>
              <w:rPr>
                <w:rFonts w:ascii="Verdana" w:hAnsi="Verdana" w:eastAsia="Times New Roman" w:cs="Times New Roman"/>
                <w:color w:val="000000"/>
                <w:kern w:val="0"/>
                <w:sz w:val="18"/>
                <w:szCs w:val="18"/>
                <w:lang w:eastAsia="nl-NL"/>
                <w14:ligatures w14:val="none"/>
              </w:rPr>
            </w:pPr>
            <w:r w:rsidRPr="0014478B">
              <w:rPr>
                <w:rFonts w:ascii="Verdana" w:hAnsi="Verdana" w:eastAsia="Times New Roman" w:cs="Times New Roman"/>
                <w:color w:val="000000"/>
                <w:kern w:val="0"/>
                <w:sz w:val="18"/>
                <w:szCs w:val="18"/>
                <w:lang w:eastAsia="nl-NL"/>
                <w14:ligatures w14:val="none"/>
              </w:rPr>
              <w:t>Lagere belastingderving.</w:t>
            </w:r>
          </w:p>
          <w:p w:rsidRPr="0014478B" w:rsidR="008F4A07" w:rsidRDefault="008F4A07" w14:paraId="44AF9AD7" w14:textId="77777777">
            <w:pPr>
              <w:spacing w:after="0" w:line="240" w:lineRule="auto"/>
              <w:rPr>
                <w:rFonts w:ascii="Verdana" w:hAnsi="Verdana" w:eastAsia="Times New Roman" w:cs="Times New Roman"/>
                <w:color w:val="000000"/>
                <w:kern w:val="0"/>
                <w:sz w:val="18"/>
                <w:szCs w:val="18"/>
                <w:lang w:eastAsia="nl-NL"/>
                <w14:ligatures w14:val="none"/>
              </w:rPr>
            </w:pPr>
          </w:p>
          <w:p w:rsidRPr="0014478B" w:rsidR="008F4A07" w:rsidRDefault="008F4A07" w14:paraId="1FD40B71" w14:textId="6FF3D92A">
            <w:pPr>
              <w:spacing w:after="0" w:line="240" w:lineRule="auto"/>
              <w:rPr>
                <w:rFonts w:ascii="Verdana" w:hAnsi="Verdana" w:eastAsia="Times New Roman" w:cs="Times New Roman"/>
                <w:color w:val="000000"/>
                <w:kern w:val="0"/>
                <w:sz w:val="18"/>
                <w:szCs w:val="18"/>
                <w:lang w:eastAsia="nl-NL"/>
                <w14:ligatures w14:val="none"/>
              </w:rPr>
            </w:pPr>
            <w:r w:rsidRPr="0014478B">
              <w:rPr>
                <w:rFonts w:ascii="Verdana" w:hAnsi="Verdana" w:eastAsia="Times New Roman" w:cs="Times New Roman"/>
                <w:color w:val="000000"/>
                <w:kern w:val="0"/>
                <w:sz w:val="18"/>
                <w:szCs w:val="18"/>
                <w:lang w:eastAsia="nl-NL"/>
                <w14:ligatures w14:val="none"/>
              </w:rPr>
              <w:t xml:space="preserve">Onbenutte potentie zal </w:t>
            </w:r>
            <w:r w:rsidRPr="0014478B" w:rsidR="00996029">
              <w:rPr>
                <w:rFonts w:ascii="Verdana" w:hAnsi="Verdana" w:eastAsia="Times New Roman" w:cs="Times New Roman"/>
                <w:color w:val="000000"/>
                <w:kern w:val="0"/>
                <w:sz w:val="18"/>
                <w:szCs w:val="18"/>
                <w:lang w:eastAsia="nl-NL"/>
                <w14:ligatures w14:val="none"/>
              </w:rPr>
              <w:t xml:space="preserve">meer </w:t>
            </w:r>
            <w:r w:rsidRPr="0014478B" w:rsidR="00BE7DE4">
              <w:rPr>
                <w:rFonts w:ascii="Verdana" w:hAnsi="Verdana" w:eastAsia="Times New Roman" w:cs="Times New Roman"/>
                <w:color w:val="000000"/>
                <w:kern w:val="0"/>
                <w:sz w:val="18"/>
                <w:szCs w:val="18"/>
                <w:lang w:eastAsia="nl-NL"/>
                <w14:ligatures w14:val="none"/>
              </w:rPr>
              <w:t xml:space="preserve">beheerst </w:t>
            </w:r>
            <w:r w:rsidRPr="0014478B">
              <w:rPr>
                <w:rFonts w:ascii="Verdana" w:hAnsi="Verdana" w:eastAsia="Times New Roman" w:cs="Times New Roman"/>
                <w:color w:val="000000"/>
                <w:kern w:val="0"/>
                <w:sz w:val="18"/>
                <w:szCs w:val="18"/>
                <w:lang w:eastAsia="nl-NL"/>
                <w14:ligatures w14:val="none"/>
              </w:rPr>
              <w:t xml:space="preserve">worden ingevuld. </w:t>
            </w:r>
          </w:p>
        </w:tc>
      </w:tr>
      <w:tr w:rsidRPr="002F17AD" w:rsidR="008F4A07" w14:paraId="4B8493DC" w14:textId="77777777">
        <w:trPr>
          <w:trHeight w:val="1816"/>
        </w:trPr>
        <w:tc>
          <w:tcPr>
            <w:tcW w:w="2023" w:type="dxa"/>
            <w:tcBorders>
              <w:top w:val="nil"/>
              <w:left w:val="single" w:color="auto" w:sz="4" w:space="0"/>
              <w:bottom w:val="single" w:color="auto" w:sz="4" w:space="0"/>
              <w:right w:val="nil"/>
            </w:tcBorders>
            <w:shd w:val="clear" w:color="auto" w:fill="auto"/>
            <w:vAlign w:val="center"/>
            <w:hideMark/>
          </w:tcPr>
          <w:p w:rsidRPr="0014478B" w:rsidR="008F4A07" w:rsidRDefault="008F4A07" w14:paraId="1944ACF3" w14:textId="77777777">
            <w:pPr>
              <w:spacing w:after="0" w:line="240" w:lineRule="auto"/>
              <w:rPr>
                <w:rFonts w:ascii="Verdana" w:hAnsi="Verdana" w:eastAsia="Times New Roman" w:cs="Times New Roman"/>
                <w:b/>
                <w:color w:val="000000"/>
                <w:kern w:val="0"/>
                <w:sz w:val="18"/>
                <w:szCs w:val="18"/>
                <w:lang w:eastAsia="nl-NL"/>
                <w14:ligatures w14:val="none"/>
              </w:rPr>
            </w:pPr>
            <w:r w:rsidRPr="0014478B">
              <w:rPr>
                <w:rFonts w:ascii="Verdana" w:hAnsi="Verdana" w:eastAsia="Times New Roman" w:cs="Times New Roman"/>
                <w:b/>
                <w:color w:val="000000"/>
                <w:kern w:val="0"/>
                <w:sz w:val="18"/>
                <w:szCs w:val="18"/>
                <w:lang w:eastAsia="nl-NL"/>
                <w14:ligatures w14:val="none"/>
              </w:rPr>
              <w:t>5: Salderingsregeling per 2027 beëindigen en vervangen door een investeringssubsidie</w:t>
            </w:r>
            <w:r w:rsidRPr="0014478B">
              <w:rPr>
                <w:rStyle w:val="Voetnootmarkering"/>
                <w:rFonts w:ascii="Verdana" w:hAnsi="Verdana" w:eastAsia="Times New Roman" w:cs="Times New Roman"/>
                <w:b/>
                <w:color w:val="000000"/>
                <w:kern w:val="0"/>
                <w:sz w:val="18"/>
                <w:szCs w:val="18"/>
                <w:lang w:eastAsia="nl-NL"/>
                <w14:ligatures w14:val="none"/>
              </w:rPr>
              <w:footnoteReference w:id="47"/>
            </w:r>
            <w:r w:rsidRPr="0014478B">
              <w:rPr>
                <w:rFonts w:ascii="Verdana" w:hAnsi="Verdana" w:eastAsia="Times New Roman" w:cs="Times New Roman"/>
                <w:b/>
                <w:color w:val="000000"/>
                <w:kern w:val="0"/>
                <w:sz w:val="18"/>
                <w:szCs w:val="18"/>
                <w:lang w:eastAsia="nl-NL"/>
                <w14:ligatures w14:val="none"/>
              </w:rPr>
              <w:t>.</w:t>
            </w:r>
          </w:p>
        </w:tc>
        <w:tc>
          <w:tcPr>
            <w:tcW w:w="1762" w:type="dxa"/>
            <w:tcBorders>
              <w:top w:val="nil"/>
              <w:left w:val="single" w:color="auto" w:sz="8" w:space="0"/>
              <w:bottom w:val="single" w:color="auto" w:sz="8" w:space="0"/>
              <w:right w:val="nil"/>
            </w:tcBorders>
            <w:shd w:val="clear" w:color="auto" w:fill="auto"/>
            <w:hideMark/>
          </w:tcPr>
          <w:p w:rsidRPr="0014478B" w:rsidR="008F4A07" w:rsidRDefault="008F4A07" w14:paraId="7AABB39A" w14:textId="77777777">
            <w:pPr>
              <w:spacing w:after="0" w:line="240" w:lineRule="auto"/>
              <w:rPr>
                <w:rFonts w:ascii="Verdana" w:hAnsi="Verdana" w:eastAsia="Times New Roman" w:cs="Times New Roman"/>
                <w:color w:val="000000"/>
                <w:kern w:val="0"/>
                <w:sz w:val="18"/>
                <w:szCs w:val="18"/>
                <w:lang w:eastAsia="nl-NL"/>
                <w14:ligatures w14:val="none"/>
              </w:rPr>
            </w:pPr>
            <w:r w:rsidRPr="0014478B">
              <w:rPr>
                <w:rFonts w:ascii="Verdana" w:hAnsi="Verdana" w:eastAsia="Times New Roman" w:cs="Times New Roman"/>
                <w:i/>
                <w:iCs/>
                <w:color w:val="000000"/>
                <w:kern w:val="0"/>
                <w:sz w:val="18"/>
                <w:szCs w:val="18"/>
                <w:lang w:eastAsia="nl-NL"/>
                <w14:ligatures w14:val="none"/>
              </w:rPr>
              <w:t>Groot effect</w:t>
            </w:r>
            <w:r w:rsidRPr="0014478B">
              <w:rPr>
                <w:rFonts w:ascii="Verdana" w:hAnsi="Verdana" w:eastAsia="Times New Roman" w:cs="Times New Roman"/>
                <w:color w:val="000000"/>
                <w:kern w:val="0"/>
                <w:sz w:val="18"/>
                <w:szCs w:val="18"/>
                <w:lang w:eastAsia="nl-NL"/>
                <w14:ligatures w14:val="none"/>
              </w:rPr>
              <w:t xml:space="preserve">: </w:t>
            </w:r>
          </w:p>
          <w:p w:rsidRPr="0014478B" w:rsidR="008F4A07" w:rsidRDefault="008F4A07" w14:paraId="2816062B" w14:textId="77777777">
            <w:pPr>
              <w:spacing w:after="0" w:line="240" w:lineRule="auto"/>
              <w:rPr>
                <w:rFonts w:ascii="Verdana" w:hAnsi="Verdana" w:eastAsia="Times New Roman" w:cs="Times New Roman"/>
                <w:color w:val="000000"/>
                <w:kern w:val="0"/>
                <w:sz w:val="18"/>
                <w:szCs w:val="18"/>
                <w:lang w:eastAsia="nl-NL"/>
                <w14:ligatures w14:val="none"/>
              </w:rPr>
            </w:pPr>
            <w:r w:rsidRPr="0014478B">
              <w:rPr>
                <w:rFonts w:ascii="Verdana" w:hAnsi="Verdana" w:eastAsia="Times New Roman" w:cs="Times New Roman"/>
                <w:color w:val="000000"/>
                <w:kern w:val="0"/>
                <w:sz w:val="18"/>
                <w:szCs w:val="18"/>
                <w:lang w:eastAsia="nl-NL"/>
                <w14:ligatures w14:val="none"/>
              </w:rPr>
              <w:t>Vanaf 2027 maximale financiële prikkel om het eigen verbruik te verhogen. Dit heeft per direct een effect op het verminderen van het risico op netcongestie.</w:t>
            </w:r>
          </w:p>
        </w:tc>
        <w:tc>
          <w:tcPr>
            <w:tcW w:w="1933" w:type="dxa"/>
            <w:tcBorders>
              <w:top w:val="nil"/>
              <w:left w:val="nil"/>
              <w:bottom w:val="single" w:color="auto" w:sz="8" w:space="0"/>
              <w:right w:val="nil"/>
            </w:tcBorders>
            <w:shd w:val="clear" w:color="auto" w:fill="auto"/>
            <w:hideMark/>
          </w:tcPr>
          <w:p w:rsidRPr="0014478B" w:rsidR="008F4A07" w:rsidRDefault="00BE3765" w14:paraId="6FF776C3" w14:textId="3334EC5D">
            <w:pPr>
              <w:spacing w:after="0" w:line="240" w:lineRule="auto"/>
              <w:rPr>
                <w:rFonts w:ascii="Verdana" w:hAnsi="Verdana" w:eastAsia="Times New Roman" w:cs="Times New Roman"/>
                <w:color w:val="000000"/>
                <w:kern w:val="0"/>
                <w:sz w:val="18"/>
                <w:szCs w:val="18"/>
                <w:lang w:eastAsia="nl-NL"/>
                <w14:ligatures w14:val="none"/>
              </w:rPr>
            </w:pPr>
            <w:r w:rsidRPr="0014478B">
              <w:rPr>
                <w:rFonts w:ascii="Verdana" w:hAnsi="Verdana" w:eastAsia="Times New Roman" w:cs="Times New Roman"/>
                <w:i/>
                <w:iCs/>
                <w:color w:val="000000"/>
                <w:kern w:val="0"/>
                <w:sz w:val="18"/>
                <w:szCs w:val="18"/>
                <w:lang w:eastAsia="nl-NL"/>
                <w14:ligatures w14:val="none"/>
              </w:rPr>
              <w:t>Geen</w:t>
            </w:r>
            <w:r w:rsidRPr="0014478B" w:rsidR="008F4A07">
              <w:rPr>
                <w:rFonts w:ascii="Verdana" w:hAnsi="Verdana" w:eastAsia="Times New Roman" w:cs="Times New Roman"/>
                <w:i/>
                <w:iCs/>
                <w:color w:val="000000"/>
                <w:kern w:val="0"/>
                <w:sz w:val="18"/>
                <w:szCs w:val="18"/>
                <w:lang w:eastAsia="nl-NL"/>
                <w14:ligatures w14:val="none"/>
              </w:rPr>
              <w:t xml:space="preserve"> effect</w:t>
            </w:r>
            <w:r w:rsidRPr="0014478B" w:rsidR="008F4A07">
              <w:rPr>
                <w:rFonts w:ascii="Verdana" w:hAnsi="Verdana" w:eastAsia="Times New Roman" w:cs="Times New Roman"/>
                <w:color w:val="000000"/>
                <w:kern w:val="0"/>
                <w:sz w:val="18"/>
                <w:szCs w:val="18"/>
                <w:lang w:eastAsia="nl-NL"/>
                <w14:ligatures w14:val="none"/>
              </w:rPr>
              <w:t>: Belastingderving verdwijnt per 2027. Met de investeringssubsidie komt er echter een nieuwe kostenpost bij. De hoogte hiervan,</w:t>
            </w:r>
            <w:r w:rsidRPr="0014478B" w:rsidR="006E533E">
              <w:rPr>
                <w:rFonts w:ascii="Verdana" w:hAnsi="Verdana" w:eastAsia="Times New Roman" w:cs="Times New Roman"/>
                <w:color w:val="000000"/>
                <w:kern w:val="0"/>
                <w:sz w:val="18"/>
                <w:szCs w:val="18"/>
                <w:lang w:eastAsia="nl-NL"/>
                <w14:ligatures w14:val="none"/>
              </w:rPr>
              <w:t xml:space="preserve"> </w:t>
            </w:r>
            <w:r w:rsidRPr="0014478B" w:rsidR="008F4A07">
              <w:rPr>
                <w:rFonts w:ascii="Verdana" w:hAnsi="Verdana" w:eastAsia="Times New Roman" w:cs="Times New Roman"/>
                <w:color w:val="000000"/>
                <w:kern w:val="0"/>
                <w:sz w:val="18"/>
                <w:szCs w:val="18"/>
                <w:lang w:eastAsia="nl-NL"/>
                <w14:ligatures w14:val="none"/>
              </w:rPr>
              <w:t xml:space="preserve">en dus het budgettaire effect, is afhankelijk van de vormgeving van een dergelijke subsidie. </w:t>
            </w:r>
          </w:p>
        </w:tc>
        <w:tc>
          <w:tcPr>
            <w:tcW w:w="1487" w:type="dxa"/>
            <w:tcBorders>
              <w:top w:val="nil"/>
              <w:left w:val="nil"/>
              <w:bottom w:val="single" w:color="auto" w:sz="8" w:space="0"/>
              <w:right w:val="single" w:color="auto" w:sz="4" w:space="0"/>
            </w:tcBorders>
            <w:shd w:val="clear" w:color="auto" w:fill="auto"/>
            <w:hideMark/>
          </w:tcPr>
          <w:p w:rsidRPr="0014478B" w:rsidR="008F4A07" w:rsidRDefault="008F4A07" w14:paraId="0393FA33" w14:textId="77777777">
            <w:pPr>
              <w:spacing w:after="0" w:line="240" w:lineRule="auto"/>
              <w:rPr>
                <w:rFonts w:ascii="Verdana" w:hAnsi="Verdana" w:eastAsia="Times New Roman" w:cs="Times New Roman"/>
                <w:color w:val="000000"/>
                <w:kern w:val="0"/>
                <w:sz w:val="18"/>
                <w:szCs w:val="18"/>
                <w:lang w:eastAsia="nl-NL"/>
                <w14:ligatures w14:val="none"/>
              </w:rPr>
            </w:pPr>
            <w:r w:rsidRPr="0014478B">
              <w:rPr>
                <w:rFonts w:ascii="Verdana" w:hAnsi="Verdana" w:eastAsia="Times New Roman" w:cs="Times New Roman"/>
                <w:i/>
                <w:iCs/>
                <w:color w:val="000000"/>
                <w:kern w:val="0"/>
                <w:sz w:val="18"/>
                <w:szCs w:val="18"/>
                <w:lang w:eastAsia="nl-NL"/>
                <w14:ligatures w14:val="none"/>
              </w:rPr>
              <w:t>Geen effect</w:t>
            </w:r>
            <w:r w:rsidRPr="0014478B">
              <w:rPr>
                <w:rFonts w:ascii="Verdana" w:hAnsi="Verdana" w:eastAsia="Times New Roman" w:cs="Times New Roman"/>
                <w:color w:val="000000"/>
                <w:kern w:val="0"/>
                <w:sz w:val="18"/>
                <w:szCs w:val="18"/>
                <w:lang w:eastAsia="nl-NL"/>
                <w14:ligatures w14:val="none"/>
              </w:rPr>
              <w:t xml:space="preserve">: </w:t>
            </w:r>
          </w:p>
          <w:p w:rsidRPr="0014478B" w:rsidR="008F4A07" w:rsidRDefault="008F4A07" w14:paraId="5EF2249B" w14:textId="77777777">
            <w:pPr>
              <w:spacing w:after="0" w:line="240" w:lineRule="auto"/>
              <w:rPr>
                <w:rFonts w:ascii="Verdana" w:hAnsi="Verdana" w:eastAsia="Times New Roman" w:cs="Times New Roman"/>
                <w:color w:val="000000"/>
                <w:kern w:val="0"/>
                <w:sz w:val="18"/>
                <w:szCs w:val="18"/>
                <w:lang w:eastAsia="nl-NL"/>
                <w14:ligatures w14:val="none"/>
              </w:rPr>
            </w:pPr>
            <w:r w:rsidRPr="0014478B">
              <w:rPr>
                <w:rFonts w:ascii="Verdana" w:hAnsi="Verdana" w:eastAsia="Times New Roman" w:cs="Times New Roman"/>
                <w:color w:val="000000"/>
                <w:kern w:val="0"/>
                <w:sz w:val="18"/>
                <w:szCs w:val="18"/>
                <w:lang w:eastAsia="nl-NL"/>
                <w14:ligatures w14:val="none"/>
              </w:rPr>
              <w:t>De uitrol van zonnepanelen zal geen vertraging oplopen of zelfs sneller gaan. Hierdoor zal het resterende potentieel voor zon op dak zal snel ingevuld worden.</w:t>
            </w:r>
          </w:p>
        </w:tc>
        <w:tc>
          <w:tcPr>
            <w:tcW w:w="3544" w:type="dxa"/>
            <w:tcBorders>
              <w:top w:val="nil"/>
              <w:left w:val="nil"/>
              <w:bottom w:val="single" w:color="auto" w:sz="8" w:space="0"/>
              <w:right w:val="single" w:color="auto" w:sz="8" w:space="0"/>
            </w:tcBorders>
          </w:tcPr>
          <w:p w:rsidRPr="0014478B" w:rsidR="008F4A07" w:rsidRDefault="008F4A07" w14:paraId="0A73435A" w14:textId="77777777">
            <w:pPr>
              <w:spacing w:after="0" w:line="240" w:lineRule="auto"/>
              <w:rPr>
                <w:rFonts w:ascii="Verdana" w:hAnsi="Verdana" w:eastAsia="Times New Roman" w:cs="Times New Roman"/>
                <w:color w:val="000000"/>
                <w:kern w:val="0"/>
                <w:sz w:val="18"/>
                <w:szCs w:val="18"/>
                <w:lang w:eastAsia="nl-NL"/>
                <w14:ligatures w14:val="none"/>
              </w:rPr>
            </w:pPr>
            <w:r w:rsidRPr="0014478B">
              <w:rPr>
                <w:rFonts w:ascii="Verdana" w:hAnsi="Verdana" w:eastAsia="Times New Roman" w:cs="Times New Roman"/>
                <w:i/>
                <w:iCs/>
                <w:color w:val="000000"/>
                <w:kern w:val="0"/>
                <w:sz w:val="18"/>
                <w:szCs w:val="18"/>
                <w:lang w:eastAsia="nl-NL"/>
                <w14:ligatures w14:val="none"/>
              </w:rPr>
              <w:t>Groot effect</w:t>
            </w:r>
            <w:r w:rsidRPr="0014478B">
              <w:rPr>
                <w:rFonts w:ascii="Verdana" w:hAnsi="Verdana" w:eastAsia="Times New Roman" w:cs="Times New Roman"/>
                <w:color w:val="000000"/>
                <w:kern w:val="0"/>
                <w:sz w:val="18"/>
                <w:szCs w:val="18"/>
                <w:lang w:eastAsia="nl-NL"/>
                <w14:ligatures w14:val="none"/>
              </w:rPr>
              <w:t>:</w:t>
            </w:r>
          </w:p>
          <w:p w:rsidRPr="0014478B" w:rsidR="008F4A07" w:rsidRDefault="008F4A07" w14:paraId="02EB7C89" w14:textId="77777777">
            <w:pPr>
              <w:spacing w:after="0" w:line="240" w:lineRule="auto"/>
              <w:rPr>
                <w:rFonts w:ascii="Verdana" w:hAnsi="Verdana" w:eastAsia="Times New Roman" w:cs="Times New Roman"/>
                <w:color w:val="000000"/>
                <w:kern w:val="0"/>
                <w:sz w:val="18"/>
                <w:szCs w:val="18"/>
                <w:lang w:eastAsia="nl-NL"/>
                <w14:ligatures w14:val="none"/>
              </w:rPr>
            </w:pPr>
            <w:r w:rsidRPr="0014478B">
              <w:rPr>
                <w:rFonts w:ascii="Verdana" w:hAnsi="Verdana" w:eastAsia="Times New Roman" w:cs="Times New Roman"/>
                <w:color w:val="000000"/>
                <w:kern w:val="0"/>
                <w:sz w:val="18"/>
                <w:szCs w:val="18"/>
                <w:lang w:eastAsia="nl-NL"/>
                <w14:ligatures w14:val="none"/>
              </w:rPr>
              <w:t>Lastig uitvoerbaar vanwege compensatie voor bestaande investeerders in zonnepanelen.</w:t>
            </w:r>
          </w:p>
        </w:tc>
        <w:tc>
          <w:tcPr>
            <w:tcW w:w="3544" w:type="dxa"/>
            <w:tcBorders>
              <w:top w:val="nil"/>
              <w:left w:val="nil"/>
              <w:bottom w:val="single" w:color="auto" w:sz="8" w:space="0"/>
              <w:right w:val="single" w:color="auto" w:sz="8" w:space="0"/>
            </w:tcBorders>
          </w:tcPr>
          <w:p w:rsidRPr="0014478B" w:rsidR="008F4A07" w:rsidRDefault="008F4A07" w14:paraId="1F154706" w14:textId="22DEC156">
            <w:pPr>
              <w:spacing w:after="0" w:line="240" w:lineRule="auto"/>
              <w:rPr>
                <w:rFonts w:ascii="Verdana" w:hAnsi="Verdana" w:eastAsia="Times New Roman" w:cs="Times New Roman"/>
                <w:color w:val="000000"/>
                <w:kern w:val="0"/>
                <w:sz w:val="18"/>
                <w:szCs w:val="18"/>
                <w:lang w:eastAsia="nl-NL"/>
                <w14:ligatures w14:val="none"/>
              </w:rPr>
            </w:pPr>
            <w:r w:rsidRPr="0014478B">
              <w:rPr>
                <w:rFonts w:ascii="Verdana" w:hAnsi="Verdana" w:eastAsia="Times New Roman" w:cs="Times New Roman"/>
                <w:color w:val="000000"/>
                <w:kern w:val="0"/>
                <w:sz w:val="18"/>
                <w:szCs w:val="18"/>
                <w:lang w:eastAsia="nl-NL"/>
                <w14:ligatures w14:val="none"/>
              </w:rPr>
              <w:t>Financiële prikkel om zoveel mogelijk zelfopgewekte elektriciteit zelf te verbruiken.</w:t>
            </w:r>
          </w:p>
          <w:p w:rsidRPr="0014478B" w:rsidR="008F4A07" w:rsidRDefault="008F4A07" w14:paraId="0E526DF4" w14:textId="77777777">
            <w:pPr>
              <w:spacing w:after="0" w:line="240" w:lineRule="auto"/>
              <w:rPr>
                <w:rFonts w:ascii="Verdana" w:hAnsi="Verdana" w:eastAsia="Times New Roman" w:cs="Times New Roman"/>
                <w:color w:val="000000"/>
                <w:kern w:val="0"/>
                <w:sz w:val="18"/>
                <w:szCs w:val="18"/>
                <w:lang w:eastAsia="nl-NL"/>
                <w14:ligatures w14:val="none"/>
              </w:rPr>
            </w:pPr>
          </w:p>
          <w:p w:rsidRPr="0014478B" w:rsidR="008F4A07" w:rsidRDefault="008F4A07" w14:paraId="0B50D9AC" w14:textId="77777777">
            <w:pPr>
              <w:spacing w:after="0" w:line="240" w:lineRule="auto"/>
              <w:rPr>
                <w:rFonts w:ascii="Verdana" w:hAnsi="Verdana" w:eastAsia="Times New Roman" w:cs="Times New Roman"/>
                <w:color w:val="000000"/>
                <w:kern w:val="0"/>
                <w:sz w:val="18"/>
                <w:szCs w:val="18"/>
                <w:lang w:eastAsia="nl-NL"/>
                <w14:ligatures w14:val="none"/>
              </w:rPr>
            </w:pPr>
            <w:r w:rsidRPr="0014478B">
              <w:rPr>
                <w:rFonts w:ascii="Verdana" w:hAnsi="Verdana" w:eastAsia="Times New Roman" w:cs="Times New Roman"/>
                <w:color w:val="000000"/>
                <w:kern w:val="0"/>
                <w:sz w:val="18"/>
                <w:szCs w:val="18"/>
                <w:lang w:eastAsia="nl-NL"/>
                <w14:ligatures w14:val="none"/>
              </w:rPr>
              <w:t>Geen belastingderving, maar nog wel kosten aan subsidie.</w:t>
            </w:r>
          </w:p>
          <w:p w:rsidRPr="0014478B" w:rsidR="008F4A07" w:rsidRDefault="008F4A07" w14:paraId="37BB5F85" w14:textId="77777777">
            <w:pPr>
              <w:spacing w:after="0" w:line="240" w:lineRule="auto"/>
              <w:rPr>
                <w:rFonts w:ascii="Verdana" w:hAnsi="Verdana" w:eastAsia="Times New Roman" w:cs="Times New Roman"/>
                <w:color w:val="000000"/>
                <w:kern w:val="0"/>
                <w:sz w:val="18"/>
                <w:szCs w:val="18"/>
                <w:lang w:eastAsia="nl-NL"/>
                <w14:ligatures w14:val="none"/>
              </w:rPr>
            </w:pPr>
          </w:p>
          <w:p w:rsidRPr="002437E7" w:rsidR="008F4A07" w:rsidRDefault="00D87045" w14:paraId="2A4C4876" w14:textId="56ABD5E2">
            <w:pPr>
              <w:spacing w:after="0" w:line="240" w:lineRule="auto"/>
              <w:rPr>
                <w:rFonts w:ascii="Verdana" w:hAnsi="Verdana" w:eastAsia="Times New Roman" w:cs="Times New Roman"/>
                <w:color w:val="000000"/>
                <w:kern w:val="0"/>
                <w:sz w:val="18"/>
                <w:szCs w:val="18"/>
                <w:lang w:eastAsia="nl-NL"/>
                <w14:ligatures w14:val="none"/>
              </w:rPr>
            </w:pPr>
            <w:r w:rsidRPr="0014478B">
              <w:rPr>
                <w:rFonts w:ascii="Verdana" w:hAnsi="Verdana" w:eastAsia="Times New Roman" w:cs="Times New Roman"/>
                <w:color w:val="000000"/>
                <w:kern w:val="0"/>
                <w:sz w:val="18"/>
                <w:szCs w:val="18"/>
                <w:lang w:eastAsia="nl-NL"/>
                <w14:ligatures w14:val="none"/>
              </w:rPr>
              <w:t>Uitrol zonnepanelen kan afnemen door snelle invulling van de potentie van onbenutte daken.</w:t>
            </w:r>
          </w:p>
        </w:tc>
      </w:tr>
    </w:tbl>
    <w:p w:rsidRPr="001B3717" w:rsidR="00725D76" w:rsidP="00D65932" w:rsidRDefault="00725D76" w14:paraId="08AFC485" w14:textId="77777777"/>
    <w:sectPr w:rsidRPr="001B3717" w:rsidR="00725D76" w:rsidSect="00D65932">
      <w:pgSz w:w="16838" w:h="11906" w:orient="landscape"/>
      <w:pgMar w:top="1418" w:right="1418" w:bottom="1418" w:left="1418" w:header="709" w:footer="709"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02A5F2" w14:textId="77777777" w:rsidR="0030790E" w:rsidRDefault="0030790E" w:rsidP="00AC1E73">
      <w:pPr>
        <w:spacing w:after="0" w:line="240" w:lineRule="auto"/>
      </w:pPr>
      <w:r>
        <w:separator/>
      </w:r>
    </w:p>
  </w:endnote>
  <w:endnote w:type="continuationSeparator" w:id="0">
    <w:p w14:paraId="50567DBE" w14:textId="77777777" w:rsidR="0030790E" w:rsidRDefault="0030790E" w:rsidP="00AC1E73">
      <w:pPr>
        <w:spacing w:after="0" w:line="240" w:lineRule="auto"/>
      </w:pPr>
      <w:r>
        <w:continuationSeparator/>
      </w:r>
    </w:p>
  </w:endnote>
  <w:endnote w:type="continuationNotice" w:id="1">
    <w:p w14:paraId="4E0C2DC2" w14:textId="77777777" w:rsidR="0030790E" w:rsidRDefault="0030790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706CFD" w14:textId="2C631426" w:rsidR="00AC1E73" w:rsidRDefault="00AC1E73">
    <w:pPr>
      <w:pStyle w:val="Voettekst"/>
    </w:pPr>
    <w:r>
      <w:rPr>
        <w:noProof/>
      </w:rPr>
      <mc:AlternateContent>
        <mc:Choice Requires="wps">
          <w:drawing>
            <wp:anchor distT="0" distB="0" distL="0" distR="0" simplePos="0" relativeHeight="251658241" behindDoc="0" locked="0" layoutInCell="1" allowOverlap="1" wp14:anchorId="7008BF02" wp14:editId="3431280E">
              <wp:simplePos x="635" y="635"/>
              <wp:positionH relativeFrom="page">
                <wp:align>left</wp:align>
              </wp:positionH>
              <wp:positionV relativeFrom="page">
                <wp:align>bottom</wp:align>
              </wp:positionV>
              <wp:extent cx="443865" cy="443865"/>
              <wp:effectExtent l="0" t="0" r="8255" b="0"/>
              <wp:wrapNone/>
              <wp:docPr id="1795463500" name="Tekstvak 1795463500"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D63A4CE" w14:textId="22B6737D" w:rsidR="00AC1E73" w:rsidRPr="00AC1E73" w:rsidRDefault="00AC1E73" w:rsidP="00AC1E73">
                          <w:pPr>
                            <w:spacing w:after="0"/>
                            <w:rPr>
                              <w:rFonts w:ascii="Calibri" w:eastAsia="Calibri" w:hAnsi="Calibri" w:cs="Calibri"/>
                              <w:noProof/>
                              <w:color w:val="000000"/>
                              <w:sz w:val="20"/>
                              <w:szCs w:val="20"/>
                            </w:rPr>
                          </w:pPr>
                          <w:r w:rsidRPr="00AC1E73">
                            <w:rPr>
                              <w:rFonts w:ascii="Calibri" w:eastAsia="Calibri" w:hAnsi="Calibri" w:cs="Calibri"/>
                              <w:noProof/>
                              <w:color w:val="000000"/>
                              <w:sz w:val="20"/>
                              <w:szCs w:val="20"/>
                            </w:rPr>
                            <w:t>Intern gebruik</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7008BF02" id="_x0000_t202" coordsize="21600,21600" o:spt="202" path="m,l,21600r21600,l21600,xe">
              <v:stroke joinstyle="miter"/>
              <v:path gradientshapeok="t" o:connecttype="rect"/>
            </v:shapetype>
            <v:shape id="Tekstvak 1795463500" o:spid="_x0000_s1026" type="#_x0000_t202" alt="Intern gebruik" style="position:absolute;margin-left:0;margin-top:0;width:34.95pt;height:34.95pt;z-index:251658241;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87LCwIAABo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" filled="f" stroked="f">
              <v:textbox style="mso-fit-shape-to-text:t" inset="20pt,0,0,15pt">
                <w:txbxContent>
                  <w:p w14:paraId="6D63A4CE" w14:textId="22B6737D" w:rsidR="00AC1E73" w:rsidRPr="00AC1E73" w:rsidRDefault="00AC1E73" w:rsidP="00AC1E73">
                    <w:pPr>
                      <w:spacing w:after="0"/>
                      <w:rPr>
                        <w:rFonts w:ascii="Calibri" w:eastAsia="Calibri" w:hAnsi="Calibri" w:cs="Calibri"/>
                        <w:noProof/>
                        <w:color w:val="000000"/>
                        <w:sz w:val="20"/>
                        <w:szCs w:val="20"/>
                      </w:rPr>
                    </w:pPr>
                    <w:r w:rsidRPr="00AC1E73">
                      <w:rPr>
                        <w:rFonts w:ascii="Calibri" w:eastAsia="Calibri" w:hAnsi="Calibri" w:cs="Calibri"/>
                        <w:noProof/>
                        <w:color w:val="000000"/>
                        <w:sz w:val="20"/>
                        <w:szCs w:val="20"/>
                      </w:rPr>
                      <w:t>Intern gebruik</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53499946"/>
      <w:docPartObj>
        <w:docPartGallery w:val="Page Numbers (Bottom of Page)"/>
        <w:docPartUnique/>
      </w:docPartObj>
    </w:sdtPr>
    <w:sdtEndPr/>
    <w:sdtContent>
      <w:p w14:paraId="3C7393B3" w14:textId="39F9AF7A" w:rsidR="00CD7A9A" w:rsidRDefault="00CD7A9A">
        <w:pPr>
          <w:pStyle w:val="Voettekst"/>
          <w:jc w:val="center"/>
        </w:pPr>
        <w:r>
          <w:fldChar w:fldCharType="begin"/>
        </w:r>
        <w:r>
          <w:instrText>PAGE   \* MERGEFORMAT</w:instrText>
        </w:r>
        <w:r>
          <w:fldChar w:fldCharType="separate"/>
        </w:r>
        <w:r>
          <w:t>2</w:t>
        </w:r>
        <w:r>
          <w:fldChar w:fldCharType="end"/>
        </w:r>
      </w:p>
    </w:sdtContent>
  </w:sdt>
  <w:p w14:paraId="2933FD0D" w14:textId="77777777" w:rsidR="00CD7A9A" w:rsidRDefault="00CD7A9A">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FD576" w14:textId="785CB632" w:rsidR="00AC1E73" w:rsidRDefault="00AC1E73">
    <w:pPr>
      <w:pStyle w:val="Voettekst"/>
    </w:pPr>
    <w:r>
      <w:rPr>
        <w:noProof/>
      </w:rPr>
      <mc:AlternateContent>
        <mc:Choice Requires="wps">
          <w:drawing>
            <wp:anchor distT="0" distB="0" distL="0" distR="0" simplePos="0" relativeHeight="251658240" behindDoc="0" locked="0" layoutInCell="1" allowOverlap="1" wp14:anchorId="17C683A5" wp14:editId="13207225">
              <wp:simplePos x="635" y="635"/>
              <wp:positionH relativeFrom="page">
                <wp:align>left</wp:align>
              </wp:positionH>
              <wp:positionV relativeFrom="page">
                <wp:align>bottom</wp:align>
              </wp:positionV>
              <wp:extent cx="443865" cy="443865"/>
              <wp:effectExtent l="0" t="0" r="8255" b="0"/>
              <wp:wrapNone/>
              <wp:docPr id="407115358" name="Tekstvak 407115358"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E98C069" w14:textId="751A79F2" w:rsidR="00AC1E73" w:rsidRPr="00AC1E73" w:rsidRDefault="00AC1E73" w:rsidP="00AC1E73">
                          <w:pPr>
                            <w:spacing w:after="0"/>
                            <w:rPr>
                              <w:rFonts w:ascii="Calibri" w:eastAsia="Calibri" w:hAnsi="Calibri" w:cs="Calibri"/>
                              <w:noProof/>
                              <w:color w:val="000000"/>
                              <w:sz w:val="20"/>
                              <w:szCs w:val="20"/>
                            </w:rPr>
                          </w:pPr>
                          <w:r w:rsidRPr="00AC1E73">
                            <w:rPr>
                              <w:rFonts w:ascii="Calibri" w:eastAsia="Calibri" w:hAnsi="Calibri" w:cs="Calibri"/>
                              <w:noProof/>
                              <w:color w:val="000000"/>
                              <w:sz w:val="20"/>
                              <w:szCs w:val="20"/>
                            </w:rPr>
                            <w:t>Intern gebruik</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7C683A5" id="_x0000_t202" coordsize="21600,21600" o:spt="202" path="m,l,21600r21600,l21600,xe">
              <v:stroke joinstyle="miter"/>
              <v:path gradientshapeok="t" o:connecttype="rect"/>
            </v:shapetype>
            <v:shape id="Tekstvak 407115358" o:spid="_x0000_s1027" type="#_x0000_t202" alt="Intern gebruik" style="position:absolute;margin-left:0;margin-top:0;width:34.95pt;height:34.9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" filled="f" stroked="f">
              <v:textbox style="mso-fit-shape-to-text:t" inset="20pt,0,0,15pt">
                <w:txbxContent>
                  <w:p w14:paraId="6E98C069" w14:textId="751A79F2" w:rsidR="00AC1E73" w:rsidRPr="00AC1E73" w:rsidRDefault="00AC1E73" w:rsidP="00AC1E73">
                    <w:pPr>
                      <w:spacing w:after="0"/>
                      <w:rPr>
                        <w:rFonts w:ascii="Calibri" w:eastAsia="Calibri" w:hAnsi="Calibri" w:cs="Calibri"/>
                        <w:noProof/>
                        <w:color w:val="000000"/>
                        <w:sz w:val="20"/>
                        <w:szCs w:val="20"/>
                      </w:rPr>
                    </w:pPr>
                    <w:r w:rsidRPr="00AC1E73">
                      <w:rPr>
                        <w:rFonts w:ascii="Calibri" w:eastAsia="Calibri" w:hAnsi="Calibri" w:cs="Calibri"/>
                        <w:noProof/>
                        <w:color w:val="000000"/>
                        <w:sz w:val="20"/>
                        <w:szCs w:val="20"/>
                      </w:rPr>
                      <w:t>Intern gebruik</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3DD724" w14:textId="77777777" w:rsidR="0030790E" w:rsidRDefault="0030790E" w:rsidP="00AC1E73">
      <w:pPr>
        <w:spacing w:after="0" w:line="240" w:lineRule="auto"/>
      </w:pPr>
      <w:r>
        <w:separator/>
      </w:r>
    </w:p>
  </w:footnote>
  <w:footnote w:type="continuationSeparator" w:id="0">
    <w:p w14:paraId="6BC36440" w14:textId="77777777" w:rsidR="0030790E" w:rsidRDefault="0030790E" w:rsidP="00AC1E73">
      <w:pPr>
        <w:spacing w:after="0" w:line="240" w:lineRule="auto"/>
      </w:pPr>
      <w:r>
        <w:continuationSeparator/>
      </w:r>
    </w:p>
  </w:footnote>
  <w:footnote w:type="continuationNotice" w:id="1">
    <w:p w14:paraId="410F8B88" w14:textId="77777777" w:rsidR="0030790E" w:rsidRDefault="0030790E">
      <w:pPr>
        <w:spacing w:after="0" w:line="240" w:lineRule="auto"/>
      </w:pPr>
    </w:p>
  </w:footnote>
  <w:footnote w:id="2">
    <w:p w14:paraId="61431FCF" w14:textId="50601E97" w:rsidR="00E90DBA" w:rsidRPr="0027432C" w:rsidRDefault="00E90DBA" w:rsidP="00E90DBA">
      <w:pPr>
        <w:pStyle w:val="Voetnoottekst"/>
        <w:rPr>
          <w:sz w:val="16"/>
          <w:szCs w:val="16"/>
        </w:rPr>
      </w:pPr>
      <w:r w:rsidRPr="0027432C">
        <w:rPr>
          <w:rStyle w:val="Voetnootmarkering"/>
          <w:sz w:val="16"/>
          <w:szCs w:val="16"/>
        </w:rPr>
        <w:footnoteRef/>
      </w:r>
      <w:r w:rsidRPr="0027432C">
        <w:rPr>
          <w:sz w:val="16"/>
          <w:szCs w:val="16"/>
        </w:rPr>
        <w:t xml:space="preserve"> Budgettaire bijlage </w:t>
      </w:r>
      <w:r w:rsidR="001F61CE">
        <w:rPr>
          <w:sz w:val="16"/>
          <w:szCs w:val="16"/>
        </w:rPr>
        <w:t>H</w:t>
      </w:r>
      <w:r w:rsidRPr="0027432C">
        <w:rPr>
          <w:sz w:val="16"/>
          <w:szCs w:val="16"/>
        </w:rPr>
        <w:t>oofdlijnenakkoord, 15 mei 2024.</w:t>
      </w:r>
    </w:p>
  </w:footnote>
  <w:footnote w:id="3">
    <w:p w14:paraId="672822B6" w14:textId="45EE1B7E" w:rsidR="00E90DBA" w:rsidRPr="0027432C" w:rsidRDefault="00E90DBA" w:rsidP="00E90DBA">
      <w:pPr>
        <w:pStyle w:val="Voetnoottekst"/>
        <w:rPr>
          <w:sz w:val="16"/>
          <w:szCs w:val="16"/>
        </w:rPr>
      </w:pPr>
      <w:r w:rsidRPr="0027432C">
        <w:rPr>
          <w:rStyle w:val="Voetnootmarkering"/>
          <w:sz w:val="16"/>
          <w:szCs w:val="16"/>
        </w:rPr>
        <w:footnoteRef/>
      </w:r>
      <w:r w:rsidRPr="0027432C">
        <w:rPr>
          <w:sz w:val="16"/>
          <w:szCs w:val="16"/>
        </w:rPr>
        <w:t xml:space="preserve"> Kamerstukken II, 2020-2021, 35 594, nr. 2.</w:t>
      </w:r>
      <w:r w:rsidR="00E53D44" w:rsidRPr="0027432C">
        <w:rPr>
          <w:sz w:val="16"/>
          <w:szCs w:val="16"/>
        </w:rPr>
        <w:t xml:space="preserve"> Dit wetsvoorstel voorzag in jaarlijks afbouwend percentage te salderen elektriciteit vanaf 2025 tot 2031.</w:t>
      </w:r>
    </w:p>
  </w:footnote>
  <w:footnote w:id="4">
    <w:p w14:paraId="54AE5AC8" w14:textId="77777777" w:rsidR="00E90DBA" w:rsidRPr="0027432C" w:rsidRDefault="00E90DBA" w:rsidP="00E90DBA">
      <w:pPr>
        <w:pStyle w:val="Voetnoottekst"/>
        <w:rPr>
          <w:sz w:val="16"/>
          <w:szCs w:val="16"/>
        </w:rPr>
      </w:pPr>
      <w:r w:rsidRPr="0027432C">
        <w:rPr>
          <w:rStyle w:val="Voetnootmarkering"/>
          <w:sz w:val="16"/>
          <w:szCs w:val="16"/>
        </w:rPr>
        <w:footnoteRef/>
      </w:r>
      <w:r w:rsidRPr="0027432C">
        <w:rPr>
          <w:sz w:val="16"/>
          <w:szCs w:val="16"/>
        </w:rPr>
        <w:t xml:space="preserve"> Kamerstukken II, 2023-2024, 36 378, nr. 75.</w:t>
      </w:r>
    </w:p>
  </w:footnote>
  <w:footnote w:id="5">
    <w:p w14:paraId="187F9A19" w14:textId="63CCCA5D" w:rsidR="00E7555B" w:rsidRPr="00E7555B" w:rsidRDefault="00E7555B">
      <w:pPr>
        <w:pStyle w:val="Voetnoottekst"/>
      </w:pPr>
      <w:r w:rsidRPr="0027432C">
        <w:rPr>
          <w:rStyle w:val="Voetnootmarkering"/>
          <w:sz w:val="16"/>
          <w:szCs w:val="16"/>
        </w:rPr>
        <w:footnoteRef/>
      </w:r>
      <w:r w:rsidRPr="0027432C">
        <w:rPr>
          <w:sz w:val="16"/>
          <w:szCs w:val="16"/>
        </w:rPr>
        <w:t xml:space="preserve"> Eindafnemer</w:t>
      </w:r>
      <w:r w:rsidR="006C5F96">
        <w:rPr>
          <w:sz w:val="16"/>
          <w:szCs w:val="16"/>
        </w:rPr>
        <w:t>, of een groep gezamenlijk optredende eindafnemers,</w:t>
      </w:r>
      <w:r w:rsidRPr="0027432C">
        <w:rPr>
          <w:sz w:val="16"/>
          <w:szCs w:val="16"/>
        </w:rPr>
        <w:t xml:space="preserve"> die binnen </w:t>
      </w:r>
      <w:r w:rsidR="006C5F96">
        <w:rPr>
          <w:sz w:val="16"/>
          <w:szCs w:val="16"/>
        </w:rPr>
        <w:t>een</w:t>
      </w:r>
      <w:r w:rsidR="006C5F96" w:rsidRPr="0027432C">
        <w:rPr>
          <w:sz w:val="16"/>
          <w:szCs w:val="16"/>
        </w:rPr>
        <w:t xml:space="preserve"> </w:t>
      </w:r>
      <w:r w:rsidRPr="0027432C">
        <w:rPr>
          <w:sz w:val="16"/>
          <w:szCs w:val="16"/>
        </w:rPr>
        <w:t xml:space="preserve">eigen </w:t>
      </w:r>
      <w:r w:rsidR="00AD771B">
        <w:rPr>
          <w:sz w:val="16"/>
          <w:szCs w:val="16"/>
        </w:rPr>
        <w:t>of gezamenlijke</w:t>
      </w:r>
      <w:r w:rsidRPr="0027432C">
        <w:rPr>
          <w:sz w:val="16"/>
          <w:szCs w:val="16"/>
        </w:rPr>
        <w:t xml:space="preserve"> installatie </w:t>
      </w:r>
      <w:r w:rsidR="0080626B">
        <w:rPr>
          <w:sz w:val="16"/>
          <w:szCs w:val="16"/>
        </w:rPr>
        <w:t>zelfopgewekte of gedeelde</w:t>
      </w:r>
      <w:r w:rsidR="0080626B" w:rsidRPr="0027432C">
        <w:rPr>
          <w:sz w:val="16"/>
          <w:szCs w:val="16"/>
        </w:rPr>
        <w:t xml:space="preserve"> </w:t>
      </w:r>
      <w:r w:rsidRPr="0027432C">
        <w:rPr>
          <w:sz w:val="16"/>
          <w:szCs w:val="16"/>
        </w:rPr>
        <w:t>elektriciteit verbruikt</w:t>
      </w:r>
      <w:r w:rsidR="0080626B">
        <w:rPr>
          <w:sz w:val="16"/>
          <w:szCs w:val="16"/>
        </w:rPr>
        <w:t xml:space="preserve"> of</w:t>
      </w:r>
      <w:r w:rsidRPr="0027432C">
        <w:rPr>
          <w:sz w:val="16"/>
          <w:szCs w:val="16"/>
        </w:rPr>
        <w:t xml:space="preserve"> opslaat</w:t>
      </w:r>
      <w:r w:rsidR="00E26017">
        <w:rPr>
          <w:sz w:val="16"/>
          <w:szCs w:val="16"/>
        </w:rPr>
        <w:t>, die zelfopgewekte</w:t>
      </w:r>
      <w:r w:rsidRPr="0027432C">
        <w:rPr>
          <w:sz w:val="16"/>
          <w:szCs w:val="16"/>
        </w:rPr>
        <w:t xml:space="preserve"> </w:t>
      </w:r>
      <w:r w:rsidR="0052096C">
        <w:rPr>
          <w:sz w:val="16"/>
          <w:szCs w:val="16"/>
        </w:rPr>
        <w:t>elektriciteit</w:t>
      </w:r>
      <w:r w:rsidRPr="0027432C">
        <w:rPr>
          <w:sz w:val="16"/>
          <w:szCs w:val="16"/>
        </w:rPr>
        <w:t xml:space="preserve"> verkoopt</w:t>
      </w:r>
      <w:r w:rsidR="00C47A30">
        <w:rPr>
          <w:sz w:val="16"/>
          <w:szCs w:val="16"/>
        </w:rPr>
        <w:t xml:space="preserve"> of deelt</w:t>
      </w:r>
      <w:r w:rsidRPr="0027432C">
        <w:rPr>
          <w:sz w:val="16"/>
          <w:szCs w:val="16"/>
        </w:rPr>
        <w:t xml:space="preserve">, </w:t>
      </w:r>
      <w:r w:rsidR="007F4F6C">
        <w:rPr>
          <w:sz w:val="16"/>
          <w:szCs w:val="16"/>
        </w:rPr>
        <w:t>,</w:t>
      </w:r>
      <w:r w:rsidRPr="0027432C">
        <w:rPr>
          <w:sz w:val="16"/>
          <w:szCs w:val="16"/>
        </w:rPr>
        <w:t xml:space="preserve"> of die gebruik maakt van flexibiliteits- of energie-efficiëntiediensten, mits die activiteiten niet zijn belangrijkste commerciële activiteit vormen; </w:t>
      </w:r>
      <w:r w:rsidR="002F1474">
        <w:rPr>
          <w:sz w:val="16"/>
          <w:szCs w:val="16"/>
        </w:rPr>
        <w:t>z</w:t>
      </w:r>
      <w:r w:rsidR="00EC62EB" w:rsidRPr="0027432C">
        <w:rPr>
          <w:sz w:val="16"/>
          <w:szCs w:val="16"/>
        </w:rPr>
        <w:t xml:space="preserve">ie </w:t>
      </w:r>
      <w:r w:rsidR="00BB74F2" w:rsidRPr="0027432C">
        <w:rPr>
          <w:sz w:val="16"/>
          <w:szCs w:val="16"/>
        </w:rPr>
        <w:t xml:space="preserve">artikel </w:t>
      </w:r>
      <w:r w:rsidR="00161783">
        <w:rPr>
          <w:sz w:val="16"/>
          <w:szCs w:val="16"/>
        </w:rPr>
        <w:t>1.1</w:t>
      </w:r>
      <w:r w:rsidR="00BB74F2" w:rsidRPr="0027432C">
        <w:rPr>
          <w:sz w:val="16"/>
          <w:szCs w:val="16"/>
        </w:rPr>
        <w:t xml:space="preserve"> van het </w:t>
      </w:r>
      <w:r w:rsidR="00EC62EB" w:rsidRPr="0027432C">
        <w:rPr>
          <w:sz w:val="16"/>
          <w:szCs w:val="16"/>
        </w:rPr>
        <w:t xml:space="preserve">voorstel voor </w:t>
      </w:r>
      <w:r w:rsidR="00BB74F2" w:rsidRPr="0027432C">
        <w:rPr>
          <w:sz w:val="16"/>
          <w:szCs w:val="16"/>
        </w:rPr>
        <w:t xml:space="preserve">de </w:t>
      </w:r>
      <w:r w:rsidR="00EC62EB" w:rsidRPr="0027432C">
        <w:rPr>
          <w:sz w:val="16"/>
          <w:szCs w:val="16"/>
        </w:rPr>
        <w:t>Energiewet, Kamerstukken I,</w:t>
      </w:r>
      <w:r w:rsidR="00BB74F2" w:rsidRPr="0027432C">
        <w:rPr>
          <w:sz w:val="16"/>
          <w:szCs w:val="16"/>
        </w:rPr>
        <w:t xml:space="preserve"> 2023</w:t>
      </w:r>
      <w:r w:rsidR="005363D8" w:rsidRPr="0027432C">
        <w:rPr>
          <w:sz w:val="16"/>
          <w:szCs w:val="16"/>
        </w:rPr>
        <w:t>-20</w:t>
      </w:r>
      <w:r w:rsidR="00BB74F2" w:rsidRPr="0027432C">
        <w:rPr>
          <w:sz w:val="16"/>
          <w:szCs w:val="16"/>
        </w:rPr>
        <w:t>24,</w:t>
      </w:r>
      <w:r w:rsidR="00EC62EB" w:rsidRPr="0027432C">
        <w:rPr>
          <w:sz w:val="16"/>
          <w:szCs w:val="16"/>
        </w:rPr>
        <w:t xml:space="preserve"> </w:t>
      </w:r>
      <w:r w:rsidR="0099163D" w:rsidRPr="0027432C">
        <w:rPr>
          <w:sz w:val="16"/>
          <w:szCs w:val="16"/>
        </w:rPr>
        <w:t xml:space="preserve">36 378, nr. </w:t>
      </w:r>
      <w:r w:rsidR="00123E1D">
        <w:rPr>
          <w:sz w:val="16"/>
          <w:szCs w:val="16"/>
        </w:rPr>
        <w:t>A</w:t>
      </w:r>
      <w:r w:rsidR="00BB74F2" w:rsidRPr="0027432C">
        <w:rPr>
          <w:sz w:val="16"/>
          <w:szCs w:val="16"/>
        </w:rPr>
        <w:t>.</w:t>
      </w:r>
      <w:r w:rsidR="00AE533B">
        <w:rPr>
          <w:sz w:val="16"/>
          <w:szCs w:val="16"/>
        </w:rPr>
        <w:t xml:space="preserve"> </w:t>
      </w:r>
      <w:r w:rsidR="00AE533B" w:rsidRPr="00211649">
        <w:rPr>
          <w:sz w:val="16"/>
          <w:szCs w:val="16"/>
        </w:rPr>
        <w:t xml:space="preserve">Het begrip «actieve afnemer» betreft de implementatie van artikel 2, onderdeel 8, van </w:t>
      </w:r>
      <w:r w:rsidR="00AE533B">
        <w:rPr>
          <w:sz w:val="16"/>
          <w:szCs w:val="16"/>
        </w:rPr>
        <w:t>Richtlijn (EU) 2019/944 (</w:t>
      </w:r>
      <w:r w:rsidR="00AE533B" w:rsidRPr="00211649">
        <w:rPr>
          <w:sz w:val="16"/>
          <w:szCs w:val="16"/>
        </w:rPr>
        <w:t>Elektriciteitsrichtlijn</w:t>
      </w:r>
      <w:r w:rsidR="00AE533B">
        <w:rPr>
          <w:sz w:val="16"/>
          <w:szCs w:val="16"/>
        </w:rPr>
        <w:t>)</w:t>
      </w:r>
      <w:r w:rsidR="00AE533B" w:rsidRPr="00211649">
        <w:rPr>
          <w:sz w:val="16"/>
          <w:szCs w:val="16"/>
        </w:rPr>
        <w:t xml:space="preserve"> en artikel 2, onderdeel 14, van Richtlijn</w:t>
      </w:r>
      <w:r w:rsidR="00AE533B">
        <w:rPr>
          <w:sz w:val="16"/>
          <w:szCs w:val="16"/>
        </w:rPr>
        <w:t xml:space="preserve"> (EU)</w:t>
      </w:r>
      <w:r w:rsidR="00AE533B" w:rsidRPr="00211649">
        <w:rPr>
          <w:sz w:val="16"/>
          <w:szCs w:val="16"/>
        </w:rPr>
        <w:t xml:space="preserve"> 2018/2001</w:t>
      </w:r>
      <w:r w:rsidR="00AE533B">
        <w:rPr>
          <w:sz w:val="16"/>
          <w:szCs w:val="16"/>
        </w:rPr>
        <w:t xml:space="preserve"> (Richtlijn hernieuwbare energie)</w:t>
      </w:r>
      <w:r w:rsidR="00AE533B" w:rsidRPr="00211649">
        <w:rPr>
          <w:sz w:val="16"/>
          <w:szCs w:val="16"/>
        </w:rPr>
        <w:t>. In Richtlijn</w:t>
      </w:r>
      <w:r w:rsidR="00AE533B">
        <w:rPr>
          <w:sz w:val="16"/>
          <w:szCs w:val="16"/>
        </w:rPr>
        <w:t xml:space="preserve"> (EU)</w:t>
      </w:r>
      <w:r w:rsidR="00AE533B" w:rsidRPr="00211649">
        <w:rPr>
          <w:sz w:val="16"/>
          <w:szCs w:val="16"/>
        </w:rPr>
        <w:t xml:space="preserve"> 2018/2001 wordt de actieve afnemer een «zelfverbruiker» genoemd. In </w:t>
      </w:r>
      <w:r w:rsidR="00AE533B">
        <w:rPr>
          <w:sz w:val="16"/>
          <w:szCs w:val="16"/>
        </w:rPr>
        <w:t>het</w:t>
      </w:r>
      <w:r w:rsidR="00AE533B" w:rsidRPr="00211649">
        <w:rPr>
          <w:sz w:val="16"/>
          <w:szCs w:val="16"/>
        </w:rPr>
        <w:t xml:space="preserve"> </w:t>
      </w:r>
      <w:r w:rsidR="00AE533B">
        <w:rPr>
          <w:sz w:val="16"/>
          <w:szCs w:val="16"/>
        </w:rPr>
        <w:t>voorstel voor de Energiewet</w:t>
      </w:r>
      <w:r w:rsidR="00AE533B" w:rsidRPr="00211649">
        <w:rPr>
          <w:sz w:val="16"/>
          <w:szCs w:val="16"/>
        </w:rPr>
        <w:t xml:space="preserve"> is er met het oog op transparantie voor gekozen één term te hanteren</w:t>
      </w:r>
      <w:r w:rsidR="00AE533B">
        <w:rPr>
          <w:sz w:val="16"/>
          <w:szCs w:val="16"/>
        </w:rPr>
        <w:t xml:space="preserve">; zie </w:t>
      </w:r>
      <w:r w:rsidR="00AE533B" w:rsidRPr="00211649">
        <w:rPr>
          <w:sz w:val="16"/>
          <w:szCs w:val="16"/>
        </w:rPr>
        <w:t xml:space="preserve">Kamerstukken </w:t>
      </w:r>
      <w:r w:rsidR="00AE533B">
        <w:rPr>
          <w:sz w:val="16"/>
          <w:szCs w:val="16"/>
        </w:rPr>
        <w:t>I</w:t>
      </w:r>
      <w:r w:rsidR="00AE533B" w:rsidRPr="00211649">
        <w:rPr>
          <w:sz w:val="16"/>
          <w:szCs w:val="16"/>
        </w:rPr>
        <w:t>I, 202</w:t>
      </w:r>
      <w:r w:rsidR="00AE533B">
        <w:rPr>
          <w:sz w:val="16"/>
          <w:szCs w:val="16"/>
        </w:rPr>
        <w:t>2</w:t>
      </w:r>
      <w:r w:rsidR="00AE533B" w:rsidRPr="00211649">
        <w:rPr>
          <w:sz w:val="16"/>
          <w:szCs w:val="16"/>
        </w:rPr>
        <w:t>-202</w:t>
      </w:r>
      <w:r w:rsidR="00AE533B">
        <w:rPr>
          <w:sz w:val="16"/>
          <w:szCs w:val="16"/>
        </w:rPr>
        <w:t>3</w:t>
      </w:r>
      <w:r w:rsidR="00AE533B" w:rsidRPr="00211649">
        <w:rPr>
          <w:sz w:val="16"/>
          <w:szCs w:val="16"/>
        </w:rPr>
        <w:t>, 36 378, nr.</w:t>
      </w:r>
      <w:r w:rsidR="00AE533B">
        <w:rPr>
          <w:sz w:val="16"/>
          <w:szCs w:val="16"/>
        </w:rPr>
        <w:t xml:space="preserve"> 3</w:t>
      </w:r>
      <w:r w:rsidR="00AE533B" w:rsidRPr="00211649">
        <w:rPr>
          <w:sz w:val="16"/>
          <w:szCs w:val="16"/>
        </w:rPr>
        <w:t>.</w:t>
      </w:r>
    </w:p>
  </w:footnote>
  <w:footnote w:id="6">
    <w:p w14:paraId="16C58B5C" w14:textId="6AFDDAB8" w:rsidR="00650446" w:rsidRPr="00650446" w:rsidRDefault="00650446">
      <w:pPr>
        <w:pStyle w:val="Voetnoottekst"/>
      </w:pPr>
      <w:r w:rsidRPr="001E52D0">
        <w:rPr>
          <w:rStyle w:val="Voetnootmarkering"/>
          <w:sz w:val="16"/>
          <w:szCs w:val="16"/>
        </w:rPr>
        <w:footnoteRef/>
      </w:r>
      <w:r w:rsidRPr="001E52D0">
        <w:rPr>
          <w:sz w:val="16"/>
          <w:szCs w:val="16"/>
        </w:rPr>
        <w:t xml:space="preserve"> Kamerstukken II, </w:t>
      </w:r>
      <w:r w:rsidR="008D52B6" w:rsidRPr="001E52D0">
        <w:rPr>
          <w:sz w:val="16"/>
          <w:szCs w:val="16"/>
        </w:rPr>
        <w:t>2023-2024, 29 023, nr. 458.</w:t>
      </w:r>
    </w:p>
  </w:footnote>
  <w:footnote w:id="7">
    <w:p w14:paraId="15B8E70C" w14:textId="2BB0A086" w:rsidR="009F7875" w:rsidRPr="0027432C" w:rsidRDefault="009F7875" w:rsidP="009F7875">
      <w:pPr>
        <w:pStyle w:val="Voetnoottekst"/>
        <w:rPr>
          <w:rFonts w:cstheme="minorHAnsi"/>
          <w:sz w:val="16"/>
          <w:szCs w:val="16"/>
        </w:rPr>
      </w:pPr>
      <w:r w:rsidRPr="0027432C">
        <w:rPr>
          <w:rStyle w:val="Voetnootmarkering"/>
          <w:rFonts w:cstheme="minorHAnsi"/>
          <w:sz w:val="16"/>
          <w:szCs w:val="16"/>
        </w:rPr>
        <w:footnoteRef/>
      </w:r>
      <w:r w:rsidRPr="0027432C">
        <w:rPr>
          <w:rFonts w:cstheme="minorHAnsi"/>
          <w:sz w:val="16"/>
          <w:szCs w:val="16"/>
        </w:rPr>
        <w:t xml:space="preserve"> </w:t>
      </w:r>
      <w:r w:rsidRPr="0027432C">
        <w:rPr>
          <w:rStyle w:val="cf01"/>
          <w:rFonts w:asciiTheme="minorHAnsi" w:hAnsiTheme="minorHAnsi" w:cstheme="minorHAnsi"/>
          <w:sz w:val="16"/>
          <w:szCs w:val="16"/>
        </w:rPr>
        <w:t>Het voorstel voor de Energiewet (</w:t>
      </w:r>
      <w:r w:rsidRPr="0027432C">
        <w:rPr>
          <w:rFonts w:cstheme="minorHAnsi"/>
          <w:sz w:val="16"/>
          <w:szCs w:val="16"/>
        </w:rPr>
        <w:t>Kamerstukken 36 378)</w:t>
      </w:r>
      <w:r w:rsidRPr="0027432C">
        <w:rPr>
          <w:rStyle w:val="cf01"/>
          <w:rFonts w:asciiTheme="minorHAnsi" w:hAnsiTheme="minorHAnsi" w:cstheme="minorHAnsi"/>
          <w:sz w:val="16"/>
          <w:szCs w:val="16"/>
        </w:rPr>
        <w:t xml:space="preserve"> is in juni 2024 aangenomen door de Tweede Kamer. Naar verwachting is het voorstel voor de Energiewet vóór de inwerkingtreding van het voorliggende wetsvoorstel behandeld door de Eerste Kamer en in werking getreden. </w:t>
      </w:r>
      <w:r w:rsidR="005F40CB" w:rsidRPr="0027432C">
        <w:rPr>
          <w:rStyle w:val="cf01"/>
          <w:rFonts w:asciiTheme="minorHAnsi" w:hAnsiTheme="minorHAnsi" w:cstheme="minorHAnsi"/>
          <w:sz w:val="16"/>
          <w:szCs w:val="16"/>
        </w:rPr>
        <w:t>Daar</w:t>
      </w:r>
      <w:r w:rsidRPr="0027432C">
        <w:rPr>
          <w:rStyle w:val="cf01"/>
          <w:rFonts w:asciiTheme="minorHAnsi" w:hAnsiTheme="minorHAnsi" w:cstheme="minorHAnsi"/>
          <w:sz w:val="16"/>
          <w:szCs w:val="16"/>
        </w:rPr>
        <w:t xml:space="preserve">om gaat dit wetsvoorstel uit van een wijziging van het voorstel voor de Energiewet. </w:t>
      </w:r>
    </w:p>
  </w:footnote>
  <w:footnote w:id="8">
    <w:p w14:paraId="71847A91" w14:textId="77777777" w:rsidR="009F7875" w:rsidRPr="0027432C" w:rsidRDefault="009F7875" w:rsidP="009F7875">
      <w:pPr>
        <w:pStyle w:val="Voetnoottekst"/>
        <w:rPr>
          <w:sz w:val="16"/>
          <w:szCs w:val="16"/>
        </w:rPr>
      </w:pPr>
      <w:r w:rsidRPr="0027432C">
        <w:rPr>
          <w:rStyle w:val="Voetnootmarkering"/>
          <w:rFonts w:cstheme="minorHAnsi"/>
          <w:sz w:val="16"/>
          <w:szCs w:val="16"/>
        </w:rPr>
        <w:footnoteRef/>
      </w:r>
      <w:r w:rsidRPr="0027432C">
        <w:rPr>
          <w:rFonts w:cstheme="minorHAnsi"/>
          <w:sz w:val="16"/>
          <w:szCs w:val="16"/>
        </w:rPr>
        <w:t xml:space="preserve"> Gebaseerd op het gemiddelde variabele leveringstarief van juni 2024 uit CBS Statlinetabel 85592.</w:t>
      </w:r>
      <w:r w:rsidRPr="0027432C">
        <w:rPr>
          <w:sz w:val="16"/>
          <w:szCs w:val="16"/>
        </w:rPr>
        <w:t xml:space="preserve"> </w:t>
      </w:r>
    </w:p>
  </w:footnote>
  <w:footnote w:id="9">
    <w:p w14:paraId="6D6861BD" w14:textId="2A8D58DD" w:rsidR="00E90DBA" w:rsidRPr="0039534A" w:rsidRDefault="00E90DBA" w:rsidP="00E90DBA">
      <w:pPr>
        <w:pStyle w:val="Voetnoottekst"/>
        <w:rPr>
          <w:sz w:val="16"/>
          <w:szCs w:val="16"/>
        </w:rPr>
      </w:pPr>
      <w:r w:rsidRPr="0027432C">
        <w:rPr>
          <w:rStyle w:val="Voetnootmarkering"/>
          <w:sz w:val="16"/>
          <w:szCs w:val="16"/>
        </w:rPr>
        <w:footnoteRef/>
      </w:r>
      <w:r w:rsidRPr="0027432C">
        <w:rPr>
          <w:sz w:val="16"/>
          <w:szCs w:val="16"/>
        </w:rPr>
        <w:t xml:space="preserve"> Artikel 21, tweede lid, aanhef en onderdeel d, van richtlijn (EU) 2018/2001: “2. De lidstaten zorgen ervoor dat zelfverbruikers van hernieuwbare energie individueel of via aankoopgroeperingen, het recht hebben om: (…) d) het ontvangen van een beloning, in voorkomend geval ook via steunregelingen, voor de zelfopgewekte hernieuwbare elektriciteit die zij aan het net leveren, die een </w:t>
      </w:r>
      <w:r w:rsidRPr="0039534A">
        <w:rPr>
          <w:sz w:val="16"/>
          <w:szCs w:val="16"/>
        </w:rPr>
        <w:t>afspiegeling is van de marktwaarde van die elektriciteit en die rekening kan gehouden met de waarde op lange termijn ervan voor het net, het milieu en de samenleving.”</w:t>
      </w:r>
      <w:r w:rsidR="00730422">
        <w:rPr>
          <w:sz w:val="16"/>
          <w:szCs w:val="16"/>
        </w:rPr>
        <w:t xml:space="preserve"> Zie voetnoot 4</w:t>
      </w:r>
      <w:r w:rsidR="00982A41">
        <w:rPr>
          <w:sz w:val="16"/>
          <w:szCs w:val="16"/>
        </w:rPr>
        <w:t xml:space="preserve"> voor de begrippen actieve afnemer en zelfverbruiker.</w:t>
      </w:r>
    </w:p>
  </w:footnote>
  <w:footnote w:id="10">
    <w:p w14:paraId="641B2152" w14:textId="364B757E" w:rsidR="004F26FB" w:rsidRPr="004F26FB" w:rsidRDefault="004F26FB">
      <w:pPr>
        <w:pStyle w:val="Voetnoottekst"/>
      </w:pPr>
      <w:r w:rsidRPr="002437E7">
        <w:rPr>
          <w:rStyle w:val="Voetnootmarkering"/>
          <w:sz w:val="16"/>
          <w:szCs w:val="16"/>
        </w:rPr>
        <w:footnoteRef/>
      </w:r>
      <w:r w:rsidRPr="002437E7">
        <w:rPr>
          <w:sz w:val="16"/>
          <w:szCs w:val="16"/>
        </w:rPr>
        <w:t xml:space="preserve"> Zie voetnoot </w:t>
      </w:r>
      <w:r w:rsidR="001164F6" w:rsidRPr="002437E7">
        <w:rPr>
          <w:sz w:val="16"/>
          <w:szCs w:val="16"/>
        </w:rPr>
        <w:t>4.</w:t>
      </w:r>
    </w:p>
  </w:footnote>
  <w:footnote w:id="11">
    <w:p w14:paraId="0C2B8CC1" w14:textId="77777777" w:rsidR="00AA0773" w:rsidRDefault="00AA0773">
      <w:pPr>
        <w:pStyle w:val="Voetnoottekst"/>
      </w:pPr>
      <w:r w:rsidRPr="0039534A">
        <w:rPr>
          <w:rStyle w:val="Voetnootmarkering"/>
          <w:sz w:val="16"/>
          <w:szCs w:val="16"/>
        </w:rPr>
        <w:footnoteRef/>
      </w:r>
      <w:r w:rsidRPr="0039534A">
        <w:rPr>
          <w:sz w:val="16"/>
          <w:szCs w:val="16"/>
        </w:rPr>
        <w:t xml:space="preserve"> </w:t>
      </w:r>
      <w:r w:rsidR="00C8377D" w:rsidRPr="0039534A">
        <w:rPr>
          <w:sz w:val="16"/>
          <w:szCs w:val="16"/>
        </w:rPr>
        <w:t xml:space="preserve">Kamerstukken </w:t>
      </w:r>
      <w:r w:rsidR="004701D8" w:rsidRPr="0039534A">
        <w:rPr>
          <w:sz w:val="16"/>
          <w:szCs w:val="16"/>
        </w:rPr>
        <w:t>II, 2023-2024, 36</w:t>
      </w:r>
      <w:r w:rsidR="004701D8" w:rsidRPr="0027432C">
        <w:rPr>
          <w:sz w:val="16"/>
          <w:szCs w:val="16"/>
        </w:rPr>
        <w:t xml:space="preserve"> 378, nr. 59.</w:t>
      </w:r>
    </w:p>
  </w:footnote>
  <w:footnote w:id="12">
    <w:p w14:paraId="14313DB6" w14:textId="427C41BA" w:rsidR="000C1198" w:rsidRPr="002437E7" w:rsidRDefault="000C1198">
      <w:pPr>
        <w:pStyle w:val="Voetnoottekst"/>
        <w:rPr>
          <w:sz w:val="16"/>
          <w:szCs w:val="16"/>
        </w:rPr>
      </w:pPr>
      <w:r w:rsidRPr="002437E7">
        <w:rPr>
          <w:rStyle w:val="Voetnootmarkering"/>
          <w:sz w:val="16"/>
          <w:szCs w:val="16"/>
        </w:rPr>
        <w:footnoteRef/>
      </w:r>
      <w:r w:rsidRPr="002437E7">
        <w:rPr>
          <w:sz w:val="16"/>
          <w:szCs w:val="16"/>
        </w:rPr>
        <w:t xml:space="preserve"> </w:t>
      </w:r>
      <w:r w:rsidR="008D4B22" w:rsidRPr="002437E7">
        <w:rPr>
          <w:sz w:val="16"/>
          <w:szCs w:val="16"/>
        </w:rPr>
        <w:t xml:space="preserve">Verschillende stakeholders zijn gevraagd naar hun reactie op </w:t>
      </w:r>
      <w:r w:rsidR="00A22A54">
        <w:rPr>
          <w:sz w:val="16"/>
          <w:szCs w:val="16"/>
        </w:rPr>
        <w:t>voornemen</w:t>
      </w:r>
      <w:r w:rsidR="008D4B22" w:rsidRPr="002437E7">
        <w:rPr>
          <w:sz w:val="16"/>
          <w:szCs w:val="16"/>
        </w:rPr>
        <w:t xml:space="preserve"> om de salderingsregeling per 2027 te beëindigen</w:t>
      </w:r>
      <w:r w:rsidR="00483759" w:rsidRPr="002437E7">
        <w:rPr>
          <w:sz w:val="16"/>
          <w:szCs w:val="16"/>
        </w:rPr>
        <w:t xml:space="preserve">. Een overzicht van deze reacties is te vinden in bijlage 1. </w:t>
      </w:r>
    </w:p>
  </w:footnote>
  <w:footnote w:id="13">
    <w:p w14:paraId="187E5F13" w14:textId="764F24B5" w:rsidR="00D36CC9" w:rsidRPr="00E633F8" w:rsidRDefault="00D36CC9" w:rsidP="00D36CC9">
      <w:pPr>
        <w:pStyle w:val="Voetnoottekst"/>
        <w:rPr>
          <w:sz w:val="16"/>
          <w:szCs w:val="16"/>
        </w:rPr>
      </w:pPr>
      <w:r w:rsidRPr="00E633F8">
        <w:rPr>
          <w:rStyle w:val="Voetnootmarkering"/>
          <w:sz w:val="16"/>
          <w:szCs w:val="16"/>
        </w:rPr>
        <w:footnoteRef/>
      </w:r>
      <w:r w:rsidRPr="00E633F8">
        <w:rPr>
          <w:sz w:val="16"/>
          <w:szCs w:val="16"/>
        </w:rPr>
        <w:t xml:space="preserve"> Actieagenda netcongestie laagspanningsnetten, januari 2024</w:t>
      </w:r>
      <w:r w:rsidR="00292934" w:rsidRPr="00E633F8">
        <w:rPr>
          <w:sz w:val="16"/>
          <w:szCs w:val="16"/>
        </w:rPr>
        <w:t>.</w:t>
      </w:r>
    </w:p>
  </w:footnote>
  <w:footnote w:id="14">
    <w:p w14:paraId="6FB1B141" w14:textId="750BF33E" w:rsidR="00E90DBA" w:rsidRPr="00DA04A1" w:rsidRDefault="00E90DBA" w:rsidP="00E90DBA">
      <w:pPr>
        <w:pStyle w:val="Voetnoottekst"/>
        <w:rPr>
          <w:sz w:val="16"/>
          <w:szCs w:val="16"/>
        </w:rPr>
      </w:pPr>
      <w:r w:rsidRPr="00E633F8">
        <w:rPr>
          <w:rStyle w:val="Voetnootmarkering"/>
          <w:sz w:val="16"/>
          <w:szCs w:val="16"/>
        </w:rPr>
        <w:footnoteRef/>
      </w:r>
      <w:r w:rsidRPr="00E633F8">
        <w:rPr>
          <w:sz w:val="16"/>
          <w:szCs w:val="16"/>
        </w:rPr>
        <w:t xml:space="preserve"> Zie CBS Statline tabel 85005: Zonnestroom; vermogen en vermogensklasse, bedrijven en woningen, </w:t>
      </w:r>
      <w:r w:rsidRPr="00DA04A1">
        <w:rPr>
          <w:sz w:val="16"/>
          <w:szCs w:val="16"/>
        </w:rPr>
        <w:t>regi</w:t>
      </w:r>
      <w:r w:rsidR="00946540" w:rsidRPr="00DA04A1">
        <w:rPr>
          <w:sz w:val="16"/>
          <w:szCs w:val="16"/>
        </w:rPr>
        <w:t>o</w:t>
      </w:r>
      <w:r w:rsidR="00845580" w:rsidRPr="00DA04A1">
        <w:rPr>
          <w:sz w:val="16"/>
          <w:szCs w:val="16"/>
        </w:rPr>
        <w:t xml:space="preserve">. </w:t>
      </w:r>
      <w:r w:rsidR="00845580" w:rsidRPr="002437E7">
        <w:rPr>
          <w:sz w:val="16"/>
          <w:szCs w:val="16"/>
        </w:rPr>
        <w:t>Eind 2023 lagen er op 2,</w:t>
      </w:r>
      <w:r w:rsidR="00F93CFE" w:rsidRPr="002437E7">
        <w:rPr>
          <w:sz w:val="16"/>
          <w:szCs w:val="16"/>
        </w:rPr>
        <w:t>6</w:t>
      </w:r>
      <w:r w:rsidR="00845580" w:rsidRPr="002437E7">
        <w:rPr>
          <w:sz w:val="16"/>
          <w:szCs w:val="16"/>
        </w:rPr>
        <w:t xml:space="preserve"> miljoen woningen zonnepanelen. </w:t>
      </w:r>
      <w:r w:rsidR="00572430" w:rsidRPr="002437E7">
        <w:rPr>
          <w:sz w:val="16"/>
          <w:szCs w:val="16"/>
        </w:rPr>
        <w:t xml:space="preserve">Uit data van energieleveren.nl blijkt </w:t>
      </w:r>
      <w:r w:rsidR="009B4330" w:rsidRPr="002437E7">
        <w:rPr>
          <w:sz w:val="16"/>
          <w:szCs w:val="16"/>
        </w:rPr>
        <w:t xml:space="preserve">dat </w:t>
      </w:r>
      <w:r w:rsidR="00D63E75" w:rsidRPr="002437E7">
        <w:rPr>
          <w:sz w:val="16"/>
          <w:szCs w:val="16"/>
        </w:rPr>
        <w:t>tot september</w:t>
      </w:r>
      <w:r w:rsidR="009B4330" w:rsidRPr="002437E7">
        <w:rPr>
          <w:sz w:val="16"/>
          <w:szCs w:val="16"/>
        </w:rPr>
        <w:t xml:space="preserve"> 2024 </w:t>
      </w:r>
      <w:r w:rsidR="00D63E75" w:rsidRPr="002437E7">
        <w:rPr>
          <w:sz w:val="16"/>
          <w:szCs w:val="16"/>
        </w:rPr>
        <w:t xml:space="preserve">nog minimaal 200.000 </w:t>
      </w:r>
      <w:r w:rsidR="00D95CE4" w:rsidRPr="002437E7">
        <w:rPr>
          <w:sz w:val="16"/>
          <w:szCs w:val="16"/>
        </w:rPr>
        <w:t>eindafnemers met een kleine</w:t>
      </w:r>
      <w:r w:rsidR="00D63E75" w:rsidRPr="002437E7">
        <w:rPr>
          <w:sz w:val="16"/>
          <w:szCs w:val="16"/>
        </w:rPr>
        <w:t xml:space="preserve"> </w:t>
      </w:r>
      <w:r w:rsidR="00D95CE4" w:rsidRPr="002437E7">
        <w:rPr>
          <w:sz w:val="16"/>
          <w:szCs w:val="16"/>
        </w:rPr>
        <w:t>aansluiting</w:t>
      </w:r>
      <w:r w:rsidR="00D63E75" w:rsidRPr="002437E7">
        <w:rPr>
          <w:sz w:val="16"/>
          <w:szCs w:val="16"/>
        </w:rPr>
        <w:t xml:space="preserve"> </w:t>
      </w:r>
      <w:r w:rsidR="00CF0570" w:rsidRPr="002437E7">
        <w:rPr>
          <w:sz w:val="16"/>
          <w:szCs w:val="16"/>
        </w:rPr>
        <w:t>een nieuwe installatie hebben geregistreerd</w:t>
      </w:r>
      <w:r w:rsidR="00260790" w:rsidRPr="002437E7">
        <w:rPr>
          <w:sz w:val="16"/>
          <w:szCs w:val="16"/>
        </w:rPr>
        <w:t>.</w:t>
      </w:r>
      <w:r w:rsidR="00260790" w:rsidRPr="00DA04A1">
        <w:rPr>
          <w:sz w:val="16"/>
          <w:szCs w:val="16"/>
        </w:rPr>
        <w:t xml:space="preserve"> </w:t>
      </w:r>
    </w:p>
  </w:footnote>
  <w:footnote w:id="15">
    <w:p w14:paraId="7C41ACF5" w14:textId="5BA3D37F" w:rsidR="00F4208E" w:rsidRPr="00F4208E" w:rsidRDefault="00F4208E">
      <w:pPr>
        <w:pStyle w:val="Voetnoottekst"/>
      </w:pPr>
      <w:r w:rsidRPr="00DA04A1">
        <w:rPr>
          <w:rStyle w:val="Voetnootmarkering"/>
          <w:sz w:val="16"/>
          <w:szCs w:val="16"/>
        </w:rPr>
        <w:footnoteRef/>
      </w:r>
      <w:r w:rsidRPr="00DA04A1">
        <w:rPr>
          <w:sz w:val="16"/>
          <w:szCs w:val="16"/>
        </w:rPr>
        <w:t xml:space="preserve"> Zie Terugverdientijd na afschaffen salderingsregeling, Berenschot, 16 juli 2024. </w:t>
      </w:r>
      <w:r w:rsidR="006D6DB0" w:rsidRPr="00DA04A1">
        <w:rPr>
          <w:sz w:val="16"/>
          <w:szCs w:val="16"/>
        </w:rPr>
        <w:t xml:space="preserve">Een investering in 2020 of 2021 verdient zich binnen 5 jaar terug </w:t>
      </w:r>
      <w:r w:rsidR="007F2B17" w:rsidRPr="00DA04A1">
        <w:rPr>
          <w:sz w:val="16"/>
          <w:szCs w:val="16"/>
        </w:rPr>
        <w:t xml:space="preserve">en is hiermee terugverdient voor de inwerkingtreding van dit wetsvoorstel. </w:t>
      </w:r>
      <w:r w:rsidR="009C635E" w:rsidRPr="00DA04A1">
        <w:rPr>
          <w:sz w:val="16"/>
          <w:szCs w:val="16"/>
        </w:rPr>
        <w:t>Voor recentere investeringen ligt</w:t>
      </w:r>
      <w:r w:rsidR="009C635E" w:rsidRPr="00E633F8">
        <w:rPr>
          <w:sz w:val="16"/>
          <w:szCs w:val="16"/>
        </w:rPr>
        <w:t xml:space="preserve"> de terugverdientijd met dit wetsvoorstel op 9 jaar.</w:t>
      </w:r>
      <w:r w:rsidR="009C635E">
        <w:t xml:space="preserve"> </w:t>
      </w:r>
      <w:r w:rsidR="006D6DB0">
        <w:t xml:space="preserve"> </w:t>
      </w:r>
      <w:r>
        <w:t xml:space="preserve"> </w:t>
      </w:r>
    </w:p>
  </w:footnote>
  <w:footnote w:id="16">
    <w:p w14:paraId="53311F1A" w14:textId="3F9E4C15" w:rsidR="00E55C5E" w:rsidRPr="00E633F8" w:rsidRDefault="00E55C5E">
      <w:pPr>
        <w:pStyle w:val="Voetnoottekst"/>
        <w:rPr>
          <w:sz w:val="16"/>
          <w:szCs w:val="16"/>
        </w:rPr>
      </w:pPr>
      <w:r w:rsidRPr="00E633F8">
        <w:rPr>
          <w:rStyle w:val="Voetnootmarkering"/>
          <w:sz w:val="16"/>
          <w:szCs w:val="16"/>
        </w:rPr>
        <w:footnoteRef/>
      </w:r>
      <w:r w:rsidRPr="00E633F8">
        <w:rPr>
          <w:sz w:val="16"/>
          <w:szCs w:val="16"/>
        </w:rPr>
        <w:t xml:space="preserve"> Terugverdientijd zonnepanelen na afschaffen salderingsregeling, Berenschot, 16 juli 2024</w:t>
      </w:r>
      <w:r w:rsidR="00127F06" w:rsidRPr="00E633F8">
        <w:rPr>
          <w:sz w:val="16"/>
          <w:szCs w:val="16"/>
        </w:rPr>
        <w:t>.</w:t>
      </w:r>
      <w:r w:rsidR="00F42FA3">
        <w:rPr>
          <w:sz w:val="16"/>
          <w:szCs w:val="16"/>
        </w:rPr>
        <w:t xml:space="preserve"> Onderzoek uitgevoerd in opdracht van Vereniging Eigen Huis.</w:t>
      </w:r>
    </w:p>
  </w:footnote>
  <w:footnote w:id="17">
    <w:p w14:paraId="2A104E93" w14:textId="2B606AA6" w:rsidR="00282119" w:rsidRPr="00F71E63" w:rsidRDefault="00282119">
      <w:pPr>
        <w:pStyle w:val="Voetnoottekst"/>
        <w:rPr>
          <w:sz w:val="16"/>
          <w:szCs w:val="16"/>
        </w:rPr>
      </w:pPr>
      <w:r w:rsidRPr="00F71E63">
        <w:rPr>
          <w:rStyle w:val="Voetnootmarkering"/>
          <w:sz w:val="16"/>
          <w:szCs w:val="16"/>
        </w:rPr>
        <w:footnoteRef/>
      </w:r>
      <w:r w:rsidRPr="00F71E63">
        <w:rPr>
          <w:sz w:val="16"/>
          <w:szCs w:val="16"/>
        </w:rPr>
        <w:t xml:space="preserve"> </w:t>
      </w:r>
      <w:r w:rsidR="00503DDD" w:rsidRPr="00F71E63">
        <w:rPr>
          <w:sz w:val="16"/>
          <w:szCs w:val="16"/>
        </w:rPr>
        <w:t>Een terugverdientijd van 8,1 jaar wordt bereikt bij een eigen verbruik van 45%</w:t>
      </w:r>
      <w:r w:rsidR="001063D6" w:rsidRPr="00F71E63">
        <w:rPr>
          <w:sz w:val="16"/>
          <w:szCs w:val="16"/>
        </w:rPr>
        <w:t xml:space="preserve">, een jaarverbruik van 6.000 kWh </w:t>
      </w:r>
      <w:r w:rsidR="008E0E3B" w:rsidRPr="00F71E63">
        <w:rPr>
          <w:sz w:val="16"/>
          <w:szCs w:val="16"/>
        </w:rPr>
        <w:t xml:space="preserve">en een </w:t>
      </w:r>
      <w:r w:rsidR="00687499" w:rsidRPr="00F71E63">
        <w:rPr>
          <w:sz w:val="16"/>
          <w:szCs w:val="16"/>
        </w:rPr>
        <w:t>opwek van 3.600 kWh</w:t>
      </w:r>
      <w:r w:rsidR="008E0E3B" w:rsidRPr="00F71E63">
        <w:rPr>
          <w:sz w:val="16"/>
          <w:szCs w:val="16"/>
        </w:rPr>
        <w:t>.</w:t>
      </w:r>
      <w:r w:rsidR="000C111E" w:rsidRPr="00F71E63">
        <w:rPr>
          <w:sz w:val="16"/>
          <w:szCs w:val="16"/>
        </w:rPr>
        <w:t xml:space="preserve"> </w:t>
      </w:r>
      <w:r w:rsidR="00F77B29" w:rsidRPr="00F71E63">
        <w:rPr>
          <w:sz w:val="16"/>
          <w:szCs w:val="16"/>
        </w:rPr>
        <w:t xml:space="preserve">De terugverdientijd van 15,5 jaar bij 30% eigen verbruik, een jaarverbruik van 1.700 kWh en een </w:t>
      </w:r>
      <w:r w:rsidR="00687499" w:rsidRPr="00F71E63">
        <w:rPr>
          <w:sz w:val="16"/>
          <w:szCs w:val="16"/>
        </w:rPr>
        <w:t>opwek van 1.800 kWh</w:t>
      </w:r>
      <w:r w:rsidR="0049535E" w:rsidRPr="00F71E63">
        <w:rPr>
          <w:sz w:val="16"/>
          <w:szCs w:val="16"/>
        </w:rPr>
        <w:t>.</w:t>
      </w:r>
      <w:r w:rsidR="00687499" w:rsidRPr="00F71E63">
        <w:rPr>
          <w:sz w:val="16"/>
          <w:szCs w:val="16"/>
        </w:rPr>
        <w:t xml:space="preserve"> </w:t>
      </w:r>
      <w:r w:rsidR="00F27EF4" w:rsidRPr="00F71E63">
        <w:rPr>
          <w:sz w:val="16"/>
          <w:szCs w:val="16"/>
        </w:rPr>
        <w:t xml:space="preserve">Voor </w:t>
      </w:r>
      <w:r w:rsidR="00516EFA">
        <w:rPr>
          <w:sz w:val="16"/>
          <w:szCs w:val="16"/>
        </w:rPr>
        <w:t>een</w:t>
      </w:r>
      <w:r w:rsidR="00F27EF4" w:rsidRPr="00F71E63">
        <w:rPr>
          <w:sz w:val="16"/>
          <w:szCs w:val="16"/>
        </w:rPr>
        <w:t xml:space="preserve"> gemiddelde situatie (</w:t>
      </w:r>
      <w:r w:rsidR="00EB5E1C">
        <w:rPr>
          <w:sz w:val="16"/>
          <w:szCs w:val="16"/>
        </w:rPr>
        <w:t>jaar</w:t>
      </w:r>
      <w:r w:rsidR="00F27EF4" w:rsidRPr="00F71E63">
        <w:rPr>
          <w:sz w:val="16"/>
          <w:szCs w:val="16"/>
        </w:rPr>
        <w:t xml:space="preserve">opwek en </w:t>
      </w:r>
      <w:r w:rsidR="00EB5E1C">
        <w:rPr>
          <w:sz w:val="16"/>
          <w:szCs w:val="16"/>
        </w:rPr>
        <w:t>jaar</w:t>
      </w:r>
      <w:r w:rsidR="00F27EF4" w:rsidRPr="00F71E63">
        <w:rPr>
          <w:sz w:val="16"/>
          <w:szCs w:val="16"/>
        </w:rPr>
        <w:t xml:space="preserve">verbruik van 3.600 kWh) komt </w:t>
      </w:r>
      <w:r w:rsidR="00EB5E1C">
        <w:rPr>
          <w:sz w:val="16"/>
          <w:szCs w:val="16"/>
        </w:rPr>
        <w:t>Berenschot</w:t>
      </w:r>
      <w:r w:rsidR="00F27EF4" w:rsidRPr="00F71E63">
        <w:rPr>
          <w:sz w:val="16"/>
          <w:szCs w:val="16"/>
        </w:rPr>
        <w:t xml:space="preserve"> op een terugverdientijd van 13,7 jaar voor een investering in 2027.</w:t>
      </w:r>
      <w:r w:rsidR="00F23325" w:rsidRPr="00F71E63">
        <w:rPr>
          <w:sz w:val="16"/>
          <w:szCs w:val="16"/>
        </w:rPr>
        <w:t xml:space="preserve"> </w:t>
      </w:r>
      <w:r w:rsidR="0049535E" w:rsidRPr="00F71E63">
        <w:rPr>
          <w:sz w:val="16"/>
          <w:szCs w:val="16"/>
        </w:rPr>
        <w:t xml:space="preserve"> </w:t>
      </w:r>
      <w:r w:rsidR="008E0E3B" w:rsidRPr="00F71E63">
        <w:rPr>
          <w:sz w:val="16"/>
          <w:szCs w:val="16"/>
        </w:rPr>
        <w:t xml:space="preserve"> </w:t>
      </w:r>
    </w:p>
  </w:footnote>
  <w:footnote w:id="18">
    <w:p w14:paraId="7EAF9980" w14:textId="4E11252F" w:rsidR="00F50D98" w:rsidRPr="00F71E63" w:rsidRDefault="00F50D98">
      <w:pPr>
        <w:pStyle w:val="Voetnoottekst"/>
        <w:rPr>
          <w:sz w:val="16"/>
          <w:szCs w:val="16"/>
        </w:rPr>
      </w:pPr>
      <w:r w:rsidRPr="00F71E63">
        <w:rPr>
          <w:rStyle w:val="Voetnootmarkering"/>
          <w:sz w:val="16"/>
          <w:szCs w:val="16"/>
        </w:rPr>
        <w:footnoteRef/>
      </w:r>
      <w:r w:rsidRPr="00F71E63">
        <w:rPr>
          <w:sz w:val="16"/>
          <w:szCs w:val="16"/>
        </w:rPr>
        <w:t xml:space="preserve"> </w:t>
      </w:r>
      <w:r w:rsidR="00A8727A" w:rsidRPr="002437E7">
        <w:rPr>
          <w:sz w:val="16"/>
          <w:szCs w:val="16"/>
        </w:rPr>
        <w:t>Feitenbasis aanpassing salderingsregeling zonne-energie</w:t>
      </w:r>
      <w:r w:rsidR="00A8727A" w:rsidRPr="00F71E63">
        <w:rPr>
          <w:sz w:val="16"/>
          <w:szCs w:val="16"/>
        </w:rPr>
        <w:t xml:space="preserve">, CE Delft </w:t>
      </w:r>
      <w:r w:rsidR="00A8727A" w:rsidRPr="002437E7">
        <w:rPr>
          <w:sz w:val="16"/>
          <w:szCs w:val="16"/>
        </w:rPr>
        <w:t>&amp; TNO</w:t>
      </w:r>
      <w:r w:rsidR="00A8727A" w:rsidRPr="00F71E63">
        <w:rPr>
          <w:sz w:val="16"/>
          <w:szCs w:val="16"/>
        </w:rPr>
        <w:t>, september 2024</w:t>
      </w:r>
      <w:r w:rsidR="00F42FA3">
        <w:rPr>
          <w:sz w:val="16"/>
          <w:szCs w:val="16"/>
        </w:rPr>
        <w:t>. Onderzoek uitgevoerd in opdracht van NVDE, Holland Solar, Energie Nederla</w:t>
      </w:r>
      <w:r w:rsidR="00EB5E1C">
        <w:rPr>
          <w:sz w:val="16"/>
          <w:szCs w:val="16"/>
        </w:rPr>
        <w:t>nd en klimaatstichting HIER.</w:t>
      </w:r>
    </w:p>
  </w:footnote>
  <w:footnote w:id="19">
    <w:p w14:paraId="41ABFA8C" w14:textId="53DC3852" w:rsidR="00A8727A" w:rsidRPr="00F71E63" w:rsidRDefault="00A8727A">
      <w:pPr>
        <w:pStyle w:val="Voetnoottekst"/>
        <w:rPr>
          <w:sz w:val="16"/>
          <w:szCs w:val="16"/>
        </w:rPr>
      </w:pPr>
      <w:r w:rsidRPr="00F71E63">
        <w:rPr>
          <w:rStyle w:val="Voetnootmarkering"/>
          <w:sz w:val="16"/>
          <w:szCs w:val="16"/>
        </w:rPr>
        <w:footnoteRef/>
      </w:r>
      <w:r w:rsidRPr="00F71E63">
        <w:rPr>
          <w:sz w:val="16"/>
          <w:szCs w:val="16"/>
        </w:rPr>
        <w:t xml:space="preserve"> </w:t>
      </w:r>
      <w:r w:rsidR="00B261B5" w:rsidRPr="00F71E63">
        <w:rPr>
          <w:sz w:val="16"/>
          <w:szCs w:val="16"/>
        </w:rPr>
        <w:t xml:space="preserve">Een terugverdientijd van 9 jaar wordt bereikt bij een eigen verbruik van 60% en het niet doorrekenen van terugleverkosten. Een terugverdientijd van 17 jaar bij een eigen verbruik van 30% en het blijven bestaan van terugleverkosten. </w:t>
      </w:r>
      <w:r w:rsidR="004A6222" w:rsidRPr="00F71E63">
        <w:rPr>
          <w:sz w:val="16"/>
          <w:szCs w:val="16"/>
        </w:rPr>
        <w:t>Dit geldt voor een huishouden met een jaarverbruik en jaaropwek van 3.500 kWh.</w:t>
      </w:r>
    </w:p>
  </w:footnote>
  <w:footnote w:id="20">
    <w:p w14:paraId="356C59C2" w14:textId="43BC992D" w:rsidR="006661F9" w:rsidRPr="00A8727A" w:rsidRDefault="006661F9" w:rsidP="006661F9">
      <w:pPr>
        <w:pStyle w:val="Voetnoottekst"/>
        <w:rPr>
          <w:sz w:val="16"/>
          <w:szCs w:val="16"/>
        </w:rPr>
      </w:pPr>
      <w:r w:rsidRPr="00E633F8">
        <w:rPr>
          <w:rStyle w:val="Voetnootmarkering"/>
          <w:sz w:val="16"/>
          <w:szCs w:val="16"/>
        </w:rPr>
        <w:footnoteRef/>
      </w:r>
      <w:r w:rsidRPr="00A8727A">
        <w:rPr>
          <w:sz w:val="16"/>
          <w:szCs w:val="16"/>
        </w:rPr>
        <w:t xml:space="preserve"> https://www.milieucentraal.nl/energie-besparen/zonnepanelen/meer-zonnestroom-zelf-verbruiken/</w:t>
      </w:r>
      <w:r w:rsidR="008A3C05" w:rsidRPr="00A8727A">
        <w:rPr>
          <w:sz w:val="16"/>
          <w:szCs w:val="16"/>
        </w:rPr>
        <w:t>.</w:t>
      </w:r>
    </w:p>
  </w:footnote>
  <w:footnote w:id="21">
    <w:p w14:paraId="4399A681" w14:textId="77777777" w:rsidR="00E90DBA" w:rsidRPr="003918CA" w:rsidRDefault="00E90DBA" w:rsidP="00E90DBA">
      <w:pPr>
        <w:pStyle w:val="Voetnoottekst"/>
        <w:rPr>
          <w:sz w:val="16"/>
          <w:szCs w:val="16"/>
        </w:rPr>
      </w:pPr>
      <w:r w:rsidRPr="003918CA">
        <w:rPr>
          <w:rStyle w:val="Voetnootmarkering"/>
          <w:sz w:val="16"/>
          <w:szCs w:val="16"/>
        </w:rPr>
        <w:footnoteRef/>
      </w:r>
      <w:r w:rsidRPr="003918CA">
        <w:rPr>
          <w:sz w:val="16"/>
          <w:szCs w:val="16"/>
        </w:rPr>
        <w:t xml:space="preserve"> ACM, Energietarieven in transitie, 8 mei 2024.</w:t>
      </w:r>
    </w:p>
  </w:footnote>
  <w:footnote w:id="22">
    <w:p w14:paraId="2D00B434" w14:textId="1A426C4F" w:rsidR="00E4173B" w:rsidRPr="003918CA" w:rsidRDefault="00E4173B" w:rsidP="00E4173B">
      <w:pPr>
        <w:pStyle w:val="Voetnoottekst"/>
        <w:rPr>
          <w:sz w:val="16"/>
          <w:szCs w:val="16"/>
        </w:rPr>
      </w:pPr>
      <w:r w:rsidRPr="003918CA">
        <w:rPr>
          <w:rStyle w:val="Voetnootmarkering"/>
          <w:sz w:val="16"/>
          <w:szCs w:val="16"/>
        </w:rPr>
        <w:footnoteRef/>
      </w:r>
      <w:r w:rsidRPr="003918CA">
        <w:rPr>
          <w:sz w:val="16"/>
          <w:szCs w:val="16"/>
        </w:rPr>
        <w:t xml:space="preserve"> Brief van Techniek Nederland aan de minister voor Klimaat en Energie over “Techniek Nederland luidt noodklok over dramatische marktsituatie erkende installateurs in de zonnepanelenbranche“ van 4 juni 2024</w:t>
      </w:r>
      <w:r w:rsidR="00AE0AC3" w:rsidRPr="003918CA">
        <w:rPr>
          <w:sz w:val="16"/>
          <w:szCs w:val="16"/>
        </w:rPr>
        <w:t>.</w:t>
      </w:r>
    </w:p>
  </w:footnote>
  <w:footnote w:id="23">
    <w:p w14:paraId="6FF6F1BB" w14:textId="5C3AD8F5" w:rsidR="00037A6A" w:rsidRPr="003918CA" w:rsidRDefault="00037A6A">
      <w:pPr>
        <w:pStyle w:val="Voetnoottekst"/>
        <w:rPr>
          <w:sz w:val="16"/>
          <w:szCs w:val="16"/>
        </w:rPr>
      </w:pPr>
      <w:r w:rsidRPr="003918CA">
        <w:rPr>
          <w:rStyle w:val="Voetnootmarkering"/>
          <w:sz w:val="16"/>
          <w:szCs w:val="16"/>
        </w:rPr>
        <w:footnoteRef/>
      </w:r>
      <w:r w:rsidRPr="003918CA">
        <w:rPr>
          <w:sz w:val="16"/>
          <w:szCs w:val="16"/>
        </w:rPr>
        <w:t xml:space="preserve"> </w:t>
      </w:r>
      <w:r w:rsidR="000F01FC" w:rsidRPr="003918CA">
        <w:rPr>
          <w:sz w:val="16"/>
          <w:szCs w:val="16"/>
        </w:rPr>
        <w:t>Bron: A</w:t>
      </w:r>
      <w:r w:rsidR="001F61CE">
        <w:rPr>
          <w:sz w:val="16"/>
          <w:szCs w:val="16"/>
        </w:rPr>
        <w:t>EDES</w:t>
      </w:r>
      <w:r w:rsidR="000F01FC" w:rsidRPr="003918CA">
        <w:rPr>
          <w:sz w:val="16"/>
          <w:szCs w:val="16"/>
        </w:rPr>
        <w:t xml:space="preserve"> datacentrum. In 2023 waren er circa 2,3 miljoen corporatiewoningen in Nederland. Nog eens 1,6 miljoen woningen zijn in het bezit van particuliere en commerciële verhuurders. Data over het aantal zonnepanelen op deze woningen ontbreekt.</w:t>
      </w:r>
    </w:p>
  </w:footnote>
  <w:footnote w:id="24">
    <w:p w14:paraId="288CDB60" w14:textId="01F6937C" w:rsidR="00CF1CFF" w:rsidRPr="00B91A5D" w:rsidRDefault="00CF1CFF">
      <w:pPr>
        <w:pStyle w:val="Voetnoottekst"/>
      </w:pPr>
      <w:r w:rsidRPr="003918CA">
        <w:rPr>
          <w:rStyle w:val="Voetnootmarkering"/>
          <w:sz w:val="16"/>
          <w:szCs w:val="16"/>
        </w:rPr>
        <w:footnoteRef/>
      </w:r>
      <w:r w:rsidRPr="003918CA">
        <w:rPr>
          <w:sz w:val="16"/>
          <w:szCs w:val="16"/>
        </w:rPr>
        <w:t xml:space="preserve"> </w:t>
      </w:r>
      <w:r w:rsidR="00B91A5D" w:rsidRPr="003918CA">
        <w:rPr>
          <w:sz w:val="16"/>
          <w:szCs w:val="16"/>
        </w:rPr>
        <w:t xml:space="preserve">De verhuurder kan servicekosten </w:t>
      </w:r>
      <w:r w:rsidR="00C06779" w:rsidRPr="003918CA">
        <w:rPr>
          <w:sz w:val="16"/>
          <w:szCs w:val="16"/>
        </w:rPr>
        <w:t xml:space="preserve">vragen of </w:t>
      </w:r>
      <w:r w:rsidR="00B91A5D" w:rsidRPr="003918CA">
        <w:rPr>
          <w:sz w:val="16"/>
          <w:szCs w:val="16"/>
        </w:rPr>
        <w:t>verhogen, een energieprestatievergoeding</w:t>
      </w:r>
      <w:r w:rsidR="00A82CAA" w:rsidRPr="003918CA">
        <w:rPr>
          <w:sz w:val="16"/>
          <w:szCs w:val="16"/>
        </w:rPr>
        <w:t xml:space="preserve"> (</w:t>
      </w:r>
      <w:r w:rsidR="00546AF7" w:rsidRPr="003918CA">
        <w:rPr>
          <w:sz w:val="16"/>
          <w:szCs w:val="16"/>
        </w:rPr>
        <w:t>https://www.rvo.nl/onderwerpen/energieprestatievergoeding</w:t>
      </w:r>
      <w:r w:rsidR="00A82CAA" w:rsidRPr="003918CA">
        <w:rPr>
          <w:sz w:val="16"/>
          <w:szCs w:val="16"/>
        </w:rPr>
        <w:t>)</w:t>
      </w:r>
      <w:r w:rsidR="00B91A5D" w:rsidRPr="003918CA">
        <w:rPr>
          <w:sz w:val="16"/>
          <w:szCs w:val="16"/>
        </w:rPr>
        <w:t xml:space="preserve"> vragen aan de huurder </w:t>
      </w:r>
      <w:r w:rsidR="00C960BC" w:rsidRPr="003918CA">
        <w:rPr>
          <w:sz w:val="16"/>
          <w:szCs w:val="16"/>
        </w:rPr>
        <w:t>of</w:t>
      </w:r>
      <w:r w:rsidR="00C06779" w:rsidRPr="003918CA">
        <w:rPr>
          <w:sz w:val="16"/>
          <w:szCs w:val="16"/>
        </w:rPr>
        <w:t>, indien de zonnepanelen ontroerend zijn,</w:t>
      </w:r>
      <w:r w:rsidR="00C960BC" w:rsidRPr="003918CA">
        <w:rPr>
          <w:sz w:val="16"/>
          <w:szCs w:val="16"/>
        </w:rPr>
        <w:t xml:space="preserve"> de verbetering van de woning via het Woningwaarderingsstelsel verdisconteren in het energielabel en daarmee de huur verhogen.</w:t>
      </w:r>
      <w:r w:rsidR="00C960BC">
        <w:t xml:space="preserve"> </w:t>
      </w:r>
    </w:p>
  </w:footnote>
  <w:footnote w:id="25">
    <w:p w14:paraId="789572BC" w14:textId="77777777" w:rsidR="00E90DBA" w:rsidRPr="003918CA" w:rsidRDefault="00E90DBA" w:rsidP="00E90DBA">
      <w:pPr>
        <w:pStyle w:val="Voetnoottekst"/>
        <w:rPr>
          <w:sz w:val="16"/>
          <w:szCs w:val="16"/>
        </w:rPr>
      </w:pPr>
      <w:r w:rsidRPr="003918CA">
        <w:rPr>
          <w:rStyle w:val="Voetnootmarkering"/>
          <w:sz w:val="16"/>
          <w:szCs w:val="16"/>
        </w:rPr>
        <w:footnoteRef/>
      </w:r>
      <w:r w:rsidRPr="003918CA">
        <w:rPr>
          <w:sz w:val="16"/>
          <w:szCs w:val="16"/>
        </w:rPr>
        <w:t xml:space="preserve"> Kamerstukken II, 2023-2024, 36 378, nr. 79.</w:t>
      </w:r>
    </w:p>
  </w:footnote>
  <w:footnote w:id="26">
    <w:p w14:paraId="0C90F72B" w14:textId="40AD3DBE" w:rsidR="00A073A2" w:rsidRPr="003918CA" w:rsidRDefault="00A073A2">
      <w:pPr>
        <w:pStyle w:val="Voetnoottekst"/>
        <w:rPr>
          <w:sz w:val="16"/>
          <w:szCs w:val="16"/>
        </w:rPr>
      </w:pPr>
      <w:r w:rsidRPr="003918CA">
        <w:rPr>
          <w:rStyle w:val="Voetnootmarkering"/>
          <w:sz w:val="16"/>
          <w:szCs w:val="16"/>
        </w:rPr>
        <w:footnoteRef/>
      </w:r>
      <w:r w:rsidRPr="003918CA">
        <w:rPr>
          <w:sz w:val="16"/>
          <w:szCs w:val="16"/>
        </w:rPr>
        <w:t xml:space="preserve"> Kamerstukken II, 2023-2024, 36 378</w:t>
      </w:r>
      <w:r w:rsidR="00D97936" w:rsidRPr="003918CA">
        <w:rPr>
          <w:sz w:val="16"/>
          <w:szCs w:val="16"/>
        </w:rPr>
        <w:t>, nr. 84.</w:t>
      </w:r>
    </w:p>
  </w:footnote>
  <w:footnote w:id="27">
    <w:p w14:paraId="6D9C3A72" w14:textId="4320DF53" w:rsidR="009F0E43" w:rsidRPr="003918CA" w:rsidRDefault="009F0E43">
      <w:pPr>
        <w:pStyle w:val="Voetnoottekst"/>
        <w:rPr>
          <w:sz w:val="16"/>
          <w:szCs w:val="16"/>
        </w:rPr>
      </w:pPr>
      <w:r w:rsidRPr="003918CA">
        <w:rPr>
          <w:rStyle w:val="Voetnootmarkering"/>
          <w:sz w:val="16"/>
          <w:szCs w:val="16"/>
        </w:rPr>
        <w:footnoteRef/>
      </w:r>
      <w:r w:rsidRPr="003918CA">
        <w:rPr>
          <w:sz w:val="16"/>
          <w:szCs w:val="16"/>
        </w:rPr>
        <w:t xml:space="preserve"> </w:t>
      </w:r>
      <w:r w:rsidR="00CE154A" w:rsidRPr="003918CA">
        <w:rPr>
          <w:sz w:val="16"/>
          <w:szCs w:val="16"/>
        </w:rPr>
        <w:t xml:space="preserve">Kamerstukken II, </w:t>
      </w:r>
      <w:r w:rsidR="00527C50" w:rsidRPr="003918CA">
        <w:rPr>
          <w:sz w:val="16"/>
          <w:szCs w:val="16"/>
        </w:rPr>
        <w:t>2020-2021, 36 594, nr.</w:t>
      </w:r>
      <w:r w:rsidR="00D97936" w:rsidRPr="003918CA">
        <w:rPr>
          <w:sz w:val="16"/>
          <w:szCs w:val="16"/>
        </w:rPr>
        <w:t xml:space="preserve"> </w:t>
      </w:r>
      <w:r w:rsidR="00946540" w:rsidRPr="003918CA">
        <w:rPr>
          <w:sz w:val="16"/>
          <w:szCs w:val="16"/>
        </w:rPr>
        <w:t>3.</w:t>
      </w:r>
    </w:p>
  </w:footnote>
  <w:footnote w:id="28">
    <w:p w14:paraId="185F8844" w14:textId="247BDC05" w:rsidR="00E90DBA" w:rsidRPr="00581373" w:rsidRDefault="00E90DBA" w:rsidP="00E90DBA">
      <w:pPr>
        <w:pStyle w:val="Voetnoottekst"/>
        <w:rPr>
          <w:sz w:val="16"/>
          <w:szCs w:val="16"/>
        </w:rPr>
      </w:pPr>
      <w:r w:rsidRPr="003918CA">
        <w:rPr>
          <w:rStyle w:val="Voetnootmarkering"/>
          <w:sz w:val="16"/>
          <w:szCs w:val="16"/>
        </w:rPr>
        <w:footnoteRef/>
      </w:r>
      <w:r w:rsidRPr="003918CA">
        <w:rPr>
          <w:sz w:val="16"/>
          <w:szCs w:val="16"/>
        </w:rPr>
        <w:t xml:space="preserve"> </w:t>
      </w:r>
      <w:r w:rsidRPr="00581373">
        <w:rPr>
          <w:sz w:val="16"/>
          <w:szCs w:val="16"/>
        </w:rPr>
        <w:t>Handboek Meting Regeldrukkosten, versie 2.</w:t>
      </w:r>
      <w:r w:rsidR="00882C2A" w:rsidRPr="00581373">
        <w:rPr>
          <w:sz w:val="16"/>
          <w:szCs w:val="16"/>
        </w:rPr>
        <w:t>1</w:t>
      </w:r>
      <w:r w:rsidRPr="00581373">
        <w:rPr>
          <w:sz w:val="16"/>
          <w:szCs w:val="16"/>
        </w:rPr>
        <w:t xml:space="preserve">, datum </w:t>
      </w:r>
      <w:r w:rsidR="00882C2A" w:rsidRPr="00581373">
        <w:rPr>
          <w:sz w:val="16"/>
          <w:szCs w:val="16"/>
        </w:rPr>
        <w:t>29-11</w:t>
      </w:r>
      <w:r w:rsidRPr="00581373">
        <w:rPr>
          <w:sz w:val="16"/>
          <w:szCs w:val="16"/>
        </w:rPr>
        <w:t>-2023.</w:t>
      </w:r>
    </w:p>
  </w:footnote>
  <w:footnote w:id="29">
    <w:p w14:paraId="6BF4A96C" w14:textId="138F4475" w:rsidR="00946540" w:rsidRPr="00581373" w:rsidRDefault="00946540">
      <w:pPr>
        <w:pStyle w:val="Voetnoottekst"/>
        <w:rPr>
          <w:sz w:val="16"/>
          <w:szCs w:val="16"/>
        </w:rPr>
      </w:pPr>
      <w:r w:rsidRPr="00581373">
        <w:rPr>
          <w:rStyle w:val="Voetnootmarkering"/>
          <w:sz w:val="16"/>
          <w:szCs w:val="16"/>
        </w:rPr>
        <w:footnoteRef/>
      </w:r>
      <w:r w:rsidRPr="00581373">
        <w:rPr>
          <w:sz w:val="16"/>
          <w:szCs w:val="16"/>
        </w:rPr>
        <w:t xml:space="preserve"> Zie CBS Statline tabel 85005: Zonnestroom; vermogen en vermogensklasse, bedrijven en woningen, regio</w:t>
      </w:r>
      <w:r w:rsidR="00A716F5" w:rsidRPr="00581373">
        <w:rPr>
          <w:sz w:val="16"/>
          <w:szCs w:val="16"/>
        </w:rPr>
        <w:t>. Eind 2023 waren er 2,74 miljoen installaties met een klein vermogen (t/m 15kW)</w:t>
      </w:r>
      <w:r w:rsidR="00BD2E83" w:rsidRPr="00581373">
        <w:rPr>
          <w:sz w:val="16"/>
          <w:szCs w:val="16"/>
        </w:rPr>
        <w:t>.</w:t>
      </w:r>
      <w:r w:rsidR="00A716F5" w:rsidRPr="00581373">
        <w:rPr>
          <w:sz w:val="16"/>
          <w:szCs w:val="16"/>
        </w:rPr>
        <w:t xml:space="preserve"> </w:t>
      </w:r>
    </w:p>
  </w:footnote>
  <w:footnote w:id="30">
    <w:p w14:paraId="68AEE8FE" w14:textId="6E9F5802" w:rsidR="00581373" w:rsidRPr="00581373" w:rsidRDefault="00581373" w:rsidP="00581373">
      <w:pPr>
        <w:pStyle w:val="Voetnoottekst"/>
        <w:rPr>
          <w:sz w:val="16"/>
          <w:szCs w:val="16"/>
        </w:rPr>
      </w:pPr>
      <w:r w:rsidRPr="00581373">
        <w:rPr>
          <w:rStyle w:val="Voetnootmarkering"/>
          <w:sz w:val="16"/>
          <w:szCs w:val="16"/>
        </w:rPr>
        <w:footnoteRef/>
      </w:r>
      <w:r w:rsidRPr="00581373">
        <w:rPr>
          <w:sz w:val="16"/>
          <w:szCs w:val="16"/>
        </w:rPr>
        <w:t xml:space="preserve"> €17</w:t>
      </w:r>
      <w:r>
        <w:rPr>
          <w:sz w:val="16"/>
          <w:szCs w:val="16"/>
        </w:rPr>
        <w:t xml:space="preserve"> * 4.000.000 huishoudens * 10 minuten = </w:t>
      </w:r>
      <w:r w:rsidRPr="00581373">
        <w:rPr>
          <w:sz w:val="16"/>
          <w:szCs w:val="16"/>
        </w:rPr>
        <w:t>€11.333.333</w:t>
      </w:r>
      <w:r>
        <w:rPr>
          <w:sz w:val="16"/>
          <w:szCs w:val="16"/>
        </w:rPr>
        <w:t xml:space="preserve">. Tarief uit </w:t>
      </w:r>
      <w:r w:rsidRPr="00581373">
        <w:rPr>
          <w:sz w:val="16"/>
          <w:szCs w:val="16"/>
        </w:rPr>
        <w:t>Handboek Meting Regeldrukkosten, versie 2.1, datum 29-11-2023.</w:t>
      </w:r>
    </w:p>
  </w:footnote>
  <w:footnote w:id="31">
    <w:p w14:paraId="23FB56D2" w14:textId="522828D4" w:rsidR="00E90DBA" w:rsidRPr="003918CA" w:rsidRDefault="00E90DBA" w:rsidP="00E90DBA">
      <w:pPr>
        <w:pStyle w:val="Voetnoottekst"/>
        <w:rPr>
          <w:sz w:val="16"/>
          <w:szCs w:val="16"/>
        </w:rPr>
      </w:pPr>
      <w:r w:rsidRPr="003918CA">
        <w:rPr>
          <w:rStyle w:val="Voetnootmarkering"/>
          <w:sz w:val="16"/>
          <w:szCs w:val="16"/>
        </w:rPr>
        <w:footnoteRef/>
      </w:r>
      <w:r w:rsidRPr="003918CA">
        <w:rPr>
          <w:sz w:val="16"/>
          <w:szCs w:val="16"/>
        </w:rPr>
        <w:t xml:space="preserve"> Brief</w:t>
      </w:r>
      <w:r w:rsidR="009D744F" w:rsidRPr="003918CA">
        <w:rPr>
          <w:sz w:val="16"/>
          <w:szCs w:val="16"/>
        </w:rPr>
        <w:t xml:space="preserve"> van</w:t>
      </w:r>
      <w:r w:rsidRPr="003918CA">
        <w:rPr>
          <w:sz w:val="16"/>
          <w:szCs w:val="16"/>
        </w:rPr>
        <w:t xml:space="preserve"> Techniek Nederland</w:t>
      </w:r>
      <w:r w:rsidR="009D744F" w:rsidRPr="003918CA">
        <w:rPr>
          <w:sz w:val="16"/>
          <w:szCs w:val="16"/>
        </w:rPr>
        <w:t xml:space="preserve"> aan de minister voor Klimaat en Energie o</w:t>
      </w:r>
      <w:r w:rsidR="00741113" w:rsidRPr="003918CA">
        <w:rPr>
          <w:sz w:val="16"/>
          <w:szCs w:val="16"/>
        </w:rPr>
        <w:t>ver “</w:t>
      </w:r>
      <w:r w:rsidRPr="003918CA">
        <w:rPr>
          <w:sz w:val="16"/>
          <w:szCs w:val="16"/>
        </w:rPr>
        <w:t>Techniek Nederland luidt noodklok over dramatische marktsituatie erkende installateurs in de zonnepanelenbranche</w:t>
      </w:r>
      <w:r w:rsidR="00741113" w:rsidRPr="003918CA">
        <w:rPr>
          <w:sz w:val="16"/>
          <w:szCs w:val="16"/>
        </w:rPr>
        <w:t>“ van</w:t>
      </w:r>
      <w:r w:rsidR="00131706" w:rsidRPr="003918CA">
        <w:rPr>
          <w:sz w:val="16"/>
          <w:szCs w:val="16"/>
        </w:rPr>
        <w:t xml:space="preserve"> </w:t>
      </w:r>
      <w:r w:rsidRPr="003918CA">
        <w:rPr>
          <w:sz w:val="16"/>
          <w:szCs w:val="16"/>
        </w:rPr>
        <w:t>4 juni 2024.</w:t>
      </w:r>
    </w:p>
  </w:footnote>
  <w:footnote w:id="32">
    <w:p w14:paraId="778684E7" w14:textId="6BD99CB7" w:rsidR="00A17CD0" w:rsidRPr="0027432C" w:rsidRDefault="00A17CD0" w:rsidP="00A17CD0">
      <w:pPr>
        <w:pStyle w:val="Voetnoottekst"/>
        <w:rPr>
          <w:sz w:val="16"/>
          <w:szCs w:val="16"/>
        </w:rPr>
      </w:pPr>
      <w:r w:rsidRPr="0027432C">
        <w:rPr>
          <w:rStyle w:val="Voetnootmarkering"/>
          <w:sz w:val="16"/>
          <w:szCs w:val="16"/>
        </w:rPr>
        <w:footnoteRef/>
      </w:r>
      <w:r w:rsidRPr="0027432C">
        <w:rPr>
          <w:sz w:val="16"/>
          <w:szCs w:val="16"/>
        </w:rPr>
        <w:t xml:space="preserve"> Kamerstukken II,</w:t>
      </w:r>
      <w:r w:rsidR="00626374" w:rsidRPr="0027432C">
        <w:rPr>
          <w:sz w:val="16"/>
          <w:szCs w:val="16"/>
        </w:rPr>
        <w:t xml:space="preserve"> </w:t>
      </w:r>
      <w:r w:rsidR="0099467E" w:rsidRPr="0027432C">
        <w:rPr>
          <w:sz w:val="16"/>
          <w:szCs w:val="16"/>
        </w:rPr>
        <w:t xml:space="preserve">2020-2021, </w:t>
      </w:r>
      <w:r w:rsidRPr="0027432C">
        <w:rPr>
          <w:sz w:val="16"/>
          <w:szCs w:val="16"/>
        </w:rPr>
        <w:t>35 594, nr. 2</w:t>
      </w:r>
      <w:r w:rsidR="003366A5" w:rsidRPr="0027432C">
        <w:rPr>
          <w:sz w:val="16"/>
          <w:szCs w:val="16"/>
        </w:rPr>
        <w:t>.</w:t>
      </w:r>
    </w:p>
  </w:footnote>
  <w:footnote w:id="33">
    <w:p w14:paraId="5A7BD1F4" w14:textId="24AF490F" w:rsidR="00E4500B" w:rsidRPr="0027432C" w:rsidRDefault="00E4500B">
      <w:pPr>
        <w:pStyle w:val="Voetnoottekst"/>
        <w:rPr>
          <w:sz w:val="16"/>
          <w:szCs w:val="16"/>
        </w:rPr>
      </w:pPr>
      <w:r w:rsidRPr="0027432C">
        <w:rPr>
          <w:rStyle w:val="Voetnootmarkering"/>
          <w:sz w:val="16"/>
          <w:szCs w:val="16"/>
        </w:rPr>
        <w:footnoteRef/>
      </w:r>
      <w:r w:rsidRPr="0027432C">
        <w:rPr>
          <w:sz w:val="16"/>
          <w:szCs w:val="16"/>
        </w:rPr>
        <w:t xml:space="preserve"> Kamerstukken II, 2023-2024, 26 378, nr. 72</w:t>
      </w:r>
      <w:r w:rsidR="003366A5" w:rsidRPr="0027432C">
        <w:rPr>
          <w:sz w:val="16"/>
          <w:szCs w:val="16"/>
        </w:rPr>
        <w:t>.</w:t>
      </w:r>
    </w:p>
  </w:footnote>
  <w:footnote w:id="34">
    <w:p w14:paraId="53260E6E" w14:textId="798602D7" w:rsidR="00517BD8" w:rsidRPr="0027432C" w:rsidRDefault="00517BD8">
      <w:pPr>
        <w:pStyle w:val="Voetnoottekst"/>
        <w:rPr>
          <w:sz w:val="16"/>
          <w:szCs w:val="16"/>
        </w:rPr>
      </w:pPr>
      <w:r w:rsidRPr="0027432C">
        <w:rPr>
          <w:rStyle w:val="Voetnootmarkering"/>
          <w:sz w:val="16"/>
          <w:szCs w:val="16"/>
        </w:rPr>
        <w:footnoteRef/>
      </w:r>
      <w:r w:rsidRPr="0027432C">
        <w:rPr>
          <w:sz w:val="16"/>
          <w:szCs w:val="16"/>
        </w:rPr>
        <w:t xml:space="preserve"> Effect afbouw salderingsregeling marktvoorstel, TNO, 24 augustus 2022</w:t>
      </w:r>
      <w:r w:rsidR="003366A5" w:rsidRPr="0027432C">
        <w:rPr>
          <w:sz w:val="16"/>
          <w:szCs w:val="16"/>
        </w:rPr>
        <w:t>.</w:t>
      </w:r>
    </w:p>
  </w:footnote>
  <w:footnote w:id="35">
    <w:p w14:paraId="29C760ED" w14:textId="1973C2E9" w:rsidR="00260914" w:rsidRPr="0027432C" w:rsidRDefault="00260914">
      <w:pPr>
        <w:pStyle w:val="Voetnoottekst"/>
        <w:rPr>
          <w:sz w:val="16"/>
          <w:szCs w:val="16"/>
        </w:rPr>
      </w:pPr>
      <w:r w:rsidRPr="0027432C">
        <w:rPr>
          <w:rStyle w:val="Voetnootmarkering"/>
          <w:sz w:val="16"/>
          <w:szCs w:val="16"/>
        </w:rPr>
        <w:footnoteRef/>
      </w:r>
      <w:r w:rsidRPr="0027432C">
        <w:rPr>
          <w:sz w:val="16"/>
          <w:szCs w:val="16"/>
        </w:rPr>
        <w:t xml:space="preserve"> Zie hoofdstuk </w:t>
      </w:r>
      <w:r w:rsidR="00626374" w:rsidRPr="0027432C">
        <w:rPr>
          <w:sz w:val="16"/>
          <w:szCs w:val="16"/>
        </w:rPr>
        <w:t>7 van de memorie van toelichting van het wetsvoorstel voor de afbouw van de salderingsregeling, Kamerstukken II</w:t>
      </w:r>
      <w:r w:rsidR="0099467E" w:rsidRPr="0027432C">
        <w:rPr>
          <w:sz w:val="16"/>
          <w:szCs w:val="16"/>
        </w:rPr>
        <w:t>, 2020-2021, 35 594, nr. 3</w:t>
      </w:r>
      <w:r w:rsidR="003366A5" w:rsidRPr="0027432C">
        <w:rPr>
          <w:sz w:val="16"/>
          <w:szCs w:val="16"/>
        </w:rPr>
        <w:t>.</w:t>
      </w:r>
    </w:p>
  </w:footnote>
  <w:footnote w:id="36">
    <w:p w14:paraId="029B8102" w14:textId="4CF2C039" w:rsidR="00EF5F87" w:rsidRPr="006F292F" w:rsidRDefault="00EF5F87" w:rsidP="00EF5F87">
      <w:pPr>
        <w:pStyle w:val="Voetnoottekst"/>
        <w:rPr>
          <w:sz w:val="16"/>
          <w:szCs w:val="16"/>
        </w:rPr>
      </w:pPr>
      <w:r w:rsidRPr="006F292F">
        <w:rPr>
          <w:rStyle w:val="Voetnootmarkering"/>
          <w:sz w:val="16"/>
          <w:szCs w:val="16"/>
        </w:rPr>
        <w:footnoteRef/>
      </w:r>
      <w:r w:rsidRPr="006F292F">
        <w:rPr>
          <w:sz w:val="16"/>
          <w:szCs w:val="16"/>
        </w:rPr>
        <w:t xml:space="preserve"> </w:t>
      </w:r>
      <w:r w:rsidR="00924C27" w:rsidRPr="00924C27">
        <w:rPr>
          <w:sz w:val="16"/>
          <w:szCs w:val="16"/>
        </w:rPr>
        <w:t>https://www.internetconsultatie.nl/omvormingsalderen</w:t>
      </w:r>
    </w:p>
  </w:footnote>
  <w:footnote w:id="37">
    <w:p w14:paraId="54E3B6B0" w14:textId="270F3312" w:rsidR="00760DA2" w:rsidRPr="002437E7" w:rsidRDefault="00760DA2" w:rsidP="00760DA2">
      <w:pPr>
        <w:pStyle w:val="Voetnoottekst"/>
        <w:rPr>
          <w:sz w:val="16"/>
          <w:szCs w:val="16"/>
        </w:rPr>
      </w:pPr>
      <w:r w:rsidRPr="002437E7">
        <w:rPr>
          <w:rStyle w:val="Voetnootmarkering"/>
          <w:sz w:val="16"/>
          <w:szCs w:val="16"/>
        </w:rPr>
        <w:footnoteRef/>
      </w:r>
      <w:r w:rsidRPr="002437E7">
        <w:rPr>
          <w:sz w:val="16"/>
          <w:szCs w:val="16"/>
        </w:rPr>
        <w:t xml:space="preserve"> Het bij koninklijke boodschap van 29 juni 2023 ingediende voorstel van wet tot wijziging van de Omgevingswet, de Gaswet en de Warmtewet in verband met gemeentelijke instrumenten voor de warmtetransitie in de gebouwde omgeving (Wet gemeentelijke instrumenten warmtetransitie) (36</w:t>
      </w:r>
      <w:r w:rsidR="00682870">
        <w:rPr>
          <w:sz w:val="16"/>
          <w:szCs w:val="16"/>
        </w:rPr>
        <w:t xml:space="preserve"> </w:t>
      </w:r>
      <w:r w:rsidRPr="002437E7">
        <w:rPr>
          <w:sz w:val="16"/>
          <w:szCs w:val="16"/>
        </w:rPr>
        <w:t>387).</w:t>
      </w:r>
    </w:p>
  </w:footnote>
  <w:footnote w:id="38">
    <w:p w14:paraId="38E75D07" w14:textId="77777777" w:rsidR="00F34448" w:rsidRPr="00F92F48" w:rsidRDefault="00F34448" w:rsidP="00F34448">
      <w:pPr>
        <w:pStyle w:val="Voetnoottekst"/>
      </w:pPr>
      <w:r>
        <w:rPr>
          <w:rStyle w:val="Voetnootmarkering"/>
        </w:rPr>
        <w:footnoteRef/>
      </w:r>
      <w:r>
        <w:t xml:space="preserve"> </w:t>
      </w:r>
      <w:r w:rsidRPr="006C4E86">
        <w:rPr>
          <w:sz w:val="16"/>
          <w:szCs w:val="16"/>
        </w:rPr>
        <w:t xml:space="preserve">Grondslag art. 2.23 </w:t>
      </w:r>
      <w:r>
        <w:rPr>
          <w:sz w:val="16"/>
          <w:szCs w:val="16"/>
        </w:rPr>
        <w:t>voorstel voor</w:t>
      </w:r>
      <w:r w:rsidRPr="006C4E86">
        <w:rPr>
          <w:sz w:val="16"/>
          <w:szCs w:val="16"/>
        </w:rPr>
        <w:t xml:space="preserve"> </w:t>
      </w:r>
      <w:r>
        <w:rPr>
          <w:sz w:val="16"/>
          <w:szCs w:val="16"/>
        </w:rPr>
        <w:t xml:space="preserve">de </w:t>
      </w:r>
      <w:r w:rsidRPr="006C4E86">
        <w:rPr>
          <w:sz w:val="16"/>
          <w:szCs w:val="16"/>
        </w:rPr>
        <w:t>Energiewet</w:t>
      </w:r>
    </w:p>
  </w:footnote>
  <w:footnote w:id="39">
    <w:p w14:paraId="1EE8AAE3" w14:textId="667F818A" w:rsidR="00F34448" w:rsidRPr="00BB26A8" w:rsidRDefault="00F34448" w:rsidP="00F34448">
      <w:pPr>
        <w:pStyle w:val="Voetnoottekst"/>
        <w:rPr>
          <w:rFonts w:cstheme="minorHAnsi"/>
          <w:sz w:val="16"/>
          <w:szCs w:val="16"/>
        </w:rPr>
      </w:pPr>
      <w:r w:rsidRPr="00BB26A8">
        <w:rPr>
          <w:rStyle w:val="Voetnootmarkering"/>
          <w:rFonts w:cstheme="minorHAnsi"/>
          <w:sz w:val="16"/>
          <w:szCs w:val="16"/>
        </w:rPr>
        <w:footnoteRef/>
      </w:r>
      <w:r w:rsidRPr="00BB26A8">
        <w:rPr>
          <w:rFonts w:cstheme="minorHAnsi"/>
          <w:sz w:val="16"/>
          <w:szCs w:val="16"/>
        </w:rPr>
        <w:t xml:space="preserve"> Er waren op 1 januari 2024 460.000 huurders in het sociale segment met zonnepanelen. Als 25</w:t>
      </w:r>
      <w:r w:rsidR="00685DFE">
        <w:rPr>
          <w:rFonts w:cstheme="minorHAnsi"/>
          <w:sz w:val="16"/>
          <w:szCs w:val="16"/>
        </w:rPr>
        <w:t xml:space="preserve">% </w:t>
      </w:r>
      <w:r w:rsidRPr="00BB26A8">
        <w:rPr>
          <w:rFonts w:cstheme="minorHAnsi"/>
          <w:sz w:val="16"/>
          <w:szCs w:val="16"/>
        </w:rPr>
        <w:t>van de huurders de helpdesk belt met een vraag van 10 minuten, dan kost dat circa 19.167 uur à €23 per uur. In totaal betekent dit een eenmalige kostenpost van circa €441.000 voor de woningcorporaties samen. Aangezien het een volledige beëindiging van de regeling betreft, ligt het niet in de rede dat er in de jaren na de inwerkingtreding van het wetsvoorstel druk op de helpdesk blijft bestaan.</w:t>
      </w:r>
    </w:p>
  </w:footnote>
  <w:footnote w:id="40">
    <w:p w14:paraId="38293338" w14:textId="77777777" w:rsidR="008F4A07" w:rsidRPr="002437E7" w:rsidRDefault="008F4A07" w:rsidP="008F4A07">
      <w:pPr>
        <w:pStyle w:val="Voetnoottekst"/>
        <w:rPr>
          <w:rFonts w:cstheme="minorHAnsi"/>
          <w:sz w:val="16"/>
          <w:szCs w:val="16"/>
        </w:rPr>
      </w:pPr>
      <w:r w:rsidRPr="002437E7">
        <w:rPr>
          <w:rStyle w:val="Voetnootmarkering"/>
          <w:rFonts w:cstheme="minorHAnsi"/>
          <w:sz w:val="16"/>
          <w:szCs w:val="16"/>
        </w:rPr>
        <w:footnoteRef/>
      </w:r>
      <w:r w:rsidRPr="002437E7">
        <w:rPr>
          <w:rFonts w:cstheme="minorHAnsi"/>
          <w:sz w:val="16"/>
          <w:szCs w:val="16"/>
        </w:rPr>
        <w:t xml:space="preserve"> Kamerstukken II, 2020-2021, 35 594, nr. 2.</w:t>
      </w:r>
    </w:p>
  </w:footnote>
  <w:footnote w:id="41">
    <w:p w14:paraId="1F9EAC16" w14:textId="77777777" w:rsidR="008F4A07" w:rsidRPr="002437E7" w:rsidRDefault="008F4A07" w:rsidP="008F4A07">
      <w:pPr>
        <w:pStyle w:val="Voetnoottekst"/>
        <w:rPr>
          <w:rFonts w:cstheme="minorHAnsi"/>
          <w:sz w:val="16"/>
          <w:szCs w:val="16"/>
        </w:rPr>
      </w:pPr>
      <w:r w:rsidRPr="002437E7">
        <w:rPr>
          <w:rStyle w:val="Voetnootmarkering"/>
          <w:rFonts w:cstheme="minorHAnsi"/>
          <w:sz w:val="16"/>
          <w:szCs w:val="16"/>
        </w:rPr>
        <w:footnoteRef/>
      </w:r>
      <w:r w:rsidRPr="002437E7">
        <w:rPr>
          <w:rFonts w:cstheme="minorHAnsi"/>
          <w:sz w:val="16"/>
          <w:szCs w:val="16"/>
        </w:rPr>
        <w:t xml:space="preserve"> Effect afbouw salderingsregeling marktvoorstel, TNO, 24 augustus 2022.</w:t>
      </w:r>
    </w:p>
  </w:footnote>
  <w:footnote w:id="42">
    <w:p w14:paraId="253C7912" w14:textId="77777777" w:rsidR="008F4A07" w:rsidRPr="002437E7" w:rsidRDefault="008F4A07" w:rsidP="008F4A07">
      <w:pPr>
        <w:pStyle w:val="Voetnoottekst"/>
        <w:rPr>
          <w:rFonts w:cstheme="minorHAnsi"/>
          <w:sz w:val="16"/>
          <w:szCs w:val="16"/>
        </w:rPr>
      </w:pPr>
      <w:r w:rsidRPr="002437E7">
        <w:rPr>
          <w:rStyle w:val="Voetnootmarkering"/>
          <w:rFonts w:cstheme="minorHAnsi"/>
          <w:sz w:val="16"/>
          <w:szCs w:val="16"/>
        </w:rPr>
        <w:footnoteRef/>
      </w:r>
      <w:r w:rsidRPr="002437E7">
        <w:rPr>
          <w:rFonts w:cstheme="minorHAnsi"/>
          <w:sz w:val="16"/>
          <w:szCs w:val="16"/>
        </w:rPr>
        <w:t xml:space="preserve"> Zie hoofdstuk 7 van de memorie van toelichting van het wetsvoorstel voor de afbouw van de salderingsregeling, Kamerstukken II, 2020-2021, 35 594, nr. 3.</w:t>
      </w:r>
    </w:p>
  </w:footnote>
  <w:footnote w:id="43">
    <w:p w14:paraId="1BFD8068" w14:textId="77777777" w:rsidR="008F4A07" w:rsidRPr="006B623F" w:rsidRDefault="008F4A07" w:rsidP="008F4A07">
      <w:pPr>
        <w:pStyle w:val="Voetnoottekst"/>
        <w:rPr>
          <w:rFonts w:ascii="Verdana" w:hAnsi="Verdana"/>
          <w:sz w:val="16"/>
          <w:szCs w:val="16"/>
        </w:rPr>
      </w:pPr>
      <w:r w:rsidRPr="002437E7">
        <w:rPr>
          <w:rStyle w:val="Voetnootmarkering"/>
          <w:rFonts w:cstheme="minorHAnsi"/>
          <w:sz w:val="16"/>
          <w:szCs w:val="16"/>
        </w:rPr>
        <w:footnoteRef/>
      </w:r>
      <w:r w:rsidRPr="002437E7">
        <w:rPr>
          <w:rFonts w:cstheme="minorHAnsi"/>
          <w:sz w:val="16"/>
          <w:szCs w:val="16"/>
        </w:rPr>
        <w:t xml:space="preserve"> Uit recent onderzoek van het CBS blijkt dat circa 25% van de particuliere huishoudens in eengezinskoopwoningen nog overweegt te investeren in zonnepanelen. Circa 20% overweegt dit niet en circa 55% heeft al geïnvesteerd. </w:t>
      </w:r>
    </w:p>
  </w:footnote>
  <w:footnote w:id="44">
    <w:p w14:paraId="6733D997" w14:textId="44997A40" w:rsidR="008F4A07" w:rsidRPr="002437E7" w:rsidRDefault="008F4A07" w:rsidP="008F4A07">
      <w:pPr>
        <w:pStyle w:val="Voetnoottekst"/>
        <w:rPr>
          <w:rFonts w:cstheme="minorHAnsi"/>
          <w:sz w:val="16"/>
          <w:szCs w:val="16"/>
        </w:rPr>
      </w:pPr>
      <w:r w:rsidRPr="002437E7">
        <w:rPr>
          <w:rStyle w:val="Voetnootmarkering"/>
          <w:rFonts w:cstheme="minorHAnsi"/>
          <w:sz w:val="16"/>
          <w:szCs w:val="16"/>
        </w:rPr>
        <w:footnoteRef/>
      </w:r>
      <w:r w:rsidRPr="002437E7">
        <w:rPr>
          <w:rFonts w:cstheme="minorHAnsi"/>
          <w:sz w:val="16"/>
          <w:szCs w:val="16"/>
        </w:rPr>
        <w:t xml:space="preserve"> Kamerstukken II, 2020</w:t>
      </w:r>
      <w:r w:rsidR="00682870">
        <w:rPr>
          <w:rFonts w:cstheme="minorHAnsi"/>
          <w:sz w:val="16"/>
          <w:szCs w:val="16"/>
        </w:rPr>
        <w:t>-20</w:t>
      </w:r>
      <w:r w:rsidRPr="002437E7">
        <w:rPr>
          <w:rFonts w:cstheme="minorHAnsi"/>
          <w:sz w:val="16"/>
          <w:szCs w:val="16"/>
        </w:rPr>
        <w:t>21, 35 594, nr. 3.</w:t>
      </w:r>
    </w:p>
  </w:footnote>
  <w:footnote w:id="45">
    <w:p w14:paraId="4B2F5E74" w14:textId="77777777" w:rsidR="008F4A07" w:rsidRPr="002437E7" w:rsidRDefault="008F4A07" w:rsidP="008F4A07">
      <w:pPr>
        <w:pStyle w:val="Voetnoottekst"/>
        <w:rPr>
          <w:rFonts w:cstheme="minorHAnsi"/>
          <w:sz w:val="16"/>
          <w:szCs w:val="16"/>
        </w:rPr>
      </w:pPr>
      <w:r w:rsidRPr="002437E7">
        <w:rPr>
          <w:rStyle w:val="Voetnootmarkering"/>
          <w:rFonts w:cstheme="minorHAnsi"/>
          <w:sz w:val="16"/>
          <w:szCs w:val="16"/>
        </w:rPr>
        <w:footnoteRef/>
      </w:r>
      <w:r w:rsidRPr="002437E7">
        <w:rPr>
          <w:rFonts w:cstheme="minorHAnsi"/>
          <w:sz w:val="16"/>
          <w:szCs w:val="16"/>
        </w:rPr>
        <w:t xml:space="preserve"> Onderzocht in Effect afbouw salderingsregeling marktvoorstel, TNO, 24 augustus 2022.</w:t>
      </w:r>
    </w:p>
  </w:footnote>
  <w:footnote w:id="46">
    <w:p w14:paraId="734777DB" w14:textId="4EF3D166" w:rsidR="008F4A07" w:rsidRPr="002F17AD" w:rsidRDefault="008F4A07" w:rsidP="008F4A07">
      <w:pPr>
        <w:pStyle w:val="Voetnoottekst"/>
        <w:rPr>
          <w:rFonts w:cstheme="minorHAnsi"/>
        </w:rPr>
      </w:pPr>
      <w:r w:rsidRPr="002437E7">
        <w:rPr>
          <w:rStyle w:val="Voetnootmarkering"/>
          <w:rFonts w:cstheme="minorHAnsi"/>
          <w:sz w:val="16"/>
          <w:szCs w:val="16"/>
        </w:rPr>
        <w:footnoteRef/>
      </w:r>
      <w:r w:rsidRPr="002437E7">
        <w:rPr>
          <w:rFonts w:cstheme="minorHAnsi"/>
          <w:sz w:val="16"/>
          <w:szCs w:val="16"/>
        </w:rPr>
        <w:t xml:space="preserve"> Genoemd in Kamerstukken II, 2018</w:t>
      </w:r>
      <w:r w:rsidR="00682870">
        <w:rPr>
          <w:rFonts w:cstheme="minorHAnsi"/>
          <w:sz w:val="16"/>
          <w:szCs w:val="16"/>
        </w:rPr>
        <w:t>-20</w:t>
      </w:r>
      <w:r w:rsidRPr="002437E7">
        <w:rPr>
          <w:rFonts w:cstheme="minorHAnsi"/>
          <w:sz w:val="16"/>
          <w:szCs w:val="16"/>
        </w:rPr>
        <w:t>19, 31 239, nr. 299.</w:t>
      </w:r>
    </w:p>
  </w:footnote>
  <w:footnote w:id="47">
    <w:p w14:paraId="17CE0618" w14:textId="7AB52253" w:rsidR="008F4A07" w:rsidRPr="006B623F" w:rsidRDefault="008F4A07" w:rsidP="008F4A07">
      <w:pPr>
        <w:pStyle w:val="Voetnoottekst"/>
        <w:rPr>
          <w:rFonts w:ascii="Verdana" w:hAnsi="Verdana"/>
          <w:sz w:val="16"/>
          <w:szCs w:val="16"/>
        </w:rPr>
      </w:pPr>
      <w:r w:rsidRPr="002437E7">
        <w:rPr>
          <w:rStyle w:val="Voetnootmarkering"/>
          <w:rFonts w:cstheme="minorHAnsi"/>
          <w:sz w:val="16"/>
          <w:szCs w:val="16"/>
        </w:rPr>
        <w:footnoteRef/>
      </w:r>
      <w:r w:rsidRPr="002437E7">
        <w:rPr>
          <w:rFonts w:cstheme="minorHAnsi"/>
          <w:sz w:val="16"/>
          <w:szCs w:val="16"/>
        </w:rPr>
        <w:t xml:space="preserve"> Genoemd in hoofdstuk 7 van Kamerstukken II, 2020</w:t>
      </w:r>
      <w:r w:rsidR="00682870">
        <w:rPr>
          <w:rFonts w:cstheme="minorHAnsi"/>
          <w:sz w:val="16"/>
          <w:szCs w:val="16"/>
        </w:rPr>
        <w:t>-20</w:t>
      </w:r>
      <w:r w:rsidRPr="002437E7">
        <w:rPr>
          <w:rFonts w:cstheme="minorHAnsi"/>
          <w:sz w:val="16"/>
          <w:szCs w:val="16"/>
        </w:rPr>
        <w:t>21, 35 594, nr. 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A5B065" w14:textId="77777777" w:rsidR="0014478B" w:rsidRDefault="0014478B">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E66429" w14:textId="77777777" w:rsidR="0014478B" w:rsidRDefault="0014478B">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990935" w14:textId="77777777" w:rsidR="0014478B" w:rsidRDefault="0014478B">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803CD5"/>
    <w:multiLevelType w:val="multilevel"/>
    <w:tmpl w:val="64F815F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182754C1"/>
    <w:multiLevelType w:val="hybridMultilevel"/>
    <w:tmpl w:val="17DA71EC"/>
    <w:lvl w:ilvl="0" w:tplc="A36AAACE">
      <w:start w:val="1"/>
      <w:numFmt w:val="low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23984520"/>
    <w:multiLevelType w:val="hybridMultilevel"/>
    <w:tmpl w:val="1FCC502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27552E83"/>
    <w:multiLevelType w:val="hybridMultilevel"/>
    <w:tmpl w:val="26866C6E"/>
    <w:lvl w:ilvl="0" w:tplc="36801F7C">
      <w:start w:val="1"/>
      <w:numFmt w:val="decimal"/>
      <w:lvlText w:val="%1)"/>
      <w:lvlJc w:val="left"/>
      <w:pPr>
        <w:ind w:left="1020" w:hanging="360"/>
      </w:pPr>
    </w:lvl>
    <w:lvl w:ilvl="1" w:tplc="23FA89AC">
      <w:start w:val="1"/>
      <w:numFmt w:val="decimal"/>
      <w:lvlText w:val="%2)"/>
      <w:lvlJc w:val="left"/>
      <w:pPr>
        <w:ind w:left="1020" w:hanging="360"/>
      </w:pPr>
    </w:lvl>
    <w:lvl w:ilvl="2" w:tplc="0178A50C">
      <w:start w:val="1"/>
      <w:numFmt w:val="decimal"/>
      <w:lvlText w:val="%3)"/>
      <w:lvlJc w:val="left"/>
      <w:pPr>
        <w:ind w:left="1020" w:hanging="360"/>
      </w:pPr>
    </w:lvl>
    <w:lvl w:ilvl="3" w:tplc="38383512">
      <w:start w:val="1"/>
      <w:numFmt w:val="decimal"/>
      <w:lvlText w:val="%4)"/>
      <w:lvlJc w:val="left"/>
      <w:pPr>
        <w:ind w:left="1020" w:hanging="360"/>
      </w:pPr>
    </w:lvl>
    <w:lvl w:ilvl="4" w:tplc="5D5AAE8A">
      <w:start w:val="1"/>
      <w:numFmt w:val="decimal"/>
      <w:lvlText w:val="%5)"/>
      <w:lvlJc w:val="left"/>
      <w:pPr>
        <w:ind w:left="1020" w:hanging="360"/>
      </w:pPr>
    </w:lvl>
    <w:lvl w:ilvl="5" w:tplc="78D89794">
      <w:start w:val="1"/>
      <w:numFmt w:val="decimal"/>
      <w:lvlText w:val="%6)"/>
      <w:lvlJc w:val="left"/>
      <w:pPr>
        <w:ind w:left="1020" w:hanging="360"/>
      </w:pPr>
    </w:lvl>
    <w:lvl w:ilvl="6" w:tplc="A0DA7096">
      <w:start w:val="1"/>
      <w:numFmt w:val="decimal"/>
      <w:lvlText w:val="%7)"/>
      <w:lvlJc w:val="left"/>
      <w:pPr>
        <w:ind w:left="1020" w:hanging="360"/>
      </w:pPr>
    </w:lvl>
    <w:lvl w:ilvl="7" w:tplc="C46617FE">
      <w:start w:val="1"/>
      <w:numFmt w:val="decimal"/>
      <w:lvlText w:val="%8)"/>
      <w:lvlJc w:val="left"/>
      <w:pPr>
        <w:ind w:left="1020" w:hanging="360"/>
      </w:pPr>
    </w:lvl>
    <w:lvl w:ilvl="8" w:tplc="AB4ADC9E">
      <w:start w:val="1"/>
      <w:numFmt w:val="decimal"/>
      <w:lvlText w:val="%9)"/>
      <w:lvlJc w:val="left"/>
      <w:pPr>
        <w:ind w:left="1020" w:hanging="360"/>
      </w:pPr>
    </w:lvl>
  </w:abstractNum>
  <w:abstractNum w:abstractNumId="4" w15:restartNumberingAfterBreak="0">
    <w:nsid w:val="2872646D"/>
    <w:multiLevelType w:val="hybridMultilevel"/>
    <w:tmpl w:val="B28ADF50"/>
    <w:lvl w:ilvl="0" w:tplc="04130017">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29F72FF7"/>
    <w:multiLevelType w:val="multilevel"/>
    <w:tmpl w:val="AE00D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C62700E"/>
    <w:multiLevelType w:val="hybridMultilevel"/>
    <w:tmpl w:val="282C9018"/>
    <w:lvl w:ilvl="0" w:tplc="68E6D044">
      <w:start w:val="1"/>
      <w:numFmt w:val="bullet"/>
      <w:lvlText w:val=""/>
      <w:lvlJc w:val="left"/>
      <w:pPr>
        <w:ind w:left="1440" w:hanging="360"/>
      </w:pPr>
      <w:rPr>
        <w:rFonts w:ascii="Symbol" w:hAnsi="Symbol"/>
      </w:rPr>
    </w:lvl>
    <w:lvl w:ilvl="1" w:tplc="4844E9D4">
      <w:start w:val="1"/>
      <w:numFmt w:val="bullet"/>
      <w:lvlText w:val=""/>
      <w:lvlJc w:val="left"/>
      <w:pPr>
        <w:ind w:left="1440" w:hanging="360"/>
      </w:pPr>
      <w:rPr>
        <w:rFonts w:ascii="Symbol" w:hAnsi="Symbol"/>
      </w:rPr>
    </w:lvl>
    <w:lvl w:ilvl="2" w:tplc="25602082">
      <w:start w:val="1"/>
      <w:numFmt w:val="bullet"/>
      <w:lvlText w:val=""/>
      <w:lvlJc w:val="left"/>
      <w:pPr>
        <w:ind w:left="1440" w:hanging="360"/>
      </w:pPr>
      <w:rPr>
        <w:rFonts w:ascii="Symbol" w:hAnsi="Symbol"/>
      </w:rPr>
    </w:lvl>
    <w:lvl w:ilvl="3" w:tplc="85685058">
      <w:start w:val="1"/>
      <w:numFmt w:val="bullet"/>
      <w:lvlText w:val=""/>
      <w:lvlJc w:val="left"/>
      <w:pPr>
        <w:ind w:left="1440" w:hanging="360"/>
      </w:pPr>
      <w:rPr>
        <w:rFonts w:ascii="Symbol" w:hAnsi="Symbol"/>
      </w:rPr>
    </w:lvl>
    <w:lvl w:ilvl="4" w:tplc="A3BE4282">
      <w:start w:val="1"/>
      <w:numFmt w:val="bullet"/>
      <w:lvlText w:val=""/>
      <w:lvlJc w:val="left"/>
      <w:pPr>
        <w:ind w:left="1440" w:hanging="360"/>
      </w:pPr>
      <w:rPr>
        <w:rFonts w:ascii="Symbol" w:hAnsi="Symbol"/>
      </w:rPr>
    </w:lvl>
    <w:lvl w:ilvl="5" w:tplc="E42CEA26">
      <w:start w:val="1"/>
      <w:numFmt w:val="bullet"/>
      <w:lvlText w:val=""/>
      <w:lvlJc w:val="left"/>
      <w:pPr>
        <w:ind w:left="1440" w:hanging="360"/>
      </w:pPr>
      <w:rPr>
        <w:rFonts w:ascii="Symbol" w:hAnsi="Symbol"/>
      </w:rPr>
    </w:lvl>
    <w:lvl w:ilvl="6" w:tplc="720E16C0">
      <w:start w:val="1"/>
      <w:numFmt w:val="bullet"/>
      <w:lvlText w:val=""/>
      <w:lvlJc w:val="left"/>
      <w:pPr>
        <w:ind w:left="1440" w:hanging="360"/>
      </w:pPr>
      <w:rPr>
        <w:rFonts w:ascii="Symbol" w:hAnsi="Symbol"/>
      </w:rPr>
    </w:lvl>
    <w:lvl w:ilvl="7" w:tplc="13C85008">
      <w:start w:val="1"/>
      <w:numFmt w:val="bullet"/>
      <w:lvlText w:val=""/>
      <w:lvlJc w:val="left"/>
      <w:pPr>
        <w:ind w:left="1440" w:hanging="360"/>
      </w:pPr>
      <w:rPr>
        <w:rFonts w:ascii="Symbol" w:hAnsi="Symbol"/>
      </w:rPr>
    </w:lvl>
    <w:lvl w:ilvl="8" w:tplc="A6EAFF0C">
      <w:start w:val="1"/>
      <w:numFmt w:val="bullet"/>
      <w:lvlText w:val=""/>
      <w:lvlJc w:val="left"/>
      <w:pPr>
        <w:ind w:left="1440" w:hanging="360"/>
      </w:pPr>
      <w:rPr>
        <w:rFonts w:ascii="Symbol" w:hAnsi="Symbol"/>
      </w:rPr>
    </w:lvl>
  </w:abstractNum>
  <w:abstractNum w:abstractNumId="7" w15:restartNumberingAfterBreak="0">
    <w:nsid w:val="391473A7"/>
    <w:multiLevelType w:val="hybridMultilevel"/>
    <w:tmpl w:val="2FBCA7E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3CC06042"/>
    <w:multiLevelType w:val="hybridMultilevel"/>
    <w:tmpl w:val="339C42A6"/>
    <w:lvl w:ilvl="0" w:tplc="E30E4B88">
      <w:start w:val="1"/>
      <w:numFmt w:val="lowerRoman"/>
      <w:lvlText w:val="%1)"/>
      <w:lvlJc w:val="left"/>
      <w:pPr>
        <w:ind w:left="720" w:hanging="72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9" w15:restartNumberingAfterBreak="0">
    <w:nsid w:val="3F590702"/>
    <w:multiLevelType w:val="hybridMultilevel"/>
    <w:tmpl w:val="0A0CCC2A"/>
    <w:lvl w:ilvl="0" w:tplc="049630AE">
      <w:start w:val="1"/>
      <w:numFmt w:val="bullet"/>
      <w:lvlText w:val=""/>
      <w:lvlJc w:val="left"/>
      <w:pPr>
        <w:ind w:left="1440" w:hanging="360"/>
      </w:pPr>
      <w:rPr>
        <w:rFonts w:ascii="Symbol" w:hAnsi="Symbol"/>
      </w:rPr>
    </w:lvl>
    <w:lvl w:ilvl="1" w:tplc="CDA002B0">
      <w:start w:val="1"/>
      <w:numFmt w:val="bullet"/>
      <w:lvlText w:val=""/>
      <w:lvlJc w:val="left"/>
      <w:pPr>
        <w:ind w:left="1440" w:hanging="360"/>
      </w:pPr>
      <w:rPr>
        <w:rFonts w:ascii="Symbol" w:hAnsi="Symbol"/>
      </w:rPr>
    </w:lvl>
    <w:lvl w:ilvl="2" w:tplc="6B121E82">
      <w:start w:val="1"/>
      <w:numFmt w:val="bullet"/>
      <w:lvlText w:val=""/>
      <w:lvlJc w:val="left"/>
      <w:pPr>
        <w:ind w:left="1440" w:hanging="360"/>
      </w:pPr>
      <w:rPr>
        <w:rFonts w:ascii="Symbol" w:hAnsi="Symbol"/>
      </w:rPr>
    </w:lvl>
    <w:lvl w:ilvl="3" w:tplc="D7C2B936">
      <w:start w:val="1"/>
      <w:numFmt w:val="bullet"/>
      <w:lvlText w:val=""/>
      <w:lvlJc w:val="left"/>
      <w:pPr>
        <w:ind w:left="1440" w:hanging="360"/>
      </w:pPr>
      <w:rPr>
        <w:rFonts w:ascii="Symbol" w:hAnsi="Symbol"/>
      </w:rPr>
    </w:lvl>
    <w:lvl w:ilvl="4" w:tplc="DB2CC5AC">
      <w:start w:val="1"/>
      <w:numFmt w:val="bullet"/>
      <w:lvlText w:val=""/>
      <w:lvlJc w:val="left"/>
      <w:pPr>
        <w:ind w:left="1440" w:hanging="360"/>
      </w:pPr>
      <w:rPr>
        <w:rFonts w:ascii="Symbol" w:hAnsi="Symbol"/>
      </w:rPr>
    </w:lvl>
    <w:lvl w:ilvl="5" w:tplc="DD743136">
      <w:start w:val="1"/>
      <w:numFmt w:val="bullet"/>
      <w:lvlText w:val=""/>
      <w:lvlJc w:val="left"/>
      <w:pPr>
        <w:ind w:left="1440" w:hanging="360"/>
      </w:pPr>
      <w:rPr>
        <w:rFonts w:ascii="Symbol" w:hAnsi="Symbol"/>
      </w:rPr>
    </w:lvl>
    <w:lvl w:ilvl="6" w:tplc="64A6CD26">
      <w:start w:val="1"/>
      <w:numFmt w:val="bullet"/>
      <w:lvlText w:val=""/>
      <w:lvlJc w:val="left"/>
      <w:pPr>
        <w:ind w:left="1440" w:hanging="360"/>
      </w:pPr>
      <w:rPr>
        <w:rFonts w:ascii="Symbol" w:hAnsi="Symbol"/>
      </w:rPr>
    </w:lvl>
    <w:lvl w:ilvl="7" w:tplc="EAD238FC">
      <w:start w:val="1"/>
      <w:numFmt w:val="bullet"/>
      <w:lvlText w:val=""/>
      <w:lvlJc w:val="left"/>
      <w:pPr>
        <w:ind w:left="1440" w:hanging="360"/>
      </w:pPr>
      <w:rPr>
        <w:rFonts w:ascii="Symbol" w:hAnsi="Symbol"/>
      </w:rPr>
    </w:lvl>
    <w:lvl w:ilvl="8" w:tplc="8E9EB7F4">
      <w:start w:val="1"/>
      <w:numFmt w:val="bullet"/>
      <w:lvlText w:val=""/>
      <w:lvlJc w:val="left"/>
      <w:pPr>
        <w:ind w:left="1440" w:hanging="360"/>
      </w:pPr>
      <w:rPr>
        <w:rFonts w:ascii="Symbol" w:hAnsi="Symbol"/>
      </w:rPr>
    </w:lvl>
  </w:abstractNum>
  <w:abstractNum w:abstractNumId="10" w15:restartNumberingAfterBreak="0">
    <w:nsid w:val="42237161"/>
    <w:multiLevelType w:val="hybridMultilevel"/>
    <w:tmpl w:val="C6729BF0"/>
    <w:lvl w:ilvl="0" w:tplc="C7E0551E">
      <w:numFmt w:val="bullet"/>
      <w:lvlText w:val=""/>
      <w:lvlJc w:val="left"/>
      <w:pPr>
        <w:ind w:left="720" w:hanging="360"/>
      </w:pPr>
      <w:rPr>
        <w:rFonts w:ascii="Symbol" w:eastAsia="Aptos" w:hAnsi="Symbol" w:cs="Times New Roman" w:hint="default"/>
        <w:sz w:val="22"/>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1" w15:restartNumberingAfterBreak="0">
    <w:nsid w:val="516B3EB9"/>
    <w:multiLevelType w:val="hybridMultilevel"/>
    <w:tmpl w:val="CFF44A80"/>
    <w:lvl w:ilvl="0" w:tplc="30582988">
      <w:start w:val="1"/>
      <w:numFmt w:val="decimal"/>
      <w:lvlText w:val="%1."/>
      <w:lvlJc w:val="left"/>
      <w:pPr>
        <w:ind w:left="-348" w:hanging="360"/>
      </w:pPr>
      <w:rPr>
        <w:rFonts w:hint="default"/>
        <w:u w:val="single"/>
      </w:rPr>
    </w:lvl>
    <w:lvl w:ilvl="1" w:tplc="04130019" w:tentative="1">
      <w:start w:val="1"/>
      <w:numFmt w:val="lowerLetter"/>
      <w:lvlText w:val="%2."/>
      <w:lvlJc w:val="left"/>
      <w:pPr>
        <w:ind w:left="372" w:hanging="360"/>
      </w:pPr>
    </w:lvl>
    <w:lvl w:ilvl="2" w:tplc="0413001B" w:tentative="1">
      <w:start w:val="1"/>
      <w:numFmt w:val="lowerRoman"/>
      <w:lvlText w:val="%3."/>
      <w:lvlJc w:val="right"/>
      <w:pPr>
        <w:ind w:left="1092" w:hanging="180"/>
      </w:pPr>
    </w:lvl>
    <w:lvl w:ilvl="3" w:tplc="0413000F" w:tentative="1">
      <w:start w:val="1"/>
      <w:numFmt w:val="decimal"/>
      <w:lvlText w:val="%4."/>
      <w:lvlJc w:val="left"/>
      <w:pPr>
        <w:ind w:left="1812" w:hanging="360"/>
      </w:pPr>
    </w:lvl>
    <w:lvl w:ilvl="4" w:tplc="04130019" w:tentative="1">
      <w:start w:val="1"/>
      <w:numFmt w:val="lowerLetter"/>
      <w:lvlText w:val="%5."/>
      <w:lvlJc w:val="left"/>
      <w:pPr>
        <w:ind w:left="2532" w:hanging="360"/>
      </w:pPr>
    </w:lvl>
    <w:lvl w:ilvl="5" w:tplc="0413001B" w:tentative="1">
      <w:start w:val="1"/>
      <w:numFmt w:val="lowerRoman"/>
      <w:lvlText w:val="%6."/>
      <w:lvlJc w:val="right"/>
      <w:pPr>
        <w:ind w:left="3252" w:hanging="180"/>
      </w:pPr>
    </w:lvl>
    <w:lvl w:ilvl="6" w:tplc="0413000F" w:tentative="1">
      <w:start w:val="1"/>
      <w:numFmt w:val="decimal"/>
      <w:lvlText w:val="%7."/>
      <w:lvlJc w:val="left"/>
      <w:pPr>
        <w:ind w:left="3972" w:hanging="360"/>
      </w:pPr>
    </w:lvl>
    <w:lvl w:ilvl="7" w:tplc="04130019" w:tentative="1">
      <w:start w:val="1"/>
      <w:numFmt w:val="lowerLetter"/>
      <w:lvlText w:val="%8."/>
      <w:lvlJc w:val="left"/>
      <w:pPr>
        <w:ind w:left="4692" w:hanging="360"/>
      </w:pPr>
    </w:lvl>
    <w:lvl w:ilvl="8" w:tplc="0413001B" w:tentative="1">
      <w:start w:val="1"/>
      <w:numFmt w:val="lowerRoman"/>
      <w:lvlText w:val="%9."/>
      <w:lvlJc w:val="right"/>
      <w:pPr>
        <w:ind w:left="5412" w:hanging="180"/>
      </w:pPr>
    </w:lvl>
  </w:abstractNum>
  <w:abstractNum w:abstractNumId="12" w15:restartNumberingAfterBreak="0">
    <w:nsid w:val="6E213B74"/>
    <w:multiLevelType w:val="hybridMultilevel"/>
    <w:tmpl w:val="906299D2"/>
    <w:lvl w:ilvl="0" w:tplc="A4BA1172">
      <w:start w:val="1"/>
      <w:numFmt w:val="low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71FC152E"/>
    <w:multiLevelType w:val="multilevel"/>
    <w:tmpl w:val="5FE0A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3351105">
    <w:abstractNumId w:val="4"/>
  </w:num>
  <w:num w:numId="2" w16cid:durableId="1130249968">
    <w:abstractNumId w:val="2"/>
  </w:num>
  <w:num w:numId="3" w16cid:durableId="1099563713">
    <w:abstractNumId w:val="1"/>
  </w:num>
  <w:num w:numId="4" w16cid:durableId="1286236202">
    <w:abstractNumId w:val="10"/>
  </w:num>
  <w:num w:numId="5" w16cid:durableId="1525174914">
    <w:abstractNumId w:val="0"/>
  </w:num>
  <w:num w:numId="6" w16cid:durableId="1907372245">
    <w:abstractNumId w:val="11"/>
  </w:num>
  <w:num w:numId="7" w16cid:durableId="1600020088">
    <w:abstractNumId w:val="8"/>
  </w:num>
  <w:num w:numId="8" w16cid:durableId="753547398">
    <w:abstractNumId w:val="7"/>
  </w:num>
  <w:num w:numId="9" w16cid:durableId="467207425">
    <w:abstractNumId w:val="6"/>
  </w:num>
  <w:num w:numId="10" w16cid:durableId="1542784608">
    <w:abstractNumId w:val="9"/>
  </w:num>
  <w:num w:numId="11" w16cid:durableId="380711102">
    <w:abstractNumId w:val="13"/>
  </w:num>
  <w:num w:numId="12" w16cid:durableId="1244802536">
    <w:abstractNumId w:val="5"/>
  </w:num>
  <w:num w:numId="13" w16cid:durableId="182671569">
    <w:abstractNumId w:val="3"/>
  </w:num>
  <w:num w:numId="14" w16cid:durableId="144063884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3989"/>
    <w:rsid w:val="00000F47"/>
    <w:rsid w:val="00001086"/>
    <w:rsid w:val="000028DE"/>
    <w:rsid w:val="00002FE2"/>
    <w:rsid w:val="000033AA"/>
    <w:rsid w:val="00003DCD"/>
    <w:rsid w:val="00004BC8"/>
    <w:rsid w:val="00004ECE"/>
    <w:rsid w:val="00005079"/>
    <w:rsid w:val="000053E7"/>
    <w:rsid w:val="00005D98"/>
    <w:rsid w:val="00006204"/>
    <w:rsid w:val="00006FC5"/>
    <w:rsid w:val="00010478"/>
    <w:rsid w:val="00010552"/>
    <w:rsid w:val="00010C16"/>
    <w:rsid w:val="00011E59"/>
    <w:rsid w:val="0001373C"/>
    <w:rsid w:val="00013B25"/>
    <w:rsid w:val="00013B92"/>
    <w:rsid w:val="00013E69"/>
    <w:rsid w:val="000150BE"/>
    <w:rsid w:val="000153DC"/>
    <w:rsid w:val="00015CC0"/>
    <w:rsid w:val="000168EA"/>
    <w:rsid w:val="0001726D"/>
    <w:rsid w:val="00017B11"/>
    <w:rsid w:val="00017D65"/>
    <w:rsid w:val="0002038E"/>
    <w:rsid w:val="0002049D"/>
    <w:rsid w:val="00020710"/>
    <w:rsid w:val="00020962"/>
    <w:rsid w:val="00021B6A"/>
    <w:rsid w:val="00022191"/>
    <w:rsid w:val="000221A5"/>
    <w:rsid w:val="0002259E"/>
    <w:rsid w:val="0002263A"/>
    <w:rsid w:val="00023488"/>
    <w:rsid w:val="00023ACD"/>
    <w:rsid w:val="00024323"/>
    <w:rsid w:val="0002538F"/>
    <w:rsid w:val="00025635"/>
    <w:rsid w:val="00025F49"/>
    <w:rsid w:val="00026778"/>
    <w:rsid w:val="00026853"/>
    <w:rsid w:val="00030C86"/>
    <w:rsid w:val="00032F63"/>
    <w:rsid w:val="00033204"/>
    <w:rsid w:val="0003320C"/>
    <w:rsid w:val="00033637"/>
    <w:rsid w:val="00034430"/>
    <w:rsid w:val="00034F7B"/>
    <w:rsid w:val="000351DC"/>
    <w:rsid w:val="00035891"/>
    <w:rsid w:val="00036525"/>
    <w:rsid w:val="00037A6A"/>
    <w:rsid w:val="00037B31"/>
    <w:rsid w:val="0004040C"/>
    <w:rsid w:val="0004087C"/>
    <w:rsid w:val="00041645"/>
    <w:rsid w:val="0004178C"/>
    <w:rsid w:val="00041DDF"/>
    <w:rsid w:val="00042455"/>
    <w:rsid w:val="00042EF3"/>
    <w:rsid w:val="00043107"/>
    <w:rsid w:val="00043363"/>
    <w:rsid w:val="0004401E"/>
    <w:rsid w:val="0004492F"/>
    <w:rsid w:val="0004664D"/>
    <w:rsid w:val="00047A1E"/>
    <w:rsid w:val="0005088A"/>
    <w:rsid w:val="00050978"/>
    <w:rsid w:val="00051359"/>
    <w:rsid w:val="00051556"/>
    <w:rsid w:val="000516B2"/>
    <w:rsid w:val="00051CAA"/>
    <w:rsid w:val="00051FF2"/>
    <w:rsid w:val="00052407"/>
    <w:rsid w:val="00053192"/>
    <w:rsid w:val="000531A4"/>
    <w:rsid w:val="00053724"/>
    <w:rsid w:val="0005379D"/>
    <w:rsid w:val="00053A02"/>
    <w:rsid w:val="0005478D"/>
    <w:rsid w:val="00055B49"/>
    <w:rsid w:val="00055DDA"/>
    <w:rsid w:val="00056096"/>
    <w:rsid w:val="00056437"/>
    <w:rsid w:val="00056A53"/>
    <w:rsid w:val="00057452"/>
    <w:rsid w:val="000575E5"/>
    <w:rsid w:val="00060895"/>
    <w:rsid w:val="00060F1E"/>
    <w:rsid w:val="00063D48"/>
    <w:rsid w:val="00064445"/>
    <w:rsid w:val="0006497F"/>
    <w:rsid w:val="00064C1F"/>
    <w:rsid w:val="00065484"/>
    <w:rsid w:val="00065EC0"/>
    <w:rsid w:val="00066007"/>
    <w:rsid w:val="00066243"/>
    <w:rsid w:val="0006626A"/>
    <w:rsid w:val="00066C19"/>
    <w:rsid w:val="00066E6D"/>
    <w:rsid w:val="0007011C"/>
    <w:rsid w:val="00070BD8"/>
    <w:rsid w:val="00071100"/>
    <w:rsid w:val="000722F3"/>
    <w:rsid w:val="00072854"/>
    <w:rsid w:val="000728AB"/>
    <w:rsid w:val="00072912"/>
    <w:rsid w:val="000729FF"/>
    <w:rsid w:val="00072C79"/>
    <w:rsid w:val="00073169"/>
    <w:rsid w:val="00073A2C"/>
    <w:rsid w:val="00073C1A"/>
    <w:rsid w:val="00073D24"/>
    <w:rsid w:val="00073F7B"/>
    <w:rsid w:val="00074A83"/>
    <w:rsid w:val="000751E7"/>
    <w:rsid w:val="00076129"/>
    <w:rsid w:val="00076546"/>
    <w:rsid w:val="00076754"/>
    <w:rsid w:val="000767FC"/>
    <w:rsid w:val="00077B4B"/>
    <w:rsid w:val="00077E88"/>
    <w:rsid w:val="000800CE"/>
    <w:rsid w:val="00080A27"/>
    <w:rsid w:val="000812D0"/>
    <w:rsid w:val="00081957"/>
    <w:rsid w:val="00081AE9"/>
    <w:rsid w:val="00082CA7"/>
    <w:rsid w:val="00083226"/>
    <w:rsid w:val="000833B1"/>
    <w:rsid w:val="0008383D"/>
    <w:rsid w:val="00083AB8"/>
    <w:rsid w:val="00083C65"/>
    <w:rsid w:val="000843B9"/>
    <w:rsid w:val="000843E4"/>
    <w:rsid w:val="00084FDB"/>
    <w:rsid w:val="00085406"/>
    <w:rsid w:val="000854F8"/>
    <w:rsid w:val="000859F5"/>
    <w:rsid w:val="00085A7F"/>
    <w:rsid w:val="000860D3"/>
    <w:rsid w:val="00086537"/>
    <w:rsid w:val="00086FEE"/>
    <w:rsid w:val="0009055F"/>
    <w:rsid w:val="00090CB1"/>
    <w:rsid w:val="00091A1F"/>
    <w:rsid w:val="00091C15"/>
    <w:rsid w:val="00093281"/>
    <w:rsid w:val="00095937"/>
    <w:rsid w:val="00095B6B"/>
    <w:rsid w:val="00096390"/>
    <w:rsid w:val="000964BE"/>
    <w:rsid w:val="00097604"/>
    <w:rsid w:val="000A0AE3"/>
    <w:rsid w:val="000A111A"/>
    <w:rsid w:val="000A14C0"/>
    <w:rsid w:val="000A14CE"/>
    <w:rsid w:val="000A1B5E"/>
    <w:rsid w:val="000A1F95"/>
    <w:rsid w:val="000A2D36"/>
    <w:rsid w:val="000A30A8"/>
    <w:rsid w:val="000A407D"/>
    <w:rsid w:val="000A409A"/>
    <w:rsid w:val="000A40E0"/>
    <w:rsid w:val="000A47F1"/>
    <w:rsid w:val="000A5BFF"/>
    <w:rsid w:val="000A5EF6"/>
    <w:rsid w:val="000A5F08"/>
    <w:rsid w:val="000A611A"/>
    <w:rsid w:val="000A629B"/>
    <w:rsid w:val="000A6997"/>
    <w:rsid w:val="000A6E78"/>
    <w:rsid w:val="000A791A"/>
    <w:rsid w:val="000A7E21"/>
    <w:rsid w:val="000A7F79"/>
    <w:rsid w:val="000B0DB1"/>
    <w:rsid w:val="000B10C9"/>
    <w:rsid w:val="000B13D2"/>
    <w:rsid w:val="000B1753"/>
    <w:rsid w:val="000B203B"/>
    <w:rsid w:val="000B2695"/>
    <w:rsid w:val="000B2719"/>
    <w:rsid w:val="000B35F7"/>
    <w:rsid w:val="000B3680"/>
    <w:rsid w:val="000B3C4B"/>
    <w:rsid w:val="000B55F8"/>
    <w:rsid w:val="000B5BAF"/>
    <w:rsid w:val="000B7726"/>
    <w:rsid w:val="000B7E6E"/>
    <w:rsid w:val="000C03B7"/>
    <w:rsid w:val="000C0771"/>
    <w:rsid w:val="000C111E"/>
    <w:rsid w:val="000C1198"/>
    <w:rsid w:val="000C125A"/>
    <w:rsid w:val="000C1275"/>
    <w:rsid w:val="000C269C"/>
    <w:rsid w:val="000C275F"/>
    <w:rsid w:val="000C2A35"/>
    <w:rsid w:val="000C34DD"/>
    <w:rsid w:val="000C355D"/>
    <w:rsid w:val="000C4736"/>
    <w:rsid w:val="000C4C80"/>
    <w:rsid w:val="000C5DBC"/>
    <w:rsid w:val="000C5F8E"/>
    <w:rsid w:val="000C69BF"/>
    <w:rsid w:val="000C69FF"/>
    <w:rsid w:val="000C6EF7"/>
    <w:rsid w:val="000C73BB"/>
    <w:rsid w:val="000D0455"/>
    <w:rsid w:val="000D11EF"/>
    <w:rsid w:val="000D15DC"/>
    <w:rsid w:val="000D1945"/>
    <w:rsid w:val="000D1EF0"/>
    <w:rsid w:val="000D2091"/>
    <w:rsid w:val="000D23AB"/>
    <w:rsid w:val="000D24D1"/>
    <w:rsid w:val="000D2876"/>
    <w:rsid w:val="000D32F9"/>
    <w:rsid w:val="000D3A54"/>
    <w:rsid w:val="000D42D3"/>
    <w:rsid w:val="000D4C51"/>
    <w:rsid w:val="000D5CF6"/>
    <w:rsid w:val="000D5F19"/>
    <w:rsid w:val="000D63F6"/>
    <w:rsid w:val="000D695E"/>
    <w:rsid w:val="000D6A7C"/>
    <w:rsid w:val="000E0CBB"/>
    <w:rsid w:val="000E0F03"/>
    <w:rsid w:val="000E1353"/>
    <w:rsid w:val="000E1516"/>
    <w:rsid w:val="000E1994"/>
    <w:rsid w:val="000E28D2"/>
    <w:rsid w:val="000E3C16"/>
    <w:rsid w:val="000E4218"/>
    <w:rsid w:val="000E5180"/>
    <w:rsid w:val="000E5BD7"/>
    <w:rsid w:val="000E6286"/>
    <w:rsid w:val="000E6919"/>
    <w:rsid w:val="000E6927"/>
    <w:rsid w:val="000F01FC"/>
    <w:rsid w:val="000F024E"/>
    <w:rsid w:val="000F10FC"/>
    <w:rsid w:val="000F130A"/>
    <w:rsid w:val="000F14B1"/>
    <w:rsid w:val="000F1747"/>
    <w:rsid w:val="000F2CAD"/>
    <w:rsid w:val="000F2F2B"/>
    <w:rsid w:val="000F3909"/>
    <w:rsid w:val="000F3DAF"/>
    <w:rsid w:val="000F469B"/>
    <w:rsid w:val="000F5D18"/>
    <w:rsid w:val="000F6662"/>
    <w:rsid w:val="000F6825"/>
    <w:rsid w:val="001002A7"/>
    <w:rsid w:val="00100326"/>
    <w:rsid w:val="0010157B"/>
    <w:rsid w:val="001031C8"/>
    <w:rsid w:val="0010396C"/>
    <w:rsid w:val="00105061"/>
    <w:rsid w:val="00105839"/>
    <w:rsid w:val="001063D6"/>
    <w:rsid w:val="00106B7C"/>
    <w:rsid w:val="00107421"/>
    <w:rsid w:val="0011042F"/>
    <w:rsid w:val="00110545"/>
    <w:rsid w:val="001119A9"/>
    <w:rsid w:val="00111DB1"/>
    <w:rsid w:val="00112CAC"/>
    <w:rsid w:val="00112D9E"/>
    <w:rsid w:val="00113520"/>
    <w:rsid w:val="00113D1C"/>
    <w:rsid w:val="00113F95"/>
    <w:rsid w:val="001142E4"/>
    <w:rsid w:val="001150D4"/>
    <w:rsid w:val="00115CD0"/>
    <w:rsid w:val="001163BE"/>
    <w:rsid w:val="001164F6"/>
    <w:rsid w:val="00117F5A"/>
    <w:rsid w:val="0012093B"/>
    <w:rsid w:val="00121E2C"/>
    <w:rsid w:val="00122118"/>
    <w:rsid w:val="00122A59"/>
    <w:rsid w:val="001237A7"/>
    <w:rsid w:val="00123868"/>
    <w:rsid w:val="00123E1D"/>
    <w:rsid w:val="00124B9D"/>
    <w:rsid w:val="0012540A"/>
    <w:rsid w:val="00126B70"/>
    <w:rsid w:val="00127ADB"/>
    <w:rsid w:val="00127F06"/>
    <w:rsid w:val="001304A0"/>
    <w:rsid w:val="00131706"/>
    <w:rsid w:val="00132989"/>
    <w:rsid w:val="00132BD0"/>
    <w:rsid w:val="00132C03"/>
    <w:rsid w:val="00132E04"/>
    <w:rsid w:val="00133F6C"/>
    <w:rsid w:val="001344CF"/>
    <w:rsid w:val="00134880"/>
    <w:rsid w:val="00134B16"/>
    <w:rsid w:val="00134BB5"/>
    <w:rsid w:val="00134C37"/>
    <w:rsid w:val="00134D83"/>
    <w:rsid w:val="00134DE0"/>
    <w:rsid w:val="00134EA8"/>
    <w:rsid w:val="001353D3"/>
    <w:rsid w:val="001366A7"/>
    <w:rsid w:val="001366D3"/>
    <w:rsid w:val="00136725"/>
    <w:rsid w:val="001367CD"/>
    <w:rsid w:val="00136930"/>
    <w:rsid w:val="00137682"/>
    <w:rsid w:val="00140C05"/>
    <w:rsid w:val="00140E0D"/>
    <w:rsid w:val="0014190F"/>
    <w:rsid w:val="00141EF9"/>
    <w:rsid w:val="001426B8"/>
    <w:rsid w:val="00142CB4"/>
    <w:rsid w:val="00142D60"/>
    <w:rsid w:val="00142EE5"/>
    <w:rsid w:val="001434A2"/>
    <w:rsid w:val="0014478B"/>
    <w:rsid w:val="0014582D"/>
    <w:rsid w:val="00145DB3"/>
    <w:rsid w:val="00146269"/>
    <w:rsid w:val="00146908"/>
    <w:rsid w:val="00146CD3"/>
    <w:rsid w:val="001471E6"/>
    <w:rsid w:val="00147279"/>
    <w:rsid w:val="00150BD7"/>
    <w:rsid w:val="00152555"/>
    <w:rsid w:val="0015274F"/>
    <w:rsid w:val="001527C7"/>
    <w:rsid w:val="00152BAD"/>
    <w:rsid w:val="001533C8"/>
    <w:rsid w:val="00153427"/>
    <w:rsid w:val="001536EF"/>
    <w:rsid w:val="001555D5"/>
    <w:rsid w:val="0015688E"/>
    <w:rsid w:val="0015730C"/>
    <w:rsid w:val="00157675"/>
    <w:rsid w:val="001603F2"/>
    <w:rsid w:val="0016054C"/>
    <w:rsid w:val="00160CA1"/>
    <w:rsid w:val="00161783"/>
    <w:rsid w:val="001617D8"/>
    <w:rsid w:val="00161824"/>
    <w:rsid w:val="0016185B"/>
    <w:rsid w:val="00162BAB"/>
    <w:rsid w:val="00162FD5"/>
    <w:rsid w:val="001643B2"/>
    <w:rsid w:val="00164613"/>
    <w:rsid w:val="001647AB"/>
    <w:rsid w:val="0016547E"/>
    <w:rsid w:val="001660CF"/>
    <w:rsid w:val="001664B8"/>
    <w:rsid w:val="00167C38"/>
    <w:rsid w:val="00167D7F"/>
    <w:rsid w:val="001702E0"/>
    <w:rsid w:val="001713A7"/>
    <w:rsid w:val="0017182B"/>
    <w:rsid w:val="001719A1"/>
    <w:rsid w:val="00172000"/>
    <w:rsid w:val="00172590"/>
    <w:rsid w:val="00173B86"/>
    <w:rsid w:val="00174876"/>
    <w:rsid w:val="00174F20"/>
    <w:rsid w:val="001754E8"/>
    <w:rsid w:val="00175E7D"/>
    <w:rsid w:val="00176094"/>
    <w:rsid w:val="00176ACB"/>
    <w:rsid w:val="00176C7C"/>
    <w:rsid w:val="00177174"/>
    <w:rsid w:val="00177378"/>
    <w:rsid w:val="001801C3"/>
    <w:rsid w:val="0018030E"/>
    <w:rsid w:val="00181DA7"/>
    <w:rsid w:val="001823D3"/>
    <w:rsid w:val="001828E4"/>
    <w:rsid w:val="0018386F"/>
    <w:rsid w:val="001845F1"/>
    <w:rsid w:val="00185381"/>
    <w:rsid w:val="0018563F"/>
    <w:rsid w:val="001863FB"/>
    <w:rsid w:val="00186BA0"/>
    <w:rsid w:val="001876F7"/>
    <w:rsid w:val="00187766"/>
    <w:rsid w:val="00190088"/>
    <w:rsid w:val="001905C6"/>
    <w:rsid w:val="00190692"/>
    <w:rsid w:val="00190870"/>
    <w:rsid w:val="001913EA"/>
    <w:rsid w:val="001914CC"/>
    <w:rsid w:val="00191B7A"/>
    <w:rsid w:val="001923D1"/>
    <w:rsid w:val="00192EF2"/>
    <w:rsid w:val="00192F36"/>
    <w:rsid w:val="00193209"/>
    <w:rsid w:val="00193408"/>
    <w:rsid w:val="00193678"/>
    <w:rsid w:val="00193AF2"/>
    <w:rsid w:val="0019409C"/>
    <w:rsid w:val="00194854"/>
    <w:rsid w:val="00194E26"/>
    <w:rsid w:val="00194FD0"/>
    <w:rsid w:val="00195D34"/>
    <w:rsid w:val="001961B3"/>
    <w:rsid w:val="001965BD"/>
    <w:rsid w:val="00196ACE"/>
    <w:rsid w:val="0019753E"/>
    <w:rsid w:val="001978F2"/>
    <w:rsid w:val="001A0E97"/>
    <w:rsid w:val="001A13B8"/>
    <w:rsid w:val="001A181A"/>
    <w:rsid w:val="001A1B68"/>
    <w:rsid w:val="001A2681"/>
    <w:rsid w:val="001A2C25"/>
    <w:rsid w:val="001A42F0"/>
    <w:rsid w:val="001A554F"/>
    <w:rsid w:val="001A6191"/>
    <w:rsid w:val="001A62C2"/>
    <w:rsid w:val="001A68FD"/>
    <w:rsid w:val="001A7245"/>
    <w:rsid w:val="001A73DA"/>
    <w:rsid w:val="001A7455"/>
    <w:rsid w:val="001A77B1"/>
    <w:rsid w:val="001A7A0D"/>
    <w:rsid w:val="001B061F"/>
    <w:rsid w:val="001B0D35"/>
    <w:rsid w:val="001B0E34"/>
    <w:rsid w:val="001B19A5"/>
    <w:rsid w:val="001B1DAD"/>
    <w:rsid w:val="001B2235"/>
    <w:rsid w:val="001B31B4"/>
    <w:rsid w:val="001B3717"/>
    <w:rsid w:val="001B3D70"/>
    <w:rsid w:val="001B3F4D"/>
    <w:rsid w:val="001B40A8"/>
    <w:rsid w:val="001B44CB"/>
    <w:rsid w:val="001B4EA1"/>
    <w:rsid w:val="001B5095"/>
    <w:rsid w:val="001B5F25"/>
    <w:rsid w:val="001B60C4"/>
    <w:rsid w:val="001B6E41"/>
    <w:rsid w:val="001B6EFB"/>
    <w:rsid w:val="001B783D"/>
    <w:rsid w:val="001B7CA2"/>
    <w:rsid w:val="001C0A2B"/>
    <w:rsid w:val="001C0BFE"/>
    <w:rsid w:val="001C0FEC"/>
    <w:rsid w:val="001C30FE"/>
    <w:rsid w:val="001C3642"/>
    <w:rsid w:val="001C3B3E"/>
    <w:rsid w:val="001C3E26"/>
    <w:rsid w:val="001C4731"/>
    <w:rsid w:val="001C4AB0"/>
    <w:rsid w:val="001C4DDD"/>
    <w:rsid w:val="001C4F7D"/>
    <w:rsid w:val="001C55F9"/>
    <w:rsid w:val="001C5E10"/>
    <w:rsid w:val="001C6F80"/>
    <w:rsid w:val="001C78AE"/>
    <w:rsid w:val="001D0118"/>
    <w:rsid w:val="001D1D8E"/>
    <w:rsid w:val="001D1E96"/>
    <w:rsid w:val="001D1FDE"/>
    <w:rsid w:val="001D1FE8"/>
    <w:rsid w:val="001D22BC"/>
    <w:rsid w:val="001D2645"/>
    <w:rsid w:val="001D2CB7"/>
    <w:rsid w:val="001D304A"/>
    <w:rsid w:val="001D3478"/>
    <w:rsid w:val="001D3926"/>
    <w:rsid w:val="001D4380"/>
    <w:rsid w:val="001D4592"/>
    <w:rsid w:val="001D4BAF"/>
    <w:rsid w:val="001D5019"/>
    <w:rsid w:val="001D7F01"/>
    <w:rsid w:val="001D7F28"/>
    <w:rsid w:val="001D7FDE"/>
    <w:rsid w:val="001E02F8"/>
    <w:rsid w:val="001E16C7"/>
    <w:rsid w:val="001E1934"/>
    <w:rsid w:val="001E23A7"/>
    <w:rsid w:val="001E2531"/>
    <w:rsid w:val="001E2DB4"/>
    <w:rsid w:val="001E3334"/>
    <w:rsid w:val="001E360D"/>
    <w:rsid w:val="001E3F84"/>
    <w:rsid w:val="001E3F9D"/>
    <w:rsid w:val="001E52D0"/>
    <w:rsid w:val="001E6F73"/>
    <w:rsid w:val="001E71D8"/>
    <w:rsid w:val="001E726E"/>
    <w:rsid w:val="001F04F0"/>
    <w:rsid w:val="001F0BD6"/>
    <w:rsid w:val="001F0BEF"/>
    <w:rsid w:val="001F1D8A"/>
    <w:rsid w:val="001F2E61"/>
    <w:rsid w:val="001F2E9C"/>
    <w:rsid w:val="001F3539"/>
    <w:rsid w:val="001F3C23"/>
    <w:rsid w:val="001F4419"/>
    <w:rsid w:val="001F4A82"/>
    <w:rsid w:val="001F4A9D"/>
    <w:rsid w:val="001F502A"/>
    <w:rsid w:val="001F56F4"/>
    <w:rsid w:val="001F61CE"/>
    <w:rsid w:val="001F7124"/>
    <w:rsid w:val="001F71EB"/>
    <w:rsid w:val="001F7319"/>
    <w:rsid w:val="001F78C4"/>
    <w:rsid w:val="002004AE"/>
    <w:rsid w:val="0020085B"/>
    <w:rsid w:val="00200920"/>
    <w:rsid w:val="00200BC2"/>
    <w:rsid w:val="00201020"/>
    <w:rsid w:val="0020192F"/>
    <w:rsid w:val="00202BC3"/>
    <w:rsid w:val="00203654"/>
    <w:rsid w:val="0020392D"/>
    <w:rsid w:val="002045F1"/>
    <w:rsid w:val="00205F3E"/>
    <w:rsid w:val="00206296"/>
    <w:rsid w:val="002071DE"/>
    <w:rsid w:val="00207365"/>
    <w:rsid w:val="0020780D"/>
    <w:rsid w:val="00207D2A"/>
    <w:rsid w:val="00210289"/>
    <w:rsid w:val="00210538"/>
    <w:rsid w:val="002135E2"/>
    <w:rsid w:val="00214C5E"/>
    <w:rsid w:val="002154E6"/>
    <w:rsid w:val="00215A57"/>
    <w:rsid w:val="00216D64"/>
    <w:rsid w:val="00216F7C"/>
    <w:rsid w:val="00217472"/>
    <w:rsid w:val="0021771B"/>
    <w:rsid w:val="00217935"/>
    <w:rsid w:val="00217A56"/>
    <w:rsid w:val="00220147"/>
    <w:rsid w:val="00220B37"/>
    <w:rsid w:val="0022185C"/>
    <w:rsid w:val="00221CA0"/>
    <w:rsid w:val="0022264B"/>
    <w:rsid w:val="002233DD"/>
    <w:rsid w:val="00223E23"/>
    <w:rsid w:val="00224844"/>
    <w:rsid w:val="002275B3"/>
    <w:rsid w:val="00227C4F"/>
    <w:rsid w:val="00227E31"/>
    <w:rsid w:val="00230403"/>
    <w:rsid w:val="002318DD"/>
    <w:rsid w:val="002320E9"/>
    <w:rsid w:val="002339CA"/>
    <w:rsid w:val="002343A3"/>
    <w:rsid w:val="002350AC"/>
    <w:rsid w:val="002352DA"/>
    <w:rsid w:val="00235E62"/>
    <w:rsid w:val="00236155"/>
    <w:rsid w:val="002363AC"/>
    <w:rsid w:val="0023690A"/>
    <w:rsid w:val="00236A0B"/>
    <w:rsid w:val="00236C4C"/>
    <w:rsid w:val="00236FC8"/>
    <w:rsid w:val="00237385"/>
    <w:rsid w:val="00237BDD"/>
    <w:rsid w:val="0024100B"/>
    <w:rsid w:val="002414D6"/>
    <w:rsid w:val="00241CC0"/>
    <w:rsid w:val="00241F2F"/>
    <w:rsid w:val="002429B5"/>
    <w:rsid w:val="00242CFD"/>
    <w:rsid w:val="002437E7"/>
    <w:rsid w:val="00244812"/>
    <w:rsid w:val="002455C3"/>
    <w:rsid w:val="0024572B"/>
    <w:rsid w:val="0024635B"/>
    <w:rsid w:val="00246551"/>
    <w:rsid w:val="002502C2"/>
    <w:rsid w:val="002523DC"/>
    <w:rsid w:val="0025303B"/>
    <w:rsid w:val="002531BF"/>
    <w:rsid w:val="002531C7"/>
    <w:rsid w:val="00253462"/>
    <w:rsid w:val="002539F4"/>
    <w:rsid w:val="00254816"/>
    <w:rsid w:val="00254BF6"/>
    <w:rsid w:val="00255927"/>
    <w:rsid w:val="002569E6"/>
    <w:rsid w:val="0025725E"/>
    <w:rsid w:val="00257A6B"/>
    <w:rsid w:val="00257E40"/>
    <w:rsid w:val="00257F50"/>
    <w:rsid w:val="00260790"/>
    <w:rsid w:val="00260914"/>
    <w:rsid w:val="00260D62"/>
    <w:rsid w:val="00260F65"/>
    <w:rsid w:val="002613EA"/>
    <w:rsid w:val="00261820"/>
    <w:rsid w:val="00262A44"/>
    <w:rsid w:val="00262E84"/>
    <w:rsid w:val="002630B0"/>
    <w:rsid w:val="00263C32"/>
    <w:rsid w:val="00263CFA"/>
    <w:rsid w:val="00263E74"/>
    <w:rsid w:val="00263EB1"/>
    <w:rsid w:val="0026424B"/>
    <w:rsid w:val="00265400"/>
    <w:rsid w:val="00266744"/>
    <w:rsid w:val="002675BD"/>
    <w:rsid w:val="00267D52"/>
    <w:rsid w:val="002700EC"/>
    <w:rsid w:val="002701C6"/>
    <w:rsid w:val="002704BA"/>
    <w:rsid w:val="0027154C"/>
    <w:rsid w:val="0027192F"/>
    <w:rsid w:val="00271ADC"/>
    <w:rsid w:val="00271B11"/>
    <w:rsid w:val="00272B9B"/>
    <w:rsid w:val="00272CB2"/>
    <w:rsid w:val="00273AD2"/>
    <w:rsid w:val="00273C12"/>
    <w:rsid w:val="0027432C"/>
    <w:rsid w:val="00274F3F"/>
    <w:rsid w:val="00275485"/>
    <w:rsid w:val="00275861"/>
    <w:rsid w:val="00276A39"/>
    <w:rsid w:val="00277079"/>
    <w:rsid w:val="00280EA7"/>
    <w:rsid w:val="002813BB"/>
    <w:rsid w:val="002817AB"/>
    <w:rsid w:val="00282119"/>
    <w:rsid w:val="002824F6"/>
    <w:rsid w:val="002824FA"/>
    <w:rsid w:val="00282534"/>
    <w:rsid w:val="00282BFD"/>
    <w:rsid w:val="0028523E"/>
    <w:rsid w:val="00285E38"/>
    <w:rsid w:val="00286178"/>
    <w:rsid w:val="00286382"/>
    <w:rsid w:val="00287ADA"/>
    <w:rsid w:val="00290BBF"/>
    <w:rsid w:val="00291983"/>
    <w:rsid w:val="00291C82"/>
    <w:rsid w:val="002928D7"/>
    <w:rsid w:val="00292934"/>
    <w:rsid w:val="00292F53"/>
    <w:rsid w:val="002945E7"/>
    <w:rsid w:val="00294984"/>
    <w:rsid w:val="00294D2B"/>
    <w:rsid w:val="0029503A"/>
    <w:rsid w:val="00295157"/>
    <w:rsid w:val="0029569D"/>
    <w:rsid w:val="00295766"/>
    <w:rsid w:val="00295ECC"/>
    <w:rsid w:val="00296182"/>
    <w:rsid w:val="002964E7"/>
    <w:rsid w:val="00296846"/>
    <w:rsid w:val="00296A8F"/>
    <w:rsid w:val="00296EAA"/>
    <w:rsid w:val="00297223"/>
    <w:rsid w:val="0029739B"/>
    <w:rsid w:val="002974B5"/>
    <w:rsid w:val="00297A9E"/>
    <w:rsid w:val="002A11EA"/>
    <w:rsid w:val="002A228E"/>
    <w:rsid w:val="002A22BF"/>
    <w:rsid w:val="002A2352"/>
    <w:rsid w:val="002A26A6"/>
    <w:rsid w:val="002A2734"/>
    <w:rsid w:val="002A2ECD"/>
    <w:rsid w:val="002A304C"/>
    <w:rsid w:val="002A379F"/>
    <w:rsid w:val="002A44F5"/>
    <w:rsid w:val="002A56EF"/>
    <w:rsid w:val="002A58B2"/>
    <w:rsid w:val="002A69C0"/>
    <w:rsid w:val="002A6A28"/>
    <w:rsid w:val="002A77EA"/>
    <w:rsid w:val="002A7A14"/>
    <w:rsid w:val="002A7AEA"/>
    <w:rsid w:val="002B01F6"/>
    <w:rsid w:val="002B026D"/>
    <w:rsid w:val="002B030D"/>
    <w:rsid w:val="002B0424"/>
    <w:rsid w:val="002B05FF"/>
    <w:rsid w:val="002B0C19"/>
    <w:rsid w:val="002B0DC5"/>
    <w:rsid w:val="002B2295"/>
    <w:rsid w:val="002B2FE5"/>
    <w:rsid w:val="002B35DB"/>
    <w:rsid w:val="002B3B8F"/>
    <w:rsid w:val="002B3EE7"/>
    <w:rsid w:val="002B4E3C"/>
    <w:rsid w:val="002B5118"/>
    <w:rsid w:val="002B5E61"/>
    <w:rsid w:val="002B68E6"/>
    <w:rsid w:val="002B717B"/>
    <w:rsid w:val="002B73C8"/>
    <w:rsid w:val="002B74A8"/>
    <w:rsid w:val="002B77D8"/>
    <w:rsid w:val="002C04E6"/>
    <w:rsid w:val="002C0684"/>
    <w:rsid w:val="002C0D73"/>
    <w:rsid w:val="002C10B4"/>
    <w:rsid w:val="002C1AD7"/>
    <w:rsid w:val="002C240C"/>
    <w:rsid w:val="002C26E8"/>
    <w:rsid w:val="002C274F"/>
    <w:rsid w:val="002C2D92"/>
    <w:rsid w:val="002C31A3"/>
    <w:rsid w:val="002C3E19"/>
    <w:rsid w:val="002C58D8"/>
    <w:rsid w:val="002C63C7"/>
    <w:rsid w:val="002C7BE8"/>
    <w:rsid w:val="002D060D"/>
    <w:rsid w:val="002D125D"/>
    <w:rsid w:val="002D2061"/>
    <w:rsid w:val="002D2AA4"/>
    <w:rsid w:val="002D31B7"/>
    <w:rsid w:val="002D4153"/>
    <w:rsid w:val="002D42BF"/>
    <w:rsid w:val="002D4E93"/>
    <w:rsid w:val="002D537B"/>
    <w:rsid w:val="002D5928"/>
    <w:rsid w:val="002D678A"/>
    <w:rsid w:val="002D6E86"/>
    <w:rsid w:val="002D7119"/>
    <w:rsid w:val="002D71E9"/>
    <w:rsid w:val="002D77AE"/>
    <w:rsid w:val="002D7A47"/>
    <w:rsid w:val="002E0A95"/>
    <w:rsid w:val="002E0BED"/>
    <w:rsid w:val="002E12BF"/>
    <w:rsid w:val="002E21B9"/>
    <w:rsid w:val="002E2277"/>
    <w:rsid w:val="002E2489"/>
    <w:rsid w:val="002E2F9E"/>
    <w:rsid w:val="002E3CF0"/>
    <w:rsid w:val="002E4F49"/>
    <w:rsid w:val="002E56B9"/>
    <w:rsid w:val="002E5989"/>
    <w:rsid w:val="002E5C86"/>
    <w:rsid w:val="002E5EC2"/>
    <w:rsid w:val="002E6057"/>
    <w:rsid w:val="002E6315"/>
    <w:rsid w:val="002E67B0"/>
    <w:rsid w:val="002E7217"/>
    <w:rsid w:val="002E723E"/>
    <w:rsid w:val="002E73A9"/>
    <w:rsid w:val="002F0B76"/>
    <w:rsid w:val="002F0D69"/>
    <w:rsid w:val="002F1474"/>
    <w:rsid w:val="002F17AD"/>
    <w:rsid w:val="002F1A02"/>
    <w:rsid w:val="002F1DD5"/>
    <w:rsid w:val="002F2846"/>
    <w:rsid w:val="002F2C46"/>
    <w:rsid w:val="002F315F"/>
    <w:rsid w:val="002F3391"/>
    <w:rsid w:val="002F38A6"/>
    <w:rsid w:val="002F3AD4"/>
    <w:rsid w:val="002F3FE5"/>
    <w:rsid w:val="002F426C"/>
    <w:rsid w:val="002F4848"/>
    <w:rsid w:val="002F550A"/>
    <w:rsid w:val="002F55BF"/>
    <w:rsid w:val="002F570F"/>
    <w:rsid w:val="002F5839"/>
    <w:rsid w:val="002F67EC"/>
    <w:rsid w:val="002F6BA1"/>
    <w:rsid w:val="002F6F04"/>
    <w:rsid w:val="002F758B"/>
    <w:rsid w:val="002F7634"/>
    <w:rsid w:val="002F798A"/>
    <w:rsid w:val="00300B57"/>
    <w:rsid w:val="00300BF1"/>
    <w:rsid w:val="00301154"/>
    <w:rsid w:val="00301253"/>
    <w:rsid w:val="003014A0"/>
    <w:rsid w:val="00301586"/>
    <w:rsid w:val="00301D13"/>
    <w:rsid w:val="00302B2C"/>
    <w:rsid w:val="00302C68"/>
    <w:rsid w:val="00303343"/>
    <w:rsid w:val="00303C17"/>
    <w:rsid w:val="00303C21"/>
    <w:rsid w:val="00304297"/>
    <w:rsid w:val="0030542C"/>
    <w:rsid w:val="003055B2"/>
    <w:rsid w:val="00305C0B"/>
    <w:rsid w:val="003068DD"/>
    <w:rsid w:val="0030744B"/>
    <w:rsid w:val="0030755C"/>
    <w:rsid w:val="00307858"/>
    <w:rsid w:val="0030790E"/>
    <w:rsid w:val="003107B9"/>
    <w:rsid w:val="00311801"/>
    <w:rsid w:val="003120CF"/>
    <w:rsid w:val="00312A96"/>
    <w:rsid w:val="00312ED0"/>
    <w:rsid w:val="00313EAB"/>
    <w:rsid w:val="00313EC2"/>
    <w:rsid w:val="00313F25"/>
    <w:rsid w:val="00314AA5"/>
    <w:rsid w:val="00315AFC"/>
    <w:rsid w:val="00315B60"/>
    <w:rsid w:val="0031671B"/>
    <w:rsid w:val="003169E2"/>
    <w:rsid w:val="00316A34"/>
    <w:rsid w:val="00316D83"/>
    <w:rsid w:val="00321BD1"/>
    <w:rsid w:val="00321BEA"/>
    <w:rsid w:val="00321D39"/>
    <w:rsid w:val="00321FB5"/>
    <w:rsid w:val="00322D22"/>
    <w:rsid w:val="003243DB"/>
    <w:rsid w:val="00324AFA"/>
    <w:rsid w:val="00326944"/>
    <w:rsid w:val="00326CDB"/>
    <w:rsid w:val="00326E96"/>
    <w:rsid w:val="003276FB"/>
    <w:rsid w:val="00327CEA"/>
    <w:rsid w:val="00330030"/>
    <w:rsid w:val="0033016B"/>
    <w:rsid w:val="00330224"/>
    <w:rsid w:val="003306F2"/>
    <w:rsid w:val="003308EC"/>
    <w:rsid w:val="00330955"/>
    <w:rsid w:val="00332E15"/>
    <w:rsid w:val="0033354E"/>
    <w:rsid w:val="00333697"/>
    <w:rsid w:val="0033388A"/>
    <w:rsid w:val="003338ED"/>
    <w:rsid w:val="00333F87"/>
    <w:rsid w:val="003344A6"/>
    <w:rsid w:val="003366A5"/>
    <w:rsid w:val="0033693B"/>
    <w:rsid w:val="00336D47"/>
    <w:rsid w:val="00336EDF"/>
    <w:rsid w:val="00336F40"/>
    <w:rsid w:val="00336F68"/>
    <w:rsid w:val="00337398"/>
    <w:rsid w:val="00337A47"/>
    <w:rsid w:val="00337A6E"/>
    <w:rsid w:val="00337BB2"/>
    <w:rsid w:val="00340632"/>
    <w:rsid w:val="00340CB7"/>
    <w:rsid w:val="00340DCB"/>
    <w:rsid w:val="00340F33"/>
    <w:rsid w:val="00340FAA"/>
    <w:rsid w:val="00341403"/>
    <w:rsid w:val="00341C74"/>
    <w:rsid w:val="00342C4D"/>
    <w:rsid w:val="0034353E"/>
    <w:rsid w:val="003437BD"/>
    <w:rsid w:val="00343D98"/>
    <w:rsid w:val="00343ED1"/>
    <w:rsid w:val="0034401D"/>
    <w:rsid w:val="003441A4"/>
    <w:rsid w:val="003471F3"/>
    <w:rsid w:val="003472CE"/>
    <w:rsid w:val="00347974"/>
    <w:rsid w:val="0035055D"/>
    <w:rsid w:val="003509EF"/>
    <w:rsid w:val="00351E18"/>
    <w:rsid w:val="00352ED4"/>
    <w:rsid w:val="00353718"/>
    <w:rsid w:val="00354411"/>
    <w:rsid w:val="00354D6A"/>
    <w:rsid w:val="00354F6E"/>
    <w:rsid w:val="00355060"/>
    <w:rsid w:val="00355E9D"/>
    <w:rsid w:val="00356128"/>
    <w:rsid w:val="00356B23"/>
    <w:rsid w:val="003577BD"/>
    <w:rsid w:val="00357813"/>
    <w:rsid w:val="0035796B"/>
    <w:rsid w:val="003611F3"/>
    <w:rsid w:val="0036193C"/>
    <w:rsid w:val="00361FB3"/>
    <w:rsid w:val="00364D13"/>
    <w:rsid w:val="0036543B"/>
    <w:rsid w:val="00365A93"/>
    <w:rsid w:val="00366799"/>
    <w:rsid w:val="00366847"/>
    <w:rsid w:val="003676AE"/>
    <w:rsid w:val="00373195"/>
    <w:rsid w:val="00373614"/>
    <w:rsid w:val="00373A7E"/>
    <w:rsid w:val="00373F6C"/>
    <w:rsid w:val="003742C1"/>
    <w:rsid w:val="00374AD2"/>
    <w:rsid w:val="0037596F"/>
    <w:rsid w:val="003776B1"/>
    <w:rsid w:val="00377E6F"/>
    <w:rsid w:val="00381142"/>
    <w:rsid w:val="003818DC"/>
    <w:rsid w:val="00381EA3"/>
    <w:rsid w:val="00382F3C"/>
    <w:rsid w:val="00383908"/>
    <w:rsid w:val="00383A86"/>
    <w:rsid w:val="00383C1E"/>
    <w:rsid w:val="00384EF0"/>
    <w:rsid w:val="00385FCB"/>
    <w:rsid w:val="00386316"/>
    <w:rsid w:val="003875B5"/>
    <w:rsid w:val="00387603"/>
    <w:rsid w:val="00387607"/>
    <w:rsid w:val="00390637"/>
    <w:rsid w:val="00390885"/>
    <w:rsid w:val="003917A3"/>
    <w:rsid w:val="003918CA"/>
    <w:rsid w:val="003918F5"/>
    <w:rsid w:val="00392862"/>
    <w:rsid w:val="00392D30"/>
    <w:rsid w:val="00392F03"/>
    <w:rsid w:val="00393986"/>
    <w:rsid w:val="00393BEB"/>
    <w:rsid w:val="00393CE3"/>
    <w:rsid w:val="00393D20"/>
    <w:rsid w:val="00393E8C"/>
    <w:rsid w:val="00395324"/>
    <w:rsid w:val="0039534A"/>
    <w:rsid w:val="00395466"/>
    <w:rsid w:val="00395AD7"/>
    <w:rsid w:val="003973A2"/>
    <w:rsid w:val="0039784D"/>
    <w:rsid w:val="003979C0"/>
    <w:rsid w:val="003A0342"/>
    <w:rsid w:val="003A0DD8"/>
    <w:rsid w:val="003A1FCE"/>
    <w:rsid w:val="003A2050"/>
    <w:rsid w:val="003A248C"/>
    <w:rsid w:val="003A3A42"/>
    <w:rsid w:val="003A3B84"/>
    <w:rsid w:val="003A4219"/>
    <w:rsid w:val="003A4B77"/>
    <w:rsid w:val="003A519C"/>
    <w:rsid w:val="003A5378"/>
    <w:rsid w:val="003A5A43"/>
    <w:rsid w:val="003A5FB0"/>
    <w:rsid w:val="003A625B"/>
    <w:rsid w:val="003A6300"/>
    <w:rsid w:val="003A637D"/>
    <w:rsid w:val="003A6912"/>
    <w:rsid w:val="003A6A93"/>
    <w:rsid w:val="003A73C5"/>
    <w:rsid w:val="003A78D0"/>
    <w:rsid w:val="003B09AE"/>
    <w:rsid w:val="003B0DCE"/>
    <w:rsid w:val="003B1E89"/>
    <w:rsid w:val="003B2848"/>
    <w:rsid w:val="003B348B"/>
    <w:rsid w:val="003B4E98"/>
    <w:rsid w:val="003B5B9D"/>
    <w:rsid w:val="003B699B"/>
    <w:rsid w:val="003B6C88"/>
    <w:rsid w:val="003B70A0"/>
    <w:rsid w:val="003C00AB"/>
    <w:rsid w:val="003C08F6"/>
    <w:rsid w:val="003C0B11"/>
    <w:rsid w:val="003C0FB7"/>
    <w:rsid w:val="003C18E1"/>
    <w:rsid w:val="003C1948"/>
    <w:rsid w:val="003C1BA5"/>
    <w:rsid w:val="003C2812"/>
    <w:rsid w:val="003C34C6"/>
    <w:rsid w:val="003C3C18"/>
    <w:rsid w:val="003C43FB"/>
    <w:rsid w:val="003C47A8"/>
    <w:rsid w:val="003C49CF"/>
    <w:rsid w:val="003C4E52"/>
    <w:rsid w:val="003C5055"/>
    <w:rsid w:val="003C50B7"/>
    <w:rsid w:val="003C5916"/>
    <w:rsid w:val="003C5A46"/>
    <w:rsid w:val="003C61E4"/>
    <w:rsid w:val="003C620D"/>
    <w:rsid w:val="003C6D79"/>
    <w:rsid w:val="003C6EA4"/>
    <w:rsid w:val="003C7887"/>
    <w:rsid w:val="003D1006"/>
    <w:rsid w:val="003D1245"/>
    <w:rsid w:val="003D2014"/>
    <w:rsid w:val="003D21D3"/>
    <w:rsid w:val="003D2484"/>
    <w:rsid w:val="003D25CF"/>
    <w:rsid w:val="003D2E52"/>
    <w:rsid w:val="003D3C61"/>
    <w:rsid w:val="003D3D44"/>
    <w:rsid w:val="003D4DA6"/>
    <w:rsid w:val="003D5664"/>
    <w:rsid w:val="003D5847"/>
    <w:rsid w:val="003D6B7F"/>
    <w:rsid w:val="003D6CCE"/>
    <w:rsid w:val="003D6DD5"/>
    <w:rsid w:val="003D72A8"/>
    <w:rsid w:val="003D7D74"/>
    <w:rsid w:val="003D7DFB"/>
    <w:rsid w:val="003E0392"/>
    <w:rsid w:val="003E12E8"/>
    <w:rsid w:val="003E1C4A"/>
    <w:rsid w:val="003E1E1A"/>
    <w:rsid w:val="003E23F1"/>
    <w:rsid w:val="003E24F2"/>
    <w:rsid w:val="003E250D"/>
    <w:rsid w:val="003E29E0"/>
    <w:rsid w:val="003E2BB8"/>
    <w:rsid w:val="003E37E2"/>
    <w:rsid w:val="003E38BE"/>
    <w:rsid w:val="003E4A1A"/>
    <w:rsid w:val="003E4B99"/>
    <w:rsid w:val="003E4D03"/>
    <w:rsid w:val="003E5637"/>
    <w:rsid w:val="003E5DB8"/>
    <w:rsid w:val="003E6269"/>
    <w:rsid w:val="003E64EA"/>
    <w:rsid w:val="003E72CA"/>
    <w:rsid w:val="003E74D4"/>
    <w:rsid w:val="003F002F"/>
    <w:rsid w:val="003F0125"/>
    <w:rsid w:val="003F0834"/>
    <w:rsid w:val="003F0A30"/>
    <w:rsid w:val="003F0F2F"/>
    <w:rsid w:val="003F3B24"/>
    <w:rsid w:val="003F4C06"/>
    <w:rsid w:val="003F5B93"/>
    <w:rsid w:val="003F6843"/>
    <w:rsid w:val="003F68DA"/>
    <w:rsid w:val="003F6E69"/>
    <w:rsid w:val="003F7F63"/>
    <w:rsid w:val="0040005C"/>
    <w:rsid w:val="00400119"/>
    <w:rsid w:val="0040064C"/>
    <w:rsid w:val="004008B8"/>
    <w:rsid w:val="00400EC7"/>
    <w:rsid w:val="00401D95"/>
    <w:rsid w:val="00401F3F"/>
    <w:rsid w:val="00402BDF"/>
    <w:rsid w:val="00402E26"/>
    <w:rsid w:val="00403459"/>
    <w:rsid w:val="004038C2"/>
    <w:rsid w:val="00403946"/>
    <w:rsid w:val="00404C13"/>
    <w:rsid w:val="004052A4"/>
    <w:rsid w:val="0040588B"/>
    <w:rsid w:val="00405B3C"/>
    <w:rsid w:val="00405C04"/>
    <w:rsid w:val="004062D7"/>
    <w:rsid w:val="0040644E"/>
    <w:rsid w:val="004067CD"/>
    <w:rsid w:val="00406C32"/>
    <w:rsid w:val="0040759E"/>
    <w:rsid w:val="00407EC1"/>
    <w:rsid w:val="00407FE1"/>
    <w:rsid w:val="004100EF"/>
    <w:rsid w:val="004101E2"/>
    <w:rsid w:val="00410721"/>
    <w:rsid w:val="00410B77"/>
    <w:rsid w:val="00411094"/>
    <w:rsid w:val="0041113C"/>
    <w:rsid w:val="004111C9"/>
    <w:rsid w:val="00411E2D"/>
    <w:rsid w:val="00412779"/>
    <w:rsid w:val="00412B83"/>
    <w:rsid w:val="00413307"/>
    <w:rsid w:val="004138EE"/>
    <w:rsid w:val="00414803"/>
    <w:rsid w:val="00414B25"/>
    <w:rsid w:val="00414D3C"/>
    <w:rsid w:val="00415798"/>
    <w:rsid w:val="00415AD2"/>
    <w:rsid w:val="00415E7E"/>
    <w:rsid w:val="00417878"/>
    <w:rsid w:val="00417B18"/>
    <w:rsid w:val="004213FB"/>
    <w:rsid w:val="0042318D"/>
    <w:rsid w:val="004232A3"/>
    <w:rsid w:val="004236B1"/>
    <w:rsid w:val="004237EA"/>
    <w:rsid w:val="00423BD8"/>
    <w:rsid w:val="00424596"/>
    <w:rsid w:val="0042478E"/>
    <w:rsid w:val="00425F82"/>
    <w:rsid w:val="004268FF"/>
    <w:rsid w:val="00426D3F"/>
    <w:rsid w:val="00430D2F"/>
    <w:rsid w:val="00430D31"/>
    <w:rsid w:val="00430D57"/>
    <w:rsid w:val="004310DB"/>
    <w:rsid w:val="00431354"/>
    <w:rsid w:val="0043405D"/>
    <w:rsid w:val="00434994"/>
    <w:rsid w:val="00434BD4"/>
    <w:rsid w:val="004361B3"/>
    <w:rsid w:val="00437402"/>
    <w:rsid w:val="00437620"/>
    <w:rsid w:val="00437DE0"/>
    <w:rsid w:val="00440025"/>
    <w:rsid w:val="00440731"/>
    <w:rsid w:val="00440830"/>
    <w:rsid w:val="00441315"/>
    <w:rsid w:val="00443C5D"/>
    <w:rsid w:val="004458DA"/>
    <w:rsid w:val="00445BDF"/>
    <w:rsid w:val="004460CB"/>
    <w:rsid w:val="00450259"/>
    <w:rsid w:val="00450469"/>
    <w:rsid w:val="00450FAF"/>
    <w:rsid w:val="0045173D"/>
    <w:rsid w:val="00451C33"/>
    <w:rsid w:val="0045232B"/>
    <w:rsid w:val="004524D7"/>
    <w:rsid w:val="00452E6E"/>
    <w:rsid w:val="00453989"/>
    <w:rsid w:val="0045414A"/>
    <w:rsid w:val="00455FF9"/>
    <w:rsid w:val="00456B88"/>
    <w:rsid w:val="00457792"/>
    <w:rsid w:val="00461289"/>
    <w:rsid w:val="0046157C"/>
    <w:rsid w:val="00461A51"/>
    <w:rsid w:val="004620D7"/>
    <w:rsid w:val="004624A4"/>
    <w:rsid w:val="00463516"/>
    <w:rsid w:val="004635BA"/>
    <w:rsid w:val="00463C77"/>
    <w:rsid w:val="00464C58"/>
    <w:rsid w:val="00465004"/>
    <w:rsid w:val="004652A1"/>
    <w:rsid w:val="00465FC6"/>
    <w:rsid w:val="004662CB"/>
    <w:rsid w:val="0046636C"/>
    <w:rsid w:val="00467962"/>
    <w:rsid w:val="00467CCB"/>
    <w:rsid w:val="004701D8"/>
    <w:rsid w:val="004704E6"/>
    <w:rsid w:val="00471258"/>
    <w:rsid w:val="004712E2"/>
    <w:rsid w:val="00471675"/>
    <w:rsid w:val="004718E8"/>
    <w:rsid w:val="00471C29"/>
    <w:rsid w:val="0047229B"/>
    <w:rsid w:val="004731F1"/>
    <w:rsid w:val="004738A6"/>
    <w:rsid w:val="0047520A"/>
    <w:rsid w:val="00475906"/>
    <w:rsid w:val="004762BA"/>
    <w:rsid w:val="004769B0"/>
    <w:rsid w:val="00477365"/>
    <w:rsid w:val="00477625"/>
    <w:rsid w:val="00477A63"/>
    <w:rsid w:val="00482CE7"/>
    <w:rsid w:val="00482CEC"/>
    <w:rsid w:val="00483759"/>
    <w:rsid w:val="00483D7E"/>
    <w:rsid w:val="004840F5"/>
    <w:rsid w:val="004843B7"/>
    <w:rsid w:val="00485A82"/>
    <w:rsid w:val="004867AF"/>
    <w:rsid w:val="00486955"/>
    <w:rsid w:val="004870CA"/>
    <w:rsid w:val="00490BF2"/>
    <w:rsid w:val="0049103C"/>
    <w:rsid w:val="004912FA"/>
    <w:rsid w:val="0049190C"/>
    <w:rsid w:val="00491C4A"/>
    <w:rsid w:val="0049352C"/>
    <w:rsid w:val="0049427B"/>
    <w:rsid w:val="004943A9"/>
    <w:rsid w:val="004946EF"/>
    <w:rsid w:val="00494B2F"/>
    <w:rsid w:val="00494BB5"/>
    <w:rsid w:val="0049535E"/>
    <w:rsid w:val="004953DD"/>
    <w:rsid w:val="004969FA"/>
    <w:rsid w:val="00496C2C"/>
    <w:rsid w:val="00496CA0"/>
    <w:rsid w:val="00496EB8"/>
    <w:rsid w:val="00497592"/>
    <w:rsid w:val="00497BB0"/>
    <w:rsid w:val="00497FA2"/>
    <w:rsid w:val="004A1937"/>
    <w:rsid w:val="004A25D3"/>
    <w:rsid w:val="004A2FF7"/>
    <w:rsid w:val="004A31DC"/>
    <w:rsid w:val="004A3C86"/>
    <w:rsid w:val="004A3F64"/>
    <w:rsid w:val="004A419F"/>
    <w:rsid w:val="004A42C0"/>
    <w:rsid w:val="004A42CB"/>
    <w:rsid w:val="004A4B4B"/>
    <w:rsid w:val="004A4E05"/>
    <w:rsid w:val="004A5387"/>
    <w:rsid w:val="004A57B3"/>
    <w:rsid w:val="004A5925"/>
    <w:rsid w:val="004A5D27"/>
    <w:rsid w:val="004A5DE8"/>
    <w:rsid w:val="004A6222"/>
    <w:rsid w:val="004A6A61"/>
    <w:rsid w:val="004B107F"/>
    <w:rsid w:val="004B1625"/>
    <w:rsid w:val="004B17B2"/>
    <w:rsid w:val="004B24D9"/>
    <w:rsid w:val="004B3B89"/>
    <w:rsid w:val="004B4310"/>
    <w:rsid w:val="004B52A8"/>
    <w:rsid w:val="004B5F8D"/>
    <w:rsid w:val="004B7779"/>
    <w:rsid w:val="004B77CE"/>
    <w:rsid w:val="004B7C23"/>
    <w:rsid w:val="004B7DA5"/>
    <w:rsid w:val="004C06EA"/>
    <w:rsid w:val="004C0D81"/>
    <w:rsid w:val="004C0F3F"/>
    <w:rsid w:val="004C0FEC"/>
    <w:rsid w:val="004C13C4"/>
    <w:rsid w:val="004C1945"/>
    <w:rsid w:val="004C2FC9"/>
    <w:rsid w:val="004C35B3"/>
    <w:rsid w:val="004C38A3"/>
    <w:rsid w:val="004C3AAC"/>
    <w:rsid w:val="004C3DC2"/>
    <w:rsid w:val="004C53C9"/>
    <w:rsid w:val="004C731A"/>
    <w:rsid w:val="004C7717"/>
    <w:rsid w:val="004D0E7C"/>
    <w:rsid w:val="004D0F99"/>
    <w:rsid w:val="004D1B1F"/>
    <w:rsid w:val="004D1D92"/>
    <w:rsid w:val="004D27EB"/>
    <w:rsid w:val="004D2B59"/>
    <w:rsid w:val="004D31C2"/>
    <w:rsid w:val="004D4FE8"/>
    <w:rsid w:val="004D5102"/>
    <w:rsid w:val="004D6413"/>
    <w:rsid w:val="004D684A"/>
    <w:rsid w:val="004E0D73"/>
    <w:rsid w:val="004E17BC"/>
    <w:rsid w:val="004E19E5"/>
    <w:rsid w:val="004E1E48"/>
    <w:rsid w:val="004E2F88"/>
    <w:rsid w:val="004E3085"/>
    <w:rsid w:val="004E3FA6"/>
    <w:rsid w:val="004E43CD"/>
    <w:rsid w:val="004E4EDF"/>
    <w:rsid w:val="004E5826"/>
    <w:rsid w:val="004E5A45"/>
    <w:rsid w:val="004E5AFE"/>
    <w:rsid w:val="004E5CC4"/>
    <w:rsid w:val="004E62AA"/>
    <w:rsid w:val="004E62E0"/>
    <w:rsid w:val="004E68E0"/>
    <w:rsid w:val="004E6CB6"/>
    <w:rsid w:val="004E72DF"/>
    <w:rsid w:val="004E78F3"/>
    <w:rsid w:val="004F18ED"/>
    <w:rsid w:val="004F19FE"/>
    <w:rsid w:val="004F26FB"/>
    <w:rsid w:val="004F314D"/>
    <w:rsid w:val="004F4170"/>
    <w:rsid w:val="004F4EC0"/>
    <w:rsid w:val="004F509A"/>
    <w:rsid w:val="004F526D"/>
    <w:rsid w:val="004F53B7"/>
    <w:rsid w:val="004F5413"/>
    <w:rsid w:val="004F5691"/>
    <w:rsid w:val="004F5AA1"/>
    <w:rsid w:val="004F5B88"/>
    <w:rsid w:val="004F5B9C"/>
    <w:rsid w:val="004F6BA3"/>
    <w:rsid w:val="004F6BFE"/>
    <w:rsid w:val="004F73A6"/>
    <w:rsid w:val="004F7ACF"/>
    <w:rsid w:val="0050060B"/>
    <w:rsid w:val="0050179A"/>
    <w:rsid w:val="0050244B"/>
    <w:rsid w:val="005030CB"/>
    <w:rsid w:val="00503913"/>
    <w:rsid w:val="00503DDD"/>
    <w:rsid w:val="00503DEE"/>
    <w:rsid w:val="00504091"/>
    <w:rsid w:val="00505C00"/>
    <w:rsid w:val="0050643C"/>
    <w:rsid w:val="00506548"/>
    <w:rsid w:val="005065D5"/>
    <w:rsid w:val="00506B74"/>
    <w:rsid w:val="005075F2"/>
    <w:rsid w:val="00511B02"/>
    <w:rsid w:val="00511F96"/>
    <w:rsid w:val="00512E9D"/>
    <w:rsid w:val="00514182"/>
    <w:rsid w:val="00514712"/>
    <w:rsid w:val="005147B6"/>
    <w:rsid w:val="00514D7D"/>
    <w:rsid w:val="00514EA9"/>
    <w:rsid w:val="0051538F"/>
    <w:rsid w:val="0051654D"/>
    <w:rsid w:val="00516A07"/>
    <w:rsid w:val="00516DA1"/>
    <w:rsid w:val="00516EFA"/>
    <w:rsid w:val="0051713B"/>
    <w:rsid w:val="005174EF"/>
    <w:rsid w:val="00517BB9"/>
    <w:rsid w:val="00517BD8"/>
    <w:rsid w:val="0052089A"/>
    <w:rsid w:val="0052096C"/>
    <w:rsid w:val="0052133F"/>
    <w:rsid w:val="00522B23"/>
    <w:rsid w:val="00523135"/>
    <w:rsid w:val="0052406C"/>
    <w:rsid w:val="00525CAF"/>
    <w:rsid w:val="005261E6"/>
    <w:rsid w:val="0052646B"/>
    <w:rsid w:val="00526A98"/>
    <w:rsid w:val="00526D6D"/>
    <w:rsid w:val="00527381"/>
    <w:rsid w:val="005275D3"/>
    <w:rsid w:val="00527C50"/>
    <w:rsid w:val="005307A1"/>
    <w:rsid w:val="005318D2"/>
    <w:rsid w:val="00532A57"/>
    <w:rsid w:val="00535909"/>
    <w:rsid w:val="005363D8"/>
    <w:rsid w:val="00536B81"/>
    <w:rsid w:val="00537844"/>
    <w:rsid w:val="005401A9"/>
    <w:rsid w:val="00540E9E"/>
    <w:rsid w:val="0054132D"/>
    <w:rsid w:val="005413A7"/>
    <w:rsid w:val="0054142A"/>
    <w:rsid w:val="00541E40"/>
    <w:rsid w:val="00542244"/>
    <w:rsid w:val="00542A85"/>
    <w:rsid w:val="00542B0E"/>
    <w:rsid w:val="005445E5"/>
    <w:rsid w:val="00544767"/>
    <w:rsid w:val="005466BD"/>
    <w:rsid w:val="00546846"/>
    <w:rsid w:val="00546AF7"/>
    <w:rsid w:val="00546E3B"/>
    <w:rsid w:val="0054711D"/>
    <w:rsid w:val="00547395"/>
    <w:rsid w:val="0054780B"/>
    <w:rsid w:val="00547A48"/>
    <w:rsid w:val="00550154"/>
    <w:rsid w:val="005503C2"/>
    <w:rsid w:val="0055154A"/>
    <w:rsid w:val="00551A74"/>
    <w:rsid w:val="00553CB2"/>
    <w:rsid w:val="0055493F"/>
    <w:rsid w:val="005552A2"/>
    <w:rsid w:val="00555746"/>
    <w:rsid w:val="0055623D"/>
    <w:rsid w:val="00556B8B"/>
    <w:rsid w:val="00556E84"/>
    <w:rsid w:val="005605E3"/>
    <w:rsid w:val="00560E48"/>
    <w:rsid w:val="00560E5E"/>
    <w:rsid w:val="00561C00"/>
    <w:rsid w:val="00562BCE"/>
    <w:rsid w:val="00562E89"/>
    <w:rsid w:val="00562FB1"/>
    <w:rsid w:val="005631C0"/>
    <w:rsid w:val="005633D4"/>
    <w:rsid w:val="005644EA"/>
    <w:rsid w:val="005648EC"/>
    <w:rsid w:val="00564B66"/>
    <w:rsid w:val="0056663C"/>
    <w:rsid w:val="00566D55"/>
    <w:rsid w:val="00566DDB"/>
    <w:rsid w:val="00570091"/>
    <w:rsid w:val="005706A7"/>
    <w:rsid w:val="0057074E"/>
    <w:rsid w:val="005708C5"/>
    <w:rsid w:val="00570EAA"/>
    <w:rsid w:val="00572430"/>
    <w:rsid w:val="00572605"/>
    <w:rsid w:val="00573307"/>
    <w:rsid w:val="00574AD8"/>
    <w:rsid w:val="005751A8"/>
    <w:rsid w:val="005758F6"/>
    <w:rsid w:val="00575E80"/>
    <w:rsid w:val="005771C8"/>
    <w:rsid w:val="005771EB"/>
    <w:rsid w:val="0057728E"/>
    <w:rsid w:val="0057730C"/>
    <w:rsid w:val="005775EF"/>
    <w:rsid w:val="005808E7"/>
    <w:rsid w:val="00581373"/>
    <w:rsid w:val="00581898"/>
    <w:rsid w:val="00581DEB"/>
    <w:rsid w:val="00581FB3"/>
    <w:rsid w:val="005829EE"/>
    <w:rsid w:val="00582A91"/>
    <w:rsid w:val="005831D8"/>
    <w:rsid w:val="0058325D"/>
    <w:rsid w:val="0058352D"/>
    <w:rsid w:val="0058368B"/>
    <w:rsid w:val="00583949"/>
    <w:rsid w:val="00583F20"/>
    <w:rsid w:val="00584ADC"/>
    <w:rsid w:val="00584B47"/>
    <w:rsid w:val="00585CCD"/>
    <w:rsid w:val="0058623A"/>
    <w:rsid w:val="00586A39"/>
    <w:rsid w:val="00586B2E"/>
    <w:rsid w:val="00587348"/>
    <w:rsid w:val="005873C0"/>
    <w:rsid w:val="005878B3"/>
    <w:rsid w:val="00587F88"/>
    <w:rsid w:val="005907F5"/>
    <w:rsid w:val="005909C9"/>
    <w:rsid w:val="0059103C"/>
    <w:rsid w:val="00591D9A"/>
    <w:rsid w:val="005924EC"/>
    <w:rsid w:val="0059262A"/>
    <w:rsid w:val="0059456A"/>
    <w:rsid w:val="005955A3"/>
    <w:rsid w:val="005957AB"/>
    <w:rsid w:val="005958EC"/>
    <w:rsid w:val="00595A52"/>
    <w:rsid w:val="0059619C"/>
    <w:rsid w:val="00596233"/>
    <w:rsid w:val="00596D40"/>
    <w:rsid w:val="00596E5A"/>
    <w:rsid w:val="00597214"/>
    <w:rsid w:val="0059738C"/>
    <w:rsid w:val="0059750E"/>
    <w:rsid w:val="00597C3E"/>
    <w:rsid w:val="005A04A2"/>
    <w:rsid w:val="005A12F3"/>
    <w:rsid w:val="005A17A9"/>
    <w:rsid w:val="005A1D63"/>
    <w:rsid w:val="005A1E73"/>
    <w:rsid w:val="005A2645"/>
    <w:rsid w:val="005A2741"/>
    <w:rsid w:val="005A27CA"/>
    <w:rsid w:val="005A28A8"/>
    <w:rsid w:val="005A29E1"/>
    <w:rsid w:val="005A31C5"/>
    <w:rsid w:val="005A37B6"/>
    <w:rsid w:val="005A383C"/>
    <w:rsid w:val="005A533D"/>
    <w:rsid w:val="005A5EEF"/>
    <w:rsid w:val="005A61C4"/>
    <w:rsid w:val="005A6449"/>
    <w:rsid w:val="005A7E08"/>
    <w:rsid w:val="005B0835"/>
    <w:rsid w:val="005B0940"/>
    <w:rsid w:val="005B0DD2"/>
    <w:rsid w:val="005B103A"/>
    <w:rsid w:val="005B12BA"/>
    <w:rsid w:val="005B2AC6"/>
    <w:rsid w:val="005B4A65"/>
    <w:rsid w:val="005B4EE1"/>
    <w:rsid w:val="005B4FC8"/>
    <w:rsid w:val="005B520A"/>
    <w:rsid w:val="005B522C"/>
    <w:rsid w:val="005B5470"/>
    <w:rsid w:val="005B7E0C"/>
    <w:rsid w:val="005C0A82"/>
    <w:rsid w:val="005C151D"/>
    <w:rsid w:val="005C1AE1"/>
    <w:rsid w:val="005C23B4"/>
    <w:rsid w:val="005C2687"/>
    <w:rsid w:val="005C3ABC"/>
    <w:rsid w:val="005C3D86"/>
    <w:rsid w:val="005C49D2"/>
    <w:rsid w:val="005C5196"/>
    <w:rsid w:val="005C5222"/>
    <w:rsid w:val="005C5271"/>
    <w:rsid w:val="005C54F6"/>
    <w:rsid w:val="005C5508"/>
    <w:rsid w:val="005C5A81"/>
    <w:rsid w:val="005C5F6E"/>
    <w:rsid w:val="005C5FA9"/>
    <w:rsid w:val="005C6BDD"/>
    <w:rsid w:val="005C6F1B"/>
    <w:rsid w:val="005C77CF"/>
    <w:rsid w:val="005D0E24"/>
    <w:rsid w:val="005D268F"/>
    <w:rsid w:val="005D3D65"/>
    <w:rsid w:val="005D433C"/>
    <w:rsid w:val="005D52C5"/>
    <w:rsid w:val="005D5561"/>
    <w:rsid w:val="005D5619"/>
    <w:rsid w:val="005D60F4"/>
    <w:rsid w:val="005D64AB"/>
    <w:rsid w:val="005D6920"/>
    <w:rsid w:val="005D7C99"/>
    <w:rsid w:val="005D7DC9"/>
    <w:rsid w:val="005E02DE"/>
    <w:rsid w:val="005E0523"/>
    <w:rsid w:val="005E0CC3"/>
    <w:rsid w:val="005E0D97"/>
    <w:rsid w:val="005E18E7"/>
    <w:rsid w:val="005E396F"/>
    <w:rsid w:val="005E4FBA"/>
    <w:rsid w:val="005E5732"/>
    <w:rsid w:val="005E57C2"/>
    <w:rsid w:val="005E67CA"/>
    <w:rsid w:val="005E67DA"/>
    <w:rsid w:val="005E6EE7"/>
    <w:rsid w:val="005E702E"/>
    <w:rsid w:val="005E71EB"/>
    <w:rsid w:val="005F04CE"/>
    <w:rsid w:val="005F0B4E"/>
    <w:rsid w:val="005F0BA5"/>
    <w:rsid w:val="005F0DA6"/>
    <w:rsid w:val="005F1A5E"/>
    <w:rsid w:val="005F1D53"/>
    <w:rsid w:val="005F1D75"/>
    <w:rsid w:val="005F2FDD"/>
    <w:rsid w:val="005F369D"/>
    <w:rsid w:val="005F3921"/>
    <w:rsid w:val="005F3F22"/>
    <w:rsid w:val="005F40CB"/>
    <w:rsid w:val="005F485D"/>
    <w:rsid w:val="005F5852"/>
    <w:rsid w:val="005F5899"/>
    <w:rsid w:val="005F5F3C"/>
    <w:rsid w:val="005F6003"/>
    <w:rsid w:val="005F6879"/>
    <w:rsid w:val="005F7904"/>
    <w:rsid w:val="00600437"/>
    <w:rsid w:val="006004DA"/>
    <w:rsid w:val="0060052C"/>
    <w:rsid w:val="00601183"/>
    <w:rsid w:val="006012E9"/>
    <w:rsid w:val="0060176E"/>
    <w:rsid w:val="006025B4"/>
    <w:rsid w:val="006029FC"/>
    <w:rsid w:val="006032DC"/>
    <w:rsid w:val="00603FA7"/>
    <w:rsid w:val="006044BD"/>
    <w:rsid w:val="006044DE"/>
    <w:rsid w:val="0060703D"/>
    <w:rsid w:val="0060732F"/>
    <w:rsid w:val="006074B0"/>
    <w:rsid w:val="00610489"/>
    <w:rsid w:val="006109D9"/>
    <w:rsid w:val="00610FFF"/>
    <w:rsid w:val="00611BED"/>
    <w:rsid w:val="00611C6B"/>
    <w:rsid w:val="00612203"/>
    <w:rsid w:val="0061274E"/>
    <w:rsid w:val="00613446"/>
    <w:rsid w:val="006142C3"/>
    <w:rsid w:val="00614C1A"/>
    <w:rsid w:val="006156F9"/>
    <w:rsid w:val="00615CAD"/>
    <w:rsid w:val="00615D1E"/>
    <w:rsid w:val="00616034"/>
    <w:rsid w:val="00616877"/>
    <w:rsid w:val="00616FCA"/>
    <w:rsid w:val="00617207"/>
    <w:rsid w:val="00621518"/>
    <w:rsid w:val="0062296C"/>
    <w:rsid w:val="00623C5D"/>
    <w:rsid w:val="00624CC6"/>
    <w:rsid w:val="00626374"/>
    <w:rsid w:val="006266D6"/>
    <w:rsid w:val="00626D1C"/>
    <w:rsid w:val="006270AE"/>
    <w:rsid w:val="00627ACC"/>
    <w:rsid w:val="0063010E"/>
    <w:rsid w:val="00631BC5"/>
    <w:rsid w:val="00631BE2"/>
    <w:rsid w:val="006323B4"/>
    <w:rsid w:val="00632A9C"/>
    <w:rsid w:val="00632D24"/>
    <w:rsid w:val="0063377B"/>
    <w:rsid w:val="00633970"/>
    <w:rsid w:val="00633DE0"/>
    <w:rsid w:val="006347B5"/>
    <w:rsid w:val="0063600A"/>
    <w:rsid w:val="006369EB"/>
    <w:rsid w:val="00636EBE"/>
    <w:rsid w:val="00637BA7"/>
    <w:rsid w:val="00637E29"/>
    <w:rsid w:val="006407F8"/>
    <w:rsid w:val="00641181"/>
    <w:rsid w:val="00641470"/>
    <w:rsid w:val="00641767"/>
    <w:rsid w:val="006419D6"/>
    <w:rsid w:val="006425F3"/>
    <w:rsid w:val="00642DC7"/>
    <w:rsid w:val="006437AE"/>
    <w:rsid w:val="00643A6D"/>
    <w:rsid w:val="0064412A"/>
    <w:rsid w:val="006445E2"/>
    <w:rsid w:val="00644F1C"/>
    <w:rsid w:val="00645D07"/>
    <w:rsid w:val="00645F8C"/>
    <w:rsid w:val="00646B8A"/>
    <w:rsid w:val="00647A97"/>
    <w:rsid w:val="00650446"/>
    <w:rsid w:val="00650739"/>
    <w:rsid w:val="00650894"/>
    <w:rsid w:val="00650989"/>
    <w:rsid w:val="006509D7"/>
    <w:rsid w:val="00650CA0"/>
    <w:rsid w:val="00650E69"/>
    <w:rsid w:val="006513EC"/>
    <w:rsid w:val="006515BC"/>
    <w:rsid w:val="00651AFC"/>
    <w:rsid w:val="00652928"/>
    <w:rsid w:val="00652AF6"/>
    <w:rsid w:val="0065435A"/>
    <w:rsid w:val="0065467C"/>
    <w:rsid w:val="00654859"/>
    <w:rsid w:val="0065597B"/>
    <w:rsid w:val="00655C38"/>
    <w:rsid w:val="00655E80"/>
    <w:rsid w:val="00655EEA"/>
    <w:rsid w:val="00656092"/>
    <w:rsid w:val="00656742"/>
    <w:rsid w:val="00656843"/>
    <w:rsid w:val="00656884"/>
    <w:rsid w:val="00656AC1"/>
    <w:rsid w:val="00656EA7"/>
    <w:rsid w:val="006577CB"/>
    <w:rsid w:val="00657AB0"/>
    <w:rsid w:val="00657DDC"/>
    <w:rsid w:val="0066023A"/>
    <w:rsid w:val="00661025"/>
    <w:rsid w:val="006610DA"/>
    <w:rsid w:val="006613BE"/>
    <w:rsid w:val="00661C9B"/>
    <w:rsid w:val="006621F1"/>
    <w:rsid w:val="006624FD"/>
    <w:rsid w:val="00662E02"/>
    <w:rsid w:val="006636ED"/>
    <w:rsid w:val="00664B72"/>
    <w:rsid w:val="006657A9"/>
    <w:rsid w:val="00665A86"/>
    <w:rsid w:val="00666165"/>
    <w:rsid w:val="00666171"/>
    <w:rsid w:val="006661F9"/>
    <w:rsid w:val="00666517"/>
    <w:rsid w:val="006669A5"/>
    <w:rsid w:val="00666B85"/>
    <w:rsid w:val="006708EA"/>
    <w:rsid w:val="00671C04"/>
    <w:rsid w:val="00671F93"/>
    <w:rsid w:val="00671FCA"/>
    <w:rsid w:val="0067213F"/>
    <w:rsid w:val="0067226C"/>
    <w:rsid w:val="00672734"/>
    <w:rsid w:val="00672945"/>
    <w:rsid w:val="00673054"/>
    <w:rsid w:val="00673260"/>
    <w:rsid w:val="00673B42"/>
    <w:rsid w:val="0067522D"/>
    <w:rsid w:val="006756B8"/>
    <w:rsid w:val="00675C1E"/>
    <w:rsid w:val="00676F6B"/>
    <w:rsid w:val="00680C7D"/>
    <w:rsid w:val="006815F3"/>
    <w:rsid w:val="0068186D"/>
    <w:rsid w:val="006821CF"/>
    <w:rsid w:val="0068232E"/>
    <w:rsid w:val="00682870"/>
    <w:rsid w:val="00683527"/>
    <w:rsid w:val="00684F2E"/>
    <w:rsid w:val="00685990"/>
    <w:rsid w:val="00685DFE"/>
    <w:rsid w:val="0068660E"/>
    <w:rsid w:val="00686D47"/>
    <w:rsid w:val="00687499"/>
    <w:rsid w:val="00687D20"/>
    <w:rsid w:val="006900F8"/>
    <w:rsid w:val="00690384"/>
    <w:rsid w:val="00690658"/>
    <w:rsid w:val="00691437"/>
    <w:rsid w:val="00692017"/>
    <w:rsid w:val="006922DC"/>
    <w:rsid w:val="0069305B"/>
    <w:rsid w:val="0069343F"/>
    <w:rsid w:val="00693775"/>
    <w:rsid w:val="00693C67"/>
    <w:rsid w:val="00694F22"/>
    <w:rsid w:val="006954F0"/>
    <w:rsid w:val="0069565A"/>
    <w:rsid w:val="00695A54"/>
    <w:rsid w:val="00696288"/>
    <w:rsid w:val="006963A2"/>
    <w:rsid w:val="006967BC"/>
    <w:rsid w:val="00696F8D"/>
    <w:rsid w:val="00697ED1"/>
    <w:rsid w:val="00697F0F"/>
    <w:rsid w:val="006A0663"/>
    <w:rsid w:val="006A0757"/>
    <w:rsid w:val="006A0F52"/>
    <w:rsid w:val="006A123A"/>
    <w:rsid w:val="006A1581"/>
    <w:rsid w:val="006A18AA"/>
    <w:rsid w:val="006A1B0B"/>
    <w:rsid w:val="006A2F80"/>
    <w:rsid w:val="006A3083"/>
    <w:rsid w:val="006A4051"/>
    <w:rsid w:val="006A435F"/>
    <w:rsid w:val="006A4B6D"/>
    <w:rsid w:val="006A5AEC"/>
    <w:rsid w:val="006A5EA2"/>
    <w:rsid w:val="006A6983"/>
    <w:rsid w:val="006A7BDB"/>
    <w:rsid w:val="006B22C6"/>
    <w:rsid w:val="006B46EE"/>
    <w:rsid w:val="006B507D"/>
    <w:rsid w:val="006B5546"/>
    <w:rsid w:val="006B5726"/>
    <w:rsid w:val="006B5F12"/>
    <w:rsid w:val="006B6C45"/>
    <w:rsid w:val="006B712B"/>
    <w:rsid w:val="006B7419"/>
    <w:rsid w:val="006B75F0"/>
    <w:rsid w:val="006C0E6D"/>
    <w:rsid w:val="006C2301"/>
    <w:rsid w:val="006C2EE1"/>
    <w:rsid w:val="006C359B"/>
    <w:rsid w:val="006C4E86"/>
    <w:rsid w:val="006C513A"/>
    <w:rsid w:val="006C55BC"/>
    <w:rsid w:val="006C5958"/>
    <w:rsid w:val="006C5AF8"/>
    <w:rsid w:val="006C5F96"/>
    <w:rsid w:val="006C6E3E"/>
    <w:rsid w:val="006D0473"/>
    <w:rsid w:val="006D0EF1"/>
    <w:rsid w:val="006D1AB0"/>
    <w:rsid w:val="006D2606"/>
    <w:rsid w:val="006D32C9"/>
    <w:rsid w:val="006D440C"/>
    <w:rsid w:val="006D4DFE"/>
    <w:rsid w:val="006D58EC"/>
    <w:rsid w:val="006D5E41"/>
    <w:rsid w:val="006D6C0A"/>
    <w:rsid w:val="006D6D3F"/>
    <w:rsid w:val="006D6DB0"/>
    <w:rsid w:val="006D6E8C"/>
    <w:rsid w:val="006D74AF"/>
    <w:rsid w:val="006D7E8A"/>
    <w:rsid w:val="006E048A"/>
    <w:rsid w:val="006E07D8"/>
    <w:rsid w:val="006E24D7"/>
    <w:rsid w:val="006E2FAC"/>
    <w:rsid w:val="006E31D0"/>
    <w:rsid w:val="006E3D1F"/>
    <w:rsid w:val="006E3D4A"/>
    <w:rsid w:val="006E49ED"/>
    <w:rsid w:val="006E4BA2"/>
    <w:rsid w:val="006E533E"/>
    <w:rsid w:val="006F2F11"/>
    <w:rsid w:val="006F4F3F"/>
    <w:rsid w:val="00701206"/>
    <w:rsid w:val="007012AD"/>
    <w:rsid w:val="0070162E"/>
    <w:rsid w:val="007019C3"/>
    <w:rsid w:val="00701A0A"/>
    <w:rsid w:val="00702266"/>
    <w:rsid w:val="00702528"/>
    <w:rsid w:val="00702BB4"/>
    <w:rsid w:val="00702F91"/>
    <w:rsid w:val="00702FB6"/>
    <w:rsid w:val="00703326"/>
    <w:rsid w:val="00703352"/>
    <w:rsid w:val="0070367B"/>
    <w:rsid w:val="007048AD"/>
    <w:rsid w:val="00704A20"/>
    <w:rsid w:val="00704E48"/>
    <w:rsid w:val="00704F03"/>
    <w:rsid w:val="00704F9C"/>
    <w:rsid w:val="00704FFF"/>
    <w:rsid w:val="007052C1"/>
    <w:rsid w:val="0070538E"/>
    <w:rsid w:val="00705889"/>
    <w:rsid w:val="0070603C"/>
    <w:rsid w:val="007067A6"/>
    <w:rsid w:val="0070696D"/>
    <w:rsid w:val="00707309"/>
    <w:rsid w:val="00710FCE"/>
    <w:rsid w:val="007110CF"/>
    <w:rsid w:val="007113AA"/>
    <w:rsid w:val="00712C2F"/>
    <w:rsid w:val="00713746"/>
    <w:rsid w:val="00714287"/>
    <w:rsid w:val="00714E24"/>
    <w:rsid w:val="00714E3E"/>
    <w:rsid w:val="007165E2"/>
    <w:rsid w:val="00716AAD"/>
    <w:rsid w:val="0071792E"/>
    <w:rsid w:val="00720C51"/>
    <w:rsid w:val="00720D3B"/>
    <w:rsid w:val="00720F64"/>
    <w:rsid w:val="00722FB8"/>
    <w:rsid w:val="00723BF5"/>
    <w:rsid w:val="00724330"/>
    <w:rsid w:val="00724CD8"/>
    <w:rsid w:val="0072592D"/>
    <w:rsid w:val="00725D76"/>
    <w:rsid w:val="007267E9"/>
    <w:rsid w:val="00726AB4"/>
    <w:rsid w:val="00730249"/>
    <w:rsid w:val="00730422"/>
    <w:rsid w:val="00730A9F"/>
    <w:rsid w:val="0073205F"/>
    <w:rsid w:val="007329CB"/>
    <w:rsid w:val="00732F70"/>
    <w:rsid w:val="00733C11"/>
    <w:rsid w:val="007349CF"/>
    <w:rsid w:val="00734EB6"/>
    <w:rsid w:val="007353DD"/>
    <w:rsid w:val="007357AA"/>
    <w:rsid w:val="00735EF2"/>
    <w:rsid w:val="0073603E"/>
    <w:rsid w:val="007369B1"/>
    <w:rsid w:val="00736B3D"/>
    <w:rsid w:val="00737828"/>
    <w:rsid w:val="00737AFA"/>
    <w:rsid w:val="0074098D"/>
    <w:rsid w:val="00740BAF"/>
    <w:rsid w:val="00741113"/>
    <w:rsid w:val="00741240"/>
    <w:rsid w:val="00742769"/>
    <w:rsid w:val="007427ED"/>
    <w:rsid w:val="0074318C"/>
    <w:rsid w:val="0074385B"/>
    <w:rsid w:val="0074401F"/>
    <w:rsid w:val="00744459"/>
    <w:rsid w:val="00744A94"/>
    <w:rsid w:val="00744B59"/>
    <w:rsid w:val="007450F1"/>
    <w:rsid w:val="007456C4"/>
    <w:rsid w:val="00745F25"/>
    <w:rsid w:val="0074606C"/>
    <w:rsid w:val="007466CB"/>
    <w:rsid w:val="00746BCF"/>
    <w:rsid w:val="00747457"/>
    <w:rsid w:val="0074788D"/>
    <w:rsid w:val="00750CCA"/>
    <w:rsid w:val="00750D2B"/>
    <w:rsid w:val="00750D64"/>
    <w:rsid w:val="007510BE"/>
    <w:rsid w:val="0075177F"/>
    <w:rsid w:val="007538CE"/>
    <w:rsid w:val="007547A6"/>
    <w:rsid w:val="00755345"/>
    <w:rsid w:val="007559B1"/>
    <w:rsid w:val="00755A9F"/>
    <w:rsid w:val="007560C3"/>
    <w:rsid w:val="0075764F"/>
    <w:rsid w:val="00760DA2"/>
    <w:rsid w:val="00763FA5"/>
    <w:rsid w:val="00764767"/>
    <w:rsid w:val="00765456"/>
    <w:rsid w:val="007656E9"/>
    <w:rsid w:val="007657BA"/>
    <w:rsid w:val="00765B68"/>
    <w:rsid w:val="00766DA4"/>
    <w:rsid w:val="00767112"/>
    <w:rsid w:val="00767C17"/>
    <w:rsid w:val="00770700"/>
    <w:rsid w:val="00770AF1"/>
    <w:rsid w:val="00770C13"/>
    <w:rsid w:val="00771094"/>
    <w:rsid w:val="00771120"/>
    <w:rsid w:val="00772393"/>
    <w:rsid w:val="00772AC0"/>
    <w:rsid w:val="00772EEF"/>
    <w:rsid w:val="00773B9A"/>
    <w:rsid w:val="00773BDE"/>
    <w:rsid w:val="00774EAE"/>
    <w:rsid w:val="00774EF8"/>
    <w:rsid w:val="007752BD"/>
    <w:rsid w:val="00775D17"/>
    <w:rsid w:val="00776BE1"/>
    <w:rsid w:val="00777226"/>
    <w:rsid w:val="007772D9"/>
    <w:rsid w:val="00777876"/>
    <w:rsid w:val="0077796D"/>
    <w:rsid w:val="007800EB"/>
    <w:rsid w:val="00780370"/>
    <w:rsid w:val="007810EE"/>
    <w:rsid w:val="007810F6"/>
    <w:rsid w:val="0078138D"/>
    <w:rsid w:val="007817E5"/>
    <w:rsid w:val="00781DC7"/>
    <w:rsid w:val="0078253A"/>
    <w:rsid w:val="00783EE8"/>
    <w:rsid w:val="00783F2D"/>
    <w:rsid w:val="00785F77"/>
    <w:rsid w:val="00786186"/>
    <w:rsid w:val="007871A6"/>
    <w:rsid w:val="00791221"/>
    <w:rsid w:val="0079126B"/>
    <w:rsid w:val="00791307"/>
    <w:rsid w:val="007915B6"/>
    <w:rsid w:val="0079180F"/>
    <w:rsid w:val="00791AB7"/>
    <w:rsid w:val="00791D8C"/>
    <w:rsid w:val="00791E1E"/>
    <w:rsid w:val="007921FB"/>
    <w:rsid w:val="007929D5"/>
    <w:rsid w:val="00792E42"/>
    <w:rsid w:val="00792E76"/>
    <w:rsid w:val="00793389"/>
    <w:rsid w:val="00793F15"/>
    <w:rsid w:val="007944DE"/>
    <w:rsid w:val="007960AE"/>
    <w:rsid w:val="007961A5"/>
    <w:rsid w:val="00796C97"/>
    <w:rsid w:val="00797A9B"/>
    <w:rsid w:val="00797C56"/>
    <w:rsid w:val="007A0127"/>
    <w:rsid w:val="007A048E"/>
    <w:rsid w:val="007A054B"/>
    <w:rsid w:val="007A0703"/>
    <w:rsid w:val="007A0845"/>
    <w:rsid w:val="007A1F62"/>
    <w:rsid w:val="007A238A"/>
    <w:rsid w:val="007A247C"/>
    <w:rsid w:val="007A248E"/>
    <w:rsid w:val="007A2A97"/>
    <w:rsid w:val="007A38B9"/>
    <w:rsid w:val="007A403A"/>
    <w:rsid w:val="007A4986"/>
    <w:rsid w:val="007A4C43"/>
    <w:rsid w:val="007A4DB6"/>
    <w:rsid w:val="007A6DB0"/>
    <w:rsid w:val="007A7068"/>
    <w:rsid w:val="007A713D"/>
    <w:rsid w:val="007B1620"/>
    <w:rsid w:val="007B163B"/>
    <w:rsid w:val="007B16C8"/>
    <w:rsid w:val="007B2034"/>
    <w:rsid w:val="007B209B"/>
    <w:rsid w:val="007B2127"/>
    <w:rsid w:val="007B2726"/>
    <w:rsid w:val="007B2E90"/>
    <w:rsid w:val="007B39EC"/>
    <w:rsid w:val="007B4C1B"/>
    <w:rsid w:val="007B5180"/>
    <w:rsid w:val="007B65C7"/>
    <w:rsid w:val="007B66A6"/>
    <w:rsid w:val="007C1734"/>
    <w:rsid w:val="007C176B"/>
    <w:rsid w:val="007C2390"/>
    <w:rsid w:val="007C2EA9"/>
    <w:rsid w:val="007C3176"/>
    <w:rsid w:val="007C321C"/>
    <w:rsid w:val="007C3242"/>
    <w:rsid w:val="007C38EF"/>
    <w:rsid w:val="007C3BC4"/>
    <w:rsid w:val="007C3D74"/>
    <w:rsid w:val="007C578E"/>
    <w:rsid w:val="007C5AC4"/>
    <w:rsid w:val="007D111B"/>
    <w:rsid w:val="007D19F0"/>
    <w:rsid w:val="007D290E"/>
    <w:rsid w:val="007D297E"/>
    <w:rsid w:val="007D2AEC"/>
    <w:rsid w:val="007D2EFF"/>
    <w:rsid w:val="007D2FE4"/>
    <w:rsid w:val="007D305E"/>
    <w:rsid w:val="007D30E5"/>
    <w:rsid w:val="007D3C68"/>
    <w:rsid w:val="007D43CD"/>
    <w:rsid w:val="007D4505"/>
    <w:rsid w:val="007D48EE"/>
    <w:rsid w:val="007D530E"/>
    <w:rsid w:val="007D53FD"/>
    <w:rsid w:val="007D5764"/>
    <w:rsid w:val="007D6A03"/>
    <w:rsid w:val="007D6E9E"/>
    <w:rsid w:val="007D7586"/>
    <w:rsid w:val="007D7D7C"/>
    <w:rsid w:val="007E0980"/>
    <w:rsid w:val="007E15AB"/>
    <w:rsid w:val="007E1D38"/>
    <w:rsid w:val="007E2090"/>
    <w:rsid w:val="007E210B"/>
    <w:rsid w:val="007E21B8"/>
    <w:rsid w:val="007E2257"/>
    <w:rsid w:val="007E2481"/>
    <w:rsid w:val="007E3F08"/>
    <w:rsid w:val="007E418C"/>
    <w:rsid w:val="007E4DDE"/>
    <w:rsid w:val="007E53CF"/>
    <w:rsid w:val="007E59B0"/>
    <w:rsid w:val="007E5AC2"/>
    <w:rsid w:val="007E5C40"/>
    <w:rsid w:val="007E6359"/>
    <w:rsid w:val="007E6C51"/>
    <w:rsid w:val="007E7B13"/>
    <w:rsid w:val="007F02AC"/>
    <w:rsid w:val="007F08FE"/>
    <w:rsid w:val="007F0A37"/>
    <w:rsid w:val="007F0EC3"/>
    <w:rsid w:val="007F130A"/>
    <w:rsid w:val="007F1382"/>
    <w:rsid w:val="007F1766"/>
    <w:rsid w:val="007F1F91"/>
    <w:rsid w:val="007F2263"/>
    <w:rsid w:val="007F2584"/>
    <w:rsid w:val="007F2A1F"/>
    <w:rsid w:val="007F2B17"/>
    <w:rsid w:val="007F30C4"/>
    <w:rsid w:val="007F31E8"/>
    <w:rsid w:val="007F3891"/>
    <w:rsid w:val="007F3BCB"/>
    <w:rsid w:val="007F4283"/>
    <w:rsid w:val="007F4E32"/>
    <w:rsid w:val="007F4F6C"/>
    <w:rsid w:val="007F55B8"/>
    <w:rsid w:val="007F5F64"/>
    <w:rsid w:val="007F6507"/>
    <w:rsid w:val="007F6F20"/>
    <w:rsid w:val="007F700E"/>
    <w:rsid w:val="007F745B"/>
    <w:rsid w:val="007F7636"/>
    <w:rsid w:val="007F7868"/>
    <w:rsid w:val="00800786"/>
    <w:rsid w:val="00800B2F"/>
    <w:rsid w:val="008013AD"/>
    <w:rsid w:val="008018EA"/>
    <w:rsid w:val="00802A6F"/>
    <w:rsid w:val="0080326B"/>
    <w:rsid w:val="00803562"/>
    <w:rsid w:val="00803A98"/>
    <w:rsid w:val="00803CC1"/>
    <w:rsid w:val="008047F0"/>
    <w:rsid w:val="00804819"/>
    <w:rsid w:val="00804905"/>
    <w:rsid w:val="00804B75"/>
    <w:rsid w:val="008052CE"/>
    <w:rsid w:val="00805DCE"/>
    <w:rsid w:val="0080626B"/>
    <w:rsid w:val="008069DB"/>
    <w:rsid w:val="008072B3"/>
    <w:rsid w:val="00810030"/>
    <w:rsid w:val="00810096"/>
    <w:rsid w:val="008102E9"/>
    <w:rsid w:val="008111D1"/>
    <w:rsid w:val="00811DAF"/>
    <w:rsid w:val="008120A7"/>
    <w:rsid w:val="00812568"/>
    <w:rsid w:val="00812751"/>
    <w:rsid w:val="00813041"/>
    <w:rsid w:val="00813256"/>
    <w:rsid w:val="00813593"/>
    <w:rsid w:val="00813FFE"/>
    <w:rsid w:val="00814EA6"/>
    <w:rsid w:val="0081539E"/>
    <w:rsid w:val="00815FDB"/>
    <w:rsid w:val="0081662D"/>
    <w:rsid w:val="00816AFB"/>
    <w:rsid w:val="00817674"/>
    <w:rsid w:val="00817AA7"/>
    <w:rsid w:val="00820279"/>
    <w:rsid w:val="008203CE"/>
    <w:rsid w:val="00820B64"/>
    <w:rsid w:val="00820E08"/>
    <w:rsid w:val="00820EF3"/>
    <w:rsid w:val="00821637"/>
    <w:rsid w:val="00821CA2"/>
    <w:rsid w:val="008224B1"/>
    <w:rsid w:val="008224DD"/>
    <w:rsid w:val="008234BF"/>
    <w:rsid w:val="0082423A"/>
    <w:rsid w:val="00824330"/>
    <w:rsid w:val="00824364"/>
    <w:rsid w:val="00824BCB"/>
    <w:rsid w:val="00825047"/>
    <w:rsid w:val="00825CE2"/>
    <w:rsid w:val="008270D7"/>
    <w:rsid w:val="00827413"/>
    <w:rsid w:val="008277A8"/>
    <w:rsid w:val="00831CEF"/>
    <w:rsid w:val="008323F6"/>
    <w:rsid w:val="008328FB"/>
    <w:rsid w:val="00832D41"/>
    <w:rsid w:val="00833062"/>
    <w:rsid w:val="0083385C"/>
    <w:rsid w:val="00833B9D"/>
    <w:rsid w:val="0083412B"/>
    <w:rsid w:val="00834285"/>
    <w:rsid w:val="00834E55"/>
    <w:rsid w:val="00834ECB"/>
    <w:rsid w:val="00834F62"/>
    <w:rsid w:val="008356FA"/>
    <w:rsid w:val="008359DC"/>
    <w:rsid w:val="00835FA9"/>
    <w:rsid w:val="0083605A"/>
    <w:rsid w:val="00836155"/>
    <w:rsid w:val="00836293"/>
    <w:rsid w:val="00837034"/>
    <w:rsid w:val="00837A24"/>
    <w:rsid w:val="00840572"/>
    <w:rsid w:val="00840D0F"/>
    <w:rsid w:val="00842195"/>
    <w:rsid w:val="008432A0"/>
    <w:rsid w:val="00843891"/>
    <w:rsid w:val="008449B4"/>
    <w:rsid w:val="00845580"/>
    <w:rsid w:val="0084644A"/>
    <w:rsid w:val="008474A1"/>
    <w:rsid w:val="00847906"/>
    <w:rsid w:val="00850463"/>
    <w:rsid w:val="00850E72"/>
    <w:rsid w:val="00851A63"/>
    <w:rsid w:val="00851C9A"/>
    <w:rsid w:val="0085220A"/>
    <w:rsid w:val="008542D0"/>
    <w:rsid w:val="008545B1"/>
    <w:rsid w:val="00854E07"/>
    <w:rsid w:val="0085517F"/>
    <w:rsid w:val="00855520"/>
    <w:rsid w:val="0085556C"/>
    <w:rsid w:val="0085577E"/>
    <w:rsid w:val="0085663B"/>
    <w:rsid w:val="0085686E"/>
    <w:rsid w:val="00856A8F"/>
    <w:rsid w:val="008570F4"/>
    <w:rsid w:val="00857C8D"/>
    <w:rsid w:val="00857E64"/>
    <w:rsid w:val="0086041E"/>
    <w:rsid w:val="00860B95"/>
    <w:rsid w:val="00861430"/>
    <w:rsid w:val="00861458"/>
    <w:rsid w:val="0086248F"/>
    <w:rsid w:val="008627AE"/>
    <w:rsid w:val="00862D42"/>
    <w:rsid w:val="00863C75"/>
    <w:rsid w:val="008640F9"/>
    <w:rsid w:val="008645E7"/>
    <w:rsid w:val="008659E6"/>
    <w:rsid w:val="00866ACF"/>
    <w:rsid w:val="00866C23"/>
    <w:rsid w:val="00867366"/>
    <w:rsid w:val="008677AC"/>
    <w:rsid w:val="00870578"/>
    <w:rsid w:val="008712B7"/>
    <w:rsid w:val="008713AE"/>
    <w:rsid w:val="008716BA"/>
    <w:rsid w:val="0087252B"/>
    <w:rsid w:val="008726F5"/>
    <w:rsid w:val="00872E7A"/>
    <w:rsid w:val="00874444"/>
    <w:rsid w:val="00874558"/>
    <w:rsid w:val="008755B6"/>
    <w:rsid w:val="00876929"/>
    <w:rsid w:val="00877002"/>
    <w:rsid w:val="008771F2"/>
    <w:rsid w:val="008777ED"/>
    <w:rsid w:val="00877EF8"/>
    <w:rsid w:val="0088020A"/>
    <w:rsid w:val="00880E1B"/>
    <w:rsid w:val="00881257"/>
    <w:rsid w:val="00882C2A"/>
    <w:rsid w:val="00882DCF"/>
    <w:rsid w:val="00883319"/>
    <w:rsid w:val="0088490B"/>
    <w:rsid w:val="00885A93"/>
    <w:rsid w:val="00885B43"/>
    <w:rsid w:val="00886429"/>
    <w:rsid w:val="00886702"/>
    <w:rsid w:val="008870DE"/>
    <w:rsid w:val="008877EE"/>
    <w:rsid w:val="00887BEE"/>
    <w:rsid w:val="00887D50"/>
    <w:rsid w:val="00887F31"/>
    <w:rsid w:val="00890DE0"/>
    <w:rsid w:val="00890E30"/>
    <w:rsid w:val="00891312"/>
    <w:rsid w:val="00892888"/>
    <w:rsid w:val="0089317A"/>
    <w:rsid w:val="00894008"/>
    <w:rsid w:val="0089430D"/>
    <w:rsid w:val="00895615"/>
    <w:rsid w:val="00895B3B"/>
    <w:rsid w:val="00895B54"/>
    <w:rsid w:val="00895E29"/>
    <w:rsid w:val="00897667"/>
    <w:rsid w:val="008977BE"/>
    <w:rsid w:val="008A0A0B"/>
    <w:rsid w:val="008A169F"/>
    <w:rsid w:val="008A3C05"/>
    <w:rsid w:val="008A3F36"/>
    <w:rsid w:val="008A484A"/>
    <w:rsid w:val="008A5A1C"/>
    <w:rsid w:val="008A7613"/>
    <w:rsid w:val="008A7A72"/>
    <w:rsid w:val="008B021B"/>
    <w:rsid w:val="008B0F39"/>
    <w:rsid w:val="008B1234"/>
    <w:rsid w:val="008B16A4"/>
    <w:rsid w:val="008B1750"/>
    <w:rsid w:val="008B1ABE"/>
    <w:rsid w:val="008B1C34"/>
    <w:rsid w:val="008B259E"/>
    <w:rsid w:val="008B30C6"/>
    <w:rsid w:val="008B3151"/>
    <w:rsid w:val="008B3505"/>
    <w:rsid w:val="008B3725"/>
    <w:rsid w:val="008B4010"/>
    <w:rsid w:val="008B4206"/>
    <w:rsid w:val="008B46C9"/>
    <w:rsid w:val="008B48F1"/>
    <w:rsid w:val="008B5ED9"/>
    <w:rsid w:val="008B626B"/>
    <w:rsid w:val="008B6576"/>
    <w:rsid w:val="008B6647"/>
    <w:rsid w:val="008C014B"/>
    <w:rsid w:val="008C0A29"/>
    <w:rsid w:val="008C11B9"/>
    <w:rsid w:val="008C188A"/>
    <w:rsid w:val="008C2F60"/>
    <w:rsid w:val="008C3082"/>
    <w:rsid w:val="008C3CEC"/>
    <w:rsid w:val="008C44D4"/>
    <w:rsid w:val="008C4567"/>
    <w:rsid w:val="008C49F8"/>
    <w:rsid w:val="008C549C"/>
    <w:rsid w:val="008C5D8C"/>
    <w:rsid w:val="008C706D"/>
    <w:rsid w:val="008C77CB"/>
    <w:rsid w:val="008C79C6"/>
    <w:rsid w:val="008D0A3D"/>
    <w:rsid w:val="008D0AB2"/>
    <w:rsid w:val="008D127C"/>
    <w:rsid w:val="008D1752"/>
    <w:rsid w:val="008D1A65"/>
    <w:rsid w:val="008D21BF"/>
    <w:rsid w:val="008D3DCF"/>
    <w:rsid w:val="008D43E7"/>
    <w:rsid w:val="008D4554"/>
    <w:rsid w:val="008D4B22"/>
    <w:rsid w:val="008D52B6"/>
    <w:rsid w:val="008D5C73"/>
    <w:rsid w:val="008D5D35"/>
    <w:rsid w:val="008D67E0"/>
    <w:rsid w:val="008D7663"/>
    <w:rsid w:val="008E0E3B"/>
    <w:rsid w:val="008E19C6"/>
    <w:rsid w:val="008E1E35"/>
    <w:rsid w:val="008E3064"/>
    <w:rsid w:val="008E4390"/>
    <w:rsid w:val="008E4E45"/>
    <w:rsid w:val="008E6790"/>
    <w:rsid w:val="008E6E7E"/>
    <w:rsid w:val="008E7001"/>
    <w:rsid w:val="008E721B"/>
    <w:rsid w:val="008F0AEC"/>
    <w:rsid w:val="008F1D3B"/>
    <w:rsid w:val="008F1F1F"/>
    <w:rsid w:val="008F24A4"/>
    <w:rsid w:val="008F267B"/>
    <w:rsid w:val="008F26A9"/>
    <w:rsid w:val="008F2740"/>
    <w:rsid w:val="008F2B9E"/>
    <w:rsid w:val="008F2F09"/>
    <w:rsid w:val="008F2F46"/>
    <w:rsid w:val="008F374A"/>
    <w:rsid w:val="008F3E71"/>
    <w:rsid w:val="008F3F3F"/>
    <w:rsid w:val="008F4073"/>
    <w:rsid w:val="008F4A07"/>
    <w:rsid w:val="008F4A17"/>
    <w:rsid w:val="008F4F00"/>
    <w:rsid w:val="008F5026"/>
    <w:rsid w:val="008F5352"/>
    <w:rsid w:val="008F53B2"/>
    <w:rsid w:val="008F5D64"/>
    <w:rsid w:val="008F5DAB"/>
    <w:rsid w:val="008F612E"/>
    <w:rsid w:val="008F6A48"/>
    <w:rsid w:val="008F702C"/>
    <w:rsid w:val="008F7649"/>
    <w:rsid w:val="008F7B1F"/>
    <w:rsid w:val="00902996"/>
    <w:rsid w:val="00902ADC"/>
    <w:rsid w:val="00902BF9"/>
    <w:rsid w:val="00902E1B"/>
    <w:rsid w:val="00905541"/>
    <w:rsid w:val="009055D1"/>
    <w:rsid w:val="00906B1D"/>
    <w:rsid w:val="00906C46"/>
    <w:rsid w:val="009075A7"/>
    <w:rsid w:val="00907750"/>
    <w:rsid w:val="00910B8B"/>
    <w:rsid w:val="0091129A"/>
    <w:rsid w:val="009115D2"/>
    <w:rsid w:val="0091167A"/>
    <w:rsid w:val="00911B37"/>
    <w:rsid w:val="009120EC"/>
    <w:rsid w:val="009122DF"/>
    <w:rsid w:val="009123FC"/>
    <w:rsid w:val="009124B8"/>
    <w:rsid w:val="009136CD"/>
    <w:rsid w:val="00913D9D"/>
    <w:rsid w:val="00913F74"/>
    <w:rsid w:val="00914569"/>
    <w:rsid w:val="00914D1E"/>
    <w:rsid w:val="00914EEB"/>
    <w:rsid w:val="00914FCB"/>
    <w:rsid w:val="00917036"/>
    <w:rsid w:val="00917A74"/>
    <w:rsid w:val="009203C2"/>
    <w:rsid w:val="009204F6"/>
    <w:rsid w:val="00920781"/>
    <w:rsid w:val="00920BA7"/>
    <w:rsid w:val="0092142B"/>
    <w:rsid w:val="00921536"/>
    <w:rsid w:val="00922965"/>
    <w:rsid w:val="00923A1E"/>
    <w:rsid w:val="00923A7D"/>
    <w:rsid w:val="0092401C"/>
    <w:rsid w:val="0092437C"/>
    <w:rsid w:val="009244AB"/>
    <w:rsid w:val="00924C27"/>
    <w:rsid w:val="00924C3E"/>
    <w:rsid w:val="009256F7"/>
    <w:rsid w:val="009267DA"/>
    <w:rsid w:val="00926B20"/>
    <w:rsid w:val="0092736A"/>
    <w:rsid w:val="00927872"/>
    <w:rsid w:val="00927B86"/>
    <w:rsid w:val="0093087E"/>
    <w:rsid w:val="00930B42"/>
    <w:rsid w:val="00930BC8"/>
    <w:rsid w:val="009314E3"/>
    <w:rsid w:val="00931655"/>
    <w:rsid w:val="009328D9"/>
    <w:rsid w:val="00935A0E"/>
    <w:rsid w:val="00936A7D"/>
    <w:rsid w:val="00937885"/>
    <w:rsid w:val="00937F58"/>
    <w:rsid w:val="00940795"/>
    <w:rsid w:val="0094079B"/>
    <w:rsid w:val="009409AC"/>
    <w:rsid w:val="0094120E"/>
    <w:rsid w:val="00941692"/>
    <w:rsid w:val="0094226D"/>
    <w:rsid w:val="009429FC"/>
    <w:rsid w:val="0094336D"/>
    <w:rsid w:val="009439DA"/>
    <w:rsid w:val="00944724"/>
    <w:rsid w:val="0094500F"/>
    <w:rsid w:val="00945F02"/>
    <w:rsid w:val="00946416"/>
    <w:rsid w:val="00946540"/>
    <w:rsid w:val="009468E2"/>
    <w:rsid w:val="00950F89"/>
    <w:rsid w:val="00951023"/>
    <w:rsid w:val="009519F4"/>
    <w:rsid w:val="00951EE3"/>
    <w:rsid w:val="009547C2"/>
    <w:rsid w:val="00954E43"/>
    <w:rsid w:val="0095619E"/>
    <w:rsid w:val="009561F4"/>
    <w:rsid w:val="00956412"/>
    <w:rsid w:val="0095726B"/>
    <w:rsid w:val="00957570"/>
    <w:rsid w:val="00960060"/>
    <w:rsid w:val="00960A01"/>
    <w:rsid w:val="00961694"/>
    <w:rsid w:val="00961A4D"/>
    <w:rsid w:val="00961F24"/>
    <w:rsid w:val="009624B2"/>
    <w:rsid w:val="00963215"/>
    <w:rsid w:val="009633C5"/>
    <w:rsid w:val="00964C78"/>
    <w:rsid w:val="00965AAA"/>
    <w:rsid w:val="00965ECB"/>
    <w:rsid w:val="00966A3C"/>
    <w:rsid w:val="0096778E"/>
    <w:rsid w:val="0096780A"/>
    <w:rsid w:val="00970336"/>
    <w:rsid w:val="0097049A"/>
    <w:rsid w:val="0097089B"/>
    <w:rsid w:val="00970BBD"/>
    <w:rsid w:val="0097163F"/>
    <w:rsid w:val="009749D8"/>
    <w:rsid w:val="009759F5"/>
    <w:rsid w:val="0097666D"/>
    <w:rsid w:val="00976A72"/>
    <w:rsid w:val="00977177"/>
    <w:rsid w:val="0097738B"/>
    <w:rsid w:val="009775F8"/>
    <w:rsid w:val="00977A04"/>
    <w:rsid w:val="00977DCE"/>
    <w:rsid w:val="00982A41"/>
    <w:rsid w:val="009835AB"/>
    <w:rsid w:val="0098380D"/>
    <w:rsid w:val="009841FD"/>
    <w:rsid w:val="009850EF"/>
    <w:rsid w:val="00985C1F"/>
    <w:rsid w:val="00986AA0"/>
    <w:rsid w:val="0098744F"/>
    <w:rsid w:val="00987837"/>
    <w:rsid w:val="00987CCD"/>
    <w:rsid w:val="00990501"/>
    <w:rsid w:val="00990729"/>
    <w:rsid w:val="0099163D"/>
    <w:rsid w:val="009917DE"/>
    <w:rsid w:val="0099186A"/>
    <w:rsid w:val="00991944"/>
    <w:rsid w:val="00992A95"/>
    <w:rsid w:val="009934E3"/>
    <w:rsid w:val="00993549"/>
    <w:rsid w:val="00993769"/>
    <w:rsid w:val="00994081"/>
    <w:rsid w:val="009941AA"/>
    <w:rsid w:val="0099467E"/>
    <w:rsid w:val="00994B0B"/>
    <w:rsid w:val="00996029"/>
    <w:rsid w:val="009979C3"/>
    <w:rsid w:val="00997EE0"/>
    <w:rsid w:val="009A03D1"/>
    <w:rsid w:val="009A0487"/>
    <w:rsid w:val="009A04C1"/>
    <w:rsid w:val="009A0740"/>
    <w:rsid w:val="009A09EC"/>
    <w:rsid w:val="009A0B4D"/>
    <w:rsid w:val="009A1701"/>
    <w:rsid w:val="009A192B"/>
    <w:rsid w:val="009A2259"/>
    <w:rsid w:val="009A2529"/>
    <w:rsid w:val="009A291D"/>
    <w:rsid w:val="009A2D4F"/>
    <w:rsid w:val="009A421C"/>
    <w:rsid w:val="009A459B"/>
    <w:rsid w:val="009A45FF"/>
    <w:rsid w:val="009A47A8"/>
    <w:rsid w:val="009A47CA"/>
    <w:rsid w:val="009A49A6"/>
    <w:rsid w:val="009A5499"/>
    <w:rsid w:val="009A581A"/>
    <w:rsid w:val="009A6B10"/>
    <w:rsid w:val="009A6DDB"/>
    <w:rsid w:val="009B06D3"/>
    <w:rsid w:val="009B164E"/>
    <w:rsid w:val="009B1BC0"/>
    <w:rsid w:val="009B1E15"/>
    <w:rsid w:val="009B25BB"/>
    <w:rsid w:val="009B2C5E"/>
    <w:rsid w:val="009B2EDA"/>
    <w:rsid w:val="009B3943"/>
    <w:rsid w:val="009B3C52"/>
    <w:rsid w:val="009B3D57"/>
    <w:rsid w:val="009B4330"/>
    <w:rsid w:val="009B4EBF"/>
    <w:rsid w:val="009B56C8"/>
    <w:rsid w:val="009B5B0B"/>
    <w:rsid w:val="009B6443"/>
    <w:rsid w:val="009B6757"/>
    <w:rsid w:val="009B6F03"/>
    <w:rsid w:val="009B73E7"/>
    <w:rsid w:val="009B74A8"/>
    <w:rsid w:val="009B7518"/>
    <w:rsid w:val="009B76D2"/>
    <w:rsid w:val="009B7F19"/>
    <w:rsid w:val="009C0093"/>
    <w:rsid w:val="009C01F9"/>
    <w:rsid w:val="009C110A"/>
    <w:rsid w:val="009C11D4"/>
    <w:rsid w:val="009C18B4"/>
    <w:rsid w:val="009C31C0"/>
    <w:rsid w:val="009C3A1C"/>
    <w:rsid w:val="009C54DC"/>
    <w:rsid w:val="009C6271"/>
    <w:rsid w:val="009C635E"/>
    <w:rsid w:val="009C6642"/>
    <w:rsid w:val="009C6B65"/>
    <w:rsid w:val="009D0A27"/>
    <w:rsid w:val="009D13A9"/>
    <w:rsid w:val="009D1530"/>
    <w:rsid w:val="009D15F1"/>
    <w:rsid w:val="009D1A39"/>
    <w:rsid w:val="009D1AFC"/>
    <w:rsid w:val="009D3DCD"/>
    <w:rsid w:val="009D4CFF"/>
    <w:rsid w:val="009D572A"/>
    <w:rsid w:val="009D60D9"/>
    <w:rsid w:val="009D63C5"/>
    <w:rsid w:val="009D744F"/>
    <w:rsid w:val="009D760B"/>
    <w:rsid w:val="009E0F53"/>
    <w:rsid w:val="009E185F"/>
    <w:rsid w:val="009E24AD"/>
    <w:rsid w:val="009E2603"/>
    <w:rsid w:val="009E293E"/>
    <w:rsid w:val="009E30E9"/>
    <w:rsid w:val="009E3829"/>
    <w:rsid w:val="009E41C9"/>
    <w:rsid w:val="009E46B0"/>
    <w:rsid w:val="009E491F"/>
    <w:rsid w:val="009E4A76"/>
    <w:rsid w:val="009E4BAA"/>
    <w:rsid w:val="009E5FB2"/>
    <w:rsid w:val="009E5FFF"/>
    <w:rsid w:val="009E627D"/>
    <w:rsid w:val="009E66E8"/>
    <w:rsid w:val="009E6B82"/>
    <w:rsid w:val="009F076C"/>
    <w:rsid w:val="009F0E43"/>
    <w:rsid w:val="009F15C4"/>
    <w:rsid w:val="009F2AE8"/>
    <w:rsid w:val="009F31A6"/>
    <w:rsid w:val="009F3235"/>
    <w:rsid w:val="009F34F8"/>
    <w:rsid w:val="009F385C"/>
    <w:rsid w:val="009F3C8F"/>
    <w:rsid w:val="009F4524"/>
    <w:rsid w:val="009F4729"/>
    <w:rsid w:val="009F485C"/>
    <w:rsid w:val="009F4D54"/>
    <w:rsid w:val="009F6D3F"/>
    <w:rsid w:val="009F7431"/>
    <w:rsid w:val="009F7875"/>
    <w:rsid w:val="009F7DFB"/>
    <w:rsid w:val="009F7E90"/>
    <w:rsid w:val="00A004E6"/>
    <w:rsid w:val="00A01058"/>
    <w:rsid w:val="00A0108D"/>
    <w:rsid w:val="00A01BF8"/>
    <w:rsid w:val="00A02279"/>
    <w:rsid w:val="00A02A7F"/>
    <w:rsid w:val="00A03410"/>
    <w:rsid w:val="00A03CE8"/>
    <w:rsid w:val="00A042D7"/>
    <w:rsid w:val="00A0433B"/>
    <w:rsid w:val="00A054F7"/>
    <w:rsid w:val="00A06C3B"/>
    <w:rsid w:val="00A073A2"/>
    <w:rsid w:val="00A073C1"/>
    <w:rsid w:val="00A0772C"/>
    <w:rsid w:val="00A10050"/>
    <w:rsid w:val="00A10D3C"/>
    <w:rsid w:val="00A10EC4"/>
    <w:rsid w:val="00A1279F"/>
    <w:rsid w:val="00A12DD5"/>
    <w:rsid w:val="00A13491"/>
    <w:rsid w:val="00A15CCB"/>
    <w:rsid w:val="00A16776"/>
    <w:rsid w:val="00A167D1"/>
    <w:rsid w:val="00A16A31"/>
    <w:rsid w:val="00A1755A"/>
    <w:rsid w:val="00A17A3B"/>
    <w:rsid w:val="00A17CD0"/>
    <w:rsid w:val="00A20BD0"/>
    <w:rsid w:val="00A20BDA"/>
    <w:rsid w:val="00A21519"/>
    <w:rsid w:val="00A2238B"/>
    <w:rsid w:val="00A22A54"/>
    <w:rsid w:val="00A22BAA"/>
    <w:rsid w:val="00A22FAB"/>
    <w:rsid w:val="00A23046"/>
    <w:rsid w:val="00A233AC"/>
    <w:rsid w:val="00A23B09"/>
    <w:rsid w:val="00A242B0"/>
    <w:rsid w:val="00A25232"/>
    <w:rsid w:val="00A25266"/>
    <w:rsid w:val="00A2583E"/>
    <w:rsid w:val="00A259F9"/>
    <w:rsid w:val="00A271D9"/>
    <w:rsid w:val="00A2721B"/>
    <w:rsid w:val="00A27781"/>
    <w:rsid w:val="00A27CC7"/>
    <w:rsid w:val="00A27F26"/>
    <w:rsid w:val="00A31499"/>
    <w:rsid w:val="00A31622"/>
    <w:rsid w:val="00A324CA"/>
    <w:rsid w:val="00A3300C"/>
    <w:rsid w:val="00A33D8A"/>
    <w:rsid w:val="00A3431C"/>
    <w:rsid w:val="00A345D3"/>
    <w:rsid w:val="00A34BA9"/>
    <w:rsid w:val="00A35EE8"/>
    <w:rsid w:val="00A35F3A"/>
    <w:rsid w:val="00A368CE"/>
    <w:rsid w:val="00A375D3"/>
    <w:rsid w:val="00A40071"/>
    <w:rsid w:val="00A4046C"/>
    <w:rsid w:val="00A4075C"/>
    <w:rsid w:val="00A40D48"/>
    <w:rsid w:val="00A4132A"/>
    <w:rsid w:val="00A425CE"/>
    <w:rsid w:val="00A43769"/>
    <w:rsid w:val="00A43A3F"/>
    <w:rsid w:val="00A44147"/>
    <w:rsid w:val="00A449C2"/>
    <w:rsid w:val="00A44DCF"/>
    <w:rsid w:val="00A45635"/>
    <w:rsid w:val="00A4597F"/>
    <w:rsid w:val="00A459B2"/>
    <w:rsid w:val="00A45F67"/>
    <w:rsid w:val="00A46219"/>
    <w:rsid w:val="00A46740"/>
    <w:rsid w:val="00A46966"/>
    <w:rsid w:val="00A474AB"/>
    <w:rsid w:val="00A47C63"/>
    <w:rsid w:val="00A47D02"/>
    <w:rsid w:val="00A50D39"/>
    <w:rsid w:val="00A529B5"/>
    <w:rsid w:val="00A52B31"/>
    <w:rsid w:val="00A52F88"/>
    <w:rsid w:val="00A53515"/>
    <w:rsid w:val="00A53E58"/>
    <w:rsid w:val="00A5432C"/>
    <w:rsid w:val="00A547EC"/>
    <w:rsid w:val="00A54879"/>
    <w:rsid w:val="00A55372"/>
    <w:rsid w:val="00A55787"/>
    <w:rsid w:val="00A56F26"/>
    <w:rsid w:val="00A602E4"/>
    <w:rsid w:val="00A60F16"/>
    <w:rsid w:val="00A6104E"/>
    <w:rsid w:val="00A61782"/>
    <w:rsid w:val="00A62652"/>
    <w:rsid w:val="00A62863"/>
    <w:rsid w:val="00A62CAB"/>
    <w:rsid w:val="00A62E55"/>
    <w:rsid w:val="00A63C5F"/>
    <w:rsid w:val="00A64808"/>
    <w:rsid w:val="00A6482A"/>
    <w:rsid w:val="00A6535F"/>
    <w:rsid w:val="00A65853"/>
    <w:rsid w:val="00A65931"/>
    <w:rsid w:val="00A65E68"/>
    <w:rsid w:val="00A665B4"/>
    <w:rsid w:val="00A66E50"/>
    <w:rsid w:val="00A66EAB"/>
    <w:rsid w:val="00A6772D"/>
    <w:rsid w:val="00A70045"/>
    <w:rsid w:val="00A716F5"/>
    <w:rsid w:val="00A71AAF"/>
    <w:rsid w:val="00A71F0F"/>
    <w:rsid w:val="00A72519"/>
    <w:rsid w:val="00A72A57"/>
    <w:rsid w:val="00A72A91"/>
    <w:rsid w:val="00A73227"/>
    <w:rsid w:val="00A73DD4"/>
    <w:rsid w:val="00A74D39"/>
    <w:rsid w:val="00A75214"/>
    <w:rsid w:val="00A768A3"/>
    <w:rsid w:val="00A76951"/>
    <w:rsid w:val="00A76A8E"/>
    <w:rsid w:val="00A76F07"/>
    <w:rsid w:val="00A77041"/>
    <w:rsid w:val="00A77954"/>
    <w:rsid w:val="00A77961"/>
    <w:rsid w:val="00A812B3"/>
    <w:rsid w:val="00A82A3C"/>
    <w:rsid w:val="00A82A82"/>
    <w:rsid w:val="00A82CAA"/>
    <w:rsid w:val="00A83AE2"/>
    <w:rsid w:val="00A8463A"/>
    <w:rsid w:val="00A84AA3"/>
    <w:rsid w:val="00A86EC8"/>
    <w:rsid w:val="00A8727A"/>
    <w:rsid w:val="00A875EC"/>
    <w:rsid w:val="00A87E95"/>
    <w:rsid w:val="00A903B2"/>
    <w:rsid w:val="00A9046C"/>
    <w:rsid w:val="00A92D48"/>
    <w:rsid w:val="00A934AB"/>
    <w:rsid w:val="00A93AAA"/>
    <w:rsid w:val="00A93E50"/>
    <w:rsid w:val="00A94B5D"/>
    <w:rsid w:val="00A955BD"/>
    <w:rsid w:val="00A95B57"/>
    <w:rsid w:val="00A965CC"/>
    <w:rsid w:val="00A966B7"/>
    <w:rsid w:val="00A9726B"/>
    <w:rsid w:val="00A97C0B"/>
    <w:rsid w:val="00AA0773"/>
    <w:rsid w:val="00AA085C"/>
    <w:rsid w:val="00AA0883"/>
    <w:rsid w:val="00AA1902"/>
    <w:rsid w:val="00AA1DA4"/>
    <w:rsid w:val="00AA209F"/>
    <w:rsid w:val="00AA21BA"/>
    <w:rsid w:val="00AA266D"/>
    <w:rsid w:val="00AA2EED"/>
    <w:rsid w:val="00AA3E3E"/>
    <w:rsid w:val="00AA4239"/>
    <w:rsid w:val="00AA42EF"/>
    <w:rsid w:val="00AA4C78"/>
    <w:rsid w:val="00AA4D63"/>
    <w:rsid w:val="00AA4E72"/>
    <w:rsid w:val="00AA4EED"/>
    <w:rsid w:val="00AA6087"/>
    <w:rsid w:val="00AA6AFA"/>
    <w:rsid w:val="00AA6EBC"/>
    <w:rsid w:val="00AA7267"/>
    <w:rsid w:val="00AA7697"/>
    <w:rsid w:val="00AA7753"/>
    <w:rsid w:val="00AA782C"/>
    <w:rsid w:val="00AB0633"/>
    <w:rsid w:val="00AB0A82"/>
    <w:rsid w:val="00AB342B"/>
    <w:rsid w:val="00AB380C"/>
    <w:rsid w:val="00AB422C"/>
    <w:rsid w:val="00AB5101"/>
    <w:rsid w:val="00AB56BF"/>
    <w:rsid w:val="00AB58FD"/>
    <w:rsid w:val="00AB5DBF"/>
    <w:rsid w:val="00AB6BB0"/>
    <w:rsid w:val="00AB7852"/>
    <w:rsid w:val="00AB7912"/>
    <w:rsid w:val="00AC1E73"/>
    <w:rsid w:val="00AC1FD5"/>
    <w:rsid w:val="00AC1FEC"/>
    <w:rsid w:val="00AC200F"/>
    <w:rsid w:val="00AC2100"/>
    <w:rsid w:val="00AC2691"/>
    <w:rsid w:val="00AC297E"/>
    <w:rsid w:val="00AC38D9"/>
    <w:rsid w:val="00AC39E1"/>
    <w:rsid w:val="00AC3AAE"/>
    <w:rsid w:val="00AC4E77"/>
    <w:rsid w:val="00AC572E"/>
    <w:rsid w:val="00AC7784"/>
    <w:rsid w:val="00AC7A6F"/>
    <w:rsid w:val="00AC7AB4"/>
    <w:rsid w:val="00AD02EA"/>
    <w:rsid w:val="00AD056A"/>
    <w:rsid w:val="00AD1696"/>
    <w:rsid w:val="00AD21F2"/>
    <w:rsid w:val="00AD2358"/>
    <w:rsid w:val="00AD3456"/>
    <w:rsid w:val="00AD42C4"/>
    <w:rsid w:val="00AD63BD"/>
    <w:rsid w:val="00AD68F5"/>
    <w:rsid w:val="00AD7171"/>
    <w:rsid w:val="00AD7184"/>
    <w:rsid w:val="00AD771B"/>
    <w:rsid w:val="00AD779E"/>
    <w:rsid w:val="00AD7847"/>
    <w:rsid w:val="00AE0AC3"/>
    <w:rsid w:val="00AE0FB0"/>
    <w:rsid w:val="00AE1563"/>
    <w:rsid w:val="00AE177C"/>
    <w:rsid w:val="00AE2003"/>
    <w:rsid w:val="00AE22CA"/>
    <w:rsid w:val="00AE23DC"/>
    <w:rsid w:val="00AE2471"/>
    <w:rsid w:val="00AE361F"/>
    <w:rsid w:val="00AE3627"/>
    <w:rsid w:val="00AE403C"/>
    <w:rsid w:val="00AE422D"/>
    <w:rsid w:val="00AE42D7"/>
    <w:rsid w:val="00AE4859"/>
    <w:rsid w:val="00AE4B3A"/>
    <w:rsid w:val="00AE5214"/>
    <w:rsid w:val="00AE533B"/>
    <w:rsid w:val="00AE541D"/>
    <w:rsid w:val="00AE5A84"/>
    <w:rsid w:val="00AE5DFF"/>
    <w:rsid w:val="00AE657C"/>
    <w:rsid w:val="00AE71C6"/>
    <w:rsid w:val="00AE76B3"/>
    <w:rsid w:val="00AE7FD4"/>
    <w:rsid w:val="00AF022C"/>
    <w:rsid w:val="00AF1760"/>
    <w:rsid w:val="00AF1D19"/>
    <w:rsid w:val="00AF23C4"/>
    <w:rsid w:val="00AF2AFA"/>
    <w:rsid w:val="00AF2D9A"/>
    <w:rsid w:val="00AF4BEE"/>
    <w:rsid w:val="00AF5163"/>
    <w:rsid w:val="00AF6F0A"/>
    <w:rsid w:val="00AF7E27"/>
    <w:rsid w:val="00AF7F4C"/>
    <w:rsid w:val="00AF7FC7"/>
    <w:rsid w:val="00B004AA"/>
    <w:rsid w:val="00B010F8"/>
    <w:rsid w:val="00B011E2"/>
    <w:rsid w:val="00B013FC"/>
    <w:rsid w:val="00B01EF1"/>
    <w:rsid w:val="00B026A0"/>
    <w:rsid w:val="00B02A49"/>
    <w:rsid w:val="00B032B4"/>
    <w:rsid w:val="00B0358D"/>
    <w:rsid w:val="00B042D6"/>
    <w:rsid w:val="00B05716"/>
    <w:rsid w:val="00B05972"/>
    <w:rsid w:val="00B05B2D"/>
    <w:rsid w:val="00B06862"/>
    <w:rsid w:val="00B06B7B"/>
    <w:rsid w:val="00B10BC1"/>
    <w:rsid w:val="00B10E4E"/>
    <w:rsid w:val="00B11D7E"/>
    <w:rsid w:val="00B127D3"/>
    <w:rsid w:val="00B12BD7"/>
    <w:rsid w:val="00B12E61"/>
    <w:rsid w:val="00B14256"/>
    <w:rsid w:val="00B14DB8"/>
    <w:rsid w:val="00B17082"/>
    <w:rsid w:val="00B1771B"/>
    <w:rsid w:val="00B17769"/>
    <w:rsid w:val="00B20A5B"/>
    <w:rsid w:val="00B20C3F"/>
    <w:rsid w:val="00B22A95"/>
    <w:rsid w:val="00B2343C"/>
    <w:rsid w:val="00B241B4"/>
    <w:rsid w:val="00B24FF8"/>
    <w:rsid w:val="00B252FF"/>
    <w:rsid w:val="00B25942"/>
    <w:rsid w:val="00B25AAA"/>
    <w:rsid w:val="00B25C26"/>
    <w:rsid w:val="00B261B5"/>
    <w:rsid w:val="00B27B15"/>
    <w:rsid w:val="00B30A25"/>
    <w:rsid w:val="00B30B8B"/>
    <w:rsid w:val="00B31910"/>
    <w:rsid w:val="00B34022"/>
    <w:rsid w:val="00B342A9"/>
    <w:rsid w:val="00B35AA0"/>
    <w:rsid w:val="00B35CC6"/>
    <w:rsid w:val="00B35E2D"/>
    <w:rsid w:val="00B36648"/>
    <w:rsid w:val="00B367BE"/>
    <w:rsid w:val="00B36A69"/>
    <w:rsid w:val="00B37A34"/>
    <w:rsid w:val="00B37AB7"/>
    <w:rsid w:val="00B37E37"/>
    <w:rsid w:val="00B40296"/>
    <w:rsid w:val="00B40DB1"/>
    <w:rsid w:val="00B4170D"/>
    <w:rsid w:val="00B432CA"/>
    <w:rsid w:val="00B439E6"/>
    <w:rsid w:val="00B43F10"/>
    <w:rsid w:val="00B44382"/>
    <w:rsid w:val="00B44876"/>
    <w:rsid w:val="00B44973"/>
    <w:rsid w:val="00B44E93"/>
    <w:rsid w:val="00B45BB7"/>
    <w:rsid w:val="00B45D83"/>
    <w:rsid w:val="00B47408"/>
    <w:rsid w:val="00B47F33"/>
    <w:rsid w:val="00B47F5D"/>
    <w:rsid w:val="00B50040"/>
    <w:rsid w:val="00B50D4E"/>
    <w:rsid w:val="00B51BFA"/>
    <w:rsid w:val="00B52585"/>
    <w:rsid w:val="00B525A2"/>
    <w:rsid w:val="00B52688"/>
    <w:rsid w:val="00B52C79"/>
    <w:rsid w:val="00B52DF8"/>
    <w:rsid w:val="00B52E07"/>
    <w:rsid w:val="00B53386"/>
    <w:rsid w:val="00B53D22"/>
    <w:rsid w:val="00B53D59"/>
    <w:rsid w:val="00B54078"/>
    <w:rsid w:val="00B54219"/>
    <w:rsid w:val="00B54A09"/>
    <w:rsid w:val="00B5551B"/>
    <w:rsid w:val="00B55FF3"/>
    <w:rsid w:val="00B57DEE"/>
    <w:rsid w:val="00B616D6"/>
    <w:rsid w:val="00B61763"/>
    <w:rsid w:val="00B62BC6"/>
    <w:rsid w:val="00B632C0"/>
    <w:rsid w:val="00B6426C"/>
    <w:rsid w:val="00B646E9"/>
    <w:rsid w:val="00B6496B"/>
    <w:rsid w:val="00B65113"/>
    <w:rsid w:val="00B65837"/>
    <w:rsid w:val="00B673DB"/>
    <w:rsid w:val="00B67C75"/>
    <w:rsid w:val="00B67F8A"/>
    <w:rsid w:val="00B701AC"/>
    <w:rsid w:val="00B70E14"/>
    <w:rsid w:val="00B7276E"/>
    <w:rsid w:val="00B72C45"/>
    <w:rsid w:val="00B73B75"/>
    <w:rsid w:val="00B74970"/>
    <w:rsid w:val="00B7561C"/>
    <w:rsid w:val="00B76187"/>
    <w:rsid w:val="00B761D9"/>
    <w:rsid w:val="00B77A2C"/>
    <w:rsid w:val="00B77AB0"/>
    <w:rsid w:val="00B80047"/>
    <w:rsid w:val="00B80979"/>
    <w:rsid w:val="00B819A9"/>
    <w:rsid w:val="00B81C74"/>
    <w:rsid w:val="00B822AC"/>
    <w:rsid w:val="00B824F2"/>
    <w:rsid w:val="00B831D5"/>
    <w:rsid w:val="00B8455F"/>
    <w:rsid w:val="00B847EE"/>
    <w:rsid w:val="00B84F36"/>
    <w:rsid w:val="00B85334"/>
    <w:rsid w:val="00B854B0"/>
    <w:rsid w:val="00B85E1F"/>
    <w:rsid w:val="00B86697"/>
    <w:rsid w:val="00B87AB5"/>
    <w:rsid w:val="00B9092B"/>
    <w:rsid w:val="00B90C4F"/>
    <w:rsid w:val="00B91A5D"/>
    <w:rsid w:val="00B91B28"/>
    <w:rsid w:val="00B91D18"/>
    <w:rsid w:val="00B9216A"/>
    <w:rsid w:val="00B92407"/>
    <w:rsid w:val="00B936BF"/>
    <w:rsid w:val="00B937BD"/>
    <w:rsid w:val="00B9577A"/>
    <w:rsid w:val="00B95B1E"/>
    <w:rsid w:val="00B96FC2"/>
    <w:rsid w:val="00B976D8"/>
    <w:rsid w:val="00B9775C"/>
    <w:rsid w:val="00B97F9F"/>
    <w:rsid w:val="00BA07F1"/>
    <w:rsid w:val="00BA09EF"/>
    <w:rsid w:val="00BA0B52"/>
    <w:rsid w:val="00BA15E4"/>
    <w:rsid w:val="00BA1AB2"/>
    <w:rsid w:val="00BA21FF"/>
    <w:rsid w:val="00BA2D6C"/>
    <w:rsid w:val="00BA3014"/>
    <w:rsid w:val="00BA577D"/>
    <w:rsid w:val="00BB0529"/>
    <w:rsid w:val="00BB0641"/>
    <w:rsid w:val="00BB1096"/>
    <w:rsid w:val="00BB16B3"/>
    <w:rsid w:val="00BB1C1D"/>
    <w:rsid w:val="00BB1CAD"/>
    <w:rsid w:val="00BB1F78"/>
    <w:rsid w:val="00BB2331"/>
    <w:rsid w:val="00BB35F0"/>
    <w:rsid w:val="00BB38DC"/>
    <w:rsid w:val="00BB3BEA"/>
    <w:rsid w:val="00BB3EB1"/>
    <w:rsid w:val="00BB3F78"/>
    <w:rsid w:val="00BB4406"/>
    <w:rsid w:val="00BB59E2"/>
    <w:rsid w:val="00BB74F2"/>
    <w:rsid w:val="00BB7CEC"/>
    <w:rsid w:val="00BC0409"/>
    <w:rsid w:val="00BC148B"/>
    <w:rsid w:val="00BC169D"/>
    <w:rsid w:val="00BC19AB"/>
    <w:rsid w:val="00BC28C1"/>
    <w:rsid w:val="00BC2A0B"/>
    <w:rsid w:val="00BC341D"/>
    <w:rsid w:val="00BC528E"/>
    <w:rsid w:val="00BC5755"/>
    <w:rsid w:val="00BC5CA6"/>
    <w:rsid w:val="00BC5E00"/>
    <w:rsid w:val="00BC64F9"/>
    <w:rsid w:val="00BC78BA"/>
    <w:rsid w:val="00BC7A7C"/>
    <w:rsid w:val="00BD0C7B"/>
    <w:rsid w:val="00BD1296"/>
    <w:rsid w:val="00BD17F0"/>
    <w:rsid w:val="00BD2E83"/>
    <w:rsid w:val="00BD3A5B"/>
    <w:rsid w:val="00BD3DCC"/>
    <w:rsid w:val="00BD5055"/>
    <w:rsid w:val="00BD57D3"/>
    <w:rsid w:val="00BD5B91"/>
    <w:rsid w:val="00BD5E13"/>
    <w:rsid w:val="00BD6D88"/>
    <w:rsid w:val="00BD6E26"/>
    <w:rsid w:val="00BD73BD"/>
    <w:rsid w:val="00BE0012"/>
    <w:rsid w:val="00BE01BF"/>
    <w:rsid w:val="00BE0628"/>
    <w:rsid w:val="00BE127F"/>
    <w:rsid w:val="00BE154D"/>
    <w:rsid w:val="00BE15BB"/>
    <w:rsid w:val="00BE16E2"/>
    <w:rsid w:val="00BE24E5"/>
    <w:rsid w:val="00BE26F5"/>
    <w:rsid w:val="00BE299A"/>
    <w:rsid w:val="00BE3765"/>
    <w:rsid w:val="00BE3970"/>
    <w:rsid w:val="00BE3FE8"/>
    <w:rsid w:val="00BE45B4"/>
    <w:rsid w:val="00BE576F"/>
    <w:rsid w:val="00BE65C1"/>
    <w:rsid w:val="00BE6650"/>
    <w:rsid w:val="00BE7817"/>
    <w:rsid w:val="00BE7DE4"/>
    <w:rsid w:val="00BF08C7"/>
    <w:rsid w:val="00BF0F3C"/>
    <w:rsid w:val="00BF1DA4"/>
    <w:rsid w:val="00BF1F22"/>
    <w:rsid w:val="00BF1F6F"/>
    <w:rsid w:val="00BF2033"/>
    <w:rsid w:val="00BF2601"/>
    <w:rsid w:val="00BF2604"/>
    <w:rsid w:val="00BF26DE"/>
    <w:rsid w:val="00BF3806"/>
    <w:rsid w:val="00BF3D22"/>
    <w:rsid w:val="00BF3F0B"/>
    <w:rsid w:val="00BF4518"/>
    <w:rsid w:val="00BF4A4B"/>
    <w:rsid w:val="00BF5DB5"/>
    <w:rsid w:val="00BF6B33"/>
    <w:rsid w:val="00BF737A"/>
    <w:rsid w:val="00BF7E29"/>
    <w:rsid w:val="00C00380"/>
    <w:rsid w:val="00C007CC"/>
    <w:rsid w:val="00C01B02"/>
    <w:rsid w:val="00C02BB6"/>
    <w:rsid w:val="00C02EFF"/>
    <w:rsid w:val="00C02FB0"/>
    <w:rsid w:val="00C03483"/>
    <w:rsid w:val="00C03926"/>
    <w:rsid w:val="00C0396C"/>
    <w:rsid w:val="00C03970"/>
    <w:rsid w:val="00C039E1"/>
    <w:rsid w:val="00C04874"/>
    <w:rsid w:val="00C05E78"/>
    <w:rsid w:val="00C06296"/>
    <w:rsid w:val="00C06729"/>
    <w:rsid w:val="00C06779"/>
    <w:rsid w:val="00C07E36"/>
    <w:rsid w:val="00C07EA4"/>
    <w:rsid w:val="00C102CF"/>
    <w:rsid w:val="00C114F9"/>
    <w:rsid w:val="00C139D4"/>
    <w:rsid w:val="00C13D09"/>
    <w:rsid w:val="00C14346"/>
    <w:rsid w:val="00C14F72"/>
    <w:rsid w:val="00C1560E"/>
    <w:rsid w:val="00C158D1"/>
    <w:rsid w:val="00C15B6D"/>
    <w:rsid w:val="00C1605B"/>
    <w:rsid w:val="00C179D7"/>
    <w:rsid w:val="00C17A55"/>
    <w:rsid w:val="00C2144A"/>
    <w:rsid w:val="00C21552"/>
    <w:rsid w:val="00C2249D"/>
    <w:rsid w:val="00C22EA0"/>
    <w:rsid w:val="00C2499F"/>
    <w:rsid w:val="00C24E27"/>
    <w:rsid w:val="00C25B02"/>
    <w:rsid w:val="00C26454"/>
    <w:rsid w:val="00C275A7"/>
    <w:rsid w:val="00C27DDE"/>
    <w:rsid w:val="00C27E26"/>
    <w:rsid w:val="00C3048D"/>
    <w:rsid w:val="00C307CB"/>
    <w:rsid w:val="00C30D75"/>
    <w:rsid w:val="00C3412F"/>
    <w:rsid w:val="00C35522"/>
    <w:rsid w:val="00C36212"/>
    <w:rsid w:val="00C363E2"/>
    <w:rsid w:val="00C368A8"/>
    <w:rsid w:val="00C36DC5"/>
    <w:rsid w:val="00C36F34"/>
    <w:rsid w:val="00C36F70"/>
    <w:rsid w:val="00C37560"/>
    <w:rsid w:val="00C37622"/>
    <w:rsid w:val="00C37A29"/>
    <w:rsid w:val="00C40349"/>
    <w:rsid w:val="00C406FD"/>
    <w:rsid w:val="00C407DC"/>
    <w:rsid w:val="00C41DB7"/>
    <w:rsid w:val="00C42F23"/>
    <w:rsid w:val="00C433BD"/>
    <w:rsid w:val="00C43A5B"/>
    <w:rsid w:val="00C45147"/>
    <w:rsid w:val="00C458A1"/>
    <w:rsid w:val="00C46C0A"/>
    <w:rsid w:val="00C4708D"/>
    <w:rsid w:val="00C4721E"/>
    <w:rsid w:val="00C47A30"/>
    <w:rsid w:val="00C47D97"/>
    <w:rsid w:val="00C502B6"/>
    <w:rsid w:val="00C508FA"/>
    <w:rsid w:val="00C50C41"/>
    <w:rsid w:val="00C50CD9"/>
    <w:rsid w:val="00C517C2"/>
    <w:rsid w:val="00C51EF3"/>
    <w:rsid w:val="00C52D54"/>
    <w:rsid w:val="00C5315E"/>
    <w:rsid w:val="00C53381"/>
    <w:rsid w:val="00C53D19"/>
    <w:rsid w:val="00C542D1"/>
    <w:rsid w:val="00C55110"/>
    <w:rsid w:val="00C5572C"/>
    <w:rsid w:val="00C559B3"/>
    <w:rsid w:val="00C55CB9"/>
    <w:rsid w:val="00C55CEC"/>
    <w:rsid w:val="00C56270"/>
    <w:rsid w:val="00C56527"/>
    <w:rsid w:val="00C571F5"/>
    <w:rsid w:val="00C577F1"/>
    <w:rsid w:val="00C57DB9"/>
    <w:rsid w:val="00C60374"/>
    <w:rsid w:val="00C604DC"/>
    <w:rsid w:val="00C606BE"/>
    <w:rsid w:val="00C60ECF"/>
    <w:rsid w:val="00C610E7"/>
    <w:rsid w:val="00C6137F"/>
    <w:rsid w:val="00C61E67"/>
    <w:rsid w:val="00C622A4"/>
    <w:rsid w:val="00C6234D"/>
    <w:rsid w:val="00C62A27"/>
    <w:rsid w:val="00C62C50"/>
    <w:rsid w:val="00C632BC"/>
    <w:rsid w:val="00C63DB7"/>
    <w:rsid w:val="00C640AD"/>
    <w:rsid w:val="00C6472A"/>
    <w:rsid w:val="00C64ABD"/>
    <w:rsid w:val="00C66915"/>
    <w:rsid w:val="00C66B40"/>
    <w:rsid w:val="00C7165E"/>
    <w:rsid w:val="00C71726"/>
    <w:rsid w:val="00C72E6C"/>
    <w:rsid w:val="00C73041"/>
    <w:rsid w:val="00C74470"/>
    <w:rsid w:val="00C747EA"/>
    <w:rsid w:val="00C75E66"/>
    <w:rsid w:val="00C76CCE"/>
    <w:rsid w:val="00C77A4B"/>
    <w:rsid w:val="00C805E9"/>
    <w:rsid w:val="00C80988"/>
    <w:rsid w:val="00C80D2A"/>
    <w:rsid w:val="00C8116D"/>
    <w:rsid w:val="00C813D7"/>
    <w:rsid w:val="00C81589"/>
    <w:rsid w:val="00C815D0"/>
    <w:rsid w:val="00C817E6"/>
    <w:rsid w:val="00C82AD1"/>
    <w:rsid w:val="00C8377D"/>
    <w:rsid w:val="00C83925"/>
    <w:rsid w:val="00C85154"/>
    <w:rsid w:val="00C85642"/>
    <w:rsid w:val="00C856D3"/>
    <w:rsid w:val="00C857D7"/>
    <w:rsid w:val="00C859D7"/>
    <w:rsid w:val="00C86559"/>
    <w:rsid w:val="00C866CF"/>
    <w:rsid w:val="00C8674D"/>
    <w:rsid w:val="00C90884"/>
    <w:rsid w:val="00C916D5"/>
    <w:rsid w:val="00C91A27"/>
    <w:rsid w:val="00C93400"/>
    <w:rsid w:val="00C93B55"/>
    <w:rsid w:val="00C93B7C"/>
    <w:rsid w:val="00C93C7D"/>
    <w:rsid w:val="00C942DB"/>
    <w:rsid w:val="00C943C2"/>
    <w:rsid w:val="00C945E6"/>
    <w:rsid w:val="00C95037"/>
    <w:rsid w:val="00C951F9"/>
    <w:rsid w:val="00C958E9"/>
    <w:rsid w:val="00C960BC"/>
    <w:rsid w:val="00C968A6"/>
    <w:rsid w:val="00C969E6"/>
    <w:rsid w:val="00C974AF"/>
    <w:rsid w:val="00C975E4"/>
    <w:rsid w:val="00C977F7"/>
    <w:rsid w:val="00CA010D"/>
    <w:rsid w:val="00CA078A"/>
    <w:rsid w:val="00CA084F"/>
    <w:rsid w:val="00CA0B41"/>
    <w:rsid w:val="00CA1D07"/>
    <w:rsid w:val="00CA22E8"/>
    <w:rsid w:val="00CA2379"/>
    <w:rsid w:val="00CA24D4"/>
    <w:rsid w:val="00CA2980"/>
    <w:rsid w:val="00CA3C5F"/>
    <w:rsid w:val="00CA4219"/>
    <w:rsid w:val="00CA4279"/>
    <w:rsid w:val="00CA4643"/>
    <w:rsid w:val="00CA57DB"/>
    <w:rsid w:val="00CA58D6"/>
    <w:rsid w:val="00CA6232"/>
    <w:rsid w:val="00CA6C60"/>
    <w:rsid w:val="00CB029B"/>
    <w:rsid w:val="00CB0781"/>
    <w:rsid w:val="00CB0FD5"/>
    <w:rsid w:val="00CB124F"/>
    <w:rsid w:val="00CB37DA"/>
    <w:rsid w:val="00CB460E"/>
    <w:rsid w:val="00CB4616"/>
    <w:rsid w:val="00CB477D"/>
    <w:rsid w:val="00CB49CE"/>
    <w:rsid w:val="00CB5C80"/>
    <w:rsid w:val="00CB5D7A"/>
    <w:rsid w:val="00CB6299"/>
    <w:rsid w:val="00CB7390"/>
    <w:rsid w:val="00CB760E"/>
    <w:rsid w:val="00CB7898"/>
    <w:rsid w:val="00CC0F4A"/>
    <w:rsid w:val="00CC114A"/>
    <w:rsid w:val="00CC15A7"/>
    <w:rsid w:val="00CC2999"/>
    <w:rsid w:val="00CC30D5"/>
    <w:rsid w:val="00CC3535"/>
    <w:rsid w:val="00CC3674"/>
    <w:rsid w:val="00CC3945"/>
    <w:rsid w:val="00CC3EBC"/>
    <w:rsid w:val="00CC4DAE"/>
    <w:rsid w:val="00CC585B"/>
    <w:rsid w:val="00CC5AC2"/>
    <w:rsid w:val="00CC5CB4"/>
    <w:rsid w:val="00CC693C"/>
    <w:rsid w:val="00CC69DB"/>
    <w:rsid w:val="00CC7AEC"/>
    <w:rsid w:val="00CC7E03"/>
    <w:rsid w:val="00CC7EA7"/>
    <w:rsid w:val="00CD1566"/>
    <w:rsid w:val="00CD161F"/>
    <w:rsid w:val="00CD1CAE"/>
    <w:rsid w:val="00CD22EB"/>
    <w:rsid w:val="00CD2545"/>
    <w:rsid w:val="00CD28EF"/>
    <w:rsid w:val="00CD2C54"/>
    <w:rsid w:val="00CD3757"/>
    <w:rsid w:val="00CD378D"/>
    <w:rsid w:val="00CD39D6"/>
    <w:rsid w:val="00CD41F0"/>
    <w:rsid w:val="00CD4B49"/>
    <w:rsid w:val="00CD4F06"/>
    <w:rsid w:val="00CD6260"/>
    <w:rsid w:val="00CD6554"/>
    <w:rsid w:val="00CD7121"/>
    <w:rsid w:val="00CD7A9A"/>
    <w:rsid w:val="00CE0605"/>
    <w:rsid w:val="00CE0E83"/>
    <w:rsid w:val="00CE0F42"/>
    <w:rsid w:val="00CE1462"/>
    <w:rsid w:val="00CE154A"/>
    <w:rsid w:val="00CE15B9"/>
    <w:rsid w:val="00CE1C40"/>
    <w:rsid w:val="00CE326A"/>
    <w:rsid w:val="00CE55B3"/>
    <w:rsid w:val="00CE564D"/>
    <w:rsid w:val="00CE5ACA"/>
    <w:rsid w:val="00CE6197"/>
    <w:rsid w:val="00CE62D3"/>
    <w:rsid w:val="00CE6B92"/>
    <w:rsid w:val="00CE7064"/>
    <w:rsid w:val="00CE74D1"/>
    <w:rsid w:val="00CE78D2"/>
    <w:rsid w:val="00CF0570"/>
    <w:rsid w:val="00CF1CFF"/>
    <w:rsid w:val="00CF3FAE"/>
    <w:rsid w:val="00CF4688"/>
    <w:rsid w:val="00CF48AF"/>
    <w:rsid w:val="00CF4B48"/>
    <w:rsid w:val="00CF51F2"/>
    <w:rsid w:val="00CF54E4"/>
    <w:rsid w:val="00CF5556"/>
    <w:rsid w:val="00CF576E"/>
    <w:rsid w:val="00CF58B8"/>
    <w:rsid w:val="00CF5A4E"/>
    <w:rsid w:val="00CF5F67"/>
    <w:rsid w:val="00CF7ACC"/>
    <w:rsid w:val="00CF7B27"/>
    <w:rsid w:val="00CF7CC4"/>
    <w:rsid w:val="00CF7EC6"/>
    <w:rsid w:val="00CF7FB7"/>
    <w:rsid w:val="00D00521"/>
    <w:rsid w:val="00D0060D"/>
    <w:rsid w:val="00D01351"/>
    <w:rsid w:val="00D03993"/>
    <w:rsid w:val="00D0414D"/>
    <w:rsid w:val="00D048A4"/>
    <w:rsid w:val="00D04936"/>
    <w:rsid w:val="00D04EA8"/>
    <w:rsid w:val="00D050FE"/>
    <w:rsid w:val="00D0513B"/>
    <w:rsid w:val="00D05C50"/>
    <w:rsid w:val="00D0693D"/>
    <w:rsid w:val="00D069FE"/>
    <w:rsid w:val="00D113FA"/>
    <w:rsid w:val="00D116AD"/>
    <w:rsid w:val="00D120B1"/>
    <w:rsid w:val="00D120F0"/>
    <w:rsid w:val="00D124EB"/>
    <w:rsid w:val="00D12A1B"/>
    <w:rsid w:val="00D14174"/>
    <w:rsid w:val="00D14F43"/>
    <w:rsid w:val="00D151BA"/>
    <w:rsid w:val="00D1556D"/>
    <w:rsid w:val="00D15709"/>
    <w:rsid w:val="00D15BAF"/>
    <w:rsid w:val="00D1691B"/>
    <w:rsid w:val="00D20B52"/>
    <w:rsid w:val="00D228AE"/>
    <w:rsid w:val="00D24DCC"/>
    <w:rsid w:val="00D24FF5"/>
    <w:rsid w:val="00D25429"/>
    <w:rsid w:val="00D264B5"/>
    <w:rsid w:val="00D26829"/>
    <w:rsid w:val="00D27C02"/>
    <w:rsid w:val="00D308EE"/>
    <w:rsid w:val="00D30E23"/>
    <w:rsid w:val="00D3106D"/>
    <w:rsid w:val="00D3238F"/>
    <w:rsid w:val="00D323A4"/>
    <w:rsid w:val="00D327D5"/>
    <w:rsid w:val="00D328F3"/>
    <w:rsid w:val="00D33912"/>
    <w:rsid w:val="00D348CE"/>
    <w:rsid w:val="00D34AB5"/>
    <w:rsid w:val="00D34F0B"/>
    <w:rsid w:val="00D350A2"/>
    <w:rsid w:val="00D357DD"/>
    <w:rsid w:val="00D35C10"/>
    <w:rsid w:val="00D365B0"/>
    <w:rsid w:val="00D36CC9"/>
    <w:rsid w:val="00D37958"/>
    <w:rsid w:val="00D37A8C"/>
    <w:rsid w:val="00D400FB"/>
    <w:rsid w:val="00D4185C"/>
    <w:rsid w:val="00D426FA"/>
    <w:rsid w:val="00D4282C"/>
    <w:rsid w:val="00D42F8D"/>
    <w:rsid w:val="00D435B5"/>
    <w:rsid w:val="00D43A78"/>
    <w:rsid w:val="00D43BE6"/>
    <w:rsid w:val="00D43EF1"/>
    <w:rsid w:val="00D443A8"/>
    <w:rsid w:val="00D4472C"/>
    <w:rsid w:val="00D456F3"/>
    <w:rsid w:val="00D46DB2"/>
    <w:rsid w:val="00D4733E"/>
    <w:rsid w:val="00D4778F"/>
    <w:rsid w:val="00D47B02"/>
    <w:rsid w:val="00D47CD4"/>
    <w:rsid w:val="00D50021"/>
    <w:rsid w:val="00D5077B"/>
    <w:rsid w:val="00D50AED"/>
    <w:rsid w:val="00D50EFA"/>
    <w:rsid w:val="00D518D7"/>
    <w:rsid w:val="00D5216C"/>
    <w:rsid w:val="00D527D1"/>
    <w:rsid w:val="00D534EE"/>
    <w:rsid w:val="00D53966"/>
    <w:rsid w:val="00D53AFC"/>
    <w:rsid w:val="00D54A43"/>
    <w:rsid w:val="00D55045"/>
    <w:rsid w:val="00D566B8"/>
    <w:rsid w:val="00D56A73"/>
    <w:rsid w:val="00D56CD0"/>
    <w:rsid w:val="00D56E80"/>
    <w:rsid w:val="00D57428"/>
    <w:rsid w:val="00D57552"/>
    <w:rsid w:val="00D579A3"/>
    <w:rsid w:val="00D57AED"/>
    <w:rsid w:val="00D60748"/>
    <w:rsid w:val="00D60A20"/>
    <w:rsid w:val="00D61151"/>
    <w:rsid w:val="00D61418"/>
    <w:rsid w:val="00D620E7"/>
    <w:rsid w:val="00D62A6A"/>
    <w:rsid w:val="00D62BFB"/>
    <w:rsid w:val="00D63030"/>
    <w:rsid w:val="00D63303"/>
    <w:rsid w:val="00D63B68"/>
    <w:rsid w:val="00D63CFA"/>
    <w:rsid w:val="00D63E75"/>
    <w:rsid w:val="00D644E9"/>
    <w:rsid w:val="00D64739"/>
    <w:rsid w:val="00D649FD"/>
    <w:rsid w:val="00D65932"/>
    <w:rsid w:val="00D65DF2"/>
    <w:rsid w:val="00D675F9"/>
    <w:rsid w:val="00D67D59"/>
    <w:rsid w:val="00D70683"/>
    <w:rsid w:val="00D70755"/>
    <w:rsid w:val="00D72063"/>
    <w:rsid w:val="00D730BA"/>
    <w:rsid w:val="00D732C6"/>
    <w:rsid w:val="00D74325"/>
    <w:rsid w:val="00D74953"/>
    <w:rsid w:val="00D7536F"/>
    <w:rsid w:val="00D7564B"/>
    <w:rsid w:val="00D758FB"/>
    <w:rsid w:val="00D75963"/>
    <w:rsid w:val="00D76093"/>
    <w:rsid w:val="00D7635C"/>
    <w:rsid w:val="00D767BC"/>
    <w:rsid w:val="00D7799F"/>
    <w:rsid w:val="00D80583"/>
    <w:rsid w:val="00D80A95"/>
    <w:rsid w:val="00D816E7"/>
    <w:rsid w:val="00D820A8"/>
    <w:rsid w:val="00D831CC"/>
    <w:rsid w:val="00D835B6"/>
    <w:rsid w:val="00D84FF4"/>
    <w:rsid w:val="00D85D9D"/>
    <w:rsid w:val="00D8662E"/>
    <w:rsid w:val="00D86C27"/>
    <w:rsid w:val="00D86D14"/>
    <w:rsid w:val="00D86D91"/>
    <w:rsid w:val="00D86E03"/>
    <w:rsid w:val="00D86FA5"/>
    <w:rsid w:val="00D87045"/>
    <w:rsid w:val="00D8723D"/>
    <w:rsid w:val="00D872FF"/>
    <w:rsid w:val="00D87A05"/>
    <w:rsid w:val="00D90E51"/>
    <w:rsid w:val="00D927AC"/>
    <w:rsid w:val="00D938D0"/>
    <w:rsid w:val="00D93CEA"/>
    <w:rsid w:val="00D94D1E"/>
    <w:rsid w:val="00D94FB8"/>
    <w:rsid w:val="00D95CE4"/>
    <w:rsid w:val="00D95E9D"/>
    <w:rsid w:val="00D967D1"/>
    <w:rsid w:val="00D96F7D"/>
    <w:rsid w:val="00D978CD"/>
    <w:rsid w:val="00D97936"/>
    <w:rsid w:val="00D97DCF"/>
    <w:rsid w:val="00DA01D2"/>
    <w:rsid w:val="00DA0474"/>
    <w:rsid w:val="00DA04A1"/>
    <w:rsid w:val="00DA0670"/>
    <w:rsid w:val="00DA2DFD"/>
    <w:rsid w:val="00DA38FA"/>
    <w:rsid w:val="00DA3C13"/>
    <w:rsid w:val="00DA4384"/>
    <w:rsid w:val="00DA5D41"/>
    <w:rsid w:val="00DA6086"/>
    <w:rsid w:val="00DA61D2"/>
    <w:rsid w:val="00DA79D6"/>
    <w:rsid w:val="00DA7D9A"/>
    <w:rsid w:val="00DA7E3C"/>
    <w:rsid w:val="00DB012E"/>
    <w:rsid w:val="00DB02A9"/>
    <w:rsid w:val="00DB0563"/>
    <w:rsid w:val="00DB0945"/>
    <w:rsid w:val="00DB0F94"/>
    <w:rsid w:val="00DB12A4"/>
    <w:rsid w:val="00DB13DA"/>
    <w:rsid w:val="00DB2DD4"/>
    <w:rsid w:val="00DB332F"/>
    <w:rsid w:val="00DB352B"/>
    <w:rsid w:val="00DB37FD"/>
    <w:rsid w:val="00DB4206"/>
    <w:rsid w:val="00DB44EC"/>
    <w:rsid w:val="00DB4B14"/>
    <w:rsid w:val="00DB5114"/>
    <w:rsid w:val="00DB539C"/>
    <w:rsid w:val="00DB5830"/>
    <w:rsid w:val="00DB5898"/>
    <w:rsid w:val="00DB5FB0"/>
    <w:rsid w:val="00DB62C2"/>
    <w:rsid w:val="00DB631A"/>
    <w:rsid w:val="00DB678E"/>
    <w:rsid w:val="00DB7182"/>
    <w:rsid w:val="00DC0C37"/>
    <w:rsid w:val="00DC0DA9"/>
    <w:rsid w:val="00DC0F09"/>
    <w:rsid w:val="00DC149B"/>
    <w:rsid w:val="00DC24CF"/>
    <w:rsid w:val="00DC2922"/>
    <w:rsid w:val="00DC2A52"/>
    <w:rsid w:val="00DC2CA6"/>
    <w:rsid w:val="00DC334C"/>
    <w:rsid w:val="00DC345C"/>
    <w:rsid w:val="00DC37C9"/>
    <w:rsid w:val="00DC3EB5"/>
    <w:rsid w:val="00DC3F32"/>
    <w:rsid w:val="00DC40B1"/>
    <w:rsid w:val="00DC5466"/>
    <w:rsid w:val="00DC5972"/>
    <w:rsid w:val="00DC623A"/>
    <w:rsid w:val="00DC6809"/>
    <w:rsid w:val="00DC6BF5"/>
    <w:rsid w:val="00DC6FBE"/>
    <w:rsid w:val="00DC7094"/>
    <w:rsid w:val="00DC7DAD"/>
    <w:rsid w:val="00DD0926"/>
    <w:rsid w:val="00DD0DA2"/>
    <w:rsid w:val="00DD1102"/>
    <w:rsid w:val="00DD1444"/>
    <w:rsid w:val="00DD16F2"/>
    <w:rsid w:val="00DD2192"/>
    <w:rsid w:val="00DD2711"/>
    <w:rsid w:val="00DD2724"/>
    <w:rsid w:val="00DD398D"/>
    <w:rsid w:val="00DD3B2E"/>
    <w:rsid w:val="00DD3F1D"/>
    <w:rsid w:val="00DD601A"/>
    <w:rsid w:val="00DD6042"/>
    <w:rsid w:val="00DD77FD"/>
    <w:rsid w:val="00DD782A"/>
    <w:rsid w:val="00DD7A25"/>
    <w:rsid w:val="00DD7B21"/>
    <w:rsid w:val="00DE253B"/>
    <w:rsid w:val="00DE3372"/>
    <w:rsid w:val="00DE3D74"/>
    <w:rsid w:val="00DE3DE8"/>
    <w:rsid w:val="00DE3F9B"/>
    <w:rsid w:val="00DE413D"/>
    <w:rsid w:val="00DE468C"/>
    <w:rsid w:val="00DE4D75"/>
    <w:rsid w:val="00DE53E9"/>
    <w:rsid w:val="00DE65F7"/>
    <w:rsid w:val="00DE680A"/>
    <w:rsid w:val="00DE6F74"/>
    <w:rsid w:val="00DE74EB"/>
    <w:rsid w:val="00DE7AD8"/>
    <w:rsid w:val="00DF048B"/>
    <w:rsid w:val="00DF0B79"/>
    <w:rsid w:val="00DF0D14"/>
    <w:rsid w:val="00DF1473"/>
    <w:rsid w:val="00DF1615"/>
    <w:rsid w:val="00DF16B2"/>
    <w:rsid w:val="00DF243D"/>
    <w:rsid w:val="00DF24FF"/>
    <w:rsid w:val="00DF2560"/>
    <w:rsid w:val="00DF2D29"/>
    <w:rsid w:val="00DF3695"/>
    <w:rsid w:val="00DF397D"/>
    <w:rsid w:val="00DF4079"/>
    <w:rsid w:val="00DF4C45"/>
    <w:rsid w:val="00DF4FA1"/>
    <w:rsid w:val="00DF6FA5"/>
    <w:rsid w:val="00DF70F2"/>
    <w:rsid w:val="00E002D6"/>
    <w:rsid w:val="00E00331"/>
    <w:rsid w:val="00E004CF"/>
    <w:rsid w:val="00E00D8B"/>
    <w:rsid w:val="00E013F9"/>
    <w:rsid w:val="00E0210F"/>
    <w:rsid w:val="00E02FCB"/>
    <w:rsid w:val="00E03315"/>
    <w:rsid w:val="00E03961"/>
    <w:rsid w:val="00E03C06"/>
    <w:rsid w:val="00E03FBC"/>
    <w:rsid w:val="00E04176"/>
    <w:rsid w:val="00E04667"/>
    <w:rsid w:val="00E04729"/>
    <w:rsid w:val="00E05153"/>
    <w:rsid w:val="00E057F3"/>
    <w:rsid w:val="00E065B5"/>
    <w:rsid w:val="00E06909"/>
    <w:rsid w:val="00E06C26"/>
    <w:rsid w:val="00E071BD"/>
    <w:rsid w:val="00E07253"/>
    <w:rsid w:val="00E073F3"/>
    <w:rsid w:val="00E079EF"/>
    <w:rsid w:val="00E07C3E"/>
    <w:rsid w:val="00E10B0F"/>
    <w:rsid w:val="00E12D52"/>
    <w:rsid w:val="00E13019"/>
    <w:rsid w:val="00E13098"/>
    <w:rsid w:val="00E1318A"/>
    <w:rsid w:val="00E1342B"/>
    <w:rsid w:val="00E14DDC"/>
    <w:rsid w:val="00E1696B"/>
    <w:rsid w:val="00E171F8"/>
    <w:rsid w:val="00E206C3"/>
    <w:rsid w:val="00E20A2D"/>
    <w:rsid w:val="00E21AE3"/>
    <w:rsid w:val="00E220C9"/>
    <w:rsid w:val="00E22A54"/>
    <w:rsid w:val="00E22C7D"/>
    <w:rsid w:val="00E23A2D"/>
    <w:rsid w:val="00E23F7C"/>
    <w:rsid w:val="00E26017"/>
    <w:rsid w:val="00E268AF"/>
    <w:rsid w:val="00E26AAC"/>
    <w:rsid w:val="00E270B1"/>
    <w:rsid w:val="00E273E5"/>
    <w:rsid w:val="00E3074B"/>
    <w:rsid w:val="00E30D7A"/>
    <w:rsid w:val="00E32306"/>
    <w:rsid w:val="00E32B97"/>
    <w:rsid w:val="00E33030"/>
    <w:rsid w:val="00E33919"/>
    <w:rsid w:val="00E3394C"/>
    <w:rsid w:val="00E33ED8"/>
    <w:rsid w:val="00E341CA"/>
    <w:rsid w:val="00E35497"/>
    <w:rsid w:val="00E356A1"/>
    <w:rsid w:val="00E35CC6"/>
    <w:rsid w:val="00E37D41"/>
    <w:rsid w:val="00E37F75"/>
    <w:rsid w:val="00E400CF"/>
    <w:rsid w:val="00E40C76"/>
    <w:rsid w:val="00E413B7"/>
    <w:rsid w:val="00E41466"/>
    <w:rsid w:val="00E4173B"/>
    <w:rsid w:val="00E423CB"/>
    <w:rsid w:val="00E426CC"/>
    <w:rsid w:val="00E43028"/>
    <w:rsid w:val="00E435CE"/>
    <w:rsid w:val="00E43BD6"/>
    <w:rsid w:val="00E43E7C"/>
    <w:rsid w:val="00E44263"/>
    <w:rsid w:val="00E44919"/>
    <w:rsid w:val="00E44A51"/>
    <w:rsid w:val="00E44A58"/>
    <w:rsid w:val="00E44C9C"/>
    <w:rsid w:val="00E4500B"/>
    <w:rsid w:val="00E452C5"/>
    <w:rsid w:val="00E465C4"/>
    <w:rsid w:val="00E47468"/>
    <w:rsid w:val="00E47BF2"/>
    <w:rsid w:val="00E47CFD"/>
    <w:rsid w:val="00E50BDF"/>
    <w:rsid w:val="00E50F91"/>
    <w:rsid w:val="00E5119E"/>
    <w:rsid w:val="00E51731"/>
    <w:rsid w:val="00E51953"/>
    <w:rsid w:val="00E52890"/>
    <w:rsid w:val="00E530D5"/>
    <w:rsid w:val="00E53149"/>
    <w:rsid w:val="00E53D44"/>
    <w:rsid w:val="00E54A92"/>
    <w:rsid w:val="00E55509"/>
    <w:rsid w:val="00E55AB9"/>
    <w:rsid w:val="00E55C5E"/>
    <w:rsid w:val="00E55EBC"/>
    <w:rsid w:val="00E562AA"/>
    <w:rsid w:val="00E569B0"/>
    <w:rsid w:val="00E56B64"/>
    <w:rsid w:val="00E56D1D"/>
    <w:rsid w:val="00E5717B"/>
    <w:rsid w:val="00E57615"/>
    <w:rsid w:val="00E57CD0"/>
    <w:rsid w:val="00E57FD3"/>
    <w:rsid w:val="00E6000D"/>
    <w:rsid w:val="00E603B0"/>
    <w:rsid w:val="00E60D28"/>
    <w:rsid w:val="00E6118C"/>
    <w:rsid w:val="00E61FD7"/>
    <w:rsid w:val="00E624FF"/>
    <w:rsid w:val="00E629C2"/>
    <w:rsid w:val="00E62AFE"/>
    <w:rsid w:val="00E62CED"/>
    <w:rsid w:val="00E62D8F"/>
    <w:rsid w:val="00E630EE"/>
    <w:rsid w:val="00E63335"/>
    <w:rsid w:val="00E633F8"/>
    <w:rsid w:val="00E634CF"/>
    <w:rsid w:val="00E638AC"/>
    <w:rsid w:val="00E64F00"/>
    <w:rsid w:val="00E651D8"/>
    <w:rsid w:val="00E67359"/>
    <w:rsid w:val="00E67F46"/>
    <w:rsid w:val="00E7074F"/>
    <w:rsid w:val="00E70C08"/>
    <w:rsid w:val="00E71273"/>
    <w:rsid w:val="00E712DD"/>
    <w:rsid w:val="00E7146B"/>
    <w:rsid w:val="00E7189F"/>
    <w:rsid w:val="00E7244F"/>
    <w:rsid w:val="00E72460"/>
    <w:rsid w:val="00E725B7"/>
    <w:rsid w:val="00E72FFF"/>
    <w:rsid w:val="00E73AD1"/>
    <w:rsid w:val="00E73CF0"/>
    <w:rsid w:val="00E74154"/>
    <w:rsid w:val="00E741FB"/>
    <w:rsid w:val="00E74BA1"/>
    <w:rsid w:val="00E751E3"/>
    <w:rsid w:val="00E753B5"/>
    <w:rsid w:val="00E7555B"/>
    <w:rsid w:val="00E75ADB"/>
    <w:rsid w:val="00E76688"/>
    <w:rsid w:val="00E77431"/>
    <w:rsid w:val="00E7757C"/>
    <w:rsid w:val="00E77985"/>
    <w:rsid w:val="00E80463"/>
    <w:rsid w:val="00E808BE"/>
    <w:rsid w:val="00E8135A"/>
    <w:rsid w:val="00E818E1"/>
    <w:rsid w:val="00E829FD"/>
    <w:rsid w:val="00E83602"/>
    <w:rsid w:val="00E85B95"/>
    <w:rsid w:val="00E863C8"/>
    <w:rsid w:val="00E86892"/>
    <w:rsid w:val="00E86968"/>
    <w:rsid w:val="00E86BE9"/>
    <w:rsid w:val="00E86EB9"/>
    <w:rsid w:val="00E87A2C"/>
    <w:rsid w:val="00E87C08"/>
    <w:rsid w:val="00E90501"/>
    <w:rsid w:val="00E907FA"/>
    <w:rsid w:val="00E9088D"/>
    <w:rsid w:val="00E90DBA"/>
    <w:rsid w:val="00E90EF6"/>
    <w:rsid w:val="00E90F60"/>
    <w:rsid w:val="00E91455"/>
    <w:rsid w:val="00E91A8C"/>
    <w:rsid w:val="00E93561"/>
    <w:rsid w:val="00E9360A"/>
    <w:rsid w:val="00E93B4F"/>
    <w:rsid w:val="00E93E92"/>
    <w:rsid w:val="00E94392"/>
    <w:rsid w:val="00E948B1"/>
    <w:rsid w:val="00E95347"/>
    <w:rsid w:val="00E96041"/>
    <w:rsid w:val="00E97FD1"/>
    <w:rsid w:val="00EA031D"/>
    <w:rsid w:val="00EA0939"/>
    <w:rsid w:val="00EA0BAE"/>
    <w:rsid w:val="00EA0F57"/>
    <w:rsid w:val="00EA13B1"/>
    <w:rsid w:val="00EA1990"/>
    <w:rsid w:val="00EA1C3E"/>
    <w:rsid w:val="00EA213D"/>
    <w:rsid w:val="00EA2A07"/>
    <w:rsid w:val="00EA31BE"/>
    <w:rsid w:val="00EA326B"/>
    <w:rsid w:val="00EA387C"/>
    <w:rsid w:val="00EA4063"/>
    <w:rsid w:val="00EA4428"/>
    <w:rsid w:val="00EA49F7"/>
    <w:rsid w:val="00EA5237"/>
    <w:rsid w:val="00EA526A"/>
    <w:rsid w:val="00EA61B9"/>
    <w:rsid w:val="00EA61E9"/>
    <w:rsid w:val="00EA7BC4"/>
    <w:rsid w:val="00EB0EC8"/>
    <w:rsid w:val="00EB1F26"/>
    <w:rsid w:val="00EB2B1C"/>
    <w:rsid w:val="00EB3A22"/>
    <w:rsid w:val="00EB4285"/>
    <w:rsid w:val="00EB4A9E"/>
    <w:rsid w:val="00EB4B83"/>
    <w:rsid w:val="00EB5E1C"/>
    <w:rsid w:val="00EB6661"/>
    <w:rsid w:val="00EB67D8"/>
    <w:rsid w:val="00EB7B84"/>
    <w:rsid w:val="00EC2DE3"/>
    <w:rsid w:val="00EC3E85"/>
    <w:rsid w:val="00EC51EB"/>
    <w:rsid w:val="00EC52DB"/>
    <w:rsid w:val="00EC5567"/>
    <w:rsid w:val="00EC5585"/>
    <w:rsid w:val="00EC5B00"/>
    <w:rsid w:val="00EC62EB"/>
    <w:rsid w:val="00EC632C"/>
    <w:rsid w:val="00EC680A"/>
    <w:rsid w:val="00EC6DB4"/>
    <w:rsid w:val="00EC7114"/>
    <w:rsid w:val="00EC73CC"/>
    <w:rsid w:val="00EC7EBF"/>
    <w:rsid w:val="00ED0307"/>
    <w:rsid w:val="00ED0CB4"/>
    <w:rsid w:val="00ED0FD3"/>
    <w:rsid w:val="00ED1434"/>
    <w:rsid w:val="00ED17A5"/>
    <w:rsid w:val="00ED1888"/>
    <w:rsid w:val="00ED1B6B"/>
    <w:rsid w:val="00ED28B7"/>
    <w:rsid w:val="00ED2C23"/>
    <w:rsid w:val="00ED3BC0"/>
    <w:rsid w:val="00ED416F"/>
    <w:rsid w:val="00ED4D0B"/>
    <w:rsid w:val="00ED6004"/>
    <w:rsid w:val="00ED6AC3"/>
    <w:rsid w:val="00ED7014"/>
    <w:rsid w:val="00ED739D"/>
    <w:rsid w:val="00ED792E"/>
    <w:rsid w:val="00EE06E1"/>
    <w:rsid w:val="00EE2448"/>
    <w:rsid w:val="00EE2588"/>
    <w:rsid w:val="00EE3AA1"/>
    <w:rsid w:val="00EE3BA1"/>
    <w:rsid w:val="00EE3F75"/>
    <w:rsid w:val="00EE4796"/>
    <w:rsid w:val="00EE4AB8"/>
    <w:rsid w:val="00EE5212"/>
    <w:rsid w:val="00EE5295"/>
    <w:rsid w:val="00EE54C8"/>
    <w:rsid w:val="00EE598A"/>
    <w:rsid w:val="00EE5C66"/>
    <w:rsid w:val="00EE673A"/>
    <w:rsid w:val="00EE705A"/>
    <w:rsid w:val="00EE7FAF"/>
    <w:rsid w:val="00EF090C"/>
    <w:rsid w:val="00EF0D46"/>
    <w:rsid w:val="00EF15E2"/>
    <w:rsid w:val="00EF1C9F"/>
    <w:rsid w:val="00EF1DB1"/>
    <w:rsid w:val="00EF240A"/>
    <w:rsid w:val="00EF279D"/>
    <w:rsid w:val="00EF3E49"/>
    <w:rsid w:val="00EF4A1D"/>
    <w:rsid w:val="00EF5F87"/>
    <w:rsid w:val="00EF6232"/>
    <w:rsid w:val="00EF69C5"/>
    <w:rsid w:val="00EF6BB6"/>
    <w:rsid w:val="00EF76D2"/>
    <w:rsid w:val="00EF791E"/>
    <w:rsid w:val="00F015AF"/>
    <w:rsid w:val="00F01680"/>
    <w:rsid w:val="00F034A2"/>
    <w:rsid w:val="00F03945"/>
    <w:rsid w:val="00F03D7E"/>
    <w:rsid w:val="00F044DB"/>
    <w:rsid w:val="00F049DA"/>
    <w:rsid w:val="00F05186"/>
    <w:rsid w:val="00F06393"/>
    <w:rsid w:val="00F079CD"/>
    <w:rsid w:val="00F07B01"/>
    <w:rsid w:val="00F10383"/>
    <w:rsid w:val="00F108C7"/>
    <w:rsid w:val="00F10A12"/>
    <w:rsid w:val="00F10C43"/>
    <w:rsid w:val="00F11BA4"/>
    <w:rsid w:val="00F11E3D"/>
    <w:rsid w:val="00F1289F"/>
    <w:rsid w:val="00F12958"/>
    <w:rsid w:val="00F13777"/>
    <w:rsid w:val="00F144B2"/>
    <w:rsid w:val="00F14CC8"/>
    <w:rsid w:val="00F153AE"/>
    <w:rsid w:val="00F15668"/>
    <w:rsid w:val="00F156FB"/>
    <w:rsid w:val="00F158F3"/>
    <w:rsid w:val="00F161C0"/>
    <w:rsid w:val="00F16253"/>
    <w:rsid w:val="00F16C0A"/>
    <w:rsid w:val="00F2078C"/>
    <w:rsid w:val="00F21975"/>
    <w:rsid w:val="00F21A51"/>
    <w:rsid w:val="00F22710"/>
    <w:rsid w:val="00F23325"/>
    <w:rsid w:val="00F237BB"/>
    <w:rsid w:val="00F23B37"/>
    <w:rsid w:val="00F24A55"/>
    <w:rsid w:val="00F25EAD"/>
    <w:rsid w:val="00F27EF4"/>
    <w:rsid w:val="00F3017F"/>
    <w:rsid w:val="00F30247"/>
    <w:rsid w:val="00F309A5"/>
    <w:rsid w:val="00F30B5B"/>
    <w:rsid w:val="00F31261"/>
    <w:rsid w:val="00F31D23"/>
    <w:rsid w:val="00F3289A"/>
    <w:rsid w:val="00F32A5B"/>
    <w:rsid w:val="00F34209"/>
    <w:rsid w:val="00F34448"/>
    <w:rsid w:val="00F34EB0"/>
    <w:rsid w:val="00F352A8"/>
    <w:rsid w:val="00F35C73"/>
    <w:rsid w:val="00F36B4F"/>
    <w:rsid w:val="00F3708D"/>
    <w:rsid w:val="00F376F8"/>
    <w:rsid w:val="00F40629"/>
    <w:rsid w:val="00F407B0"/>
    <w:rsid w:val="00F417CE"/>
    <w:rsid w:val="00F41893"/>
    <w:rsid w:val="00F41DB1"/>
    <w:rsid w:val="00F4208E"/>
    <w:rsid w:val="00F4288D"/>
    <w:rsid w:val="00F42DD0"/>
    <w:rsid w:val="00F42FA3"/>
    <w:rsid w:val="00F444A6"/>
    <w:rsid w:val="00F44CC6"/>
    <w:rsid w:val="00F45337"/>
    <w:rsid w:val="00F45A68"/>
    <w:rsid w:val="00F45FD9"/>
    <w:rsid w:val="00F46202"/>
    <w:rsid w:val="00F466BC"/>
    <w:rsid w:val="00F4722E"/>
    <w:rsid w:val="00F47237"/>
    <w:rsid w:val="00F4734C"/>
    <w:rsid w:val="00F47B7C"/>
    <w:rsid w:val="00F47CF0"/>
    <w:rsid w:val="00F47E85"/>
    <w:rsid w:val="00F50D98"/>
    <w:rsid w:val="00F51121"/>
    <w:rsid w:val="00F5154D"/>
    <w:rsid w:val="00F53C5E"/>
    <w:rsid w:val="00F53DB0"/>
    <w:rsid w:val="00F54187"/>
    <w:rsid w:val="00F55FE3"/>
    <w:rsid w:val="00F56E13"/>
    <w:rsid w:val="00F6101C"/>
    <w:rsid w:val="00F612EB"/>
    <w:rsid w:val="00F6140F"/>
    <w:rsid w:val="00F6193F"/>
    <w:rsid w:val="00F619F3"/>
    <w:rsid w:val="00F61BFB"/>
    <w:rsid w:val="00F624EC"/>
    <w:rsid w:val="00F643A6"/>
    <w:rsid w:val="00F64714"/>
    <w:rsid w:val="00F64C6E"/>
    <w:rsid w:val="00F653E6"/>
    <w:rsid w:val="00F666F8"/>
    <w:rsid w:val="00F669D9"/>
    <w:rsid w:val="00F6721B"/>
    <w:rsid w:val="00F67ACE"/>
    <w:rsid w:val="00F71E63"/>
    <w:rsid w:val="00F72035"/>
    <w:rsid w:val="00F72647"/>
    <w:rsid w:val="00F73634"/>
    <w:rsid w:val="00F73DAF"/>
    <w:rsid w:val="00F73F7E"/>
    <w:rsid w:val="00F7425F"/>
    <w:rsid w:val="00F74C67"/>
    <w:rsid w:val="00F751EE"/>
    <w:rsid w:val="00F75477"/>
    <w:rsid w:val="00F75A43"/>
    <w:rsid w:val="00F761A2"/>
    <w:rsid w:val="00F777D4"/>
    <w:rsid w:val="00F77B29"/>
    <w:rsid w:val="00F77EE6"/>
    <w:rsid w:val="00F80453"/>
    <w:rsid w:val="00F821F9"/>
    <w:rsid w:val="00F827C5"/>
    <w:rsid w:val="00F827C8"/>
    <w:rsid w:val="00F82E38"/>
    <w:rsid w:val="00F843A9"/>
    <w:rsid w:val="00F84A5E"/>
    <w:rsid w:val="00F84AE5"/>
    <w:rsid w:val="00F84FAB"/>
    <w:rsid w:val="00F85EF4"/>
    <w:rsid w:val="00F86298"/>
    <w:rsid w:val="00F86394"/>
    <w:rsid w:val="00F86DB1"/>
    <w:rsid w:val="00F8702B"/>
    <w:rsid w:val="00F87822"/>
    <w:rsid w:val="00F87C3B"/>
    <w:rsid w:val="00F900D9"/>
    <w:rsid w:val="00F90247"/>
    <w:rsid w:val="00F90498"/>
    <w:rsid w:val="00F90978"/>
    <w:rsid w:val="00F90C30"/>
    <w:rsid w:val="00F91C16"/>
    <w:rsid w:val="00F925E2"/>
    <w:rsid w:val="00F9291A"/>
    <w:rsid w:val="00F92E1B"/>
    <w:rsid w:val="00F92F48"/>
    <w:rsid w:val="00F938F0"/>
    <w:rsid w:val="00F93C84"/>
    <w:rsid w:val="00F93CFE"/>
    <w:rsid w:val="00F93F6B"/>
    <w:rsid w:val="00F940C9"/>
    <w:rsid w:val="00F9447E"/>
    <w:rsid w:val="00F9457D"/>
    <w:rsid w:val="00F94E63"/>
    <w:rsid w:val="00F94F44"/>
    <w:rsid w:val="00F95141"/>
    <w:rsid w:val="00F954A8"/>
    <w:rsid w:val="00F95956"/>
    <w:rsid w:val="00F95BDF"/>
    <w:rsid w:val="00F965C0"/>
    <w:rsid w:val="00F972E1"/>
    <w:rsid w:val="00FA02DB"/>
    <w:rsid w:val="00FA067D"/>
    <w:rsid w:val="00FA0E94"/>
    <w:rsid w:val="00FA1194"/>
    <w:rsid w:val="00FA12B4"/>
    <w:rsid w:val="00FA1DF0"/>
    <w:rsid w:val="00FA2413"/>
    <w:rsid w:val="00FA25D5"/>
    <w:rsid w:val="00FA2B4F"/>
    <w:rsid w:val="00FA3801"/>
    <w:rsid w:val="00FA3D60"/>
    <w:rsid w:val="00FA4259"/>
    <w:rsid w:val="00FA5289"/>
    <w:rsid w:val="00FA56A9"/>
    <w:rsid w:val="00FA6392"/>
    <w:rsid w:val="00FA6C29"/>
    <w:rsid w:val="00FA6C6F"/>
    <w:rsid w:val="00FB0C92"/>
    <w:rsid w:val="00FB1E94"/>
    <w:rsid w:val="00FB21BB"/>
    <w:rsid w:val="00FB2E5A"/>
    <w:rsid w:val="00FB368C"/>
    <w:rsid w:val="00FB3E0F"/>
    <w:rsid w:val="00FB5005"/>
    <w:rsid w:val="00FB5039"/>
    <w:rsid w:val="00FB5CBA"/>
    <w:rsid w:val="00FB6D46"/>
    <w:rsid w:val="00FB6F18"/>
    <w:rsid w:val="00FB70BF"/>
    <w:rsid w:val="00FB71E2"/>
    <w:rsid w:val="00FB7635"/>
    <w:rsid w:val="00FB7929"/>
    <w:rsid w:val="00FB7DC0"/>
    <w:rsid w:val="00FC070E"/>
    <w:rsid w:val="00FC2AFE"/>
    <w:rsid w:val="00FC2BA7"/>
    <w:rsid w:val="00FC36BD"/>
    <w:rsid w:val="00FC3810"/>
    <w:rsid w:val="00FC3B35"/>
    <w:rsid w:val="00FC3CB6"/>
    <w:rsid w:val="00FC3DEC"/>
    <w:rsid w:val="00FC4198"/>
    <w:rsid w:val="00FC4D3B"/>
    <w:rsid w:val="00FC5093"/>
    <w:rsid w:val="00FC5CBD"/>
    <w:rsid w:val="00FC622C"/>
    <w:rsid w:val="00FC7869"/>
    <w:rsid w:val="00FD0049"/>
    <w:rsid w:val="00FD0398"/>
    <w:rsid w:val="00FD0B76"/>
    <w:rsid w:val="00FD13C2"/>
    <w:rsid w:val="00FD1E63"/>
    <w:rsid w:val="00FD21DD"/>
    <w:rsid w:val="00FD2598"/>
    <w:rsid w:val="00FD35E9"/>
    <w:rsid w:val="00FD3B29"/>
    <w:rsid w:val="00FD3BB9"/>
    <w:rsid w:val="00FD3F37"/>
    <w:rsid w:val="00FD4195"/>
    <w:rsid w:val="00FD43A2"/>
    <w:rsid w:val="00FD4A80"/>
    <w:rsid w:val="00FD51B4"/>
    <w:rsid w:val="00FD5327"/>
    <w:rsid w:val="00FD563C"/>
    <w:rsid w:val="00FD588F"/>
    <w:rsid w:val="00FD6284"/>
    <w:rsid w:val="00FD6AED"/>
    <w:rsid w:val="00FD6C85"/>
    <w:rsid w:val="00FD76B3"/>
    <w:rsid w:val="00FD7C6A"/>
    <w:rsid w:val="00FE01B6"/>
    <w:rsid w:val="00FE0420"/>
    <w:rsid w:val="00FE05A3"/>
    <w:rsid w:val="00FE1070"/>
    <w:rsid w:val="00FE185E"/>
    <w:rsid w:val="00FE1DA4"/>
    <w:rsid w:val="00FE2497"/>
    <w:rsid w:val="00FE3414"/>
    <w:rsid w:val="00FE3DDD"/>
    <w:rsid w:val="00FE3F62"/>
    <w:rsid w:val="00FE432E"/>
    <w:rsid w:val="00FE4660"/>
    <w:rsid w:val="00FE46CB"/>
    <w:rsid w:val="00FE4C47"/>
    <w:rsid w:val="00FE5960"/>
    <w:rsid w:val="00FE6116"/>
    <w:rsid w:val="00FE6771"/>
    <w:rsid w:val="00FE6BA9"/>
    <w:rsid w:val="00FE7CD6"/>
    <w:rsid w:val="00FE7FC4"/>
    <w:rsid w:val="00FF1A46"/>
    <w:rsid w:val="00FF25BC"/>
    <w:rsid w:val="00FF3829"/>
    <w:rsid w:val="00FF385F"/>
    <w:rsid w:val="00FF3904"/>
    <w:rsid w:val="00FF3D21"/>
    <w:rsid w:val="00FF4D4F"/>
    <w:rsid w:val="00FF4DA3"/>
    <w:rsid w:val="00FF59D5"/>
    <w:rsid w:val="00FF5D8C"/>
    <w:rsid w:val="00FF74B4"/>
    <w:rsid w:val="00FF772B"/>
    <w:rsid w:val="00FF7E39"/>
    <w:rsid w:val="00FF7F32"/>
    <w:rsid w:val="00FF7F99"/>
    <w:rsid w:val="04982617"/>
    <w:rsid w:val="06B4089E"/>
    <w:rsid w:val="078CA70A"/>
    <w:rsid w:val="078E617B"/>
    <w:rsid w:val="082EADCB"/>
    <w:rsid w:val="08F26EF8"/>
    <w:rsid w:val="09D423AB"/>
    <w:rsid w:val="09DCFA0B"/>
    <w:rsid w:val="0D33D42B"/>
    <w:rsid w:val="0E3E0C42"/>
    <w:rsid w:val="0E73DD75"/>
    <w:rsid w:val="0E938E6D"/>
    <w:rsid w:val="10086480"/>
    <w:rsid w:val="113A2D7F"/>
    <w:rsid w:val="17DEC808"/>
    <w:rsid w:val="1A47B10D"/>
    <w:rsid w:val="1D0E3249"/>
    <w:rsid w:val="1E7D7960"/>
    <w:rsid w:val="1F5C15BF"/>
    <w:rsid w:val="1FDCCC75"/>
    <w:rsid w:val="2001CD58"/>
    <w:rsid w:val="20D1F5C9"/>
    <w:rsid w:val="2133D99F"/>
    <w:rsid w:val="21BC1EB1"/>
    <w:rsid w:val="231D0F27"/>
    <w:rsid w:val="237F497D"/>
    <w:rsid w:val="259223B1"/>
    <w:rsid w:val="25ED881F"/>
    <w:rsid w:val="2876D8E9"/>
    <w:rsid w:val="28E24A95"/>
    <w:rsid w:val="2A01CAD2"/>
    <w:rsid w:val="2CDDA89F"/>
    <w:rsid w:val="2E5561E6"/>
    <w:rsid w:val="3271AC5C"/>
    <w:rsid w:val="33C120E1"/>
    <w:rsid w:val="34C29C62"/>
    <w:rsid w:val="362525AC"/>
    <w:rsid w:val="36A86CF5"/>
    <w:rsid w:val="37C8FA9B"/>
    <w:rsid w:val="394AFAE6"/>
    <w:rsid w:val="39958381"/>
    <w:rsid w:val="3ADD57E3"/>
    <w:rsid w:val="3BCE5E44"/>
    <w:rsid w:val="3C1AF03A"/>
    <w:rsid w:val="3C761FB5"/>
    <w:rsid w:val="3E5CA8CF"/>
    <w:rsid w:val="3F3738E6"/>
    <w:rsid w:val="400F336D"/>
    <w:rsid w:val="420855C8"/>
    <w:rsid w:val="439ECBBE"/>
    <w:rsid w:val="49C5510A"/>
    <w:rsid w:val="4D26A6D4"/>
    <w:rsid w:val="4D6E19D4"/>
    <w:rsid w:val="4FDAC26E"/>
    <w:rsid w:val="521B3F95"/>
    <w:rsid w:val="52B9F858"/>
    <w:rsid w:val="5300CFED"/>
    <w:rsid w:val="53761C1A"/>
    <w:rsid w:val="53CF7DE6"/>
    <w:rsid w:val="5525D4D9"/>
    <w:rsid w:val="55345361"/>
    <w:rsid w:val="563CB160"/>
    <w:rsid w:val="586C6713"/>
    <w:rsid w:val="59FD768D"/>
    <w:rsid w:val="5A7C8A01"/>
    <w:rsid w:val="5E085290"/>
    <w:rsid w:val="5E5EF481"/>
    <w:rsid w:val="62EDCBE0"/>
    <w:rsid w:val="63C8E360"/>
    <w:rsid w:val="657F6FAB"/>
    <w:rsid w:val="65AC1072"/>
    <w:rsid w:val="66F7E996"/>
    <w:rsid w:val="6A32FE83"/>
    <w:rsid w:val="6A523229"/>
    <w:rsid w:val="6BF0852D"/>
    <w:rsid w:val="6D2392BA"/>
    <w:rsid w:val="6DB37000"/>
    <w:rsid w:val="7019D27F"/>
    <w:rsid w:val="72905AB3"/>
    <w:rsid w:val="72998943"/>
    <w:rsid w:val="72EA94AC"/>
    <w:rsid w:val="7376AFE0"/>
    <w:rsid w:val="7465CBCA"/>
    <w:rsid w:val="7504A5E1"/>
    <w:rsid w:val="76C09A31"/>
    <w:rsid w:val="77A65254"/>
    <w:rsid w:val="78BA5A41"/>
    <w:rsid w:val="7928AF65"/>
    <w:rsid w:val="7A10926D"/>
    <w:rsid w:val="7A11F2E8"/>
    <w:rsid w:val="7AC7E463"/>
    <w:rsid w:val="7C914217"/>
    <w:rsid w:val="7D1B9E5B"/>
    <w:rsid w:val="7F2B8EA2"/>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5E09520"/>
  <w15:chartTrackingRefBased/>
  <w15:docId w15:val="{9183A43E-E600-47FA-9D3E-53500DF68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90DBA"/>
  </w:style>
  <w:style w:type="paragraph" w:styleId="Kop1">
    <w:name w:val="heading 1"/>
    <w:basedOn w:val="Standaard"/>
    <w:next w:val="Standaard"/>
    <w:link w:val="Kop1Char"/>
    <w:uiPriority w:val="9"/>
    <w:qFormat/>
    <w:rsid w:val="00AC1E7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next w:val="Standaard"/>
    <w:link w:val="Kop2Char"/>
    <w:uiPriority w:val="9"/>
    <w:unhideWhenUsed/>
    <w:qFormat/>
    <w:rsid w:val="00AC1E7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Kop3">
    <w:name w:val="heading 3"/>
    <w:basedOn w:val="Standaard"/>
    <w:next w:val="Standaard"/>
    <w:link w:val="Kop3Char"/>
    <w:uiPriority w:val="9"/>
    <w:unhideWhenUsed/>
    <w:qFormat/>
    <w:rsid w:val="002D77A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C1E73"/>
    <w:rPr>
      <w:rFonts w:asciiTheme="majorHAnsi" w:eastAsiaTheme="majorEastAsia" w:hAnsiTheme="majorHAnsi" w:cstheme="majorBidi"/>
      <w:color w:val="2F5496" w:themeColor="accent1" w:themeShade="BF"/>
      <w:sz w:val="32"/>
      <w:szCs w:val="32"/>
    </w:rPr>
  </w:style>
  <w:style w:type="character" w:customStyle="1" w:styleId="Kop2Char">
    <w:name w:val="Kop 2 Char"/>
    <w:basedOn w:val="Standaardalinea-lettertype"/>
    <w:link w:val="Kop2"/>
    <w:uiPriority w:val="9"/>
    <w:rsid w:val="00AC1E73"/>
    <w:rPr>
      <w:rFonts w:asciiTheme="majorHAnsi" w:eastAsiaTheme="majorEastAsia" w:hAnsiTheme="majorHAnsi" w:cstheme="majorBidi"/>
      <w:color w:val="2F5496" w:themeColor="accent1" w:themeShade="BF"/>
      <w:sz w:val="26"/>
      <w:szCs w:val="26"/>
    </w:rPr>
  </w:style>
  <w:style w:type="paragraph" w:styleId="Titel">
    <w:name w:val="Title"/>
    <w:basedOn w:val="Standaard"/>
    <w:next w:val="Standaard"/>
    <w:link w:val="TitelChar"/>
    <w:uiPriority w:val="10"/>
    <w:qFormat/>
    <w:rsid w:val="00AC1E7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AC1E73"/>
    <w:rPr>
      <w:rFonts w:asciiTheme="majorHAnsi" w:eastAsiaTheme="majorEastAsia" w:hAnsiTheme="majorHAnsi" w:cstheme="majorBidi"/>
      <w:spacing w:val="-10"/>
      <w:kern w:val="28"/>
      <w:sz w:val="56"/>
      <w:szCs w:val="56"/>
    </w:rPr>
  </w:style>
  <w:style w:type="paragraph" w:styleId="Voettekst">
    <w:name w:val="footer"/>
    <w:basedOn w:val="Standaard"/>
    <w:link w:val="VoettekstChar"/>
    <w:uiPriority w:val="99"/>
    <w:unhideWhenUsed/>
    <w:rsid w:val="00AC1E73"/>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AC1E73"/>
  </w:style>
  <w:style w:type="paragraph" w:styleId="Koptekst">
    <w:name w:val="header"/>
    <w:basedOn w:val="Standaard"/>
    <w:link w:val="KoptekstChar"/>
    <w:uiPriority w:val="99"/>
    <w:unhideWhenUsed/>
    <w:rsid w:val="00FF385F"/>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F385F"/>
  </w:style>
  <w:style w:type="paragraph" w:styleId="Voetnoottekst">
    <w:name w:val="footnote text"/>
    <w:basedOn w:val="Standaard"/>
    <w:link w:val="VoetnoottekstChar"/>
    <w:uiPriority w:val="99"/>
    <w:semiHidden/>
    <w:unhideWhenUsed/>
    <w:rsid w:val="00850463"/>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850463"/>
    <w:rPr>
      <w:sz w:val="20"/>
      <w:szCs w:val="20"/>
    </w:rPr>
  </w:style>
  <w:style w:type="character" w:styleId="Voetnootmarkering">
    <w:name w:val="footnote reference"/>
    <w:basedOn w:val="Standaardalinea-lettertype"/>
    <w:uiPriority w:val="99"/>
    <w:semiHidden/>
    <w:unhideWhenUsed/>
    <w:rsid w:val="00850463"/>
    <w:rPr>
      <w:vertAlign w:val="superscript"/>
    </w:rPr>
  </w:style>
  <w:style w:type="character" w:customStyle="1" w:styleId="Kop3Char">
    <w:name w:val="Kop 3 Char"/>
    <w:basedOn w:val="Standaardalinea-lettertype"/>
    <w:link w:val="Kop3"/>
    <w:uiPriority w:val="9"/>
    <w:rsid w:val="002D77AE"/>
    <w:rPr>
      <w:rFonts w:asciiTheme="majorHAnsi" w:eastAsiaTheme="majorEastAsia" w:hAnsiTheme="majorHAnsi" w:cstheme="majorBidi"/>
      <w:color w:val="1F3763" w:themeColor="accent1" w:themeShade="7F"/>
      <w:sz w:val="24"/>
      <w:szCs w:val="24"/>
    </w:rPr>
  </w:style>
  <w:style w:type="character" w:styleId="Verwijzingopmerking">
    <w:name w:val="annotation reference"/>
    <w:basedOn w:val="Standaardalinea-lettertype"/>
    <w:uiPriority w:val="99"/>
    <w:semiHidden/>
    <w:unhideWhenUsed/>
    <w:rsid w:val="0005379D"/>
    <w:rPr>
      <w:sz w:val="16"/>
      <w:szCs w:val="16"/>
    </w:rPr>
  </w:style>
  <w:style w:type="paragraph" w:styleId="Tekstopmerking">
    <w:name w:val="annotation text"/>
    <w:basedOn w:val="Standaard"/>
    <w:link w:val="TekstopmerkingChar"/>
    <w:uiPriority w:val="99"/>
    <w:unhideWhenUsed/>
    <w:rsid w:val="0005379D"/>
    <w:pPr>
      <w:spacing w:line="240" w:lineRule="auto"/>
    </w:pPr>
    <w:rPr>
      <w:sz w:val="20"/>
      <w:szCs w:val="20"/>
    </w:rPr>
  </w:style>
  <w:style w:type="character" w:customStyle="1" w:styleId="TekstopmerkingChar">
    <w:name w:val="Tekst opmerking Char"/>
    <w:basedOn w:val="Standaardalinea-lettertype"/>
    <w:link w:val="Tekstopmerking"/>
    <w:uiPriority w:val="99"/>
    <w:rsid w:val="0005379D"/>
    <w:rPr>
      <w:sz w:val="20"/>
      <w:szCs w:val="20"/>
    </w:rPr>
  </w:style>
  <w:style w:type="paragraph" w:styleId="Onderwerpvanopmerking">
    <w:name w:val="annotation subject"/>
    <w:basedOn w:val="Tekstopmerking"/>
    <w:next w:val="Tekstopmerking"/>
    <w:link w:val="OnderwerpvanopmerkingChar"/>
    <w:uiPriority w:val="99"/>
    <w:semiHidden/>
    <w:unhideWhenUsed/>
    <w:rsid w:val="0005379D"/>
    <w:rPr>
      <w:b/>
      <w:bCs/>
    </w:rPr>
  </w:style>
  <w:style w:type="character" w:customStyle="1" w:styleId="OnderwerpvanopmerkingChar">
    <w:name w:val="Onderwerp van opmerking Char"/>
    <w:basedOn w:val="TekstopmerkingChar"/>
    <w:link w:val="Onderwerpvanopmerking"/>
    <w:uiPriority w:val="99"/>
    <w:semiHidden/>
    <w:rsid w:val="0005379D"/>
    <w:rPr>
      <w:b/>
      <w:bCs/>
      <w:sz w:val="20"/>
      <w:szCs w:val="20"/>
    </w:rPr>
  </w:style>
  <w:style w:type="character" w:styleId="Vermelding">
    <w:name w:val="Mention"/>
    <w:basedOn w:val="Standaardalinea-lettertype"/>
    <w:uiPriority w:val="99"/>
    <w:unhideWhenUsed/>
    <w:rsid w:val="00034F7B"/>
    <w:rPr>
      <w:color w:val="2B579A"/>
      <w:shd w:val="clear" w:color="auto" w:fill="E1DFDD"/>
    </w:rPr>
  </w:style>
  <w:style w:type="paragraph" w:styleId="Lijstalinea">
    <w:name w:val="List Paragraph"/>
    <w:basedOn w:val="Standaard"/>
    <w:uiPriority w:val="34"/>
    <w:qFormat/>
    <w:rsid w:val="003E74D4"/>
    <w:pPr>
      <w:ind w:left="720"/>
      <w:contextualSpacing/>
    </w:pPr>
  </w:style>
  <w:style w:type="character" w:styleId="Hyperlink">
    <w:name w:val="Hyperlink"/>
    <w:basedOn w:val="Standaardalinea-lettertype"/>
    <w:uiPriority w:val="99"/>
    <w:unhideWhenUsed/>
    <w:rsid w:val="00D758FB"/>
    <w:rPr>
      <w:color w:val="0000FF"/>
      <w:u w:val="single"/>
    </w:rPr>
  </w:style>
  <w:style w:type="paragraph" w:styleId="Revisie">
    <w:name w:val="Revision"/>
    <w:hidden/>
    <w:uiPriority w:val="99"/>
    <w:semiHidden/>
    <w:rsid w:val="00965AAA"/>
    <w:pPr>
      <w:spacing w:after="0" w:line="240" w:lineRule="auto"/>
    </w:pPr>
  </w:style>
  <w:style w:type="table" w:styleId="Rastertabel4-Accent1">
    <w:name w:val="Grid Table 4 Accent 1"/>
    <w:basedOn w:val="Standaardtabel"/>
    <w:uiPriority w:val="49"/>
    <w:rsid w:val="00CE1462"/>
    <w:pPr>
      <w:spacing w:after="0" w:line="240" w:lineRule="auto"/>
    </w:pPr>
    <w:rPr>
      <w:kern w:val="0"/>
      <w14:ligatures w14:val="none"/>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styleId="Onopgelostemelding">
    <w:name w:val="Unresolved Mention"/>
    <w:basedOn w:val="Standaardalinea-lettertype"/>
    <w:uiPriority w:val="99"/>
    <w:semiHidden/>
    <w:unhideWhenUsed/>
    <w:rsid w:val="00633970"/>
    <w:rPr>
      <w:color w:val="605E5C"/>
      <w:shd w:val="clear" w:color="auto" w:fill="E1DFDD"/>
    </w:rPr>
  </w:style>
  <w:style w:type="character" w:customStyle="1" w:styleId="cf01">
    <w:name w:val="cf01"/>
    <w:basedOn w:val="Standaardalinea-lettertype"/>
    <w:rsid w:val="009120EC"/>
    <w:rPr>
      <w:rFonts w:ascii="Segoe UI" w:hAnsi="Segoe UI" w:cs="Segoe UI" w:hint="default"/>
      <w:sz w:val="18"/>
      <w:szCs w:val="18"/>
    </w:rPr>
  </w:style>
  <w:style w:type="paragraph" w:styleId="Eindnoottekst">
    <w:name w:val="endnote text"/>
    <w:basedOn w:val="Standaard"/>
    <w:link w:val="EindnoottekstChar"/>
    <w:uiPriority w:val="99"/>
    <w:semiHidden/>
    <w:unhideWhenUsed/>
    <w:rsid w:val="00517BD8"/>
    <w:pPr>
      <w:spacing w:after="0" w:line="240" w:lineRule="auto"/>
    </w:pPr>
    <w:rPr>
      <w:sz w:val="20"/>
      <w:szCs w:val="20"/>
    </w:rPr>
  </w:style>
  <w:style w:type="character" w:customStyle="1" w:styleId="EindnoottekstChar">
    <w:name w:val="Eindnoottekst Char"/>
    <w:basedOn w:val="Standaardalinea-lettertype"/>
    <w:link w:val="Eindnoottekst"/>
    <w:uiPriority w:val="99"/>
    <w:semiHidden/>
    <w:rsid w:val="00517BD8"/>
    <w:rPr>
      <w:sz w:val="20"/>
      <w:szCs w:val="20"/>
    </w:rPr>
  </w:style>
  <w:style w:type="character" w:styleId="Eindnootmarkering">
    <w:name w:val="endnote reference"/>
    <w:basedOn w:val="Standaardalinea-lettertype"/>
    <w:uiPriority w:val="99"/>
    <w:semiHidden/>
    <w:unhideWhenUsed/>
    <w:rsid w:val="00517BD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4432479">
      <w:bodyDiv w:val="1"/>
      <w:marLeft w:val="0"/>
      <w:marRight w:val="0"/>
      <w:marTop w:val="0"/>
      <w:marBottom w:val="0"/>
      <w:divBdr>
        <w:top w:val="none" w:sz="0" w:space="0" w:color="auto"/>
        <w:left w:val="none" w:sz="0" w:space="0" w:color="auto"/>
        <w:bottom w:val="none" w:sz="0" w:space="0" w:color="auto"/>
        <w:right w:val="none" w:sz="0" w:space="0" w:color="auto"/>
      </w:divBdr>
    </w:div>
    <w:div w:id="324866862">
      <w:bodyDiv w:val="1"/>
      <w:marLeft w:val="0"/>
      <w:marRight w:val="0"/>
      <w:marTop w:val="0"/>
      <w:marBottom w:val="0"/>
      <w:divBdr>
        <w:top w:val="none" w:sz="0" w:space="0" w:color="auto"/>
        <w:left w:val="none" w:sz="0" w:space="0" w:color="auto"/>
        <w:bottom w:val="none" w:sz="0" w:space="0" w:color="auto"/>
        <w:right w:val="none" w:sz="0" w:space="0" w:color="auto"/>
      </w:divBdr>
    </w:div>
    <w:div w:id="376047410">
      <w:bodyDiv w:val="1"/>
      <w:marLeft w:val="0"/>
      <w:marRight w:val="0"/>
      <w:marTop w:val="0"/>
      <w:marBottom w:val="0"/>
      <w:divBdr>
        <w:top w:val="none" w:sz="0" w:space="0" w:color="auto"/>
        <w:left w:val="none" w:sz="0" w:space="0" w:color="auto"/>
        <w:bottom w:val="none" w:sz="0" w:space="0" w:color="auto"/>
        <w:right w:val="none" w:sz="0" w:space="0" w:color="auto"/>
      </w:divBdr>
    </w:div>
    <w:div w:id="454324905">
      <w:bodyDiv w:val="1"/>
      <w:marLeft w:val="0"/>
      <w:marRight w:val="0"/>
      <w:marTop w:val="0"/>
      <w:marBottom w:val="0"/>
      <w:divBdr>
        <w:top w:val="none" w:sz="0" w:space="0" w:color="auto"/>
        <w:left w:val="none" w:sz="0" w:space="0" w:color="auto"/>
        <w:bottom w:val="none" w:sz="0" w:space="0" w:color="auto"/>
        <w:right w:val="none" w:sz="0" w:space="0" w:color="auto"/>
      </w:divBdr>
    </w:div>
    <w:div w:id="966355212">
      <w:bodyDiv w:val="1"/>
      <w:marLeft w:val="0"/>
      <w:marRight w:val="0"/>
      <w:marTop w:val="0"/>
      <w:marBottom w:val="0"/>
      <w:divBdr>
        <w:top w:val="none" w:sz="0" w:space="0" w:color="auto"/>
        <w:left w:val="none" w:sz="0" w:space="0" w:color="auto"/>
        <w:bottom w:val="none" w:sz="0" w:space="0" w:color="auto"/>
        <w:right w:val="none" w:sz="0" w:space="0" w:color="auto"/>
      </w:divBdr>
    </w:div>
    <w:div w:id="1225143811">
      <w:bodyDiv w:val="1"/>
      <w:marLeft w:val="0"/>
      <w:marRight w:val="0"/>
      <w:marTop w:val="0"/>
      <w:marBottom w:val="0"/>
      <w:divBdr>
        <w:top w:val="none" w:sz="0" w:space="0" w:color="auto"/>
        <w:left w:val="none" w:sz="0" w:space="0" w:color="auto"/>
        <w:bottom w:val="none" w:sz="0" w:space="0" w:color="auto"/>
        <w:right w:val="none" w:sz="0" w:space="0" w:color="auto"/>
      </w:divBdr>
    </w:div>
    <w:div w:id="1452020020">
      <w:bodyDiv w:val="1"/>
      <w:marLeft w:val="0"/>
      <w:marRight w:val="0"/>
      <w:marTop w:val="0"/>
      <w:marBottom w:val="0"/>
      <w:divBdr>
        <w:top w:val="none" w:sz="0" w:space="0" w:color="auto"/>
        <w:left w:val="none" w:sz="0" w:space="0" w:color="auto"/>
        <w:bottom w:val="none" w:sz="0" w:space="0" w:color="auto"/>
        <w:right w:val="none" w:sz="0" w:space="0" w:color="auto"/>
      </w:divBdr>
    </w:div>
    <w:div w:id="1597862197">
      <w:bodyDiv w:val="1"/>
      <w:marLeft w:val="0"/>
      <w:marRight w:val="0"/>
      <w:marTop w:val="0"/>
      <w:marBottom w:val="0"/>
      <w:divBdr>
        <w:top w:val="none" w:sz="0" w:space="0" w:color="auto"/>
        <w:left w:val="none" w:sz="0" w:space="0" w:color="auto"/>
        <w:bottom w:val="none" w:sz="0" w:space="0" w:color="auto"/>
        <w:right w:val="none" w:sz="0" w:space="0" w:color="auto"/>
      </w:divBdr>
    </w:div>
    <w:div w:id="1946692068">
      <w:bodyDiv w:val="1"/>
      <w:marLeft w:val="0"/>
      <w:marRight w:val="0"/>
      <w:marTop w:val="0"/>
      <w:marBottom w:val="0"/>
      <w:divBdr>
        <w:top w:val="none" w:sz="0" w:space="0" w:color="auto"/>
        <w:left w:val="none" w:sz="0" w:space="0" w:color="auto"/>
        <w:bottom w:val="none" w:sz="0" w:space="0" w:color="auto"/>
        <w:right w:val="none" w:sz="0" w:space="0" w:color="auto"/>
      </w:divBdr>
    </w:div>
    <w:div w:id="1985237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theme" Target="theme/theme1.xml" Id="rId18"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footer" Target="footer3.xml" Id="rId16"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footnotes" Target="footnotes.xml" Id="rId9" /><Relationship Type="http://schemas.openxmlformats.org/officeDocument/2006/relationships/footer" Target="footer2.xml" Id="rId14"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681dcdd7-3e43-49fb-ac1e-2321f7e63421}" enabled="1" method="Standard" siteId="{1321633e-f6b9-44e2-a44f-59b9d264ecb7}" removed="0"/>
</clbl:labelList>
</file>

<file path=docProps/app.xml><?xml version="1.0" encoding="utf-8"?>
<ap:Properties xmlns:vt="http://schemas.openxmlformats.org/officeDocument/2006/docPropsVTypes" xmlns:ap="http://schemas.openxmlformats.org/officeDocument/2006/extended-properties">
  <ap:Pages>19</ap:Pages>
  <ap:Words>9428</ap:Words>
  <ap:Characters>51855</ap:Characters>
  <ap:DocSecurity>0</ap:DocSecurity>
  <ap:Lines>432</ap:Lines>
  <ap:Paragraphs>122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61161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2024-09-17T14:38:00.0000000Z</dcterms:created>
  <dcterms:modified xsi:type="dcterms:W3CDTF">2024-09-17T14:38:00.0000000Z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1,2,3</vt:lpwstr>
  </property>
  <property fmtid="{D5CDD505-2E9C-101B-9397-08002B2CF9AE}" pid="3" name="ClassificationContentMarkingFooterFontProps">
    <vt:lpwstr>#000000,10,Calibri</vt:lpwstr>
  </property>
  <property fmtid="{D5CDD505-2E9C-101B-9397-08002B2CF9AE}" pid="4" name="ClassificationContentMarkingFooterText">
    <vt:lpwstr>Intern gebruik</vt:lpwstr>
  </property>
  <property fmtid="{D5CDD505-2E9C-101B-9397-08002B2CF9AE}" pid="5" name="ContentTypeId">
    <vt:lpwstr>0x010100C59774C2455D2B4CA163FDA0D4BF1547</vt:lpwstr>
  </property>
  <property fmtid="{D5CDD505-2E9C-101B-9397-08002B2CF9AE}" pid="6" name="MSIP_Label_b2aa6e22-2c82-48c6-bf24-1790f4b9c128_Enabled">
    <vt:lpwstr>true</vt:lpwstr>
  </property>
  <property fmtid="{D5CDD505-2E9C-101B-9397-08002B2CF9AE}" pid="7" name="MSIP_Label_b2aa6e22-2c82-48c6-bf24-1790f4b9c128_SetDate">
    <vt:lpwstr>2024-09-12T12:12:57Z</vt:lpwstr>
  </property>
  <property fmtid="{D5CDD505-2E9C-101B-9397-08002B2CF9AE}" pid="8" name="MSIP_Label_b2aa6e22-2c82-48c6-bf24-1790f4b9c128_Method">
    <vt:lpwstr>Standard</vt:lpwstr>
  </property>
  <property fmtid="{D5CDD505-2E9C-101B-9397-08002B2CF9AE}" pid="9" name="MSIP_Label_b2aa6e22-2c82-48c6-bf24-1790f4b9c128_Name">
    <vt:lpwstr>FIN-DGFZ-Rijksoverheid</vt:lpwstr>
  </property>
  <property fmtid="{D5CDD505-2E9C-101B-9397-08002B2CF9AE}" pid="10" name="MSIP_Label_b2aa6e22-2c82-48c6-bf24-1790f4b9c128_SiteId">
    <vt:lpwstr>84712536-f524-40a0-913b-5d25ba502732</vt:lpwstr>
  </property>
  <property fmtid="{D5CDD505-2E9C-101B-9397-08002B2CF9AE}" pid="11" name="MSIP_Label_b2aa6e22-2c82-48c6-bf24-1790f4b9c128_ActionId">
    <vt:lpwstr>4c597e4c-181c-41de-8f18-449f3f66ab2c</vt:lpwstr>
  </property>
  <property fmtid="{D5CDD505-2E9C-101B-9397-08002B2CF9AE}" pid="12" name="MSIP_Label_b2aa6e22-2c82-48c6-bf24-1790f4b9c128_ContentBits">
    <vt:lpwstr>0</vt:lpwstr>
  </property>
</Properties>
</file>