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9FE" w:rsidP="006C2EEA" w:rsidRDefault="007619FE" w14:paraId="4BF75B4C" w14:textId="77777777">
      <w:pPr>
        <w:spacing w:after="0"/>
        <w:rPr>
          <w:b/>
          <w:bCs/>
          <w:lang w:val="nl-NL"/>
        </w:rPr>
      </w:pPr>
      <w:r>
        <w:rPr>
          <w:b/>
          <w:bCs/>
          <w:lang w:val="nl-NL"/>
        </w:rPr>
        <w:t>TOETSINGSKADER RISICOREGELINGEN RIJKSOVERHEID</w:t>
      </w:r>
    </w:p>
    <w:p w:rsidR="006C2EEA" w:rsidP="006C2EEA" w:rsidRDefault="006C2EEA" w14:paraId="175D01A5" w14:textId="77777777">
      <w:pPr>
        <w:spacing w:after="0"/>
        <w:rPr>
          <w:b/>
          <w:bCs/>
          <w:lang w:val="nl-NL"/>
        </w:rPr>
      </w:pPr>
    </w:p>
    <w:p w:rsidR="007619FE" w:rsidP="006C2EEA" w:rsidRDefault="007619FE" w14:paraId="6B76573C" w14:textId="77777777">
      <w:pPr>
        <w:spacing w:after="0"/>
        <w:rPr>
          <w:b/>
          <w:bCs/>
          <w:u w:val="single"/>
          <w:lang w:val="nl-NL"/>
        </w:rPr>
      </w:pPr>
      <w:r>
        <w:rPr>
          <w:b/>
          <w:bCs/>
          <w:u w:val="single"/>
          <w:lang w:val="nl-NL"/>
        </w:rPr>
        <w:t>Probleemstelling en rol overheid</w:t>
      </w:r>
    </w:p>
    <w:p w:rsidR="006C2EEA" w:rsidP="006C2EEA" w:rsidRDefault="006C2EEA" w14:paraId="55DBB11D" w14:textId="77777777">
      <w:pPr>
        <w:spacing w:after="0"/>
        <w:rPr>
          <w:b/>
          <w:bCs/>
          <w:u w:val="single"/>
          <w:lang w:val="nl-NL"/>
        </w:rPr>
      </w:pPr>
    </w:p>
    <w:p w:rsidR="007619FE" w:rsidP="006C2EEA" w:rsidRDefault="007619FE" w14:paraId="35FD96D4" w14:textId="0E6B6413">
      <w:pPr>
        <w:pStyle w:val="Lijstalinea"/>
        <w:numPr>
          <w:ilvl w:val="0"/>
          <w:numId w:val="4"/>
        </w:numPr>
        <w:spacing w:after="0" w:line="256" w:lineRule="auto"/>
        <w:rPr>
          <w:i/>
          <w:iCs/>
          <w:lang w:val="nl-NL"/>
        </w:rPr>
      </w:pPr>
      <w:r>
        <w:rPr>
          <w:i/>
          <w:iCs/>
          <w:lang w:val="nl-NL"/>
        </w:rPr>
        <w:t>Wa</w:t>
      </w:r>
      <w:r w:rsidR="006C2EEA">
        <w:rPr>
          <w:i/>
          <w:iCs/>
          <w:lang w:val="nl-NL"/>
        </w:rPr>
        <w:t>t</w:t>
      </w:r>
      <w:r>
        <w:rPr>
          <w:i/>
          <w:iCs/>
          <w:lang w:val="nl-NL"/>
        </w:rPr>
        <w:t xml:space="preserve"> is het probleem dat de aanleiding is voor het beleidsvoorstel? </w:t>
      </w:r>
    </w:p>
    <w:p w:rsidR="006C2EEA" w:rsidP="006C2EEA" w:rsidRDefault="006C2EEA" w14:paraId="472FE961" w14:textId="77777777">
      <w:pPr>
        <w:pStyle w:val="Lijstalinea"/>
        <w:spacing w:after="0" w:line="240" w:lineRule="exact"/>
        <w:ind w:left="360"/>
        <w:rPr>
          <w:lang w:val="nl-NL"/>
        </w:rPr>
      </w:pPr>
    </w:p>
    <w:p w:rsidRPr="00F056A7" w:rsidR="000B039D" w:rsidP="00F056A7" w:rsidRDefault="004C5993" w14:paraId="63C09451" w14:textId="5A608997">
      <w:pPr>
        <w:pStyle w:val="Lijstalinea"/>
        <w:spacing w:after="0" w:line="240" w:lineRule="exact"/>
        <w:ind w:left="360"/>
        <w:rPr>
          <w:lang w:val="nl-NL"/>
        </w:rPr>
      </w:pPr>
      <w:r>
        <w:rPr>
          <w:lang w:val="nl-NL"/>
        </w:rPr>
        <w:t>In januari 2024 is b</w:t>
      </w:r>
      <w:r w:rsidRPr="004C5993">
        <w:rPr>
          <w:lang w:val="nl-NL"/>
        </w:rPr>
        <w:t xml:space="preserve">ij de </w:t>
      </w:r>
      <w:r>
        <w:rPr>
          <w:lang w:val="nl-NL"/>
        </w:rPr>
        <w:t>eerste i</w:t>
      </w:r>
      <w:r w:rsidRPr="004C5993">
        <w:rPr>
          <w:lang w:val="nl-NL"/>
        </w:rPr>
        <w:t xml:space="preserve">ncidentele </w:t>
      </w:r>
      <w:r>
        <w:rPr>
          <w:lang w:val="nl-NL"/>
        </w:rPr>
        <w:t>s</w:t>
      </w:r>
      <w:r w:rsidRPr="004C5993">
        <w:rPr>
          <w:lang w:val="nl-NL"/>
        </w:rPr>
        <w:t xml:space="preserve">uppletoire </w:t>
      </w:r>
      <w:r>
        <w:rPr>
          <w:lang w:val="nl-NL"/>
        </w:rPr>
        <w:t>b</w:t>
      </w:r>
      <w:r w:rsidRPr="004C5993">
        <w:rPr>
          <w:lang w:val="nl-NL"/>
        </w:rPr>
        <w:t xml:space="preserve">egroting Financiën 2024 </w:t>
      </w:r>
      <w:r w:rsidRPr="008B48EB" w:rsidR="008B48EB">
        <w:rPr>
          <w:lang w:val="nl-NL"/>
        </w:rPr>
        <w:t>een lening</w:t>
      </w:r>
      <w:r w:rsidR="00CC78C9">
        <w:rPr>
          <w:lang w:val="nl-NL"/>
        </w:rPr>
        <w:t>s</w:t>
      </w:r>
      <w:r w:rsidR="009E4F27">
        <w:rPr>
          <w:lang w:val="nl-NL"/>
        </w:rPr>
        <w:t>faciliteit</w:t>
      </w:r>
      <w:r w:rsidRPr="008B48EB" w:rsidR="008B48EB">
        <w:rPr>
          <w:lang w:val="nl-NL"/>
        </w:rPr>
        <w:t xml:space="preserve"> </w:t>
      </w:r>
      <w:r>
        <w:rPr>
          <w:lang w:val="nl-NL"/>
        </w:rPr>
        <w:t xml:space="preserve">voor 2024 en 2025 </w:t>
      </w:r>
      <w:r w:rsidRPr="008B48EB" w:rsidR="008B48EB">
        <w:rPr>
          <w:lang w:val="nl-NL"/>
        </w:rPr>
        <w:t xml:space="preserve">van </w:t>
      </w:r>
      <w:r>
        <w:rPr>
          <w:lang w:val="nl-NL"/>
        </w:rPr>
        <w:t xml:space="preserve">in totaal </w:t>
      </w:r>
      <w:r w:rsidRPr="008B48EB" w:rsidR="008B48EB">
        <w:rPr>
          <w:lang w:val="nl-NL"/>
        </w:rPr>
        <w:t>€</w:t>
      </w:r>
      <w:r w:rsidR="00580E72">
        <w:rPr>
          <w:lang w:val="nl-NL"/>
        </w:rPr>
        <w:t xml:space="preserve"> </w:t>
      </w:r>
      <w:r w:rsidRPr="008B48EB" w:rsidR="008B48EB">
        <w:rPr>
          <w:lang w:val="nl-NL"/>
        </w:rPr>
        <w:t xml:space="preserve">25 miljard </w:t>
      </w:r>
      <w:r w:rsidR="009E4F27">
        <w:rPr>
          <w:lang w:val="nl-NL"/>
        </w:rPr>
        <w:t xml:space="preserve">ter beschikking gesteld </w:t>
      </w:r>
      <w:r>
        <w:rPr>
          <w:lang w:val="nl-NL"/>
        </w:rPr>
        <w:t xml:space="preserve">aan TenneT </w:t>
      </w:r>
      <w:r w:rsidRPr="008B48EB" w:rsidR="008B48EB">
        <w:rPr>
          <w:lang w:val="nl-NL"/>
        </w:rPr>
        <w:t>vanuit de staat</w:t>
      </w:r>
      <w:r>
        <w:rPr>
          <w:lang w:val="nl-NL"/>
        </w:rPr>
        <w:t xml:space="preserve">. Deze lening is </w:t>
      </w:r>
      <w:r w:rsidRPr="008B48EB" w:rsidR="008B48EB">
        <w:rPr>
          <w:lang w:val="nl-NL"/>
        </w:rPr>
        <w:t xml:space="preserve">ter overbrugging </w:t>
      </w:r>
      <w:r w:rsidR="004926D5">
        <w:rPr>
          <w:lang w:val="nl-NL"/>
        </w:rPr>
        <w:t xml:space="preserve">van de periode </w:t>
      </w:r>
      <w:r w:rsidRPr="008B48EB" w:rsidR="008B48EB">
        <w:rPr>
          <w:lang w:val="nl-NL"/>
        </w:rPr>
        <w:t>totdat een structurele oplossing is gevonden voor de kapitaalbehoefte</w:t>
      </w:r>
      <w:r w:rsidR="00F056A7">
        <w:rPr>
          <w:lang w:val="nl-NL"/>
        </w:rPr>
        <w:t xml:space="preserve"> van TenneT Duitsland</w:t>
      </w:r>
      <w:r w:rsidRPr="008B48EB" w:rsidR="008B48EB">
        <w:rPr>
          <w:lang w:val="nl-NL"/>
        </w:rPr>
        <w:t>.</w:t>
      </w:r>
      <w:r w:rsidR="004E6BD7">
        <w:rPr>
          <w:rStyle w:val="Voetnootmarkering"/>
          <w:lang w:val="nl-NL"/>
        </w:rPr>
        <w:footnoteReference w:id="1"/>
      </w:r>
      <w:r w:rsidR="008B48EB">
        <w:rPr>
          <w:lang w:val="nl-NL"/>
        </w:rPr>
        <w:t xml:space="preserve"> </w:t>
      </w:r>
      <w:r w:rsidR="004926D5">
        <w:rPr>
          <w:lang w:val="nl-NL"/>
        </w:rPr>
        <w:t xml:space="preserve">Het </w:t>
      </w:r>
      <w:r w:rsidR="0096151B">
        <w:rPr>
          <w:lang w:val="nl-NL"/>
        </w:rPr>
        <w:t>k</w:t>
      </w:r>
      <w:r w:rsidR="004926D5">
        <w:rPr>
          <w:lang w:val="nl-NL"/>
        </w:rPr>
        <w:t>abinet zette destijds nog in op een</w:t>
      </w:r>
      <w:r w:rsidRPr="000B039D" w:rsidR="000B039D">
        <w:rPr>
          <w:lang w:val="nl-NL"/>
        </w:rPr>
        <w:t xml:space="preserve"> volledige </w:t>
      </w:r>
      <w:r w:rsidRPr="00F056A7" w:rsidR="000B039D">
        <w:rPr>
          <w:lang w:val="nl-NL"/>
        </w:rPr>
        <w:t xml:space="preserve">verkoop </w:t>
      </w:r>
      <w:r w:rsidR="004926D5">
        <w:rPr>
          <w:lang w:val="nl-NL"/>
        </w:rPr>
        <w:t xml:space="preserve">van TenneT Duitsland </w:t>
      </w:r>
      <w:r w:rsidRPr="00F056A7" w:rsidR="000B039D">
        <w:rPr>
          <w:lang w:val="nl-NL"/>
        </w:rPr>
        <w:t xml:space="preserve">aan de Duitse staat </w:t>
      </w:r>
      <w:r w:rsidR="007942B5">
        <w:rPr>
          <w:lang w:val="nl-NL"/>
        </w:rPr>
        <w:t>om de kapitaalbehoefte van TenneT Duitsland in te vullen.</w:t>
      </w:r>
      <w:r w:rsidRPr="00F056A7" w:rsidR="000B039D">
        <w:rPr>
          <w:rStyle w:val="Voetnootmarkering"/>
          <w:lang w:val="nl-NL"/>
        </w:rPr>
        <w:t xml:space="preserve"> </w:t>
      </w:r>
      <w:r w:rsidRPr="00F056A7" w:rsidR="008B48EB">
        <w:rPr>
          <w:lang w:val="nl-NL"/>
        </w:rPr>
        <w:t xml:space="preserve">De onderhandelingen </w:t>
      </w:r>
      <w:r w:rsidR="006E49EF">
        <w:rPr>
          <w:lang w:val="nl-NL"/>
        </w:rPr>
        <w:t xml:space="preserve">met </w:t>
      </w:r>
      <w:r w:rsidRPr="00F056A7" w:rsidR="000B039D">
        <w:rPr>
          <w:lang w:val="nl-NL"/>
        </w:rPr>
        <w:t xml:space="preserve">de </w:t>
      </w:r>
      <w:proofErr w:type="spellStart"/>
      <w:r w:rsidRPr="00F056A7" w:rsidR="000B039D">
        <w:rPr>
          <w:lang w:val="nl-NL"/>
        </w:rPr>
        <w:t>Kreditanstalt</w:t>
      </w:r>
      <w:proofErr w:type="spellEnd"/>
      <w:r w:rsidRPr="00F056A7" w:rsidR="000B039D">
        <w:rPr>
          <w:lang w:val="nl-NL"/>
        </w:rPr>
        <w:t xml:space="preserve"> </w:t>
      </w:r>
      <w:proofErr w:type="spellStart"/>
      <w:r w:rsidRPr="00F056A7" w:rsidR="000B039D">
        <w:rPr>
          <w:lang w:val="nl-NL"/>
        </w:rPr>
        <w:t>für</w:t>
      </w:r>
      <w:proofErr w:type="spellEnd"/>
      <w:r w:rsidRPr="00F056A7" w:rsidR="000B039D">
        <w:rPr>
          <w:lang w:val="nl-NL"/>
        </w:rPr>
        <w:t xml:space="preserve"> </w:t>
      </w:r>
      <w:proofErr w:type="spellStart"/>
      <w:r w:rsidRPr="00F056A7" w:rsidR="000B039D">
        <w:rPr>
          <w:lang w:val="nl-NL"/>
        </w:rPr>
        <w:t>Wiederaufbau</w:t>
      </w:r>
      <w:proofErr w:type="spellEnd"/>
      <w:r w:rsidRPr="00F056A7" w:rsidR="000B039D">
        <w:rPr>
          <w:lang w:val="nl-NL"/>
        </w:rPr>
        <w:t xml:space="preserve"> </w:t>
      </w:r>
      <w:r w:rsidR="006E49EF">
        <w:rPr>
          <w:lang w:val="nl-NL"/>
        </w:rPr>
        <w:t xml:space="preserve">en de Duitse staat </w:t>
      </w:r>
      <w:r w:rsidRPr="00F056A7" w:rsidR="00BB45F2">
        <w:rPr>
          <w:lang w:val="nl-NL"/>
        </w:rPr>
        <w:t xml:space="preserve">over </w:t>
      </w:r>
      <w:r w:rsidRPr="00F056A7" w:rsidR="008B48EB">
        <w:rPr>
          <w:lang w:val="nl-NL"/>
        </w:rPr>
        <w:t xml:space="preserve">de volledige verkoop van TenneT Duitsland zijn </w:t>
      </w:r>
      <w:r w:rsidRPr="00F056A7" w:rsidR="004E6BD7">
        <w:rPr>
          <w:lang w:val="nl-NL"/>
        </w:rPr>
        <w:t xml:space="preserve">helaas </w:t>
      </w:r>
      <w:r w:rsidRPr="00F056A7" w:rsidR="000B039D">
        <w:rPr>
          <w:lang w:val="nl-NL"/>
        </w:rPr>
        <w:t>niet geslaagd</w:t>
      </w:r>
      <w:r w:rsidRPr="00F056A7" w:rsidR="008B48EB">
        <w:rPr>
          <w:lang w:val="nl-NL"/>
        </w:rPr>
        <w:t>.</w:t>
      </w:r>
      <w:r w:rsidR="004E6BD7">
        <w:rPr>
          <w:rStyle w:val="Voetnootmarkering"/>
          <w:lang w:val="nl-NL"/>
        </w:rPr>
        <w:footnoteReference w:id="2"/>
      </w:r>
      <w:r w:rsidRPr="00F056A7" w:rsidR="008B48EB">
        <w:rPr>
          <w:lang w:val="nl-NL"/>
        </w:rPr>
        <w:t xml:space="preserve"> </w:t>
      </w:r>
    </w:p>
    <w:p w:rsidR="000B039D" w:rsidP="000B039D" w:rsidRDefault="000B039D" w14:paraId="0D33C5F5" w14:textId="77777777">
      <w:pPr>
        <w:pStyle w:val="Lijstalinea"/>
        <w:spacing w:after="0" w:line="240" w:lineRule="exact"/>
        <w:ind w:left="360"/>
        <w:rPr>
          <w:lang w:val="nl-NL"/>
        </w:rPr>
      </w:pPr>
    </w:p>
    <w:p w:rsidR="00F056A7" w:rsidP="000B039D" w:rsidRDefault="008B48EB" w14:paraId="73C03D60" w14:textId="5658E870">
      <w:pPr>
        <w:pStyle w:val="Lijstalinea"/>
        <w:spacing w:after="0" w:line="240" w:lineRule="exact"/>
        <w:ind w:left="360"/>
        <w:rPr>
          <w:lang w:val="nl-NL"/>
        </w:rPr>
      </w:pPr>
      <w:r>
        <w:rPr>
          <w:lang w:val="nl-NL"/>
        </w:rPr>
        <w:t xml:space="preserve">De minister van Financiën </w:t>
      </w:r>
      <w:r w:rsidR="00580E72">
        <w:rPr>
          <w:lang w:val="nl-NL"/>
        </w:rPr>
        <w:t xml:space="preserve">en de minister van Klimaat en Groene Groei </w:t>
      </w:r>
      <w:r w:rsidR="00981C96">
        <w:rPr>
          <w:lang w:val="nl-NL"/>
        </w:rPr>
        <w:t>zien de</w:t>
      </w:r>
      <w:r>
        <w:rPr>
          <w:lang w:val="nl-NL"/>
        </w:rPr>
        <w:t xml:space="preserve"> </w:t>
      </w:r>
      <w:r w:rsidR="00580E72">
        <w:rPr>
          <w:lang w:val="nl-NL"/>
        </w:rPr>
        <w:t xml:space="preserve">deelname van private investeerders als beste </w:t>
      </w:r>
      <w:r>
        <w:rPr>
          <w:lang w:val="nl-NL"/>
        </w:rPr>
        <w:t xml:space="preserve">structurele oplossing voor de kapitaalbehoefte van TenneT Duitsland. </w:t>
      </w:r>
      <w:r w:rsidR="000B039D">
        <w:rPr>
          <w:lang w:val="nl-NL"/>
        </w:rPr>
        <w:t>Daarnaast is h</w:t>
      </w:r>
      <w:r w:rsidRPr="00AF2E3D" w:rsidR="00AF2E3D">
        <w:rPr>
          <w:lang w:val="nl-NL"/>
        </w:rPr>
        <w:t>et kabinet voornemens om zelf zorg te blijven dragen voor de financiering van TenneT Nederland</w:t>
      </w:r>
      <w:r w:rsidR="00AF2E3D">
        <w:rPr>
          <w:lang w:val="nl-NL"/>
        </w:rPr>
        <w:t xml:space="preserve"> en </w:t>
      </w:r>
      <w:r w:rsidR="000B039D">
        <w:rPr>
          <w:lang w:val="nl-NL"/>
        </w:rPr>
        <w:t>hierover</w:t>
      </w:r>
      <w:r w:rsidR="00AF2E3D">
        <w:rPr>
          <w:lang w:val="nl-NL"/>
        </w:rPr>
        <w:t xml:space="preserve"> bij de Voorjaarsnota 2025 een besluit te nemen. </w:t>
      </w:r>
      <w:r w:rsidR="00D32C8D">
        <w:rPr>
          <w:lang w:val="nl-NL"/>
        </w:rPr>
        <w:t xml:space="preserve">De verwachting is dat de structurele oplossingen voor de kapitaalbehoefte van </w:t>
      </w:r>
      <w:r w:rsidR="006E49EF">
        <w:rPr>
          <w:lang w:val="nl-NL"/>
        </w:rPr>
        <w:t xml:space="preserve">zowel </w:t>
      </w:r>
      <w:r w:rsidR="00D32C8D">
        <w:rPr>
          <w:lang w:val="nl-NL"/>
        </w:rPr>
        <w:t xml:space="preserve">TenneT Nederland </w:t>
      </w:r>
      <w:r w:rsidR="006E49EF">
        <w:rPr>
          <w:lang w:val="nl-NL"/>
        </w:rPr>
        <w:t xml:space="preserve">als </w:t>
      </w:r>
      <w:r w:rsidR="00D32C8D">
        <w:rPr>
          <w:lang w:val="nl-NL"/>
        </w:rPr>
        <w:t>TenneT Duitsland op zijn vroegst in de tweede helft van 2025</w:t>
      </w:r>
      <w:r w:rsidR="006E49EF">
        <w:rPr>
          <w:lang w:val="nl-NL"/>
        </w:rPr>
        <w:t xml:space="preserve"> volledig</w:t>
      </w:r>
      <w:r w:rsidR="00D32C8D">
        <w:rPr>
          <w:lang w:val="nl-NL"/>
        </w:rPr>
        <w:t xml:space="preserve"> zijn geïmplementeerd. </w:t>
      </w:r>
    </w:p>
    <w:p w:rsidR="00F056A7" w:rsidP="000B039D" w:rsidRDefault="00F056A7" w14:paraId="6240C525" w14:textId="77777777">
      <w:pPr>
        <w:pStyle w:val="Lijstalinea"/>
        <w:spacing w:after="0" w:line="240" w:lineRule="exact"/>
        <w:ind w:left="360"/>
        <w:rPr>
          <w:lang w:val="nl-NL"/>
        </w:rPr>
      </w:pPr>
    </w:p>
    <w:p w:rsidR="001618A7" w:rsidP="001618A7" w:rsidRDefault="001618A7" w14:paraId="774D8687" w14:textId="0AC99B5E">
      <w:pPr>
        <w:autoSpaceDN w:val="0"/>
        <w:spacing w:after="0" w:line="240" w:lineRule="exact"/>
        <w:ind w:left="360"/>
        <w:textAlignment w:val="baseline"/>
        <w:rPr>
          <w:lang w:val="nl-NL"/>
        </w:rPr>
      </w:pPr>
      <w:r>
        <w:rPr>
          <w:lang w:val="nl-NL"/>
        </w:rPr>
        <w:t>Tot de</w:t>
      </w:r>
      <w:r w:rsidR="0090539E">
        <w:rPr>
          <w:lang w:val="nl-NL"/>
        </w:rPr>
        <w:t xml:space="preserve"> structurele</w:t>
      </w:r>
      <w:r>
        <w:rPr>
          <w:lang w:val="nl-NL"/>
        </w:rPr>
        <w:t xml:space="preserve"> oplossingen voor zowel de Nederlandse als Duitse kapitaalbehoefte van TenneT zijn geïmplementeerd kan TenneT waarschijnlijk niet zelfstandig</w:t>
      </w:r>
      <w:r w:rsidR="0090539E">
        <w:rPr>
          <w:lang w:val="nl-NL"/>
        </w:rPr>
        <w:t xml:space="preserve"> voldoende</w:t>
      </w:r>
      <w:r w:rsidR="00E03222">
        <w:rPr>
          <w:lang w:val="nl-NL"/>
        </w:rPr>
        <w:t xml:space="preserve"> </w:t>
      </w:r>
      <w:r>
        <w:rPr>
          <w:lang w:val="nl-NL"/>
        </w:rPr>
        <w:t>financiering aantrekken. V</w:t>
      </w:r>
      <w:r w:rsidRPr="00700C28">
        <w:rPr>
          <w:lang w:val="nl-NL"/>
        </w:rPr>
        <w:t xml:space="preserve">olgens </w:t>
      </w:r>
      <w:r>
        <w:rPr>
          <w:lang w:val="nl-NL"/>
        </w:rPr>
        <w:t xml:space="preserve">de financieel adviseur van de staat kent </w:t>
      </w:r>
      <w:r w:rsidR="00136267">
        <w:rPr>
          <w:lang w:val="nl-NL"/>
        </w:rPr>
        <w:t>het zelfstandig aantrekken van de benodigde financiering</w:t>
      </w:r>
      <w:r>
        <w:rPr>
          <w:lang w:val="nl-NL"/>
        </w:rPr>
        <w:t xml:space="preserve"> </w:t>
      </w:r>
      <w:r w:rsidRPr="00700C28">
        <w:rPr>
          <w:lang w:val="nl-NL"/>
        </w:rPr>
        <w:t>grote executierisico’s</w:t>
      </w:r>
      <w:r>
        <w:rPr>
          <w:lang w:val="nl-NL"/>
        </w:rPr>
        <w:t xml:space="preserve">. </w:t>
      </w:r>
    </w:p>
    <w:p w:rsidR="001618A7" w:rsidP="003A1C74" w:rsidRDefault="001618A7" w14:paraId="46E7C55C" w14:textId="77777777">
      <w:pPr>
        <w:autoSpaceDN w:val="0"/>
        <w:spacing w:after="0" w:line="240" w:lineRule="exact"/>
        <w:ind w:left="360"/>
        <w:textAlignment w:val="baseline"/>
        <w:rPr>
          <w:lang w:val="nl-NL"/>
        </w:rPr>
      </w:pPr>
    </w:p>
    <w:p w:rsidR="00AD4BF5" w:rsidP="003A1C74" w:rsidRDefault="001618A7" w14:paraId="5FC11B91" w14:textId="02CC7F18">
      <w:pPr>
        <w:autoSpaceDN w:val="0"/>
        <w:spacing w:after="0" w:line="240" w:lineRule="exact"/>
        <w:ind w:left="360"/>
        <w:textAlignment w:val="baseline"/>
        <w:rPr>
          <w:lang w:val="nl-NL"/>
        </w:rPr>
      </w:pPr>
      <w:r>
        <w:rPr>
          <w:lang w:val="nl-NL"/>
        </w:rPr>
        <w:t>TenneT moet</w:t>
      </w:r>
      <w:r w:rsidRPr="00A81A12" w:rsidR="00F056A7">
        <w:rPr>
          <w:lang w:val="nl-NL"/>
        </w:rPr>
        <w:t xml:space="preserve"> op grond van criteria van kredietbeoordelaars</w:t>
      </w:r>
      <w:r w:rsidR="00AD4BF5">
        <w:rPr>
          <w:lang w:val="nl-NL"/>
        </w:rPr>
        <w:t xml:space="preserve"> ook in 2025 blijven </w:t>
      </w:r>
      <w:r w:rsidRPr="00A81A12" w:rsidR="00F056A7">
        <w:rPr>
          <w:lang w:val="nl-NL"/>
        </w:rPr>
        <w:t>voldoen aan het 12-maandsliquiditeitsvereiste.</w:t>
      </w:r>
      <w:r w:rsidR="007942B5">
        <w:rPr>
          <w:lang w:val="nl-NL"/>
        </w:rPr>
        <w:t xml:space="preserve"> </w:t>
      </w:r>
      <w:r w:rsidRPr="00A81A12" w:rsidR="00F056A7">
        <w:rPr>
          <w:lang w:val="nl-NL"/>
        </w:rPr>
        <w:t xml:space="preserve">Dit vereiste stelt dat TenneT op ieder moment moet kunnen aantonen dat het de komende 12 maanden aan haar financiële verplichtingen kan voldoen. </w:t>
      </w:r>
    </w:p>
    <w:p w:rsidR="00AD4BF5" w:rsidP="003A1C74" w:rsidRDefault="00AD4BF5" w14:paraId="7572918D" w14:textId="77777777">
      <w:pPr>
        <w:autoSpaceDN w:val="0"/>
        <w:spacing w:after="0" w:line="240" w:lineRule="exact"/>
        <w:ind w:left="360"/>
        <w:textAlignment w:val="baseline"/>
        <w:rPr>
          <w:lang w:val="nl-NL"/>
        </w:rPr>
      </w:pPr>
    </w:p>
    <w:p w:rsidR="003A1C74" w:rsidP="003A1C74" w:rsidRDefault="00F056A7" w14:paraId="4AD12A18" w14:textId="7A3461EE">
      <w:pPr>
        <w:autoSpaceDN w:val="0"/>
        <w:spacing w:after="0" w:line="240" w:lineRule="exact"/>
        <w:ind w:left="360"/>
        <w:textAlignment w:val="baseline"/>
        <w:rPr>
          <w:lang w:val="nl-NL"/>
        </w:rPr>
      </w:pPr>
      <w:r w:rsidRPr="00A81A12">
        <w:rPr>
          <w:lang w:val="nl-NL"/>
        </w:rPr>
        <w:t>Als TenneT hier niet aan voldoet wordt de</w:t>
      </w:r>
      <w:r w:rsidR="0096151B">
        <w:rPr>
          <w:lang w:val="nl-NL"/>
        </w:rPr>
        <w:t xml:space="preserve"> </w:t>
      </w:r>
      <w:r w:rsidRPr="009077F8" w:rsidR="0096151B">
        <w:rPr>
          <w:i/>
          <w:iCs/>
          <w:lang w:val="nl-NL"/>
        </w:rPr>
        <w:t>credit</w:t>
      </w:r>
      <w:r w:rsidRPr="009077F8">
        <w:rPr>
          <w:i/>
          <w:iCs/>
          <w:lang w:val="nl-NL"/>
        </w:rPr>
        <w:t xml:space="preserve"> rating</w:t>
      </w:r>
      <w:r w:rsidRPr="00A81A12">
        <w:rPr>
          <w:lang w:val="nl-NL"/>
        </w:rPr>
        <w:t xml:space="preserve"> waarschijnlijk drastisch verlaagd en zal TenneT daardoor niet voldoen aan het Besluit Financieel Beheer Netbeheerder (BFN). </w:t>
      </w:r>
      <w:r w:rsidRPr="00A81A12" w:rsidR="001006D4">
        <w:rPr>
          <w:lang w:val="nl-NL"/>
        </w:rPr>
        <w:t xml:space="preserve">Daarnaast is het voor een succesvolle deelname van private investeerders in TenneT Duitsland essentieel dat TenneT ook nu haar </w:t>
      </w:r>
      <w:r w:rsidRPr="009077F8" w:rsidR="001006D4">
        <w:rPr>
          <w:i/>
          <w:iCs/>
          <w:lang w:val="nl-NL"/>
        </w:rPr>
        <w:t>credit rating</w:t>
      </w:r>
      <w:r w:rsidRPr="00A81A12" w:rsidR="001006D4">
        <w:rPr>
          <w:lang w:val="nl-NL"/>
        </w:rPr>
        <w:t xml:space="preserve"> en het vertrouwen van de markt behoudt.</w:t>
      </w:r>
      <w:r w:rsidR="001006D4">
        <w:rPr>
          <w:lang w:val="nl-NL"/>
        </w:rPr>
        <w:t xml:space="preserve"> Tot slot zal </w:t>
      </w:r>
      <w:r w:rsidRPr="004E6BD7" w:rsidR="001006D4">
        <w:rPr>
          <w:lang w:val="nl-NL"/>
        </w:rPr>
        <w:t>TenneT zonder uitzicht op korte termijn financiering genoodzaakt zijn om investeringen uit te stellen of te annuleren, met mogelijk juridische consequenties en vertraging in het oplossen van de congestieproblematiek en de realisatie van de energietransitie tot gevolg.</w:t>
      </w:r>
      <w:r w:rsidRPr="003A1C74" w:rsidR="003A1C74">
        <w:rPr>
          <w:lang w:val="nl-NL"/>
        </w:rPr>
        <w:t xml:space="preserve"> </w:t>
      </w:r>
    </w:p>
    <w:p w:rsidR="00D32C8D" w:rsidP="001618A7" w:rsidRDefault="00D32C8D" w14:paraId="17EEC7E0" w14:textId="514BDC69">
      <w:pPr>
        <w:autoSpaceDN w:val="0"/>
        <w:spacing w:after="0" w:line="240" w:lineRule="exact"/>
        <w:textAlignment w:val="baseline"/>
        <w:rPr>
          <w:szCs w:val="18"/>
          <w:lang w:val="nl-NL"/>
        </w:rPr>
      </w:pPr>
    </w:p>
    <w:p w:rsidRPr="00D32C8D" w:rsidR="00700C28" w:rsidP="006C2EEA" w:rsidRDefault="0090539E" w14:paraId="55B30D45" w14:textId="5B6D1F43">
      <w:pPr>
        <w:autoSpaceDN w:val="0"/>
        <w:spacing w:after="0" w:line="240" w:lineRule="exact"/>
        <w:ind w:left="360"/>
        <w:textAlignment w:val="baseline"/>
        <w:rPr>
          <w:lang w:val="nl-NL"/>
        </w:rPr>
      </w:pPr>
      <w:r>
        <w:rPr>
          <w:lang w:val="nl-NL"/>
        </w:rPr>
        <w:t>Voor het jaar 2025 heeft</w:t>
      </w:r>
      <w:r w:rsidRPr="00610993">
        <w:rPr>
          <w:lang w:val="nl-NL"/>
        </w:rPr>
        <w:t xml:space="preserve"> </w:t>
      </w:r>
      <w:r w:rsidRPr="00610993" w:rsidR="002B15EA">
        <w:rPr>
          <w:lang w:val="nl-NL"/>
        </w:rPr>
        <w:t xml:space="preserve">mijn voorganger u </w:t>
      </w:r>
      <w:r>
        <w:rPr>
          <w:lang w:val="nl-NL"/>
        </w:rPr>
        <w:t>geï</w:t>
      </w:r>
      <w:r w:rsidRPr="00610993" w:rsidR="002B15EA">
        <w:rPr>
          <w:lang w:val="nl-NL"/>
        </w:rPr>
        <w:t>nformeerd over de leningsfaciliteit die destijds beschikbaar is gesteld aan TenneT</w:t>
      </w:r>
      <w:r w:rsidRPr="00F056A7" w:rsidR="002B15EA">
        <w:rPr>
          <w:lang w:val="nl-NL"/>
        </w:rPr>
        <w:t xml:space="preserve"> </w:t>
      </w:r>
      <w:r>
        <w:rPr>
          <w:lang w:val="nl-NL"/>
        </w:rPr>
        <w:t xml:space="preserve">van </w:t>
      </w:r>
      <w:r w:rsidR="002B15EA">
        <w:rPr>
          <w:lang w:val="nl-NL"/>
        </w:rPr>
        <w:t>€</w:t>
      </w:r>
      <w:r w:rsidR="00CC6D77">
        <w:rPr>
          <w:lang w:val="nl-NL"/>
        </w:rPr>
        <w:t xml:space="preserve"> </w:t>
      </w:r>
      <w:r w:rsidR="002B15EA">
        <w:rPr>
          <w:lang w:val="nl-NL"/>
        </w:rPr>
        <w:t xml:space="preserve">11,9 miljard </w:t>
      </w:r>
      <w:r>
        <w:rPr>
          <w:lang w:val="nl-NL"/>
        </w:rPr>
        <w:t>op basis van toenmalige ramingen</w:t>
      </w:r>
      <w:r w:rsidR="002B15EA">
        <w:rPr>
          <w:lang w:val="nl-NL"/>
        </w:rPr>
        <w:t xml:space="preserve">. TenneT heeft </w:t>
      </w:r>
      <w:r>
        <w:rPr>
          <w:lang w:val="nl-NL"/>
        </w:rPr>
        <w:t xml:space="preserve">recent </w:t>
      </w:r>
      <w:r w:rsidR="002B15EA">
        <w:rPr>
          <w:lang w:val="nl-NL"/>
        </w:rPr>
        <w:t>aangegeven dat deze €</w:t>
      </w:r>
      <w:r w:rsidR="00CC6D77">
        <w:rPr>
          <w:lang w:val="nl-NL"/>
        </w:rPr>
        <w:t xml:space="preserve"> </w:t>
      </w:r>
      <w:r w:rsidR="002B15EA">
        <w:rPr>
          <w:lang w:val="nl-NL"/>
        </w:rPr>
        <w:t xml:space="preserve">11,9 miljard met </w:t>
      </w:r>
      <w:r w:rsidRPr="00610993" w:rsidR="00D32C8D">
        <w:rPr>
          <w:lang w:val="nl-NL"/>
        </w:rPr>
        <w:t>€ 2</w:t>
      </w:r>
      <w:r w:rsidR="00F056A7">
        <w:rPr>
          <w:lang w:val="nl-NL"/>
        </w:rPr>
        <w:t>,3</w:t>
      </w:r>
      <w:r w:rsidRPr="00610993" w:rsidR="00D32C8D">
        <w:rPr>
          <w:lang w:val="nl-NL"/>
        </w:rPr>
        <w:t xml:space="preserve"> miljard </w:t>
      </w:r>
      <w:r w:rsidR="002B15EA">
        <w:rPr>
          <w:lang w:val="nl-NL"/>
        </w:rPr>
        <w:t>is toegenomen</w:t>
      </w:r>
      <w:r>
        <w:rPr>
          <w:lang w:val="nl-NL"/>
        </w:rPr>
        <w:t xml:space="preserve"> door</w:t>
      </w:r>
      <w:r w:rsidR="001618A7">
        <w:rPr>
          <w:lang w:val="nl-NL"/>
        </w:rPr>
        <w:t xml:space="preserve"> </w:t>
      </w:r>
      <w:r w:rsidRPr="00610993" w:rsidR="00D32C8D">
        <w:rPr>
          <w:lang w:val="nl-NL"/>
        </w:rPr>
        <w:t xml:space="preserve">onder meer de verder gestegen prijzen, vooral bij de aansluitingen van wind op zee. </w:t>
      </w:r>
      <w:r w:rsidRPr="00861364" w:rsidDel="00AD4BF5" w:rsidR="009077F8">
        <w:rPr>
          <w:lang w:val="nl-NL"/>
        </w:rPr>
        <w:t xml:space="preserve">De financieringsbehoefte van TenneT in 2026 is </w:t>
      </w:r>
      <w:proofErr w:type="gramStart"/>
      <w:r w:rsidRPr="00861364" w:rsidDel="00AD4BF5" w:rsidR="009077F8">
        <w:rPr>
          <w:lang w:val="nl-NL"/>
        </w:rPr>
        <w:t>circa</w:t>
      </w:r>
      <w:proofErr w:type="gramEnd"/>
      <w:r w:rsidRPr="00861364" w:rsidDel="00AD4BF5" w:rsidR="009077F8">
        <w:rPr>
          <w:lang w:val="nl-NL"/>
        </w:rPr>
        <w:t xml:space="preserve"> € 17</w:t>
      </w:r>
      <w:r w:rsidR="009077F8">
        <w:rPr>
          <w:lang w:val="nl-NL"/>
        </w:rPr>
        <w:t>,1</w:t>
      </w:r>
      <w:r w:rsidRPr="00861364" w:rsidDel="00AD4BF5" w:rsidR="009077F8">
        <w:rPr>
          <w:lang w:val="nl-NL"/>
        </w:rPr>
        <w:t xml:space="preserve"> miljard</w:t>
      </w:r>
      <w:r w:rsidDel="00AD4BF5" w:rsidR="009077F8">
        <w:rPr>
          <w:lang w:val="nl-NL"/>
        </w:rPr>
        <w:t xml:space="preserve">. </w:t>
      </w:r>
      <w:r w:rsidR="002B15EA">
        <w:rPr>
          <w:lang w:val="nl-NL"/>
        </w:rPr>
        <w:t xml:space="preserve">Vanwege de gestegen financieringsbehoefte in 2025 </w:t>
      </w:r>
      <w:r w:rsidR="009077F8">
        <w:rPr>
          <w:lang w:val="nl-NL"/>
        </w:rPr>
        <w:t xml:space="preserve">en de financieringsbehoefte in 2026 </w:t>
      </w:r>
      <w:r w:rsidR="002B15EA">
        <w:rPr>
          <w:lang w:val="nl-NL"/>
        </w:rPr>
        <w:t>is d</w:t>
      </w:r>
      <w:r w:rsidR="00A86B78">
        <w:rPr>
          <w:lang w:val="nl-NL"/>
        </w:rPr>
        <w:t xml:space="preserve">e huidige lening niet afdoende om te voldoen aan het 12-maandsliquiditeitsvereiste </w:t>
      </w:r>
      <w:r w:rsidR="009077F8">
        <w:rPr>
          <w:lang w:val="nl-NL"/>
        </w:rPr>
        <w:t xml:space="preserve">gedurende </w:t>
      </w:r>
      <w:r w:rsidR="00A86B78">
        <w:rPr>
          <w:lang w:val="nl-NL"/>
        </w:rPr>
        <w:t>2025</w:t>
      </w:r>
      <w:r w:rsidR="0037411B">
        <w:rPr>
          <w:lang w:val="nl-NL"/>
        </w:rPr>
        <w:t>.</w:t>
      </w:r>
      <w:r w:rsidR="00301904">
        <w:rPr>
          <w:lang w:val="nl-NL"/>
        </w:rPr>
        <w:t xml:space="preserve"> </w:t>
      </w:r>
    </w:p>
    <w:p w:rsidRPr="004E6BD7" w:rsidR="00BB45F2" w:rsidP="00A81A12" w:rsidRDefault="00BB45F2" w14:paraId="631E7A95" w14:textId="77777777">
      <w:pPr>
        <w:autoSpaceDN w:val="0"/>
        <w:spacing w:after="0" w:line="240" w:lineRule="exact"/>
        <w:textAlignment w:val="baseline"/>
        <w:rPr>
          <w:lang w:val="nl-NL"/>
        </w:rPr>
      </w:pPr>
    </w:p>
    <w:p w:rsidR="0091103D" w:rsidP="00BB45F2" w:rsidRDefault="00B212F0" w14:paraId="29929A41" w14:textId="3BB5BAA5">
      <w:pPr>
        <w:pStyle w:val="Lijstalinea"/>
        <w:spacing w:after="0"/>
        <w:ind w:left="360"/>
        <w:rPr>
          <w:lang w:val="nl-NL"/>
        </w:rPr>
      </w:pPr>
      <w:r>
        <w:rPr>
          <w:lang w:val="nl-NL"/>
        </w:rPr>
        <w:t xml:space="preserve">Dit alles </w:t>
      </w:r>
      <w:r w:rsidR="007619FE">
        <w:rPr>
          <w:lang w:val="nl-NL"/>
        </w:rPr>
        <w:t xml:space="preserve">overwegende is het kabinet daarom voornemens TenneT een </w:t>
      </w:r>
      <w:r w:rsidR="004B5503">
        <w:rPr>
          <w:lang w:val="nl-NL"/>
        </w:rPr>
        <w:t>additionel</w:t>
      </w:r>
      <w:r>
        <w:rPr>
          <w:lang w:val="nl-NL"/>
        </w:rPr>
        <w:t>e</w:t>
      </w:r>
      <w:r w:rsidR="004B5503">
        <w:rPr>
          <w:lang w:val="nl-NL"/>
        </w:rPr>
        <w:t xml:space="preserve"> </w:t>
      </w:r>
      <w:r w:rsidR="007619FE">
        <w:rPr>
          <w:lang w:val="nl-NL"/>
        </w:rPr>
        <w:t>lening</w:t>
      </w:r>
      <w:r>
        <w:rPr>
          <w:lang w:val="nl-NL"/>
        </w:rPr>
        <w:t>sfaciliteit</w:t>
      </w:r>
      <w:r w:rsidR="007619FE">
        <w:rPr>
          <w:lang w:val="nl-NL"/>
        </w:rPr>
        <w:t xml:space="preserve"> aan te bieden voor de </w:t>
      </w:r>
      <w:r w:rsidR="0091103D">
        <w:rPr>
          <w:lang w:val="nl-NL"/>
        </w:rPr>
        <w:t xml:space="preserve">gestegen </w:t>
      </w:r>
      <w:r w:rsidR="007619FE">
        <w:rPr>
          <w:lang w:val="nl-NL"/>
        </w:rPr>
        <w:t>financieringsbehoefte van 20</w:t>
      </w:r>
      <w:r w:rsidR="004B5503">
        <w:rPr>
          <w:lang w:val="nl-NL"/>
        </w:rPr>
        <w:t>25</w:t>
      </w:r>
      <w:r w:rsidR="007619FE">
        <w:rPr>
          <w:lang w:val="nl-NL"/>
        </w:rPr>
        <w:t xml:space="preserve"> en </w:t>
      </w:r>
      <w:r w:rsidR="0091103D">
        <w:rPr>
          <w:lang w:val="nl-NL"/>
        </w:rPr>
        <w:t xml:space="preserve">voor de financieringsbehoefte van </w:t>
      </w:r>
      <w:r w:rsidR="007619FE">
        <w:rPr>
          <w:lang w:val="nl-NL"/>
        </w:rPr>
        <w:t>202</w:t>
      </w:r>
      <w:r w:rsidR="004B5503">
        <w:rPr>
          <w:lang w:val="nl-NL"/>
        </w:rPr>
        <w:t>6</w:t>
      </w:r>
      <w:r w:rsidR="007619FE">
        <w:rPr>
          <w:lang w:val="nl-NL"/>
        </w:rPr>
        <w:t xml:space="preserve">. </w:t>
      </w:r>
      <w:bookmarkStart w:name="_Hlk153281198" w:id="0"/>
      <w:r w:rsidR="007619FE">
        <w:rPr>
          <w:lang w:val="nl-NL"/>
        </w:rPr>
        <w:t xml:space="preserve">Hierdoor is het niet nodig dat het bedrijf het komende jaar naar de </w:t>
      </w:r>
      <w:r w:rsidR="004B5503">
        <w:rPr>
          <w:lang w:val="nl-NL"/>
        </w:rPr>
        <w:t>financiële markt gaat</w:t>
      </w:r>
      <w:r w:rsidR="00FE14C1">
        <w:rPr>
          <w:lang w:val="nl-NL"/>
        </w:rPr>
        <w:t xml:space="preserve"> voor reguliere obligaties</w:t>
      </w:r>
      <w:r w:rsidR="007619FE">
        <w:rPr>
          <w:lang w:val="nl-NL"/>
        </w:rPr>
        <w:t xml:space="preserve">. Het verstrekken van een lening is geen lange termijn oplossing, maar biedt een overbrugging tot </w:t>
      </w:r>
      <w:r>
        <w:rPr>
          <w:lang w:val="nl-NL"/>
        </w:rPr>
        <w:t xml:space="preserve">de structurele oplossingen zijn geïmplementeerd. </w:t>
      </w:r>
      <w:bookmarkEnd w:id="0"/>
    </w:p>
    <w:p w:rsidR="0091103D" w:rsidP="00BB45F2" w:rsidRDefault="0091103D" w14:paraId="4A778669" w14:textId="77777777">
      <w:pPr>
        <w:pStyle w:val="Lijstalinea"/>
        <w:spacing w:after="0"/>
        <w:ind w:left="360"/>
        <w:rPr>
          <w:lang w:val="nl-NL"/>
        </w:rPr>
      </w:pPr>
    </w:p>
    <w:p w:rsidR="007619FE" w:rsidP="00BB45F2" w:rsidRDefault="00A86B78" w14:paraId="255E4890" w14:textId="29AD377B">
      <w:pPr>
        <w:pStyle w:val="Lijstalinea"/>
        <w:spacing w:after="0"/>
        <w:ind w:left="360"/>
        <w:rPr>
          <w:lang w:val="nl-NL"/>
        </w:rPr>
      </w:pPr>
      <w:r w:rsidRPr="00A86B78">
        <w:rPr>
          <w:lang w:val="nl-NL"/>
        </w:rPr>
        <w:lastRenderedPageBreak/>
        <w:t xml:space="preserve">TenneT houdt daarnaast nog een aantal kredietfaciliteiten aan, zodat het een buffer heeft </w:t>
      </w:r>
      <w:r>
        <w:rPr>
          <w:lang w:val="nl-NL"/>
        </w:rPr>
        <w:t>bij onvoorziene omstandigheden</w:t>
      </w:r>
      <w:r w:rsidRPr="00A86B78">
        <w:rPr>
          <w:lang w:val="nl-NL"/>
        </w:rPr>
        <w:t>.</w:t>
      </w:r>
      <w:r>
        <w:rPr>
          <w:lang w:val="nl-NL"/>
        </w:rPr>
        <w:t xml:space="preserve"> </w:t>
      </w:r>
      <w:r w:rsidRPr="004B5503" w:rsidR="004B5503">
        <w:rPr>
          <w:lang w:val="nl-NL"/>
        </w:rPr>
        <w:t xml:space="preserve">Het </w:t>
      </w:r>
      <w:r w:rsidR="004B5503">
        <w:rPr>
          <w:lang w:val="nl-NL"/>
        </w:rPr>
        <w:t xml:space="preserve">is het </w:t>
      </w:r>
      <w:r w:rsidRPr="004B5503" w:rsidR="004B5503">
        <w:rPr>
          <w:lang w:val="nl-NL"/>
        </w:rPr>
        <w:t xml:space="preserve">doel </w:t>
      </w:r>
      <w:r w:rsidR="004B5503">
        <w:rPr>
          <w:lang w:val="nl-NL"/>
        </w:rPr>
        <w:t xml:space="preserve">van het kabinet </w:t>
      </w:r>
      <w:r w:rsidRPr="004B5503" w:rsidR="004B5503">
        <w:rPr>
          <w:lang w:val="nl-NL"/>
        </w:rPr>
        <w:t>dat</w:t>
      </w:r>
      <w:r w:rsidR="00B212F0">
        <w:rPr>
          <w:lang w:val="nl-NL"/>
        </w:rPr>
        <w:t xml:space="preserve"> de</w:t>
      </w:r>
      <w:r w:rsidR="0096151B">
        <w:rPr>
          <w:lang w:val="nl-NL"/>
        </w:rPr>
        <w:t>ze</w:t>
      </w:r>
      <w:r w:rsidR="00B212F0">
        <w:rPr>
          <w:lang w:val="nl-NL"/>
        </w:rPr>
        <w:t xml:space="preserve"> additionele leningsfaciliteit</w:t>
      </w:r>
      <w:r w:rsidRPr="004B5503" w:rsidR="004B5503">
        <w:rPr>
          <w:lang w:val="nl-NL"/>
        </w:rPr>
        <w:t xml:space="preserve"> </w:t>
      </w:r>
      <w:r w:rsidR="0096151B">
        <w:rPr>
          <w:lang w:val="nl-NL"/>
        </w:rPr>
        <w:t xml:space="preserve">vanuit de staat </w:t>
      </w:r>
      <w:r w:rsidRPr="004B5503" w:rsidR="004B5503">
        <w:rPr>
          <w:lang w:val="nl-NL"/>
        </w:rPr>
        <w:t>niet gebruikt hoeft te worden</w:t>
      </w:r>
      <w:r w:rsidR="00B212F0">
        <w:rPr>
          <w:lang w:val="nl-NL"/>
        </w:rPr>
        <w:t xml:space="preserve"> door het tijdig implementeren van de structurele oplossingen </w:t>
      </w:r>
      <w:r w:rsidR="0091103D">
        <w:rPr>
          <w:lang w:val="nl-NL"/>
        </w:rPr>
        <w:t>voor de kapitaalbehoefte van TenneT</w:t>
      </w:r>
      <w:r w:rsidR="00B212F0">
        <w:rPr>
          <w:lang w:val="nl-NL"/>
        </w:rPr>
        <w:t>.</w:t>
      </w:r>
      <w:r w:rsidR="0091103D">
        <w:rPr>
          <w:lang w:val="nl-NL"/>
        </w:rPr>
        <w:t xml:space="preserve"> </w:t>
      </w:r>
    </w:p>
    <w:p w:rsidR="007619FE" w:rsidP="006C2EEA" w:rsidRDefault="007619FE" w14:paraId="3C6D8F78" w14:textId="77777777">
      <w:pPr>
        <w:pStyle w:val="Lijstalinea"/>
        <w:spacing w:after="0"/>
        <w:ind w:left="360"/>
        <w:rPr>
          <w:lang w:val="nl-NL"/>
        </w:rPr>
      </w:pPr>
    </w:p>
    <w:p w:rsidR="007619FE" w:rsidP="006C2EEA" w:rsidRDefault="007619FE" w14:paraId="5225D4F2" w14:textId="77777777">
      <w:pPr>
        <w:pStyle w:val="Lijstalinea"/>
        <w:numPr>
          <w:ilvl w:val="0"/>
          <w:numId w:val="4"/>
        </w:numPr>
        <w:spacing w:after="0" w:line="256" w:lineRule="auto"/>
        <w:rPr>
          <w:i/>
          <w:iCs/>
          <w:lang w:val="nl-NL"/>
        </w:rPr>
      </w:pPr>
      <w:r>
        <w:rPr>
          <w:i/>
          <w:iCs/>
          <w:lang w:val="nl-NL"/>
        </w:rPr>
        <w:t xml:space="preserve">Waarom rekent de centrale overheid het tot haar verantwoordelijkheid om het probleem op te lossen? </w:t>
      </w:r>
    </w:p>
    <w:p w:rsidR="006C2EEA" w:rsidP="006C2EEA" w:rsidRDefault="006C2EEA" w14:paraId="4635EF23" w14:textId="77777777">
      <w:pPr>
        <w:pStyle w:val="Lijstalinea"/>
        <w:spacing w:after="0"/>
        <w:ind w:left="360"/>
        <w:rPr>
          <w:i/>
          <w:iCs/>
          <w:lang w:val="nl-NL"/>
        </w:rPr>
      </w:pPr>
    </w:p>
    <w:p w:rsidR="007619FE" w:rsidP="006C2EEA" w:rsidRDefault="007619FE" w14:paraId="6038F2C4" w14:textId="09306BC6">
      <w:pPr>
        <w:pStyle w:val="Lijstalinea"/>
        <w:spacing w:after="0"/>
        <w:ind w:left="360"/>
        <w:rPr>
          <w:lang w:val="nl-NL"/>
        </w:rPr>
      </w:pPr>
      <w:r>
        <w:rPr>
          <w:lang w:val="nl-NL"/>
        </w:rPr>
        <w:t>Gelet op het bovenstaande wil de Nederlandse staat, als enige aandeelhouder, TenneT in staat stellen voldoende financiering aan te trekken</w:t>
      </w:r>
      <w:r w:rsidR="006B01AC">
        <w:rPr>
          <w:lang w:val="nl-NL"/>
        </w:rPr>
        <w:t xml:space="preserve"> en haar kredietwaardigheid te behouden</w:t>
      </w:r>
      <w:r>
        <w:rPr>
          <w:lang w:val="nl-NL"/>
        </w:rPr>
        <w:t>. Het alternatief, niets doen</w:t>
      </w:r>
      <w:r w:rsidR="004B5503">
        <w:rPr>
          <w:lang w:val="nl-NL"/>
        </w:rPr>
        <w:t>,</w:t>
      </w:r>
      <w:r>
        <w:rPr>
          <w:lang w:val="nl-NL"/>
        </w:rPr>
        <w:t xml:space="preserve"> acht het kabinet zoals hierboven beschreven onwenselijk. Daarom is het kabinet voornemens </w:t>
      </w:r>
      <w:r w:rsidR="00610993">
        <w:rPr>
          <w:lang w:val="nl-NL"/>
        </w:rPr>
        <w:t xml:space="preserve">de </w:t>
      </w:r>
      <w:r w:rsidR="0096151B">
        <w:rPr>
          <w:lang w:val="nl-NL"/>
        </w:rPr>
        <w:t xml:space="preserve">bestaande </w:t>
      </w:r>
      <w:r w:rsidR="00610993">
        <w:rPr>
          <w:lang w:val="nl-NL"/>
        </w:rPr>
        <w:t xml:space="preserve">leningsfaciliteit </w:t>
      </w:r>
      <w:r w:rsidR="00737D2D">
        <w:rPr>
          <w:lang w:val="nl-NL"/>
        </w:rPr>
        <w:t xml:space="preserve">van TenneT </w:t>
      </w:r>
      <w:r w:rsidR="00610993">
        <w:rPr>
          <w:lang w:val="nl-NL"/>
        </w:rPr>
        <w:t>uit te breiden</w:t>
      </w:r>
      <w:r>
        <w:rPr>
          <w:lang w:val="nl-NL"/>
        </w:rPr>
        <w:t xml:space="preserve">, waardoor TenneT </w:t>
      </w:r>
      <w:r w:rsidR="00610993">
        <w:rPr>
          <w:lang w:val="nl-NL"/>
        </w:rPr>
        <w:t>kan blijven voldoen aan de liquiditeitsvereisten</w:t>
      </w:r>
      <w:r w:rsidR="006B01AC">
        <w:rPr>
          <w:lang w:val="nl-NL"/>
        </w:rPr>
        <w:t xml:space="preserve"> en haar investeringsprogramma kan</w:t>
      </w:r>
      <w:r w:rsidR="00CC6D77">
        <w:rPr>
          <w:lang w:val="nl-NL"/>
        </w:rPr>
        <w:t xml:space="preserve"> blijven</w:t>
      </w:r>
      <w:r w:rsidR="006B01AC">
        <w:rPr>
          <w:lang w:val="nl-NL"/>
        </w:rPr>
        <w:t xml:space="preserve"> uitvoeren</w:t>
      </w:r>
      <w:r w:rsidR="00610993">
        <w:rPr>
          <w:lang w:val="nl-NL"/>
        </w:rPr>
        <w:t>.</w:t>
      </w:r>
    </w:p>
    <w:p w:rsidR="007619FE" w:rsidP="006C2EEA" w:rsidRDefault="007619FE" w14:paraId="03C62FA2" w14:textId="77777777">
      <w:pPr>
        <w:pStyle w:val="Lijstalinea"/>
        <w:spacing w:after="0"/>
        <w:ind w:left="360"/>
        <w:rPr>
          <w:lang w:val="nl-NL"/>
        </w:rPr>
      </w:pPr>
    </w:p>
    <w:p w:rsidR="007619FE" w:rsidP="006C2EEA" w:rsidRDefault="007619FE" w14:paraId="651E18F0" w14:textId="77777777">
      <w:pPr>
        <w:pStyle w:val="Lijstalinea"/>
        <w:numPr>
          <w:ilvl w:val="0"/>
          <w:numId w:val="4"/>
        </w:numPr>
        <w:spacing w:after="0" w:line="256" w:lineRule="auto"/>
        <w:rPr>
          <w:i/>
          <w:iCs/>
          <w:lang w:val="nl-NL"/>
        </w:rPr>
      </w:pPr>
      <w:r>
        <w:rPr>
          <w:i/>
          <w:iCs/>
          <w:lang w:val="nl-NL"/>
        </w:rPr>
        <w:t>Is het voorstel voor de risicoregeling a) ter compensatie van risico’s die niet in de markt kunnen worden gedekt, en/of b) het beste instrument waarmee een optimale doelmatigheidswinst kan worden bewerkstelligd ten opzichte van andere beleidsinstrumenten? Maak een vergelijking met alternatieve beleidsinstrumenten.</w:t>
      </w:r>
    </w:p>
    <w:p w:rsidR="000B039D" w:rsidP="006C2EEA" w:rsidRDefault="000B039D" w14:paraId="70502303" w14:textId="77777777">
      <w:pPr>
        <w:spacing w:after="0"/>
        <w:ind w:left="360"/>
        <w:rPr>
          <w:lang w:val="nl-NL"/>
        </w:rPr>
      </w:pPr>
    </w:p>
    <w:p w:rsidR="004B5503" w:rsidP="006C2EEA" w:rsidRDefault="004B5503" w14:paraId="4E43E25F" w14:textId="5EFB78A4">
      <w:pPr>
        <w:spacing w:after="0"/>
        <w:ind w:left="360"/>
        <w:rPr>
          <w:lang w:val="nl-NL"/>
        </w:rPr>
      </w:pPr>
      <w:r>
        <w:rPr>
          <w:lang w:val="nl-NL"/>
        </w:rPr>
        <w:t xml:space="preserve">Het kabinet heeft andere beleidsinstrumenten geanalyseerd: </w:t>
      </w:r>
    </w:p>
    <w:p w:rsidR="000B039D" w:rsidP="006C2EEA" w:rsidRDefault="000B039D" w14:paraId="6439DD85" w14:textId="77777777">
      <w:pPr>
        <w:spacing w:after="0"/>
        <w:ind w:left="360"/>
        <w:rPr>
          <w:lang w:val="nl-NL"/>
        </w:rPr>
      </w:pPr>
    </w:p>
    <w:p w:rsidRPr="00CC6D77" w:rsidR="00A25757" w:rsidP="009077F8" w:rsidRDefault="004B5503" w14:paraId="6AC28BF8" w14:textId="75362B51">
      <w:pPr>
        <w:pStyle w:val="Lijstalinea"/>
        <w:numPr>
          <w:ilvl w:val="0"/>
          <w:numId w:val="6"/>
        </w:numPr>
        <w:autoSpaceDN w:val="0"/>
        <w:spacing w:after="0" w:line="240" w:lineRule="exact"/>
        <w:textAlignment w:val="baseline"/>
        <w:rPr>
          <w:lang w:val="nl-NL"/>
        </w:rPr>
      </w:pPr>
      <w:r w:rsidRPr="00CC6D77">
        <w:rPr>
          <w:lang w:val="nl-NL"/>
        </w:rPr>
        <w:t>Kapitaal storten voor TenneT Nederland en TenneT Duitsland en TenneT de financiering op de markt op laten halen:</w:t>
      </w:r>
      <w:r w:rsidRPr="00CC6D77" w:rsidR="0091103D">
        <w:rPr>
          <w:lang w:val="nl-NL"/>
        </w:rPr>
        <w:t xml:space="preserve"> Het is gelet op de financieringsstructuur van TenneT op dit moment niet afdoende om alleen kapitaal te storten voor TenneT N</w:t>
      </w:r>
      <w:r w:rsidRPr="00CC6D77" w:rsidR="00B74576">
        <w:rPr>
          <w:lang w:val="nl-NL"/>
        </w:rPr>
        <w:t>ederland. Dat betekent dat</w:t>
      </w:r>
      <w:r w:rsidRPr="00CC6D77">
        <w:rPr>
          <w:lang w:val="nl-NL"/>
        </w:rPr>
        <w:t xml:space="preserve"> ook kapitaal gestort </w:t>
      </w:r>
      <w:r w:rsidRPr="00CC6D77" w:rsidR="00B74576">
        <w:rPr>
          <w:lang w:val="nl-NL"/>
        </w:rPr>
        <w:t xml:space="preserve">zou moet worden </w:t>
      </w:r>
      <w:r w:rsidRPr="00CC6D77">
        <w:rPr>
          <w:lang w:val="nl-NL"/>
        </w:rPr>
        <w:t xml:space="preserve">voor TenneT Duitsland. </w:t>
      </w:r>
      <w:r w:rsidRPr="00CC6D77" w:rsidR="00A25757">
        <w:rPr>
          <w:lang w:val="nl-NL"/>
        </w:rPr>
        <w:t>Voorgaande kabinetten hebben altijd het standpunt geformuleerd dat zij geen Nederlands belastinggeld aanwenden om de kapitaalbehoefte van TenneT Duitsland in te vullen. Het huidige kabinet deelt dat het niet de voorkeur verdient om Nederlands belastinggeld te benutten voor de activiteiten van TenneT Duitsland.</w:t>
      </w:r>
    </w:p>
    <w:p w:rsidR="004B5503" w:rsidP="00A25757" w:rsidRDefault="004B5503" w14:paraId="0F79A45C" w14:textId="7620DE9D">
      <w:pPr>
        <w:pStyle w:val="Lijstalinea"/>
        <w:numPr>
          <w:ilvl w:val="0"/>
          <w:numId w:val="6"/>
        </w:numPr>
        <w:autoSpaceDN w:val="0"/>
        <w:spacing w:after="0" w:line="240" w:lineRule="exact"/>
        <w:textAlignment w:val="baseline"/>
        <w:rPr>
          <w:lang w:val="nl-NL"/>
        </w:rPr>
      </w:pPr>
      <w:r w:rsidRPr="00A25757">
        <w:rPr>
          <w:lang w:val="nl-NL"/>
        </w:rPr>
        <w:t xml:space="preserve">Garantie </w:t>
      </w:r>
      <w:r w:rsidR="0096151B">
        <w:rPr>
          <w:lang w:val="nl-NL"/>
        </w:rPr>
        <w:t>voor</w:t>
      </w:r>
      <w:r w:rsidRPr="00A25757">
        <w:rPr>
          <w:lang w:val="nl-NL"/>
        </w:rPr>
        <w:t xml:space="preserve"> nieuwe schuld van TenneT: Het doel van de lening is een overbrugging tot </w:t>
      </w:r>
      <w:r w:rsidR="00CC6D77">
        <w:rPr>
          <w:lang w:val="nl-NL"/>
        </w:rPr>
        <w:t>het moment dat</w:t>
      </w:r>
      <w:r w:rsidRPr="00A25757">
        <w:rPr>
          <w:lang w:val="nl-NL"/>
        </w:rPr>
        <w:t xml:space="preserve"> </w:t>
      </w:r>
      <w:r w:rsidR="00CC6D77">
        <w:rPr>
          <w:lang w:val="nl-NL"/>
        </w:rPr>
        <w:t xml:space="preserve">de structurele oplossingen voor </w:t>
      </w:r>
      <w:r w:rsidRPr="00A25757">
        <w:rPr>
          <w:lang w:val="nl-NL"/>
        </w:rPr>
        <w:t xml:space="preserve">TenneT </w:t>
      </w:r>
      <w:r w:rsidR="00CC6D77">
        <w:rPr>
          <w:lang w:val="nl-NL"/>
        </w:rPr>
        <w:t xml:space="preserve">Nederland </w:t>
      </w:r>
      <w:r w:rsidRPr="00A25757">
        <w:rPr>
          <w:lang w:val="nl-NL"/>
        </w:rPr>
        <w:t xml:space="preserve">en TenneT </w:t>
      </w:r>
      <w:r w:rsidR="00CC6D77">
        <w:rPr>
          <w:lang w:val="nl-NL"/>
        </w:rPr>
        <w:t>Duitsland zijn geïmplementeerd.</w:t>
      </w:r>
      <w:r w:rsidRPr="00A25757">
        <w:rPr>
          <w:lang w:val="nl-NL"/>
        </w:rPr>
        <w:t xml:space="preserve"> Een garantie voor nieuwe schuld kent een meer permanent karakter</w:t>
      </w:r>
      <w:r w:rsidR="00A25757">
        <w:rPr>
          <w:lang w:val="nl-NL"/>
        </w:rPr>
        <w:t xml:space="preserve"> waarbij ook een afhankelijkheid van marktpartijen ontstaat</w:t>
      </w:r>
      <w:bookmarkStart w:name="_Hlk174637189" w:id="1"/>
      <w:r w:rsidR="00CC6D77">
        <w:rPr>
          <w:lang w:val="nl-NL"/>
        </w:rPr>
        <w:t>,</w:t>
      </w:r>
      <w:r w:rsidR="006B01AC">
        <w:rPr>
          <w:lang w:val="nl-NL"/>
        </w:rPr>
        <w:t xml:space="preserve"> </w:t>
      </w:r>
      <w:r w:rsidRPr="36E320B9" w:rsidR="006B01AC">
        <w:rPr>
          <w:lang w:val="nl-NL"/>
        </w:rPr>
        <w:t xml:space="preserve">omdat </w:t>
      </w:r>
      <w:r w:rsidR="006B01AC">
        <w:rPr>
          <w:lang w:val="nl-NL"/>
        </w:rPr>
        <w:t>bijvoorbeeld</w:t>
      </w:r>
      <w:r w:rsidRPr="36E320B9" w:rsidR="006B01AC">
        <w:rPr>
          <w:lang w:val="nl-NL"/>
        </w:rPr>
        <w:t xml:space="preserve"> voor het beëindigen van een garantie, gedurende de looptijd, toestemming nodig is van de marktpartijen</w:t>
      </w:r>
      <w:r w:rsidRPr="00A25757">
        <w:rPr>
          <w:lang w:val="nl-NL"/>
        </w:rPr>
        <w:t>.</w:t>
      </w:r>
      <w:bookmarkEnd w:id="1"/>
    </w:p>
    <w:p w:rsidRPr="00A25757" w:rsidR="00B74576" w:rsidP="00A25757" w:rsidRDefault="00B74576" w14:paraId="0C1F4093" w14:textId="6C00770C">
      <w:pPr>
        <w:pStyle w:val="Lijstalinea"/>
        <w:numPr>
          <w:ilvl w:val="0"/>
          <w:numId w:val="6"/>
        </w:numPr>
        <w:autoSpaceDN w:val="0"/>
        <w:spacing w:after="0" w:line="240" w:lineRule="exact"/>
        <w:textAlignment w:val="baseline"/>
        <w:rPr>
          <w:lang w:val="nl-NL"/>
        </w:rPr>
      </w:pPr>
      <w:r>
        <w:rPr>
          <w:lang w:val="nl-NL"/>
        </w:rPr>
        <w:t>Het</w:t>
      </w:r>
      <w:r w:rsidRPr="007942B5">
        <w:rPr>
          <w:lang w:val="nl-NL"/>
        </w:rPr>
        <w:t xml:space="preserve"> gedeeltelijk zelfstandig zekerstellen van de benodigde financiering door TenneT in aanvulling op een kleinere lening acht het kabinet niet wenselijk onder de huidige onzekere omstandigheden, omdat TenneT ook in dat geval het risico loopt dat het niet in staat zal zijn </w:t>
      </w:r>
      <w:r w:rsidR="007942B5">
        <w:rPr>
          <w:lang w:val="nl-NL"/>
        </w:rPr>
        <w:t>de overige financiering aan te trekken</w:t>
      </w:r>
      <w:r w:rsidRPr="007942B5">
        <w:rPr>
          <w:lang w:val="nl-NL"/>
        </w:rPr>
        <w:t>. Als het al lukt, dan kan dit waarschijnlijk alleen alsnog tegen aanzienlijk ongunstigere voorwaarden</w:t>
      </w:r>
      <w:r w:rsidR="00D91152">
        <w:rPr>
          <w:lang w:val="nl-NL"/>
        </w:rPr>
        <w:t xml:space="preserve"> met hogere maatschappelijke kosten</w:t>
      </w:r>
      <w:r w:rsidRPr="009077F8" w:rsidR="009077F8">
        <w:rPr>
          <w:lang w:val="nl-NL"/>
        </w:rPr>
        <w:t xml:space="preserve"> </w:t>
      </w:r>
      <w:r w:rsidR="009077F8">
        <w:rPr>
          <w:lang w:val="nl-NL"/>
        </w:rPr>
        <w:t>tot gevolg</w:t>
      </w:r>
      <w:r w:rsidR="00D91152">
        <w:rPr>
          <w:lang w:val="nl-NL"/>
        </w:rPr>
        <w:t>.</w:t>
      </w:r>
    </w:p>
    <w:p w:rsidR="004B5503" w:rsidP="006C2EEA" w:rsidRDefault="004B5503" w14:paraId="322F963D" w14:textId="77777777">
      <w:pPr>
        <w:spacing w:after="0"/>
        <w:ind w:left="360"/>
        <w:rPr>
          <w:lang w:val="nl-NL"/>
        </w:rPr>
      </w:pPr>
    </w:p>
    <w:p w:rsidR="007619FE" w:rsidP="006C2EEA" w:rsidRDefault="007619FE" w14:paraId="449224E1" w14:textId="73B859D8">
      <w:pPr>
        <w:spacing w:after="0"/>
        <w:ind w:left="360"/>
        <w:rPr>
          <w:lang w:val="nl-NL"/>
        </w:rPr>
      </w:pPr>
      <w:bookmarkStart w:name="_Hlk153371238" w:id="2"/>
      <w:r>
        <w:rPr>
          <w:lang w:val="nl-NL"/>
        </w:rPr>
        <w:t xml:space="preserve">In zijn algemeenheid geldt verder dat de rentekosten van TenneT normaliter ten bate van de financiers van TenneT komen. </w:t>
      </w:r>
      <w:r w:rsidR="004C5993">
        <w:rPr>
          <w:lang w:val="nl-NL"/>
        </w:rPr>
        <w:t xml:space="preserve">In </w:t>
      </w:r>
      <w:r w:rsidR="009077F8">
        <w:rPr>
          <w:lang w:val="nl-NL"/>
        </w:rPr>
        <w:t>het</w:t>
      </w:r>
      <w:r w:rsidR="004C5993">
        <w:rPr>
          <w:lang w:val="nl-NL"/>
        </w:rPr>
        <w:t xml:space="preserve"> geval </w:t>
      </w:r>
      <w:r w:rsidR="009077F8">
        <w:rPr>
          <w:lang w:val="nl-NL"/>
        </w:rPr>
        <w:t xml:space="preserve">van een lening bij de staat </w:t>
      </w:r>
      <w:r w:rsidR="004C5993">
        <w:rPr>
          <w:lang w:val="nl-NL"/>
        </w:rPr>
        <w:t>kom</w:t>
      </w:r>
      <w:r w:rsidR="009077F8">
        <w:rPr>
          <w:lang w:val="nl-NL"/>
        </w:rPr>
        <w:t>en</w:t>
      </w:r>
      <w:r w:rsidR="004C5993">
        <w:rPr>
          <w:lang w:val="nl-NL"/>
        </w:rPr>
        <w:t xml:space="preserve"> de rentekosten die TenneT betaalt bij de Nederlandse Staat terecht</w:t>
      </w:r>
      <w:r w:rsidR="009077F8">
        <w:rPr>
          <w:lang w:val="nl-NL"/>
        </w:rPr>
        <w:t>.</w:t>
      </w:r>
      <w:r w:rsidDel="004C5993" w:rsidR="004C5993">
        <w:rPr>
          <w:lang w:val="nl-NL"/>
        </w:rPr>
        <w:t xml:space="preserve"> </w:t>
      </w:r>
      <w:r w:rsidR="0096151B">
        <w:rPr>
          <w:lang w:val="nl-NL"/>
        </w:rPr>
        <w:t>De staat zal het uit te lenen bedrag zelf ook moeten financieren, bijvoorbeeld door het te lenen op de financiële markten.</w:t>
      </w:r>
      <w:r>
        <w:rPr>
          <w:lang w:val="nl-NL"/>
        </w:rPr>
        <w:t xml:space="preserve"> Omdat de Nederlandse staat, vanwege zijn goed</w:t>
      </w:r>
      <w:r w:rsidR="006C2EEA">
        <w:rPr>
          <w:lang w:val="nl-NL"/>
        </w:rPr>
        <w:t>e</w:t>
      </w:r>
      <w:r>
        <w:rPr>
          <w:lang w:val="nl-NL"/>
        </w:rPr>
        <w:t xml:space="preserve"> kredietwaardigheid, goedkoper kan lenen</w:t>
      </w:r>
      <w:r w:rsidR="0096151B">
        <w:rPr>
          <w:lang w:val="nl-NL"/>
        </w:rPr>
        <w:t xml:space="preserve"> dan TenneT</w:t>
      </w:r>
      <w:r>
        <w:rPr>
          <w:lang w:val="nl-NL"/>
        </w:rPr>
        <w:t xml:space="preserve">, kan hier </w:t>
      </w:r>
      <w:r w:rsidR="0090539E">
        <w:rPr>
          <w:lang w:val="nl-NL"/>
        </w:rPr>
        <w:t xml:space="preserve">naar verwachting </w:t>
      </w:r>
      <w:r>
        <w:rPr>
          <w:lang w:val="nl-NL"/>
        </w:rPr>
        <w:t xml:space="preserve">een voordeel worden behaald. Hierbij dient wel te worden aangetekend dat het rentepercentage dat de Nederlandse staat betaalt over de financiering van de staatsschuld in de aankomende jaren mogelijk zal stijgen door het verstrekken van de lening aan TenneT. </w:t>
      </w:r>
      <w:r w:rsidR="006B01AC">
        <w:rPr>
          <w:lang w:val="nl-NL"/>
        </w:rPr>
        <w:t>Ter illustratie</w:t>
      </w:r>
      <w:r w:rsidR="00CC6D77">
        <w:rPr>
          <w:lang w:val="nl-NL"/>
        </w:rPr>
        <w:t>:</w:t>
      </w:r>
      <w:r w:rsidR="006B01AC">
        <w:rPr>
          <w:lang w:val="nl-NL"/>
        </w:rPr>
        <w:t xml:space="preserve"> de staat heeft tot halverwege augustus ongeveer €</w:t>
      </w:r>
      <w:r w:rsidR="00CC6D77">
        <w:rPr>
          <w:lang w:val="nl-NL"/>
        </w:rPr>
        <w:t xml:space="preserve"> </w:t>
      </w:r>
      <w:r w:rsidR="002248DD">
        <w:rPr>
          <w:lang w:val="nl-NL"/>
        </w:rPr>
        <w:t>4</w:t>
      </w:r>
      <w:r w:rsidR="00C11B4E">
        <w:rPr>
          <w:lang w:val="nl-NL"/>
        </w:rPr>
        <w:t>5</w:t>
      </w:r>
      <w:r w:rsidR="006B01AC">
        <w:rPr>
          <w:lang w:val="nl-NL"/>
        </w:rPr>
        <w:t xml:space="preserve"> miljoen verdiend aan de lening. Dit zal de komende maanden nog </w:t>
      </w:r>
      <w:r w:rsidR="00E03222">
        <w:rPr>
          <w:lang w:val="nl-NL"/>
        </w:rPr>
        <w:t>verder</w:t>
      </w:r>
      <w:r w:rsidR="006B01AC">
        <w:rPr>
          <w:lang w:val="nl-NL"/>
        </w:rPr>
        <w:t xml:space="preserve"> toenemen</w:t>
      </w:r>
      <w:r w:rsidR="00E03222">
        <w:rPr>
          <w:lang w:val="nl-NL"/>
        </w:rPr>
        <w:t>,</w:t>
      </w:r>
      <w:r w:rsidR="006B01AC">
        <w:rPr>
          <w:lang w:val="nl-NL"/>
        </w:rPr>
        <w:t xml:space="preserve"> omdat een groter gedeelte van de lening getrokken zal zijn. </w:t>
      </w:r>
    </w:p>
    <w:p w:rsidR="000B039D" w:rsidP="006C2EEA" w:rsidRDefault="000B039D" w14:paraId="0C3D9FFE" w14:textId="77777777">
      <w:pPr>
        <w:spacing w:after="0"/>
        <w:ind w:left="360"/>
        <w:rPr>
          <w:lang w:val="nl-NL"/>
        </w:rPr>
      </w:pPr>
    </w:p>
    <w:bookmarkEnd w:id="2"/>
    <w:p w:rsidR="007619FE" w:rsidP="006C2EEA" w:rsidRDefault="007619FE" w14:paraId="359DADAC" w14:textId="77777777">
      <w:pPr>
        <w:pStyle w:val="Lijstalinea"/>
        <w:numPr>
          <w:ilvl w:val="0"/>
          <w:numId w:val="4"/>
        </w:numPr>
        <w:spacing w:after="0" w:line="256" w:lineRule="auto"/>
        <w:rPr>
          <w:i/>
          <w:iCs/>
          <w:lang w:val="nl-NL"/>
        </w:rPr>
      </w:pPr>
      <w:r>
        <w:rPr>
          <w:i/>
          <w:iCs/>
          <w:lang w:val="nl-NL"/>
        </w:rPr>
        <w:t xml:space="preserve">Op welke wijze wordt het nieuw aan te </w:t>
      </w:r>
      <w:proofErr w:type="spellStart"/>
      <w:r>
        <w:rPr>
          <w:i/>
          <w:iCs/>
          <w:lang w:val="nl-NL"/>
        </w:rPr>
        <w:t>gane</w:t>
      </w:r>
      <w:proofErr w:type="spellEnd"/>
      <w:r>
        <w:rPr>
          <w:i/>
          <w:iCs/>
          <w:lang w:val="nl-NL"/>
        </w:rPr>
        <w:t xml:space="preserve"> risico gecompenseerd door risico’s vanuit andere</w:t>
      </w:r>
    </w:p>
    <w:p w:rsidR="007619FE" w:rsidP="006C2EEA" w:rsidRDefault="007619FE" w14:paraId="7D1C6278" w14:textId="77777777">
      <w:pPr>
        <w:pStyle w:val="Lijstalinea"/>
        <w:spacing w:after="0"/>
        <w:ind w:left="360"/>
        <w:rPr>
          <w:i/>
          <w:iCs/>
          <w:lang w:val="nl-NL"/>
        </w:rPr>
      </w:pPr>
      <w:proofErr w:type="gramStart"/>
      <w:r>
        <w:rPr>
          <w:i/>
          <w:iCs/>
          <w:lang w:val="nl-NL"/>
        </w:rPr>
        <w:t>risicoregelingen</w:t>
      </w:r>
      <w:proofErr w:type="gramEnd"/>
      <w:r>
        <w:rPr>
          <w:i/>
          <w:iCs/>
          <w:lang w:val="nl-NL"/>
        </w:rPr>
        <w:t xml:space="preserve"> binnen de begroting te verminderen?</w:t>
      </w:r>
    </w:p>
    <w:p w:rsidR="000B039D" w:rsidP="006C2EEA" w:rsidRDefault="000B039D" w14:paraId="55FEC187" w14:textId="77777777">
      <w:pPr>
        <w:pStyle w:val="Lijstalinea"/>
        <w:spacing w:after="0"/>
        <w:ind w:left="360"/>
        <w:rPr>
          <w:lang w:val="nl-NL"/>
        </w:rPr>
      </w:pPr>
    </w:p>
    <w:p w:rsidR="007619FE" w:rsidP="006C2EEA" w:rsidRDefault="007619FE" w14:paraId="58CAED77" w14:textId="77777777">
      <w:pPr>
        <w:pStyle w:val="Lijstalinea"/>
        <w:spacing w:after="0"/>
        <w:ind w:left="360"/>
        <w:rPr>
          <w:lang w:val="nl-NL"/>
        </w:rPr>
      </w:pPr>
      <w:r>
        <w:rPr>
          <w:lang w:val="nl-NL"/>
        </w:rPr>
        <w:t xml:space="preserve">Hier is geen sprake van. </w:t>
      </w:r>
    </w:p>
    <w:p w:rsidR="006C2EEA" w:rsidP="006C2EEA" w:rsidRDefault="006C2EEA" w14:paraId="7DF5A8E2" w14:textId="77777777">
      <w:pPr>
        <w:pStyle w:val="Lijstalinea"/>
        <w:spacing w:after="0"/>
        <w:ind w:left="360"/>
        <w:rPr>
          <w:lang w:val="nl-NL"/>
        </w:rPr>
      </w:pPr>
    </w:p>
    <w:p w:rsidR="007619FE" w:rsidP="006C2EEA" w:rsidRDefault="007619FE" w14:paraId="7C04C43F" w14:textId="77777777">
      <w:pPr>
        <w:spacing w:after="0"/>
        <w:rPr>
          <w:b/>
          <w:bCs/>
          <w:u w:val="single"/>
          <w:lang w:val="nl-NL"/>
        </w:rPr>
      </w:pPr>
      <w:r>
        <w:rPr>
          <w:b/>
          <w:bCs/>
          <w:u w:val="single"/>
          <w:lang w:val="nl-NL"/>
        </w:rPr>
        <w:t xml:space="preserve">Risico’s en risicobeheersing </w:t>
      </w:r>
    </w:p>
    <w:p w:rsidR="007619FE" w:rsidP="006C2EEA" w:rsidRDefault="007619FE" w14:paraId="5DE992CE" w14:textId="77777777">
      <w:pPr>
        <w:pStyle w:val="Lijstalinea"/>
        <w:numPr>
          <w:ilvl w:val="0"/>
          <w:numId w:val="4"/>
        </w:numPr>
        <w:spacing w:after="0" w:line="256" w:lineRule="auto"/>
        <w:rPr>
          <w:i/>
          <w:iCs/>
          <w:lang w:val="nl-NL"/>
        </w:rPr>
      </w:pPr>
      <w:r>
        <w:rPr>
          <w:i/>
          <w:iCs/>
          <w:lang w:val="nl-NL"/>
        </w:rPr>
        <w:t>Wat zijn de risico’s van de regeling voor het Rijk</w:t>
      </w:r>
    </w:p>
    <w:p w:rsidR="006C2EEA" w:rsidP="006C2EEA" w:rsidRDefault="007619FE" w14:paraId="5FCA51FA" w14:textId="77777777">
      <w:pPr>
        <w:pStyle w:val="Lijstalinea"/>
        <w:numPr>
          <w:ilvl w:val="1"/>
          <w:numId w:val="4"/>
        </w:numPr>
        <w:spacing w:after="0" w:line="256" w:lineRule="auto"/>
        <w:ind w:left="360"/>
        <w:rPr>
          <w:i/>
          <w:iCs/>
          <w:lang w:val="nl-NL"/>
        </w:rPr>
      </w:pPr>
      <w:r>
        <w:rPr>
          <w:i/>
          <w:iCs/>
          <w:lang w:val="nl-NL"/>
        </w:rPr>
        <w:t>Wat is het totaalrisico van de regeling op jaarbasis? Kent de regeling een totaalplafond?</w:t>
      </w:r>
    </w:p>
    <w:p w:rsidR="007619FE" w:rsidP="00610993" w:rsidRDefault="006C2EEA" w14:paraId="1538197C" w14:textId="3FDC17D7">
      <w:pPr>
        <w:pStyle w:val="Lijstalinea"/>
        <w:spacing w:after="0" w:line="256" w:lineRule="auto"/>
        <w:ind w:left="360"/>
        <w:rPr>
          <w:lang w:val="nl-NL"/>
        </w:rPr>
      </w:pPr>
      <w:r>
        <w:rPr>
          <w:i/>
          <w:iCs/>
          <w:lang w:val="nl-NL"/>
        </w:rPr>
        <w:br/>
      </w:r>
      <w:proofErr w:type="gramStart"/>
      <w:r w:rsidR="0017713F">
        <w:rPr>
          <w:lang w:val="nl-NL"/>
        </w:rPr>
        <w:t>Indien</w:t>
      </w:r>
      <w:proofErr w:type="gramEnd"/>
      <w:r w:rsidR="0017713F">
        <w:rPr>
          <w:lang w:val="nl-NL"/>
        </w:rPr>
        <w:t xml:space="preserve"> TenneT daadwerkelijk gebruik maakt van de uitbreiding van de leningsfaciliteit bestaat h</w:t>
      </w:r>
      <w:r w:rsidRPr="006C2EEA" w:rsidR="007619FE">
        <w:rPr>
          <w:lang w:val="nl-NL"/>
        </w:rPr>
        <w:t xml:space="preserve">et risico, althans in theorie, dat TenneT niet in staat zal zijn </w:t>
      </w:r>
      <w:r w:rsidR="003A1C74">
        <w:rPr>
          <w:lang w:val="nl-NL"/>
        </w:rPr>
        <w:t>de</w:t>
      </w:r>
      <w:r w:rsidRPr="006C2EEA" w:rsidR="003A1C74">
        <w:rPr>
          <w:lang w:val="nl-NL"/>
        </w:rPr>
        <w:t xml:space="preserve"> </w:t>
      </w:r>
      <w:r w:rsidRPr="006C2EEA" w:rsidR="007619FE">
        <w:rPr>
          <w:lang w:val="nl-NL"/>
        </w:rPr>
        <w:t xml:space="preserve">lening terug te betalen en de verschuldigde rente te betalen doordat het, bijvoorbeeld, failliet zal gaan. In dat geval bestaat het totaalrisico voor de staat uit het bedrag dat TenneT uiteindelijk zal trekken onder de voorgestelde lening. Dit kan oplopen tot </w:t>
      </w:r>
      <w:r w:rsidRPr="006C2EEA" w:rsidR="004B5503">
        <w:rPr>
          <w:lang w:val="nl-NL"/>
        </w:rPr>
        <w:t xml:space="preserve">additioneel </w:t>
      </w:r>
      <w:r w:rsidRPr="006C2EEA" w:rsidR="007619FE">
        <w:rPr>
          <w:lang w:val="nl-NL"/>
        </w:rPr>
        <w:t xml:space="preserve">maximaal € </w:t>
      </w:r>
      <w:r w:rsidRPr="006C2EEA" w:rsidR="004B5503">
        <w:rPr>
          <w:lang w:val="nl-NL"/>
        </w:rPr>
        <w:t xml:space="preserve">19,4 </w:t>
      </w:r>
      <w:r w:rsidRPr="006C2EEA" w:rsidR="007619FE">
        <w:rPr>
          <w:lang w:val="nl-NL"/>
        </w:rPr>
        <w:t xml:space="preserve">miljard (exclusief rente), </w:t>
      </w:r>
      <w:proofErr w:type="gramStart"/>
      <w:r w:rsidR="0017713F">
        <w:rPr>
          <w:lang w:val="nl-NL"/>
        </w:rPr>
        <w:t>indien</w:t>
      </w:r>
      <w:proofErr w:type="gramEnd"/>
      <w:r w:rsidR="0017713F">
        <w:rPr>
          <w:lang w:val="nl-NL"/>
        </w:rPr>
        <w:t xml:space="preserve"> de lening wel volledig getrokken wordt. </w:t>
      </w:r>
      <w:r w:rsidRPr="006C2EEA" w:rsidR="007619FE">
        <w:rPr>
          <w:lang w:val="nl-NL"/>
        </w:rPr>
        <w:t xml:space="preserve">De Nederlandse staat zal, net als de obligatiehouders van TenneT, geen zekerheden (bijvoorbeeld pandrechten of hypotheekrechten) verkrijgen. </w:t>
      </w:r>
      <w:r w:rsidR="004C5993">
        <w:rPr>
          <w:lang w:val="nl-NL"/>
        </w:rPr>
        <w:t>Het risico dat TenneT de lening niet kan terugbetalen wordt als erg klein ingeschat, zie punt 5c.</w:t>
      </w:r>
    </w:p>
    <w:p w:rsidR="006C2EEA" w:rsidP="006C2EEA" w:rsidRDefault="006C2EEA" w14:paraId="44683444" w14:textId="77777777">
      <w:pPr>
        <w:pStyle w:val="Lijstalinea"/>
        <w:spacing w:after="0" w:line="256" w:lineRule="auto"/>
        <w:ind w:left="360"/>
        <w:rPr>
          <w:lang w:val="nl-NL"/>
        </w:rPr>
      </w:pPr>
    </w:p>
    <w:p w:rsidR="006C2EEA" w:rsidP="006C2EEA" w:rsidRDefault="007619FE" w14:paraId="55F6F283" w14:textId="77777777">
      <w:pPr>
        <w:pStyle w:val="Lijstalinea"/>
        <w:numPr>
          <w:ilvl w:val="1"/>
          <w:numId w:val="4"/>
        </w:numPr>
        <w:spacing w:after="0" w:line="256" w:lineRule="auto"/>
        <w:ind w:left="360"/>
        <w:rPr>
          <w:i/>
          <w:iCs/>
          <w:lang w:val="nl-NL"/>
        </w:rPr>
      </w:pPr>
      <w:r w:rsidRPr="006C2EEA">
        <w:rPr>
          <w:i/>
          <w:iCs/>
          <w:lang w:val="nl-NL"/>
        </w:rPr>
        <w:t>Hoe staan risico en rendement van de regeling tot elkaar in verhouding?</w:t>
      </w:r>
    </w:p>
    <w:p w:rsidRPr="006C2EEA" w:rsidR="006C2EEA" w:rsidP="00610993" w:rsidRDefault="006C2EEA" w14:paraId="33DEADA8" w14:textId="3658B4AE">
      <w:pPr>
        <w:pStyle w:val="Lijstalinea"/>
        <w:spacing w:after="0" w:line="256" w:lineRule="auto"/>
        <w:ind w:left="360"/>
        <w:rPr>
          <w:lang w:val="nl-NL"/>
        </w:rPr>
      </w:pPr>
      <w:r>
        <w:rPr>
          <w:i/>
          <w:iCs/>
          <w:lang w:val="nl-NL"/>
        </w:rPr>
        <w:br/>
      </w:r>
      <w:r w:rsidRPr="006C2EEA" w:rsidR="007619FE">
        <w:rPr>
          <w:lang w:val="nl-NL"/>
        </w:rPr>
        <w:t xml:space="preserve">De staat ontvangt als </w:t>
      </w:r>
      <w:proofErr w:type="spellStart"/>
      <w:r w:rsidRPr="006C2EEA" w:rsidR="007619FE">
        <w:rPr>
          <w:lang w:val="nl-NL"/>
        </w:rPr>
        <w:t>leninggever</w:t>
      </w:r>
      <w:proofErr w:type="spellEnd"/>
      <w:r w:rsidRPr="006C2EEA" w:rsidR="007619FE">
        <w:rPr>
          <w:lang w:val="nl-NL"/>
        </w:rPr>
        <w:t xml:space="preserve"> een marktconforme rente voor het verstrekken van de lening aan TenneT. Deze rente bevat een gebruikelijke kredietopslag voor het kredietrisico. TenneT betaalt niet alleen een vergoeding over de bedragen die het daadwerkelijk van de staat zal lenen, maar ook een vergoeding voor het beschikbaar stellen van de mogelijkheid om voor in het totaal </w:t>
      </w:r>
      <w:r w:rsidRPr="006C2EEA" w:rsidR="0072713F">
        <w:rPr>
          <w:lang w:val="nl-NL"/>
        </w:rPr>
        <w:t xml:space="preserve">additioneel </w:t>
      </w:r>
      <w:r w:rsidRPr="006C2EEA" w:rsidR="007619FE">
        <w:rPr>
          <w:lang w:val="nl-NL"/>
        </w:rPr>
        <w:t xml:space="preserve">€ </w:t>
      </w:r>
      <w:r w:rsidR="00771A27">
        <w:rPr>
          <w:lang w:val="nl-NL"/>
        </w:rPr>
        <w:t>19,4</w:t>
      </w:r>
      <w:r w:rsidRPr="006C2EEA" w:rsidR="007619FE">
        <w:rPr>
          <w:lang w:val="nl-NL"/>
        </w:rPr>
        <w:t xml:space="preserve"> miljard te lenen. De hoogte van de rente is onder punt 8 nader toegelicht. Het risico op de lening wordt beperkt geschat en wordt onder c) nader toegelicht.  </w:t>
      </w:r>
      <w:r>
        <w:rPr>
          <w:lang w:val="nl-NL"/>
        </w:rPr>
        <w:br/>
      </w:r>
    </w:p>
    <w:p w:rsidR="006C2EEA" w:rsidP="006C2EEA" w:rsidRDefault="007619FE" w14:paraId="3C0CF57B" w14:textId="77777777">
      <w:pPr>
        <w:pStyle w:val="Lijstalinea"/>
        <w:numPr>
          <w:ilvl w:val="1"/>
          <w:numId w:val="4"/>
        </w:numPr>
        <w:spacing w:after="0" w:line="256" w:lineRule="auto"/>
        <w:ind w:left="360"/>
        <w:rPr>
          <w:i/>
          <w:iCs/>
          <w:lang w:val="nl-NL"/>
        </w:rPr>
      </w:pPr>
      <w:r w:rsidRPr="006C2EEA">
        <w:rPr>
          <w:i/>
          <w:iCs/>
          <w:lang w:val="nl-NL"/>
        </w:rPr>
        <w:t xml:space="preserve">Wat is de inschatting van het risico voor het Rijk in termen van waarschijnlijkheid, impact, blootstellingduur en </w:t>
      </w:r>
      <w:proofErr w:type="spellStart"/>
      <w:r w:rsidRPr="006C2EEA">
        <w:rPr>
          <w:i/>
          <w:iCs/>
          <w:lang w:val="nl-NL"/>
        </w:rPr>
        <w:t>beheersingsmate</w:t>
      </w:r>
      <w:proofErr w:type="spellEnd"/>
      <w:r w:rsidRPr="006C2EEA">
        <w:rPr>
          <w:i/>
          <w:iCs/>
          <w:lang w:val="nl-NL"/>
        </w:rPr>
        <w:t>?</w:t>
      </w:r>
    </w:p>
    <w:p w:rsidR="008D48F2" w:rsidP="00610993" w:rsidRDefault="006C2EEA" w14:paraId="4A15881B" w14:textId="77777777">
      <w:pPr>
        <w:pStyle w:val="Lijstalinea"/>
        <w:spacing w:after="0" w:line="256" w:lineRule="auto"/>
        <w:ind w:left="360"/>
        <w:rPr>
          <w:lang w:val="nl-NL"/>
        </w:rPr>
      </w:pPr>
      <w:r>
        <w:rPr>
          <w:i/>
          <w:iCs/>
          <w:lang w:val="nl-NL"/>
        </w:rPr>
        <w:br/>
      </w:r>
      <w:r w:rsidRPr="006C2EEA" w:rsidR="007619FE">
        <w:rPr>
          <w:lang w:val="nl-NL"/>
        </w:rPr>
        <w:t xml:space="preserve">TenneT zal deze lening vrijwel uitsluitend gebruiken voor het doen van investeringen ten behoeve van de uitvoering van haar wettelijke taken in Nederland en Duitsland. </w:t>
      </w:r>
      <w:r w:rsidR="008D48F2">
        <w:rPr>
          <w:lang w:val="nl-NL"/>
        </w:rPr>
        <w:t xml:space="preserve">Vanuit mijn aandeelhoudersrol monitor ik voor welke projecten de lening wordt benut. </w:t>
      </w:r>
    </w:p>
    <w:p w:rsidR="008D48F2" w:rsidP="00610993" w:rsidRDefault="008D48F2" w14:paraId="4BB3BA27" w14:textId="77777777">
      <w:pPr>
        <w:pStyle w:val="Lijstalinea"/>
        <w:spacing w:after="0" w:line="256" w:lineRule="auto"/>
        <w:ind w:left="360"/>
        <w:rPr>
          <w:lang w:val="nl-NL"/>
        </w:rPr>
      </w:pPr>
    </w:p>
    <w:p w:rsidRPr="006C2EEA" w:rsidR="007619FE" w:rsidP="00610993" w:rsidRDefault="008D48F2" w14:paraId="52B0C05C" w14:textId="31F3A8A8">
      <w:pPr>
        <w:pStyle w:val="Lijstalinea"/>
        <w:spacing w:after="0" w:line="256" w:lineRule="auto"/>
        <w:ind w:left="360"/>
        <w:rPr>
          <w:lang w:val="nl-NL"/>
        </w:rPr>
      </w:pPr>
      <w:r>
        <w:rPr>
          <w:lang w:val="nl-NL"/>
        </w:rPr>
        <w:t>Ook zijn v</w:t>
      </w:r>
      <w:r w:rsidR="006E49EF">
        <w:rPr>
          <w:lang w:val="nl-NL"/>
        </w:rPr>
        <w:t xml:space="preserve">erschillende </w:t>
      </w:r>
      <w:r>
        <w:rPr>
          <w:lang w:val="nl-NL"/>
        </w:rPr>
        <w:t xml:space="preserve">andere </w:t>
      </w:r>
      <w:r w:rsidR="006B01AC">
        <w:rPr>
          <w:lang w:val="nl-NL"/>
        </w:rPr>
        <w:t>partijen</w:t>
      </w:r>
      <w:r w:rsidRPr="006C2EEA" w:rsidR="006B01AC">
        <w:rPr>
          <w:lang w:val="nl-NL"/>
        </w:rPr>
        <w:t xml:space="preserve"> </w:t>
      </w:r>
      <w:r w:rsidR="006E49EF">
        <w:rPr>
          <w:lang w:val="nl-NL"/>
        </w:rPr>
        <w:t>betrokken bij deze investeringen,</w:t>
      </w:r>
      <w:r w:rsidRPr="006C2EEA" w:rsidR="007619FE">
        <w:rPr>
          <w:lang w:val="nl-NL"/>
        </w:rPr>
        <w:t xml:space="preserve"> </w:t>
      </w:r>
      <w:r w:rsidR="006E49EF">
        <w:rPr>
          <w:lang w:val="nl-NL"/>
        </w:rPr>
        <w:t>de belangrijkste zijn de verantwoorde</w:t>
      </w:r>
      <w:r w:rsidR="00C452B2">
        <w:rPr>
          <w:lang w:val="nl-NL"/>
        </w:rPr>
        <w:t xml:space="preserve">lijke </w:t>
      </w:r>
      <w:r w:rsidR="006E49EF">
        <w:rPr>
          <w:lang w:val="nl-NL"/>
        </w:rPr>
        <w:t xml:space="preserve">beleidsministeries en de toezichthouders. </w:t>
      </w:r>
      <w:proofErr w:type="gramStart"/>
      <w:r w:rsidR="006E49EF">
        <w:rPr>
          <w:lang w:val="nl-NL"/>
        </w:rPr>
        <w:t>De verantwoordelijke beleidsministerie</w:t>
      </w:r>
      <w:proofErr w:type="gramEnd"/>
      <w:r w:rsidR="006E49EF">
        <w:rPr>
          <w:lang w:val="nl-NL"/>
        </w:rPr>
        <w:t xml:space="preserve"> (ministerie van Klimaat en Groene Groei en het </w:t>
      </w:r>
      <w:proofErr w:type="spellStart"/>
      <w:r w:rsidRPr="006C2EEA" w:rsidR="006E49EF">
        <w:rPr>
          <w:lang w:val="nl-NL"/>
        </w:rPr>
        <w:t>Bundesministerium</w:t>
      </w:r>
      <w:proofErr w:type="spellEnd"/>
      <w:r w:rsidRPr="006C2EEA" w:rsidR="006E49EF">
        <w:rPr>
          <w:lang w:val="nl-NL"/>
        </w:rPr>
        <w:t xml:space="preserve"> </w:t>
      </w:r>
      <w:proofErr w:type="spellStart"/>
      <w:r w:rsidRPr="006C2EEA" w:rsidR="006E49EF">
        <w:rPr>
          <w:lang w:val="nl-NL"/>
        </w:rPr>
        <w:t>für</w:t>
      </w:r>
      <w:proofErr w:type="spellEnd"/>
      <w:r w:rsidRPr="006C2EEA" w:rsidR="006E49EF">
        <w:rPr>
          <w:lang w:val="nl-NL"/>
        </w:rPr>
        <w:t xml:space="preserve"> </w:t>
      </w:r>
      <w:proofErr w:type="spellStart"/>
      <w:r w:rsidRPr="006C2EEA" w:rsidR="006E49EF">
        <w:rPr>
          <w:lang w:val="nl-NL"/>
        </w:rPr>
        <w:t>Wir</w:t>
      </w:r>
      <w:r w:rsidR="006E49EF">
        <w:rPr>
          <w:lang w:val="nl-NL"/>
        </w:rPr>
        <w:t>t</w:t>
      </w:r>
      <w:r w:rsidRPr="006C2EEA" w:rsidR="006E49EF">
        <w:rPr>
          <w:lang w:val="nl-NL"/>
        </w:rPr>
        <w:t>schaft</w:t>
      </w:r>
      <w:proofErr w:type="spellEnd"/>
      <w:r w:rsidRPr="006C2EEA" w:rsidR="006E49EF">
        <w:rPr>
          <w:lang w:val="nl-NL"/>
        </w:rPr>
        <w:t xml:space="preserve"> </w:t>
      </w:r>
      <w:proofErr w:type="spellStart"/>
      <w:r w:rsidRPr="006C2EEA" w:rsidR="006E49EF">
        <w:rPr>
          <w:lang w:val="nl-NL"/>
        </w:rPr>
        <w:t>und</w:t>
      </w:r>
      <w:proofErr w:type="spellEnd"/>
      <w:r w:rsidRPr="006C2EEA" w:rsidR="006E49EF">
        <w:rPr>
          <w:lang w:val="nl-NL"/>
        </w:rPr>
        <w:t xml:space="preserve"> </w:t>
      </w:r>
      <w:proofErr w:type="spellStart"/>
      <w:r w:rsidRPr="006C2EEA" w:rsidR="006E49EF">
        <w:rPr>
          <w:lang w:val="nl-NL"/>
        </w:rPr>
        <w:t>Klimaschutz</w:t>
      </w:r>
      <w:proofErr w:type="spellEnd"/>
      <w:r w:rsidR="006E49EF">
        <w:rPr>
          <w:lang w:val="nl-NL"/>
        </w:rPr>
        <w:t xml:space="preserve">) toetsen of de benodigde investeringen in lijn zijn met het nationale beleid. </w:t>
      </w:r>
      <w:r w:rsidRPr="006C2EEA" w:rsidR="007619FE">
        <w:rPr>
          <w:lang w:val="nl-NL"/>
        </w:rPr>
        <w:t xml:space="preserve">De toezichthouders </w:t>
      </w:r>
      <w:r w:rsidR="006E49EF">
        <w:rPr>
          <w:lang w:val="nl-NL"/>
        </w:rPr>
        <w:t xml:space="preserve">(ACM en </w:t>
      </w:r>
      <w:proofErr w:type="spellStart"/>
      <w:r w:rsidR="006E49EF">
        <w:rPr>
          <w:lang w:val="nl-NL"/>
        </w:rPr>
        <w:t>Bundesnetzagentur</w:t>
      </w:r>
      <w:proofErr w:type="spellEnd"/>
      <w:r w:rsidR="006E49EF">
        <w:rPr>
          <w:lang w:val="nl-NL"/>
        </w:rPr>
        <w:t xml:space="preserve">) </w:t>
      </w:r>
      <w:r w:rsidRPr="006C2EEA" w:rsidR="007619FE">
        <w:rPr>
          <w:lang w:val="nl-NL"/>
        </w:rPr>
        <w:t xml:space="preserve">zien toe </w:t>
      </w:r>
      <w:r w:rsidR="006E49EF">
        <w:rPr>
          <w:lang w:val="nl-NL"/>
        </w:rPr>
        <w:t xml:space="preserve">of TenneT efficiënt opereert en zet </w:t>
      </w:r>
      <w:r w:rsidRPr="006C2EEA" w:rsidR="007619FE">
        <w:rPr>
          <w:lang w:val="nl-NL"/>
        </w:rPr>
        <w:t xml:space="preserve">de </w:t>
      </w:r>
      <w:r w:rsidR="006E49EF">
        <w:rPr>
          <w:lang w:val="nl-NL"/>
        </w:rPr>
        <w:t xml:space="preserve">tarieven vast </w:t>
      </w:r>
      <w:r w:rsidRPr="006C2EEA" w:rsidR="007619FE">
        <w:rPr>
          <w:lang w:val="nl-NL"/>
        </w:rPr>
        <w:t>op basis waarvan TenneT wordt gecompenseerd voor het vervullen van haar wettelijke taken. De wetgeving schrijft voor dat TenneT een adequate vergoeding voor haar investeringen dient te ontvangen. TenneT heeft dus een zeker en betrouwbaar verdienmodel.</w:t>
      </w:r>
    </w:p>
    <w:p w:rsidR="007619FE" w:rsidP="006C2EEA" w:rsidRDefault="007619FE" w14:paraId="61D065E2" w14:textId="77777777">
      <w:pPr>
        <w:pStyle w:val="Lijstalinea"/>
        <w:spacing w:after="0"/>
        <w:ind w:left="360"/>
        <w:rPr>
          <w:lang w:val="nl-NL"/>
        </w:rPr>
      </w:pPr>
    </w:p>
    <w:p w:rsidR="007619FE" w:rsidP="006C2EEA" w:rsidRDefault="007619FE" w14:paraId="12E16E7D" w14:textId="1BF6F952">
      <w:pPr>
        <w:pStyle w:val="Lijstalinea"/>
        <w:spacing w:after="0"/>
        <w:ind w:left="360"/>
        <w:rPr>
          <w:lang w:val="nl-NL"/>
        </w:rPr>
      </w:pPr>
      <w:r>
        <w:rPr>
          <w:lang w:val="nl-NL"/>
        </w:rPr>
        <w:t xml:space="preserve">Tegelijkertijd blijft van belang dat TenneT ook in de toekomst toegang houdt tot </w:t>
      </w:r>
      <w:r w:rsidR="004C5993">
        <w:rPr>
          <w:lang w:val="nl-NL"/>
        </w:rPr>
        <w:t xml:space="preserve">voldoende </w:t>
      </w:r>
      <w:r>
        <w:rPr>
          <w:lang w:val="nl-NL"/>
        </w:rPr>
        <w:t>liquiditeit. Gelet op de hoogte van de verwachte investeringsopgave van TenneT, die voor een groot gedeelte voortkomt uit ambities voor de energietransitie, zal dit voor TenneT</w:t>
      </w:r>
      <w:r w:rsidR="00DB3861">
        <w:rPr>
          <w:lang w:val="nl-NL"/>
        </w:rPr>
        <w:t xml:space="preserve"> Nederland</w:t>
      </w:r>
      <w:r>
        <w:rPr>
          <w:lang w:val="nl-NL"/>
        </w:rPr>
        <w:t xml:space="preserve"> ook in de toekomst niet mogelijk zijn zonder ondersteuning van de Nederlandse staat als aandeelhouder. </w:t>
      </w:r>
      <w:r w:rsidR="00DB3861">
        <w:rPr>
          <w:lang w:val="nl-NL"/>
        </w:rPr>
        <w:t xml:space="preserve">Voor TenneT Duitsland zal zoals eerder aangegeven dit </w:t>
      </w:r>
      <w:r w:rsidR="006B01AC">
        <w:rPr>
          <w:lang w:val="nl-NL"/>
        </w:rPr>
        <w:t xml:space="preserve">naar verwachting </w:t>
      </w:r>
      <w:r w:rsidR="00DB3861">
        <w:rPr>
          <w:lang w:val="nl-NL"/>
        </w:rPr>
        <w:t xml:space="preserve">worden ingevuld door het aantrekken van private investeerders. </w:t>
      </w:r>
      <w:r>
        <w:rPr>
          <w:lang w:val="nl-NL"/>
        </w:rPr>
        <w:t xml:space="preserve">Voor TenneT </w:t>
      </w:r>
      <w:r w:rsidR="0029128A">
        <w:rPr>
          <w:lang w:val="nl-NL"/>
        </w:rPr>
        <w:t xml:space="preserve">Nederland en TenneT </w:t>
      </w:r>
      <w:r>
        <w:rPr>
          <w:lang w:val="nl-NL"/>
        </w:rPr>
        <w:t xml:space="preserve">Duitsland is </w:t>
      </w:r>
      <w:r w:rsidR="0029128A">
        <w:rPr>
          <w:lang w:val="nl-NL"/>
        </w:rPr>
        <w:t xml:space="preserve">het </w:t>
      </w:r>
      <w:r>
        <w:rPr>
          <w:lang w:val="nl-NL"/>
        </w:rPr>
        <w:t xml:space="preserve">van belang </w:t>
      </w:r>
      <w:r w:rsidR="0029128A">
        <w:rPr>
          <w:lang w:val="nl-NL"/>
        </w:rPr>
        <w:t xml:space="preserve">dat de structurele oplossingen zo snel mogelijk worden geïmplementeerd. </w:t>
      </w:r>
    </w:p>
    <w:p w:rsidR="007619FE" w:rsidP="006C2EEA" w:rsidRDefault="007619FE" w14:paraId="6D586DA6" w14:textId="77777777">
      <w:pPr>
        <w:pStyle w:val="Lijstalinea"/>
        <w:spacing w:after="0"/>
        <w:ind w:left="360"/>
        <w:rPr>
          <w:lang w:val="nl-NL"/>
        </w:rPr>
      </w:pPr>
    </w:p>
    <w:p w:rsidR="007619FE" w:rsidP="006C2EEA" w:rsidRDefault="007619FE" w14:paraId="74737B01" w14:textId="6CC786F1">
      <w:pPr>
        <w:pStyle w:val="Lijstalinea"/>
        <w:spacing w:after="0"/>
        <w:ind w:left="360"/>
        <w:rPr>
          <w:lang w:val="nl-NL"/>
        </w:rPr>
      </w:pPr>
      <w:r>
        <w:rPr>
          <w:lang w:val="nl-NL"/>
        </w:rPr>
        <w:t xml:space="preserve">De Nederlandse staat zal als </w:t>
      </w:r>
      <w:proofErr w:type="spellStart"/>
      <w:r>
        <w:rPr>
          <w:lang w:val="nl-NL"/>
        </w:rPr>
        <w:t>leninggever</w:t>
      </w:r>
      <w:proofErr w:type="spellEnd"/>
      <w:r>
        <w:rPr>
          <w:lang w:val="nl-NL"/>
        </w:rPr>
        <w:t xml:space="preserve"> gedurende de looptijd van de lening zijn blootgesteld aan het hierboven beschreven risico. TenneT zal, afhankelijk van het bedrag dat het uiteindelijk zal lenen en de gekozen looptijden van de getrokken tranches de lening terugbetalen in de periode 203</w:t>
      </w:r>
      <w:r w:rsidR="009A3E2B">
        <w:rPr>
          <w:lang w:val="nl-NL"/>
        </w:rPr>
        <w:t>2</w:t>
      </w:r>
      <w:r>
        <w:rPr>
          <w:lang w:val="nl-NL"/>
        </w:rPr>
        <w:t xml:space="preserve"> – 204</w:t>
      </w:r>
      <w:r w:rsidR="00771A27">
        <w:rPr>
          <w:lang w:val="nl-NL"/>
        </w:rPr>
        <w:t>2</w:t>
      </w:r>
      <w:r>
        <w:rPr>
          <w:lang w:val="nl-NL"/>
        </w:rPr>
        <w:t xml:space="preserve">. </w:t>
      </w:r>
      <w:proofErr w:type="gramStart"/>
      <w:r>
        <w:rPr>
          <w:lang w:val="nl-NL"/>
        </w:rPr>
        <w:t>Indien</w:t>
      </w:r>
      <w:proofErr w:type="gramEnd"/>
      <w:r>
        <w:rPr>
          <w:lang w:val="nl-NL"/>
        </w:rPr>
        <w:t xml:space="preserve"> TenneT de lening volledig gebruikt zal TenneT jaarlijks een deel van de lening aflossen (tot maximaal 10% van de totale hoofdsom van de lening per jaar). De lening zal in 204</w:t>
      </w:r>
      <w:r w:rsidR="00771A27">
        <w:rPr>
          <w:lang w:val="nl-NL"/>
        </w:rPr>
        <w:t>2</w:t>
      </w:r>
      <w:r>
        <w:rPr>
          <w:lang w:val="nl-NL"/>
        </w:rPr>
        <w:t xml:space="preserve"> volledig zijn afgelost. </w:t>
      </w:r>
    </w:p>
    <w:p w:rsidR="007619FE" w:rsidP="006C2EEA" w:rsidRDefault="007619FE" w14:paraId="0D42BF64" w14:textId="77777777">
      <w:pPr>
        <w:pStyle w:val="Lijstalinea"/>
        <w:spacing w:after="0"/>
        <w:rPr>
          <w:lang w:val="nl-NL"/>
        </w:rPr>
      </w:pPr>
    </w:p>
    <w:p w:rsidR="007619FE" w:rsidP="006C2EEA" w:rsidRDefault="007619FE" w14:paraId="54B513B4" w14:textId="77777777">
      <w:pPr>
        <w:pStyle w:val="Lijstalinea"/>
        <w:numPr>
          <w:ilvl w:val="0"/>
          <w:numId w:val="4"/>
        </w:numPr>
        <w:spacing w:after="0" w:line="256" w:lineRule="auto"/>
        <w:rPr>
          <w:i/>
          <w:iCs/>
          <w:lang w:val="nl-NL"/>
        </w:rPr>
      </w:pPr>
      <w:r>
        <w:rPr>
          <w:i/>
          <w:iCs/>
          <w:lang w:val="nl-NL"/>
        </w:rPr>
        <w:lastRenderedPageBreak/>
        <w:t>Welke risico beheersende en risico mitigerende maatregelen worden getroffen om het risico voor het Rijk te minimaliseren? Heeft de budgettair verantwoordelijke minister voldoende mogelijkheden tot beheersing van de risico’s, ook als de regeling op afstand van het Rijk wordt uitgevoerd?</w:t>
      </w:r>
    </w:p>
    <w:p w:rsidR="007619FE" w:rsidP="006C2EEA" w:rsidRDefault="007619FE" w14:paraId="41C1B8F5" w14:textId="77777777">
      <w:pPr>
        <w:pStyle w:val="Lijstalinea"/>
        <w:spacing w:after="0"/>
        <w:ind w:left="360"/>
        <w:rPr>
          <w:lang w:val="nl-NL"/>
        </w:rPr>
      </w:pPr>
    </w:p>
    <w:p w:rsidR="007619FE" w:rsidP="006C2EEA" w:rsidRDefault="007619FE" w14:paraId="3FE15D4E" w14:textId="463D2050">
      <w:pPr>
        <w:pStyle w:val="Lijstalinea"/>
        <w:spacing w:after="0"/>
        <w:ind w:left="360"/>
        <w:rPr>
          <w:lang w:val="nl-NL"/>
        </w:rPr>
      </w:pPr>
      <w:r>
        <w:rPr>
          <w:lang w:val="nl-NL"/>
        </w:rPr>
        <w:t xml:space="preserve">De staat is niet alleen </w:t>
      </w:r>
      <w:proofErr w:type="spellStart"/>
      <w:r>
        <w:rPr>
          <w:lang w:val="nl-NL"/>
        </w:rPr>
        <w:t>leninggever</w:t>
      </w:r>
      <w:proofErr w:type="spellEnd"/>
      <w:r>
        <w:rPr>
          <w:lang w:val="nl-NL"/>
        </w:rPr>
        <w:t xml:space="preserve">, maar ook </w:t>
      </w:r>
      <w:r w:rsidR="0029128A">
        <w:rPr>
          <w:lang w:val="nl-NL"/>
        </w:rPr>
        <w:t xml:space="preserve">de </w:t>
      </w:r>
      <w:r>
        <w:rPr>
          <w:lang w:val="nl-NL"/>
        </w:rPr>
        <w:t>enig</w:t>
      </w:r>
      <w:r w:rsidR="0029128A">
        <w:rPr>
          <w:lang w:val="nl-NL"/>
        </w:rPr>
        <w:t>e</w:t>
      </w:r>
      <w:r>
        <w:rPr>
          <w:lang w:val="nl-NL"/>
        </w:rPr>
        <w:t xml:space="preserve"> aandeelhouder van TenneT. Vanuit die positie heeft de staat een totaalbeeld van de kapitaalstructuur en heeft het zeggenschap over TenneT via de aandeelhoudersrechten. De staat zal, voor zover mogelijk</w:t>
      </w:r>
      <w:r w:rsidR="0029128A">
        <w:rPr>
          <w:lang w:val="nl-NL"/>
        </w:rPr>
        <w:t>,</w:t>
      </w:r>
      <w:r>
        <w:rPr>
          <w:lang w:val="nl-NL"/>
        </w:rPr>
        <w:t xml:space="preserve"> zijn aandeelhoudersrechten gebruiken om erop toe te zien dat de lening </w:t>
      </w:r>
      <w:r w:rsidR="0029128A">
        <w:rPr>
          <w:lang w:val="nl-NL"/>
        </w:rPr>
        <w:t xml:space="preserve">wordt </w:t>
      </w:r>
      <w:r>
        <w:rPr>
          <w:lang w:val="nl-NL"/>
        </w:rPr>
        <w:t xml:space="preserve">terugbetaald. </w:t>
      </w:r>
    </w:p>
    <w:p w:rsidR="007619FE" w:rsidP="006C2EEA" w:rsidRDefault="007619FE" w14:paraId="43C54C0F" w14:textId="77777777">
      <w:pPr>
        <w:pStyle w:val="Lijstalinea"/>
        <w:spacing w:after="0"/>
        <w:ind w:left="360"/>
        <w:rPr>
          <w:lang w:val="nl-NL"/>
        </w:rPr>
      </w:pPr>
    </w:p>
    <w:p w:rsidR="007619FE" w:rsidP="006C2EEA" w:rsidRDefault="007619FE" w14:paraId="0303A34F" w14:textId="77777777">
      <w:pPr>
        <w:pStyle w:val="Lijstalinea"/>
        <w:numPr>
          <w:ilvl w:val="0"/>
          <w:numId w:val="4"/>
        </w:numPr>
        <w:spacing w:after="0" w:line="256" w:lineRule="auto"/>
        <w:rPr>
          <w:i/>
          <w:iCs/>
          <w:lang w:val="nl-NL"/>
        </w:rPr>
      </w:pPr>
      <w:r>
        <w:rPr>
          <w:i/>
          <w:iCs/>
          <w:lang w:val="nl-NL"/>
        </w:rPr>
        <w:t>Bij complexe risico's: hoe beoordeelt een onafhankelijke expert het risico van het voorstel en de risico beheersende en risico mitigerende maatregelen van Rijk?</w:t>
      </w:r>
    </w:p>
    <w:p w:rsidR="007619FE" w:rsidP="006C2EEA" w:rsidRDefault="007619FE" w14:paraId="3D9CC898" w14:textId="77777777">
      <w:pPr>
        <w:pStyle w:val="Lijstalinea"/>
        <w:spacing w:after="0"/>
        <w:ind w:left="360"/>
        <w:rPr>
          <w:i/>
          <w:iCs/>
          <w:lang w:val="nl-NL"/>
        </w:rPr>
      </w:pPr>
    </w:p>
    <w:p w:rsidR="007619FE" w:rsidP="006C2EEA" w:rsidRDefault="007619FE" w14:paraId="42C84038" w14:textId="3D90C8AE">
      <w:pPr>
        <w:pStyle w:val="Lijstalinea"/>
        <w:spacing w:after="0"/>
        <w:ind w:left="360"/>
        <w:rPr>
          <w:lang w:val="nl-NL"/>
        </w:rPr>
      </w:pPr>
      <w:r>
        <w:rPr>
          <w:lang w:val="nl-NL"/>
        </w:rPr>
        <w:t xml:space="preserve">De adviseurs van de staat onderschrijven bovenstaande analyse rondom de risico’s die de staat loopt, maar benadrukken dat dit wel is gebaseerd op de aanname dat de Nederlandse staat, als </w:t>
      </w:r>
      <w:r w:rsidR="00A81A12">
        <w:rPr>
          <w:lang w:val="nl-NL"/>
        </w:rPr>
        <w:t xml:space="preserve">100% </w:t>
      </w:r>
      <w:r>
        <w:rPr>
          <w:lang w:val="nl-NL"/>
        </w:rPr>
        <w:t>aandeelhouder</w:t>
      </w:r>
      <w:r w:rsidR="00A81A12">
        <w:rPr>
          <w:lang w:val="nl-NL"/>
        </w:rPr>
        <w:t xml:space="preserve"> van TenneT Nederland en als grootste aandeelhouder van TenneT Duitsland in de komende </w:t>
      </w:r>
      <w:r w:rsidR="0096151B">
        <w:rPr>
          <w:lang w:val="nl-NL"/>
        </w:rPr>
        <w:t>periode</w:t>
      </w:r>
      <w:r>
        <w:rPr>
          <w:lang w:val="nl-NL"/>
        </w:rPr>
        <w:t>, er zorg voor blijft dragen dat TenneT toegang houdt tot de financiering die het nodig heeft om haar wettelijke taken te vervullen.</w:t>
      </w:r>
    </w:p>
    <w:p w:rsidRPr="006C2EEA" w:rsidR="006C2EEA" w:rsidP="00610993" w:rsidRDefault="006C2EEA" w14:paraId="6B9899E6" w14:textId="77777777">
      <w:pPr>
        <w:spacing w:after="0"/>
        <w:rPr>
          <w:lang w:val="nl-NL"/>
        </w:rPr>
      </w:pPr>
    </w:p>
    <w:p w:rsidR="007619FE" w:rsidP="006C2EEA" w:rsidRDefault="007619FE" w14:paraId="17547C63" w14:textId="77777777">
      <w:pPr>
        <w:spacing w:after="0"/>
        <w:rPr>
          <w:b/>
          <w:bCs/>
          <w:u w:val="single"/>
          <w:lang w:val="nl-NL"/>
        </w:rPr>
      </w:pPr>
      <w:r>
        <w:rPr>
          <w:b/>
          <w:bCs/>
          <w:u w:val="single"/>
          <w:lang w:val="nl-NL"/>
        </w:rPr>
        <w:t>Vormgeving</w:t>
      </w:r>
    </w:p>
    <w:p w:rsidR="007619FE" w:rsidP="006C2EEA" w:rsidRDefault="007619FE" w14:paraId="1F34A5DA" w14:textId="77777777">
      <w:pPr>
        <w:pStyle w:val="Lijstalinea"/>
        <w:numPr>
          <w:ilvl w:val="0"/>
          <w:numId w:val="4"/>
        </w:numPr>
        <w:spacing w:after="0" w:line="256" w:lineRule="auto"/>
        <w:rPr>
          <w:i/>
          <w:iCs/>
          <w:lang w:val="nl-NL"/>
        </w:rPr>
      </w:pPr>
      <w:r>
        <w:rPr>
          <w:i/>
          <w:iCs/>
          <w:lang w:val="nl-NL"/>
        </w:rPr>
        <w:t>Welke premie wordt voorgesteld en hoeveel wordt doorberekend aan de eindgebruiker? Is deze premie kostendekkend en marktconform. Zo nee, hoeveel budgettaire ruimte wordt het door het vakdepartement specifiek ingezet?’</w:t>
      </w:r>
    </w:p>
    <w:p w:rsidR="007619FE" w:rsidP="006C2EEA" w:rsidRDefault="007619FE" w14:paraId="41CB6567" w14:textId="77777777">
      <w:pPr>
        <w:pStyle w:val="Lijstalinea"/>
        <w:spacing w:after="0"/>
        <w:ind w:left="360"/>
        <w:rPr>
          <w:i/>
          <w:iCs/>
          <w:lang w:val="nl-NL"/>
        </w:rPr>
      </w:pPr>
    </w:p>
    <w:p w:rsidR="00981C96" w:rsidP="006C2EEA" w:rsidRDefault="007619FE" w14:paraId="2DD4961F" w14:textId="5F6EA8F8">
      <w:pPr>
        <w:pStyle w:val="Lijstalinea"/>
        <w:spacing w:after="0"/>
        <w:ind w:left="360"/>
        <w:rPr>
          <w:lang w:val="nl-NL"/>
        </w:rPr>
      </w:pPr>
      <w:r>
        <w:rPr>
          <w:lang w:val="nl-NL"/>
        </w:rPr>
        <w:t>De lening wordt marktconform vormgegeven</w:t>
      </w:r>
      <w:r w:rsidR="008D48F2">
        <w:rPr>
          <w:lang w:val="nl-NL"/>
        </w:rPr>
        <w:t>. Dit</w:t>
      </w:r>
      <w:r w:rsidR="00981C96">
        <w:rPr>
          <w:lang w:val="nl-NL"/>
        </w:rPr>
        <w:t xml:space="preserve"> is getoetst door de financieel adviseur van de staat. </w:t>
      </w:r>
      <w:r w:rsidR="00DD1DD8">
        <w:rPr>
          <w:lang w:val="nl-NL"/>
        </w:rPr>
        <w:t xml:space="preserve">De marktconformiteit ziet voornamelijk toe op de rente die TenneT betaalt en twee additionele vergoedingen. </w:t>
      </w:r>
      <w:r>
        <w:rPr>
          <w:lang w:val="nl-NL"/>
        </w:rPr>
        <w:t xml:space="preserve"> </w:t>
      </w:r>
    </w:p>
    <w:p w:rsidR="00981C96" w:rsidP="006C2EEA" w:rsidRDefault="00981C96" w14:paraId="531FC0AD" w14:textId="77777777">
      <w:pPr>
        <w:pStyle w:val="Lijstalinea"/>
        <w:spacing w:after="0"/>
        <w:ind w:left="360"/>
        <w:rPr>
          <w:lang w:val="nl-NL"/>
        </w:rPr>
      </w:pPr>
    </w:p>
    <w:p w:rsidR="007619FE" w:rsidP="006C2EEA" w:rsidRDefault="00981C96" w14:paraId="32FDE5A7" w14:textId="6D401FCC">
      <w:pPr>
        <w:pStyle w:val="Lijstalinea"/>
        <w:spacing w:after="0"/>
        <w:ind w:left="360"/>
        <w:rPr>
          <w:lang w:val="nl-NL"/>
        </w:rPr>
      </w:pPr>
      <w:r>
        <w:rPr>
          <w:lang w:val="nl-NL"/>
        </w:rPr>
        <w:t xml:space="preserve">Ten eerste betaalt </w:t>
      </w:r>
      <w:r w:rsidR="007619FE">
        <w:rPr>
          <w:lang w:val="nl-NL"/>
        </w:rPr>
        <w:t>TenneT een marktconforme rente over de lening. TenneT mag de lening in verschillende tranches opnemen en kan daarbij aangeven welke looptijd zij wil</w:t>
      </w:r>
      <w:r w:rsidR="00771A27">
        <w:rPr>
          <w:lang w:val="nl-NL"/>
        </w:rPr>
        <w:t>. De terugbetaaldatum moet tussen 203</w:t>
      </w:r>
      <w:r w:rsidR="009A3E2B">
        <w:rPr>
          <w:lang w:val="nl-NL"/>
        </w:rPr>
        <w:t>2</w:t>
      </w:r>
      <w:r w:rsidR="00771A27">
        <w:rPr>
          <w:lang w:val="nl-NL"/>
        </w:rPr>
        <w:t xml:space="preserve"> en 2042 liggen.</w:t>
      </w:r>
      <w:r w:rsidR="007619FE">
        <w:rPr>
          <w:lang w:val="nl-NL"/>
        </w:rPr>
        <w:t xml:space="preserve"> Op het moment van opname zal op basis van de actuele marktrente en de vastgestelde kredietopslag bepaald worden wat de daarbij passende </w:t>
      </w:r>
      <w:r>
        <w:rPr>
          <w:lang w:val="nl-NL"/>
        </w:rPr>
        <w:t xml:space="preserve">marktconforme rente </w:t>
      </w:r>
      <w:r w:rsidR="007619FE">
        <w:rPr>
          <w:lang w:val="nl-NL"/>
        </w:rPr>
        <w:t>is. Dit gebeurt op basis van een vooraf opgestelde formule. Dit betreft de dan geldende basisrente (</w:t>
      </w:r>
      <w:r w:rsidRPr="009077F8" w:rsidR="007619FE">
        <w:rPr>
          <w:i/>
          <w:iCs/>
          <w:lang w:val="nl-NL"/>
        </w:rPr>
        <w:t xml:space="preserve">Euro </w:t>
      </w:r>
      <w:proofErr w:type="spellStart"/>
      <w:r w:rsidRPr="009077F8" w:rsidR="007619FE">
        <w:rPr>
          <w:i/>
          <w:iCs/>
          <w:lang w:val="nl-NL"/>
        </w:rPr>
        <w:t>Mid</w:t>
      </w:r>
      <w:proofErr w:type="spellEnd"/>
      <w:r w:rsidRPr="009077F8" w:rsidR="007619FE">
        <w:rPr>
          <w:i/>
          <w:iCs/>
          <w:lang w:val="nl-NL"/>
        </w:rPr>
        <w:t xml:space="preserve">-Swap </w:t>
      </w:r>
      <w:proofErr w:type="spellStart"/>
      <w:r w:rsidRPr="009077F8" w:rsidR="007619FE">
        <w:rPr>
          <w:i/>
          <w:iCs/>
          <w:lang w:val="nl-NL"/>
        </w:rPr>
        <w:t>rate</w:t>
      </w:r>
      <w:proofErr w:type="spellEnd"/>
      <w:r w:rsidR="007619FE">
        <w:rPr>
          <w:lang w:val="nl-NL"/>
        </w:rPr>
        <w:t>) met bijbehorende looptijd met daarbovenop een krediet</w:t>
      </w:r>
      <w:r>
        <w:rPr>
          <w:lang w:val="nl-NL"/>
        </w:rPr>
        <w:t>opslag</w:t>
      </w:r>
      <w:r w:rsidR="007619FE">
        <w:rPr>
          <w:lang w:val="nl-NL"/>
        </w:rPr>
        <w:t>. De krediet</w:t>
      </w:r>
      <w:r>
        <w:rPr>
          <w:lang w:val="nl-NL"/>
        </w:rPr>
        <w:t>opslag</w:t>
      </w:r>
      <w:r w:rsidR="007619FE">
        <w:rPr>
          <w:lang w:val="nl-NL"/>
        </w:rPr>
        <w:t xml:space="preserve"> is af te lezen uit onderstaande grafiek. </w:t>
      </w:r>
    </w:p>
    <w:p w:rsidR="007619FE" w:rsidP="006C2EEA" w:rsidRDefault="007619FE" w14:paraId="51600B36" w14:textId="77777777">
      <w:pPr>
        <w:pStyle w:val="Lijstalinea"/>
        <w:spacing w:after="0"/>
        <w:ind w:left="360"/>
        <w:rPr>
          <w:lang w:val="nl-NL"/>
        </w:rPr>
      </w:pPr>
    </w:p>
    <w:tbl>
      <w:tblPr>
        <w:tblStyle w:val="Tabelraster"/>
        <w:tblW w:w="0" w:type="auto"/>
        <w:tblInd w:w="-431" w:type="dxa"/>
        <w:tblCellMar>
          <w:left w:w="11" w:type="dxa"/>
          <w:right w:w="11" w:type="dxa"/>
        </w:tblCellMar>
        <w:tblLook w:val="04A0" w:firstRow="1" w:lastRow="0" w:firstColumn="1" w:lastColumn="0" w:noHBand="0" w:noVBand="1"/>
      </w:tblPr>
      <w:tblGrid>
        <w:gridCol w:w="761"/>
        <w:gridCol w:w="662"/>
        <w:gridCol w:w="699"/>
        <w:gridCol w:w="755"/>
        <w:gridCol w:w="591"/>
        <w:gridCol w:w="756"/>
        <w:gridCol w:w="756"/>
        <w:gridCol w:w="699"/>
        <w:gridCol w:w="756"/>
        <w:gridCol w:w="756"/>
        <w:gridCol w:w="756"/>
        <w:gridCol w:w="841"/>
        <w:gridCol w:w="660"/>
      </w:tblGrid>
      <w:tr w:rsidR="00EC4069" w:rsidTr="00B9192A" w14:paraId="6FCDA1AE" w14:textId="4F3CFB3E">
        <w:tc>
          <w:tcPr>
            <w:tcW w:w="771"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7F4590A4" w14:textId="77777777">
            <w:pPr>
              <w:pStyle w:val="Lijstalinea"/>
              <w:spacing w:line="240" w:lineRule="auto"/>
              <w:ind w:left="0"/>
              <w:rPr>
                <w:sz w:val="16"/>
                <w:szCs w:val="20"/>
                <w:lang w:val="nl-NL"/>
              </w:rPr>
            </w:pPr>
            <w:r w:rsidRPr="00343BB4">
              <w:rPr>
                <w:sz w:val="16"/>
                <w:szCs w:val="20"/>
                <w:lang w:val="nl-NL"/>
              </w:rPr>
              <w:t>Looptijd</w:t>
            </w:r>
          </w:p>
        </w:tc>
        <w:tc>
          <w:tcPr>
            <w:tcW w:w="661"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2ACAE7AE" w14:textId="77777777">
            <w:pPr>
              <w:pStyle w:val="Lijstalinea"/>
              <w:spacing w:line="240" w:lineRule="auto"/>
              <w:ind w:left="0"/>
              <w:rPr>
                <w:sz w:val="16"/>
                <w:szCs w:val="20"/>
                <w:lang w:val="nl-NL"/>
              </w:rPr>
            </w:pPr>
            <w:r w:rsidRPr="00343BB4">
              <w:rPr>
                <w:sz w:val="16"/>
                <w:szCs w:val="20"/>
                <w:lang w:val="nl-NL"/>
              </w:rPr>
              <w:t>6jr</w:t>
            </w:r>
          </w:p>
        </w:tc>
        <w:tc>
          <w:tcPr>
            <w:tcW w:w="704"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4526BAAE" w14:textId="77777777">
            <w:pPr>
              <w:pStyle w:val="Lijstalinea"/>
              <w:spacing w:line="240" w:lineRule="auto"/>
              <w:ind w:left="0"/>
              <w:rPr>
                <w:sz w:val="16"/>
                <w:szCs w:val="20"/>
                <w:lang w:val="nl-NL"/>
              </w:rPr>
            </w:pPr>
            <w:r w:rsidRPr="00343BB4">
              <w:rPr>
                <w:sz w:val="16"/>
                <w:szCs w:val="20"/>
                <w:lang w:val="nl-NL"/>
              </w:rPr>
              <w:t xml:space="preserve">7jr </w:t>
            </w:r>
          </w:p>
        </w:tc>
        <w:tc>
          <w:tcPr>
            <w:tcW w:w="767"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79D46F16" w14:textId="77777777">
            <w:pPr>
              <w:pStyle w:val="Lijstalinea"/>
              <w:spacing w:line="240" w:lineRule="auto"/>
              <w:ind w:left="0"/>
              <w:rPr>
                <w:sz w:val="16"/>
                <w:szCs w:val="20"/>
                <w:lang w:val="nl-NL"/>
              </w:rPr>
            </w:pPr>
            <w:r w:rsidRPr="00343BB4">
              <w:rPr>
                <w:sz w:val="16"/>
                <w:szCs w:val="20"/>
                <w:lang w:val="nl-NL"/>
              </w:rPr>
              <w:t>8jr</w:t>
            </w:r>
          </w:p>
        </w:tc>
        <w:tc>
          <w:tcPr>
            <w:tcW w:w="595"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65B6A2F0" w14:textId="77777777">
            <w:pPr>
              <w:pStyle w:val="Lijstalinea"/>
              <w:spacing w:line="240" w:lineRule="auto"/>
              <w:ind w:left="0"/>
              <w:rPr>
                <w:sz w:val="16"/>
                <w:szCs w:val="20"/>
                <w:lang w:val="nl-NL"/>
              </w:rPr>
            </w:pPr>
            <w:r w:rsidRPr="00343BB4">
              <w:rPr>
                <w:sz w:val="16"/>
                <w:szCs w:val="20"/>
                <w:lang w:val="nl-NL"/>
              </w:rPr>
              <w:t>9jr</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2A95CC72" w14:textId="77777777">
            <w:pPr>
              <w:pStyle w:val="Lijstalinea"/>
              <w:spacing w:line="240" w:lineRule="auto"/>
              <w:ind w:left="0"/>
              <w:rPr>
                <w:sz w:val="16"/>
                <w:szCs w:val="20"/>
                <w:lang w:val="nl-NL"/>
              </w:rPr>
            </w:pPr>
            <w:r w:rsidRPr="00343BB4">
              <w:rPr>
                <w:sz w:val="16"/>
                <w:szCs w:val="20"/>
                <w:lang w:val="nl-NL"/>
              </w:rPr>
              <w:t>10jr</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4FD10389" w14:textId="77777777">
            <w:pPr>
              <w:pStyle w:val="Lijstalinea"/>
              <w:spacing w:line="240" w:lineRule="auto"/>
              <w:ind w:left="0"/>
              <w:rPr>
                <w:sz w:val="16"/>
                <w:szCs w:val="20"/>
                <w:lang w:val="nl-NL"/>
              </w:rPr>
            </w:pPr>
            <w:r w:rsidRPr="00343BB4">
              <w:rPr>
                <w:sz w:val="16"/>
                <w:szCs w:val="20"/>
                <w:lang w:val="nl-NL"/>
              </w:rPr>
              <w:t>11jr</w:t>
            </w:r>
          </w:p>
        </w:tc>
        <w:tc>
          <w:tcPr>
            <w:tcW w:w="704"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20817B9C" w14:textId="77777777">
            <w:pPr>
              <w:pStyle w:val="Lijstalinea"/>
              <w:spacing w:line="240" w:lineRule="auto"/>
              <w:ind w:left="0"/>
              <w:rPr>
                <w:sz w:val="16"/>
                <w:szCs w:val="20"/>
                <w:lang w:val="nl-NL"/>
              </w:rPr>
            </w:pPr>
            <w:r w:rsidRPr="00343BB4">
              <w:rPr>
                <w:sz w:val="16"/>
                <w:szCs w:val="20"/>
                <w:lang w:val="nl-NL"/>
              </w:rPr>
              <w:t>12jr</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226FC52C" w14:textId="77777777">
            <w:pPr>
              <w:pStyle w:val="Lijstalinea"/>
              <w:spacing w:line="240" w:lineRule="auto"/>
              <w:ind w:left="0"/>
              <w:rPr>
                <w:sz w:val="16"/>
                <w:szCs w:val="20"/>
                <w:lang w:val="nl-NL"/>
              </w:rPr>
            </w:pPr>
            <w:r w:rsidRPr="00343BB4">
              <w:rPr>
                <w:sz w:val="16"/>
                <w:szCs w:val="20"/>
                <w:lang w:val="nl-NL"/>
              </w:rPr>
              <w:t>13jr</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34EBF6FC" w14:textId="77777777">
            <w:pPr>
              <w:pStyle w:val="Lijstalinea"/>
              <w:spacing w:line="240" w:lineRule="auto"/>
              <w:ind w:left="0"/>
              <w:rPr>
                <w:sz w:val="16"/>
                <w:szCs w:val="20"/>
                <w:lang w:val="nl-NL"/>
              </w:rPr>
            </w:pPr>
            <w:r w:rsidRPr="00343BB4">
              <w:rPr>
                <w:sz w:val="16"/>
                <w:szCs w:val="20"/>
                <w:lang w:val="nl-NL"/>
              </w:rPr>
              <w:t>14jr</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5B6EFEC2" w14:textId="77777777">
            <w:pPr>
              <w:pStyle w:val="Lijstalinea"/>
              <w:spacing w:line="240" w:lineRule="auto"/>
              <w:ind w:left="0"/>
              <w:rPr>
                <w:sz w:val="16"/>
                <w:szCs w:val="20"/>
                <w:lang w:val="nl-NL"/>
              </w:rPr>
            </w:pPr>
            <w:r w:rsidRPr="00343BB4">
              <w:rPr>
                <w:sz w:val="16"/>
                <w:szCs w:val="20"/>
                <w:lang w:val="nl-NL"/>
              </w:rPr>
              <w:t>15jr</w:t>
            </w:r>
          </w:p>
        </w:tc>
        <w:tc>
          <w:tcPr>
            <w:tcW w:w="863"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4C3030D1" w14:textId="77777777">
            <w:pPr>
              <w:pStyle w:val="Lijstalinea"/>
              <w:spacing w:line="240" w:lineRule="auto"/>
              <w:ind w:left="0"/>
              <w:rPr>
                <w:sz w:val="16"/>
                <w:szCs w:val="20"/>
                <w:lang w:val="nl-NL"/>
              </w:rPr>
            </w:pPr>
            <w:r w:rsidRPr="00343BB4">
              <w:rPr>
                <w:sz w:val="16"/>
                <w:szCs w:val="20"/>
                <w:lang w:val="nl-NL"/>
              </w:rPr>
              <w:t>16jr</w:t>
            </w:r>
          </w:p>
        </w:tc>
        <w:tc>
          <w:tcPr>
            <w:tcW w:w="543" w:type="dxa"/>
            <w:tcBorders>
              <w:top w:val="single" w:color="auto" w:sz="4" w:space="0"/>
              <w:left w:val="single" w:color="auto" w:sz="4" w:space="0"/>
              <w:bottom w:val="single" w:color="auto" w:sz="4" w:space="0"/>
              <w:right w:val="single" w:color="auto" w:sz="4" w:space="0"/>
            </w:tcBorders>
          </w:tcPr>
          <w:p w:rsidRPr="00343BB4" w:rsidR="00EC4069" w:rsidP="006C2EEA" w:rsidRDefault="00EC4069" w14:paraId="717F4606" w14:textId="72401E02">
            <w:pPr>
              <w:pStyle w:val="Lijstalinea"/>
              <w:spacing w:line="240" w:lineRule="auto"/>
              <w:ind w:left="0"/>
              <w:rPr>
                <w:sz w:val="16"/>
                <w:szCs w:val="20"/>
                <w:lang w:val="nl-NL"/>
              </w:rPr>
            </w:pPr>
            <w:r>
              <w:rPr>
                <w:sz w:val="16"/>
                <w:szCs w:val="20"/>
                <w:lang w:val="nl-NL"/>
              </w:rPr>
              <w:t>17jr</w:t>
            </w:r>
          </w:p>
        </w:tc>
      </w:tr>
      <w:tr w:rsidR="00EC4069" w:rsidTr="00B9192A" w14:paraId="71B4A76F" w14:textId="3AAE3F7A">
        <w:tc>
          <w:tcPr>
            <w:tcW w:w="771" w:type="dxa"/>
            <w:tcBorders>
              <w:top w:val="single" w:color="auto" w:sz="4" w:space="0"/>
              <w:left w:val="single" w:color="auto" w:sz="4" w:space="0"/>
              <w:bottom w:val="single" w:color="auto" w:sz="4" w:space="0"/>
              <w:right w:val="single" w:color="auto" w:sz="4" w:space="0"/>
            </w:tcBorders>
            <w:hideMark/>
          </w:tcPr>
          <w:p w:rsidRPr="00343BB4" w:rsidR="00EC4069" w:rsidP="006C2EEA" w:rsidRDefault="00981C96" w14:paraId="3EC095A9" w14:textId="5010D589">
            <w:pPr>
              <w:pStyle w:val="Lijstalinea"/>
              <w:spacing w:line="240" w:lineRule="auto"/>
              <w:ind w:left="0"/>
              <w:rPr>
                <w:sz w:val="16"/>
                <w:szCs w:val="20"/>
                <w:lang w:val="nl-NL"/>
              </w:rPr>
            </w:pPr>
            <w:r>
              <w:rPr>
                <w:sz w:val="16"/>
                <w:szCs w:val="20"/>
                <w:lang w:val="nl-NL"/>
              </w:rPr>
              <w:t>Opslag</w:t>
            </w:r>
          </w:p>
        </w:tc>
        <w:tc>
          <w:tcPr>
            <w:tcW w:w="661"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7D3A3B33" w14:textId="71846041">
            <w:pPr>
              <w:pStyle w:val="Lijstalinea"/>
              <w:spacing w:line="240" w:lineRule="auto"/>
              <w:ind w:left="0"/>
              <w:rPr>
                <w:sz w:val="16"/>
                <w:szCs w:val="20"/>
                <w:lang w:val="nl-NL"/>
              </w:rPr>
            </w:pPr>
            <w:r w:rsidRPr="00343BB4">
              <w:rPr>
                <w:sz w:val="16"/>
                <w:szCs w:val="20"/>
                <w:lang w:val="nl-NL"/>
              </w:rPr>
              <w:t>0,650%</w:t>
            </w:r>
          </w:p>
        </w:tc>
        <w:tc>
          <w:tcPr>
            <w:tcW w:w="704"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3DFE0651" w14:textId="6D0255A8">
            <w:pPr>
              <w:pStyle w:val="Lijstalinea"/>
              <w:spacing w:line="240" w:lineRule="auto"/>
              <w:ind w:left="0"/>
              <w:rPr>
                <w:sz w:val="16"/>
                <w:szCs w:val="20"/>
                <w:lang w:val="nl-NL"/>
              </w:rPr>
            </w:pPr>
            <w:r w:rsidRPr="00343BB4">
              <w:rPr>
                <w:sz w:val="16"/>
                <w:szCs w:val="20"/>
                <w:lang w:val="nl-NL"/>
              </w:rPr>
              <w:t>0,700%</w:t>
            </w:r>
          </w:p>
        </w:tc>
        <w:tc>
          <w:tcPr>
            <w:tcW w:w="767"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554535C1" w14:textId="356AB743">
            <w:pPr>
              <w:pStyle w:val="Lijstalinea"/>
              <w:spacing w:line="240" w:lineRule="auto"/>
              <w:ind w:left="0"/>
              <w:rPr>
                <w:sz w:val="16"/>
                <w:szCs w:val="20"/>
                <w:lang w:val="nl-NL"/>
              </w:rPr>
            </w:pPr>
            <w:r w:rsidRPr="00343BB4">
              <w:rPr>
                <w:sz w:val="16"/>
                <w:szCs w:val="20"/>
                <w:lang w:val="nl-NL"/>
              </w:rPr>
              <w:t>0,775%</w:t>
            </w:r>
          </w:p>
        </w:tc>
        <w:tc>
          <w:tcPr>
            <w:tcW w:w="595"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5B2C0F45" w14:textId="5D73546C">
            <w:pPr>
              <w:pStyle w:val="Lijstalinea"/>
              <w:spacing w:line="240" w:lineRule="auto"/>
              <w:ind w:left="0"/>
              <w:rPr>
                <w:sz w:val="16"/>
                <w:szCs w:val="20"/>
                <w:lang w:val="nl-NL"/>
              </w:rPr>
            </w:pPr>
            <w:r w:rsidRPr="00343BB4">
              <w:rPr>
                <w:sz w:val="16"/>
                <w:szCs w:val="20"/>
                <w:lang w:val="nl-NL"/>
              </w:rPr>
              <w:t>0,85%</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4452A1F5" w14:textId="1E37ED59">
            <w:pPr>
              <w:pStyle w:val="Lijstalinea"/>
              <w:spacing w:line="240" w:lineRule="auto"/>
              <w:ind w:left="0"/>
              <w:rPr>
                <w:sz w:val="16"/>
                <w:szCs w:val="20"/>
                <w:lang w:val="nl-NL"/>
              </w:rPr>
            </w:pPr>
            <w:r w:rsidRPr="00343BB4">
              <w:rPr>
                <w:sz w:val="16"/>
                <w:szCs w:val="20"/>
                <w:lang w:val="nl-NL"/>
              </w:rPr>
              <w:t>0,925%</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311C1051" w14:textId="6E3565C2">
            <w:pPr>
              <w:pStyle w:val="Lijstalinea"/>
              <w:spacing w:line="240" w:lineRule="auto"/>
              <w:ind w:left="0"/>
              <w:rPr>
                <w:sz w:val="16"/>
                <w:szCs w:val="20"/>
                <w:lang w:val="nl-NL"/>
              </w:rPr>
            </w:pPr>
            <w:r w:rsidRPr="00343BB4">
              <w:rPr>
                <w:sz w:val="16"/>
                <w:szCs w:val="20"/>
                <w:lang w:val="nl-NL"/>
              </w:rPr>
              <w:t>0,975%</w:t>
            </w:r>
          </w:p>
        </w:tc>
        <w:tc>
          <w:tcPr>
            <w:tcW w:w="704"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1CAAC4E0" w14:textId="42709FE5">
            <w:pPr>
              <w:pStyle w:val="Lijstalinea"/>
              <w:spacing w:line="240" w:lineRule="auto"/>
              <w:ind w:left="0"/>
              <w:rPr>
                <w:sz w:val="16"/>
                <w:szCs w:val="20"/>
                <w:lang w:val="nl-NL"/>
              </w:rPr>
            </w:pPr>
            <w:r w:rsidRPr="00343BB4">
              <w:rPr>
                <w:sz w:val="16"/>
                <w:szCs w:val="20"/>
                <w:lang w:val="nl-NL"/>
              </w:rPr>
              <w:t>1,025%</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5E4F89DC" w14:textId="4D2BBAFC">
            <w:pPr>
              <w:pStyle w:val="Lijstalinea"/>
              <w:spacing w:line="240" w:lineRule="auto"/>
              <w:ind w:left="0"/>
              <w:rPr>
                <w:sz w:val="16"/>
                <w:szCs w:val="20"/>
                <w:lang w:val="nl-NL"/>
              </w:rPr>
            </w:pPr>
            <w:r w:rsidRPr="00343BB4">
              <w:rPr>
                <w:sz w:val="16"/>
                <w:szCs w:val="20"/>
                <w:lang w:val="nl-NL"/>
              </w:rPr>
              <w:t>1,075%</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2C689783" w14:textId="21B12FB0">
            <w:pPr>
              <w:pStyle w:val="Lijstalinea"/>
              <w:spacing w:line="240" w:lineRule="auto"/>
              <w:ind w:left="0"/>
              <w:rPr>
                <w:sz w:val="16"/>
                <w:szCs w:val="20"/>
                <w:lang w:val="nl-NL"/>
              </w:rPr>
            </w:pPr>
            <w:r w:rsidRPr="00343BB4">
              <w:rPr>
                <w:sz w:val="16"/>
                <w:szCs w:val="20"/>
                <w:lang w:val="nl-NL"/>
              </w:rPr>
              <w:t>1,125%</w:t>
            </w:r>
          </w:p>
        </w:tc>
        <w:tc>
          <w:tcPr>
            <w:tcW w:w="768"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43894738" w14:textId="03DD10F7">
            <w:pPr>
              <w:pStyle w:val="Lijstalinea"/>
              <w:spacing w:line="240" w:lineRule="auto"/>
              <w:ind w:left="0"/>
              <w:rPr>
                <w:sz w:val="16"/>
                <w:szCs w:val="20"/>
                <w:lang w:val="nl-NL"/>
              </w:rPr>
            </w:pPr>
            <w:r w:rsidRPr="00343BB4">
              <w:rPr>
                <w:sz w:val="16"/>
                <w:szCs w:val="20"/>
                <w:lang w:val="nl-NL"/>
              </w:rPr>
              <w:t>1,175%</w:t>
            </w:r>
          </w:p>
        </w:tc>
        <w:tc>
          <w:tcPr>
            <w:tcW w:w="863" w:type="dxa"/>
            <w:tcBorders>
              <w:top w:val="single" w:color="auto" w:sz="4" w:space="0"/>
              <w:left w:val="single" w:color="auto" w:sz="4" w:space="0"/>
              <w:bottom w:val="single" w:color="auto" w:sz="4" w:space="0"/>
              <w:right w:val="single" w:color="auto" w:sz="4" w:space="0"/>
            </w:tcBorders>
            <w:hideMark/>
          </w:tcPr>
          <w:p w:rsidRPr="00343BB4" w:rsidR="00EC4069" w:rsidP="006C2EEA" w:rsidRDefault="00EC4069" w14:paraId="047E05E4" w14:textId="30DCCF7F">
            <w:pPr>
              <w:pStyle w:val="Lijstalinea"/>
              <w:spacing w:line="240" w:lineRule="auto"/>
              <w:ind w:left="0"/>
              <w:rPr>
                <w:sz w:val="16"/>
                <w:szCs w:val="20"/>
                <w:lang w:val="nl-NL"/>
              </w:rPr>
            </w:pPr>
            <w:r w:rsidRPr="00343BB4">
              <w:rPr>
                <w:sz w:val="16"/>
                <w:szCs w:val="20"/>
                <w:lang w:val="nl-NL"/>
              </w:rPr>
              <w:t>1,2</w:t>
            </w:r>
            <w:r>
              <w:rPr>
                <w:sz w:val="16"/>
                <w:szCs w:val="20"/>
                <w:lang w:val="nl-NL"/>
              </w:rPr>
              <w:t>05</w:t>
            </w:r>
            <w:r w:rsidRPr="00343BB4">
              <w:rPr>
                <w:sz w:val="16"/>
                <w:szCs w:val="20"/>
                <w:lang w:val="nl-NL"/>
              </w:rPr>
              <w:t>%</w:t>
            </w:r>
          </w:p>
        </w:tc>
        <w:tc>
          <w:tcPr>
            <w:tcW w:w="543" w:type="dxa"/>
            <w:tcBorders>
              <w:top w:val="single" w:color="auto" w:sz="4" w:space="0"/>
              <w:left w:val="single" w:color="auto" w:sz="4" w:space="0"/>
              <w:bottom w:val="single" w:color="auto" w:sz="4" w:space="0"/>
              <w:right w:val="single" w:color="auto" w:sz="4" w:space="0"/>
            </w:tcBorders>
          </w:tcPr>
          <w:p w:rsidRPr="00343BB4" w:rsidR="00EC4069" w:rsidP="006C2EEA" w:rsidRDefault="00EC4069" w14:paraId="49C6095B" w14:textId="4C89F0E8">
            <w:pPr>
              <w:pStyle w:val="Lijstalinea"/>
              <w:spacing w:line="240" w:lineRule="auto"/>
              <w:ind w:left="0"/>
              <w:rPr>
                <w:sz w:val="16"/>
                <w:szCs w:val="20"/>
                <w:lang w:val="nl-NL"/>
              </w:rPr>
            </w:pPr>
            <w:r>
              <w:rPr>
                <w:sz w:val="16"/>
                <w:szCs w:val="20"/>
                <w:lang w:val="nl-NL"/>
              </w:rPr>
              <w:t>1,235%</w:t>
            </w:r>
          </w:p>
        </w:tc>
      </w:tr>
    </w:tbl>
    <w:p w:rsidR="007619FE" w:rsidP="006C2EEA" w:rsidRDefault="007619FE" w14:paraId="10C2A088" w14:textId="0489AA8E">
      <w:pPr>
        <w:spacing w:after="0"/>
        <w:ind w:left="360"/>
        <w:rPr>
          <w:lang w:val="nl-NL"/>
        </w:rPr>
      </w:pPr>
      <w:r>
        <w:rPr>
          <w:lang w:val="nl-NL"/>
        </w:rPr>
        <w:br/>
      </w:r>
      <w:r w:rsidR="00981C96">
        <w:rPr>
          <w:lang w:val="nl-NL"/>
        </w:rPr>
        <w:t xml:space="preserve">Ten tweede betaalt </w:t>
      </w:r>
      <w:r>
        <w:rPr>
          <w:lang w:val="nl-NL"/>
        </w:rPr>
        <w:t xml:space="preserve">TenneT ook nog twee additionele vergoedingen. Deze vergoedingen zijn </w:t>
      </w:r>
      <w:r w:rsidR="0090539E">
        <w:rPr>
          <w:lang w:val="nl-NL"/>
        </w:rPr>
        <w:t xml:space="preserve">gebruikelijk </w:t>
      </w:r>
      <w:r>
        <w:rPr>
          <w:lang w:val="nl-NL"/>
        </w:rPr>
        <w:t xml:space="preserve">in de markt en daarom ook opgenomen voor TenneT. De eerste </w:t>
      </w:r>
      <w:r w:rsidR="00E03222">
        <w:rPr>
          <w:lang w:val="nl-NL"/>
        </w:rPr>
        <w:t xml:space="preserve">vergoeding </w:t>
      </w:r>
      <w:r>
        <w:rPr>
          <w:lang w:val="nl-NL"/>
        </w:rPr>
        <w:t xml:space="preserve">betreft een eenmalige vergoeding van </w:t>
      </w:r>
      <w:r w:rsidR="006B01AC">
        <w:rPr>
          <w:lang w:val="nl-NL"/>
        </w:rPr>
        <w:t xml:space="preserve">maximaal </w:t>
      </w:r>
      <w:r>
        <w:rPr>
          <w:lang w:val="nl-NL"/>
        </w:rPr>
        <w:t>0,1</w:t>
      </w:r>
      <w:r w:rsidR="004230C8">
        <w:rPr>
          <w:lang w:val="nl-NL"/>
        </w:rPr>
        <w:t>75</w:t>
      </w:r>
      <w:r>
        <w:rPr>
          <w:lang w:val="nl-NL"/>
        </w:rPr>
        <w:t xml:space="preserve">% over de </w:t>
      </w:r>
      <w:r w:rsidR="006B01AC">
        <w:rPr>
          <w:lang w:val="nl-NL"/>
        </w:rPr>
        <w:t>beschikbare hoofdsom</w:t>
      </w:r>
      <w:r w:rsidR="00E03222">
        <w:rPr>
          <w:lang w:val="nl-NL"/>
        </w:rPr>
        <w:t>. De tweede</w:t>
      </w:r>
      <w:r>
        <w:rPr>
          <w:lang w:val="nl-NL"/>
        </w:rPr>
        <w:t xml:space="preserve"> vergoeding </w:t>
      </w:r>
      <w:r w:rsidR="00E03222">
        <w:rPr>
          <w:lang w:val="nl-NL"/>
        </w:rPr>
        <w:t xml:space="preserve">betreft een beschikbaarheidsvergoeding </w:t>
      </w:r>
      <w:r>
        <w:rPr>
          <w:lang w:val="nl-NL"/>
        </w:rPr>
        <w:t xml:space="preserve">van 0,09% over het gehele ongebruikte deel van het toegezegde bedrag gedurende de periode dat </w:t>
      </w:r>
      <w:r w:rsidR="004230C8">
        <w:rPr>
          <w:lang w:val="nl-NL"/>
        </w:rPr>
        <w:t>TenneT gebruik kan maken van de lening</w:t>
      </w:r>
      <w:r>
        <w:rPr>
          <w:lang w:val="nl-NL"/>
        </w:rPr>
        <w:t xml:space="preserve">. </w:t>
      </w:r>
    </w:p>
    <w:p w:rsidR="006C2EEA" w:rsidP="006C2EEA" w:rsidRDefault="006C2EEA" w14:paraId="238D3FF0" w14:textId="77777777">
      <w:pPr>
        <w:spacing w:after="0"/>
        <w:ind w:left="360"/>
        <w:rPr>
          <w:i/>
          <w:iCs/>
          <w:lang w:val="nl-NL"/>
        </w:rPr>
      </w:pPr>
    </w:p>
    <w:p w:rsidR="007619FE" w:rsidP="006C2EEA" w:rsidRDefault="007619FE" w14:paraId="15954046" w14:textId="77777777">
      <w:pPr>
        <w:pStyle w:val="Lijstalinea"/>
        <w:numPr>
          <w:ilvl w:val="0"/>
          <w:numId w:val="4"/>
        </w:numPr>
        <w:spacing w:after="0" w:line="256" w:lineRule="auto"/>
        <w:rPr>
          <w:i/>
          <w:iCs/>
          <w:lang w:val="nl-NL"/>
        </w:rPr>
      </w:pPr>
      <w:r>
        <w:rPr>
          <w:i/>
          <w:iCs/>
          <w:lang w:val="nl-NL"/>
        </w:rPr>
        <w:t>Hoe wordt de risicovoorziening vormgegeven?</w:t>
      </w:r>
    </w:p>
    <w:p w:rsidR="006C2EEA" w:rsidP="00610993" w:rsidRDefault="006C2EEA" w14:paraId="7AFE449E" w14:textId="77777777">
      <w:pPr>
        <w:pStyle w:val="Lijstalinea"/>
        <w:spacing w:after="0" w:line="256" w:lineRule="auto"/>
        <w:ind w:left="360"/>
        <w:rPr>
          <w:i/>
          <w:iCs/>
          <w:lang w:val="nl-NL"/>
        </w:rPr>
      </w:pPr>
    </w:p>
    <w:p w:rsidR="007619FE" w:rsidP="006C2EEA" w:rsidRDefault="007619FE" w14:paraId="19CF801E" w14:textId="77777777">
      <w:pPr>
        <w:spacing w:after="0"/>
        <w:ind w:left="360"/>
        <w:rPr>
          <w:lang w:val="nl-NL"/>
        </w:rPr>
      </w:pPr>
      <w:r>
        <w:rPr>
          <w:lang w:val="nl-NL"/>
        </w:rPr>
        <w:t>Aangezien er geen begrote schade op deze lening is, is er geen risico-voorziening van toepassing.</w:t>
      </w:r>
    </w:p>
    <w:p w:rsidR="006C2EEA" w:rsidP="006C2EEA" w:rsidRDefault="006C2EEA" w14:paraId="1670BE1B" w14:textId="77777777">
      <w:pPr>
        <w:spacing w:after="0"/>
        <w:ind w:left="360"/>
        <w:rPr>
          <w:lang w:val="nl-NL"/>
        </w:rPr>
      </w:pPr>
    </w:p>
    <w:p w:rsidR="007619FE" w:rsidP="006C2EEA" w:rsidRDefault="007619FE" w14:paraId="4872CBB3" w14:textId="77777777">
      <w:pPr>
        <w:pStyle w:val="Lijstalinea"/>
        <w:numPr>
          <w:ilvl w:val="0"/>
          <w:numId w:val="4"/>
        </w:numPr>
        <w:spacing w:after="0" w:line="256" w:lineRule="auto"/>
        <w:rPr>
          <w:i/>
          <w:iCs/>
          <w:lang w:val="nl-NL"/>
        </w:rPr>
      </w:pPr>
      <w:r>
        <w:rPr>
          <w:i/>
          <w:iCs/>
          <w:lang w:val="nl-NL"/>
        </w:rPr>
        <w:t>Welke horizonbepaling wordt gehanteerd (standaardtermijn is maximaal 5 jaar)?</w:t>
      </w:r>
    </w:p>
    <w:p w:rsidR="006C2EEA" w:rsidP="00610993" w:rsidRDefault="006C2EEA" w14:paraId="68987DE2" w14:textId="77777777">
      <w:pPr>
        <w:pStyle w:val="Lijstalinea"/>
        <w:spacing w:after="0" w:line="256" w:lineRule="auto"/>
        <w:ind w:left="360"/>
        <w:rPr>
          <w:i/>
          <w:iCs/>
          <w:lang w:val="nl-NL"/>
        </w:rPr>
      </w:pPr>
    </w:p>
    <w:p w:rsidR="007619FE" w:rsidP="006C2EEA" w:rsidRDefault="007619FE" w14:paraId="76FD72D5" w14:textId="4211B4A5">
      <w:pPr>
        <w:spacing w:after="0"/>
        <w:ind w:left="360"/>
        <w:rPr>
          <w:lang w:val="nl-NL"/>
        </w:rPr>
      </w:pPr>
      <w:r>
        <w:rPr>
          <w:lang w:val="nl-NL"/>
        </w:rPr>
        <w:t>De looptijd van de lening bedraagt maximaal 1</w:t>
      </w:r>
      <w:r w:rsidR="00981C96">
        <w:rPr>
          <w:lang w:val="nl-NL"/>
        </w:rPr>
        <w:t>7</w:t>
      </w:r>
      <w:r>
        <w:rPr>
          <w:lang w:val="nl-NL"/>
        </w:rPr>
        <w:t xml:space="preserve"> jaar. Na afloop van deze periode zal de lening volledig zijn afgelost. </w:t>
      </w:r>
      <w:r w:rsidRPr="00A81A12">
        <w:rPr>
          <w:lang w:val="nl-NL"/>
        </w:rPr>
        <w:t>TenneT zal het eerste deel van deze lening in beginsel terugbetalen in 203</w:t>
      </w:r>
      <w:r w:rsidRPr="00A81A12" w:rsidR="004230C8">
        <w:rPr>
          <w:lang w:val="nl-NL"/>
        </w:rPr>
        <w:t>2</w:t>
      </w:r>
      <w:r w:rsidRPr="00A81A12">
        <w:rPr>
          <w:lang w:val="nl-NL"/>
        </w:rPr>
        <w:t xml:space="preserve">. </w:t>
      </w:r>
      <w:r w:rsidRPr="00A81A12" w:rsidR="004230C8">
        <w:rPr>
          <w:lang w:val="nl-NL"/>
        </w:rPr>
        <w:t>Als de structurele oplossing</w:t>
      </w:r>
      <w:r w:rsidR="0010274F">
        <w:rPr>
          <w:lang w:val="nl-NL"/>
        </w:rPr>
        <w:t>en</w:t>
      </w:r>
      <w:r w:rsidRPr="00A81A12" w:rsidR="004230C8">
        <w:rPr>
          <w:lang w:val="nl-NL"/>
        </w:rPr>
        <w:t xml:space="preserve"> voor de kapitaalbehoefte van TenneT </w:t>
      </w:r>
      <w:r w:rsidR="00E03222">
        <w:rPr>
          <w:lang w:val="nl-NL"/>
        </w:rPr>
        <w:t xml:space="preserve">Nederland en </w:t>
      </w:r>
      <w:r w:rsidRPr="00A81A12" w:rsidR="004230C8">
        <w:rPr>
          <w:lang w:val="nl-NL"/>
        </w:rPr>
        <w:t xml:space="preserve">TenneT </w:t>
      </w:r>
      <w:r w:rsidR="00E03222">
        <w:rPr>
          <w:lang w:val="nl-NL"/>
        </w:rPr>
        <w:t xml:space="preserve">Duitsland </w:t>
      </w:r>
      <w:r w:rsidR="0010274F">
        <w:rPr>
          <w:lang w:val="nl-NL"/>
        </w:rPr>
        <w:t>volledig</w:t>
      </w:r>
      <w:r w:rsidRPr="00A81A12" w:rsidR="004230C8">
        <w:rPr>
          <w:lang w:val="nl-NL"/>
        </w:rPr>
        <w:t xml:space="preserve"> zijn geïmplementeerd dan zal de</w:t>
      </w:r>
      <w:r w:rsidR="0010274F">
        <w:rPr>
          <w:lang w:val="nl-NL"/>
        </w:rPr>
        <w:t xml:space="preserve"> beschikbaarheid van het nog niet getrokken deel van de</w:t>
      </w:r>
      <w:r w:rsidRPr="00A81A12" w:rsidR="004230C8">
        <w:rPr>
          <w:lang w:val="nl-NL"/>
        </w:rPr>
        <w:t xml:space="preserve"> leningsfaciliteit worden </w:t>
      </w:r>
      <w:r w:rsidR="0010274F">
        <w:rPr>
          <w:lang w:val="nl-NL"/>
        </w:rPr>
        <w:t>beëindigd</w:t>
      </w:r>
      <w:r w:rsidRPr="00A81A12" w:rsidR="004230C8">
        <w:rPr>
          <w:lang w:val="nl-NL"/>
        </w:rPr>
        <w:t xml:space="preserve">. Daarnaast zal er met TenneT </w:t>
      </w:r>
      <w:r w:rsidRPr="00A81A12" w:rsidR="004230C8">
        <w:rPr>
          <w:lang w:val="nl-NL"/>
        </w:rPr>
        <w:lastRenderedPageBreak/>
        <w:t xml:space="preserve">gekeken worden of het </w:t>
      </w:r>
      <w:proofErr w:type="gramStart"/>
      <w:r w:rsidRPr="00A81A12" w:rsidR="004230C8">
        <w:rPr>
          <w:lang w:val="nl-NL"/>
        </w:rPr>
        <w:t>reeds</w:t>
      </w:r>
      <w:proofErr w:type="gramEnd"/>
      <w:r w:rsidRPr="00A81A12" w:rsidR="004230C8">
        <w:rPr>
          <w:lang w:val="nl-NL"/>
        </w:rPr>
        <w:t xml:space="preserve"> verstrekte gedeelte van de lening op versnelde, verantwoorde wijze kan worden afgelost.</w:t>
      </w:r>
      <w:r w:rsidR="004230C8">
        <w:rPr>
          <w:lang w:val="nl-NL"/>
        </w:rPr>
        <w:t xml:space="preserve"> </w:t>
      </w:r>
    </w:p>
    <w:p w:rsidR="006C2EEA" w:rsidP="006C2EEA" w:rsidRDefault="006C2EEA" w14:paraId="2E3E5E95" w14:textId="77777777">
      <w:pPr>
        <w:spacing w:after="0"/>
        <w:ind w:left="360"/>
        <w:rPr>
          <w:lang w:val="nl-NL"/>
        </w:rPr>
      </w:pPr>
    </w:p>
    <w:p w:rsidR="007619FE" w:rsidP="006C2EEA" w:rsidRDefault="007619FE" w14:paraId="742B494A" w14:textId="77777777">
      <w:pPr>
        <w:pStyle w:val="Lijstalinea"/>
        <w:numPr>
          <w:ilvl w:val="0"/>
          <w:numId w:val="4"/>
        </w:numPr>
        <w:spacing w:after="0" w:line="256" w:lineRule="auto"/>
        <w:rPr>
          <w:i/>
          <w:iCs/>
          <w:lang w:val="nl-NL"/>
        </w:rPr>
      </w:pPr>
      <w:r>
        <w:rPr>
          <w:i/>
          <w:iCs/>
          <w:lang w:val="nl-NL"/>
        </w:rPr>
        <w:t>Wie voert de risicoregeling uit en wat zijn de uitvoeringskosten van de regeling?</w:t>
      </w:r>
    </w:p>
    <w:p w:rsidR="006C2EEA" w:rsidP="00610993" w:rsidRDefault="006C2EEA" w14:paraId="278FB904" w14:textId="77777777">
      <w:pPr>
        <w:pStyle w:val="Lijstalinea"/>
        <w:spacing w:after="0" w:line="256" w:lineRule="auto"/>
        <w:ind w:left="360"/>
        <w:rPr>
          <w:i/>
          <w:iCs/>
          <w:lang w:val="nl-NL"/>
        </w:rPr>
      </w:pPr>
    </w:p>
    <w:p w:rsidR="007619FE" w:rsidP="006C2EEA" w:rsidRDefault="007619FE" w14:paraId="3BA79C16" w14:textId="77777777">
      <w:pPr>
        <w:spacing w:after="0"/>
        <w:ind w:left="360"/>
        <w:rPr>
          <w:lang w:val="nl-NL"/>
        </w:rPr>
      </w:pPr>
      <w:r>
        <w:rPr>
          <w:lang w:val="nl-NL"/>
        </w:rPr>
        <w:t>De risicoregeling wordt uitgevoerd door het ministerie van Financiën. De uitvoeringskosten van deze regeling vallen onder artikel 3 van de Financiën-begroting en zijn nihil.</w:t>
      </w:r>
    </w:p>
    <w:p w:rsidR="006C2EEA" w:rsidP="006C2EEA" w:rsidRDefault="006C2EEA" w14:paraId="695298BE" w14:textId="77777777">
      <w:pPr>
        <w:spacing w:after="0"/>
        <w:ind w:left="360"/>
        <w:rPr>
          <w:lang w:val="nl-NL"/>
        </w:rPr>
      </w:pPr>
    </w:p>
    <w:p w:rsidR="007619FE" w:rsidP="006C2EEA" w:rsidRDefault="007619FE" w14:paraId="281BC9BE" w14:textId="77777777">
      <w:pPr>
        <w:pStyle w:val="Lijstalinea"/>
        <w:numPr>
          <w:ilvl w:val="0"/>
          <w:numId w:val="4"/>
        </w:numPr>
        <w:spacing w:after="0" w:line="256" w:lineRule="auto"/>
        <w:rPr>
          <w:i/>
          <w:iCs/>
          <w:lang w:val="nl-NL"/>
        </w:rPr>
      </w:pPr>
      <w:r>
        <w:rPr>
          <w:i/>
          <w:iCs/>
          <w:lang w:val="nl-NL"/>
        </w:rPr>
        <w:t>Hoe wordt de regeling geëvalueerd, welke informatie is daarvoor relevant en hoe wordt een deugdelijke evaluatie geborgd?</w:t>
      </w:r>
    </w:p>
    <w:p w:rsidR="007619FE" w:rsidP="006C2EEA" w:rsidRDefault="007619FE" w14:paraId="4D173804" w14:textId="77777777">
      <w:pPr>
        <w:pStyle w:val="Lijstalinea"/>
        <w:spacing w:after="0"/>
        <w:ind w:left="360"/>
        <w:rPr>
          <w:i/>
          <w:iCs/>
          <w:lang w:val="nl-NL"/>
        </w:rPr>
      </w:pPr>
    </w:p>
    <w:p w:rsidR="007619FE" w:rsidP="006C2EEA" w:rsidRDefault="0029128A" w14:paraId="0ECCE1EC" w14:textId="06CA2D80">
      <w:pPr>
        <w:pStyle w:val="Lijstalinea"/>
        <w:spacing w:after="0"/>
        <w:ind w:left="360"/>
        <w:rPr>
          <w:i/>
          <w:iCs/>
          <w:lang w:val="nl-NL"/>
        </w:rPr>
      </w:pPr>
      <w:r>
        <w:rPr>
          <w:lang w:val="nl-NL"/>
        </w:rPr>
        <w:t>Zodra de structurele oplossingen voor TenneT Nederland en TenneT Duitsland zijn geïmplementeerd gaat h</w:t>
      </w:r>
      <w:r w:rsidR="007619FE">
        <w:rPr>
          <w:lang w:val="nl-NL"/>
        </w:rPr>
        <w:t xml:space="preserve">et kabinet het </w:t>
      </w:r>
      <w:r>
        <w:rPr>
          <w:lang w:val="nl-NL"/>
        </w:rPr>
        <w:t>proces rondom de kapitaalbehoefte van TenneT evalueren.</w:t>
      </w:r>
      <w:r w:rsidR="00DB3861">
        <w:rPr>
          <w:lang w:val="nl-NL"/>
        </w:rPr>
        <w:t xml:space="preserve"> Dit wordt meegenomen in de reguliere evaluatie van het aandeelhouderschap van TenneT. Deze staat gepland voor de periode 2026-2027.</w:t>
      </w:r>
      <w:r>
        <w:rPr>
          <w:lang w:val="nl-NL"/>
        </w:rPr>
        <w:t xml:space="preserve"> </w:t>
      </w:r>
      <w:r w:rsidR="007619FE">
        <w:rPr>
          <w:lang w:val="nl-NL"/>
        </w:rPr>
        <w:t xml:space="preserve">Het verstrekken van de </w:t>
      </w:r>
      <w:r w:rsidR="00E03222">
        <w:rPr>
          <w:lang w:val="nl-NL"/>
        </w:rPr>
        <w:t xml:space="preserve">leningsfaciliteit </w:t>
      </w:r>
      <w:r w:rsidR="007619FE">
        <w:rPr>
          <w:lang w:val="nl-NL"/>
        </w:rPr>
        <w:t xml:space="preserve">wordt in deze evaluatie meegenomen. </w:t>
      </w:r>
    </w:p>
    <w:p w:rsidRPr="007619FE" w:rsidR="00BA486E" w:rsidP="006C2EEA" w:rsidRDefault="00BA486E" w14:paraId="00A546A1" w14:textId="73242048">
      <w:pPr>
        <w:spacing w:after="0"/>
        <w:rPr>
          <w:lang w:val="nl-NL"/>
        </w:rPr>
      </w:pPr>
    </w:p>
    <w:sectPr w:rsidRPr="007619FE" w:rsidR="00BA486E"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F49C" w14:textId="77777777" w:rsidR="003D2315" w:rsidRDefault="003D2315" w:rsidP="00843677">
      <w:pPr>
        <w:spacing w:after="0" w:line="240" w:lineRule="auto"/>
      </w:pPr>
      <w:r>
        <w:separator/>
      </w:r>
    </w:p>
  </w:endnote>
  <w:endnote w:type="continuationSeparator" w:id="0">
    <w:p w14:paraId="4B371723" w14:textId="77777777" w:rsidR="003D2315" w:rsidRDefault="003D2315" w:rsidP="0084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2E4E" w14:textId="77777777" w:rsidR="003D2315" w:rsidRDefault="003D2315" w:rsidP="00843677">
      <w:pPr>
        <w:spacing w:after="0" w:line="240" w:lineRule="auto"/>
      </w:pPr>
      <w:r>
        <w:separator/>
      </w:r>
    </w:p>
  </w:footnote>
  <w:footnote w:type="continuationSeparator" w:id="0">
    <w:p w14:paraId="5A4E58C2" w14:textId="77777777" w:rsidR="003D2315" w:rsidRDefault="003D2315" w:rsidP="00843677">
      <w:pPr>
        <w:spacing w:after="0" w:line="240" w:lineRule="auto"/>
      </w:pPr>
      <w:r>
        <w:continuationSeparator/>
      </w:r>
    </w:p>
  </w:footnote>
  <w:footnote w:id="1">
    <w:p w14:paraId="6E5AFC10" w14:textId="0C2C71A2" w:rsidR="004E6BD7" w:rsidRPr="00610993" w:rsidRDefault="004E6BD7">
      <w:pPr>
        <w:pStyle w:val="Voetnoottekst"/>
        <w:rPr>
          <w:sz w:val="14"/>
          <w:szCs w:val="14"/>
          <w:lang w:val="nl-NL"/>
        </w:rPr>
      </w:pPr>
      <w:r w:rsidRPr="00610993">
        <w:rPr>
          <w:rStyle w:val="Voetnootmarkering"/>
          <w:sz w:val="14"/>
          <w:szCs w:val="14"/>
        </w:rPr>
        <w:footnoteRef/>
      </w:r>
      <w:r w:rsidRPr="00A81A12">
        <w:rPr>
          <w:sz w:val="14"/>
          <w:szCs w:val="14"/>
          <w:lang w:val="nl-NL"/>
        </w:rPr>
        <w:t xml:space="preserve"> </w:t>
      </w:r>
      <w:r w:rsidRPr="00610993">
        <w:rPr>
          <w:sz w:val="14"/>
          <w:szCs w:val="14"/>
          <w:lang w:val="nl-NL"/>
        </w:rPr>
        <w:t xml:space="preserve">Kamerstukken II </w:t>
      </w:r>
      <w:r>
        <w:rPr>
          <w:sz w:val="14"/>
          <w:szCs w:val="14"/>
          <w:lang w:val="nl-NL"/>
        </w:rPr>
        <w:t xml:space="preserve">2023-2024, </w:t>
      </w:r>
      <w:r w:rsidRPr="00610993">
        <w:rPr>
          <w:sz w:val="14"/>
          <w:szCs w:val="14"/>
          <w:lang w:val="nl-NL"/>
        </w:rPr>
        <w:t>36 487 nr. 3.</w:t>
      </w:r>
    </w:p>
  </w:footnote>
  <w:footnote w:id="2">
    <w:p w14:paraId="2AADBA2E" w14:textId="77777777" w:rsidR="004E6BD7" w:rsidRPr="004E77B2" w:rsidRDefault="004E6BD7" w:rsidP="004E6BD7">
      <w:pPr>
        <w:pStyle w:val="Voetnoottekst"/>
        <w:rPr>
          <w:sz w:val="14"/>
          <w:szCs w:val="14"/>
          <w:lang w:val="nl-NL"/>
        </w:rPr>
      </w:pPr>
      <w:r w:rsidRPr="004E77B2">
        <w:rPr>
          <w:rStyle w:val="Voetnootmarkering"/>
          <w:sz w:val="14"/>
          <w:szCs w:val="14"/>
        </w:rPr>
        <w:footnoteRef/>
      </w:r>
      <w:r w:rsidRPr="00A81A12">
        <w:rPr>
          <w:sz w:val="14"/>
          <w:szCs w:val="14"/>
          <w:lang w:val="nl-NL"/>
        </w:rPr>
        <w:t xml:space="preserve"> Kamerstukken II 2023-2024, 28 165 nr. 426.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ABD"/>
    <w:multiLevelType w:val="hybridMultilevel"/>
    <w:tmpl w:val="D21AEB38"/>
    <w:lvl w:ilvl="0" w:tplc="5296DAC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6E01CB"/>
    <w:multiLevelType w:val="hybridMultilevel"/>
    <w:tmpl w:val="004CD8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D6170B"/>
    <w:multiLevelType w:val="hybridMultilevel"/>
    <w:tmpl w:val="665A1C6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DF0627D"/>
    <w:multiLevelType w:val="hybridMultilevel"/>
    <w:tmpl w:val="5E3C92E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0F63A61"/>
    <w:multiLevelType w:val="hybridMultilevel"/>
    <w:tmpl w:val="D6867B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A94886"/>
    <w:multiLevelType w:val="hybridMultilevel"/>
    <w:tmpl w:val="59628B0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2DD4617"/>
    <w:multiLevelType w:val="hybridMultilevel"/>
    <w:tmpl w:val="2258E840"/>
    <w:lvl w:ilvl="0" w:tplc="25D2350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1435779">
    <w:abstractNumId w:val="5"/>
  </w:num>
  <w:num w:numId="2" w16cid:durableId="1212690398">
    <w:abstractNumId w:val="6"/>
  </w:num>
  <w:num w:numId="3" w16cid:durableId="84762791">
    <w:abstractNumId w:val="0"/>
  </w:num>
  <w:num w:numId="4" w16cid:durableId="990211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8009802">
    <w:abstractNumId w:val="0"/>
  </w:num>
  <w:num w:numId="6" w16cid:durableId="484711366">
    <w:abstractNumId w:val="1"/>
  </w:num>
  <w:num w:numId="7" w16cid:durableId="318506572">
    <w:abstractNumId w:val="2"/>
  </w:num>
  <w:num w:numId="8" w16cid:durableId="1121606577">
    <w:abstractNumId w:val="4"/>
  </w:num>
  <w:num w:numId="9" w16cid:durableId="371536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1D"/>
    <w:rsid w:val="000103C8"/>
    <w:rsid w:val="000128D2"/>
    <w:rsid w:val="000208E8"/>
    <w:rsid w:val="00023484"/>
    <w:rsid w:val="00040986"/>
    <w:rsid w:val="00050FF6"/>
    <w:rsid w:val="0006694E"/>
    <w:rsid w:val="00080176"/>
    <w:rsid w:val="00087977"/>
    <w:rsid w:val="000939D5"/>
    <w:rsid w:val="000A01D2"/>
    <w:rsid w:val="000A1CDE"/>
    <w:rsid w:val="000B039D"/>
    <w:rsid w:val="000C27C4"/>
    <w:rsid w:val="000C376B"/>
    <w:rsid w:val="000C3C5B"/>
    <w:rsid w:val="000E25D2"/>
    <w:rsid w:val="000E4D47"/>
    <w:rsid w:val="000F3CE4"/>
    <w:rsid w:val="001006D4"/>
    <w:rsid w:val="0010274F"/>
    <w:rsid w:val="001140DE"/>
    <w:rsid w:val="00126B5C"/>
    <w:rsid w:val="00136267"/>
    <w:rsid w:val="00160626"/>
    <w:rsid w:val="001618A7"/>
    <w:rsid w:val="00161A9D"/>
    <w:rsid w:val="00164CF7"/>
    <w:rsid w:val="0017713F"/>
    <w:rsid w:val="001902AD"/>
    <w:rsid w:val="00190E7D"/>
    <w:rsid w:val="00194116"/>
    <w:rsid w:val="001A6499"/>
    <w:rsid w:val="001D1A83"/>
    <w:rsid w:val="001E5F26"/>
    <w:rsid w:val="001E6A24"/>
    <w:rsid w:val="001E71B1"/>
    <w:rsid w:val="001E7C99"/>
    <w:rsid w:val="001F2192"/>
    <w:rsid w:val="001F2C1B"/>
    <w:rsid w:val="002248DD"/>
    <w:rsid w:val="002519DD"/>
    <w:rsid w:val="00260CB3"/>
    <w:rsid w:val="00264917"/>
    <w:rsid w:val="00284CEA"/>
    <w:rsid w:val="0029128A"/>
    <w:rsid w:val="00293AAA"/>
    <w:rsid w:val="002A5118"/>
    <w:rsid w:val="002B15EA"/>
    <w:rsid w:val="002D0198"/>
    <w:rsid w:val="002D2163"/>
    <w:rsid w:val="002D4AE9"/>
    <w:rsid w:val="002E1DF2"/>
    <w:rsid w:val="002E21E3"/>
    <w:rsid w:val="00301904"/>
    <w:rsid w:val="003166DB"/>
    <w:rsid w:val="003208F4"/>
    <w:rsid w:val="00343BB4"/>
    <w:rsid w:val="003448D2"/>
    <w:rsid w:val="00366847"/>
    <w:rsid w:val="0037411B"/>
    <w:rsid w:val="00383088"/>
    <w:rsid w:val="00393579"/>
    <w:rsid w:val="003A1C74"/>
    <w:rsid w:val="003A5EFD"/>
    <w:rsid w:val="003C0F55"/>
    <w:rsid w:val="003D2315"/>
    <w:rsid w:val="003E6B54"/>
    <w:rsid w:val="004038B2"/>
    <w:rsid w:val="004230C8"/>
    <w:rsid w:val="004326F3"/>
    <w:rsid w:val="0043373D"/>
    <w:rsid w:val="00451BAD"/>
    <w:rsid w:val="00486B40"/>
    <w:rsid w:val="004926D5"/>
    <w:rsid w:val="004B5503"/>
    <w:rsid w:val="004C5993"/>
    <w:rsid w:val="004D1EC6"/>
    <w:rsid w:val="004E1AF9"/>
    <w:rsid w:val="004E6BD7"/>
    <w:rsid w:val="00501E52"/>
    <w:rsid w:val="005521FA"/>
    <w:rsid w:val="00556525"/>
    <w:rsid w:val="00565C29"/>
    <w:rsid w:val="005743B7"/>
    <w:rsid w:val="00580E72"/>
    <w:rsid w:val="005A5CEE"/>
    <w:rsid w:val="005C67BD"/>
    <w:rsid w:val="005D4BB8"/>
    <w:rsid w:val="005F2333"/>
    <w:rsid w:val="00600378"/>
    <w:rsid w:val="00610993"/>
    <w:rsid w:val="00620F72"/>
    <w:rsid w:val="00621F15"/>
    <w:rsid w:val="00657092"/>
    <w:rsid w:val="00667AEE"/>
    <w:rsid w:val="00677381"/>
    <w:rsid w:val="006A7434"/>
    <w:rsid w:val="006B01AC"/>
    <w:rsid w:val="006C2EEA"/>
    <w:rsid w:val="006E1AE0"/>
    <w:rsid w:val="006E49EF"/>
    <w:rsid w:val="006F545E"/>
    <w:rsid w:val="006F709F"/>
    <w:rsid w:val="00700C28"/>
    <w:rsid w:val="0072713F"/>
    <w:rsid w:val="00734D71"/>
    <w:rsid w:val="00737D2D"/>
    <w:rsid w:val="007436D3"/>
    <w:rsid w:val="007619FE"/>
    <w:rsid w:val="00771A27"/>
    <w:rsid w:val="007905B2"/>
    <w:rsid w:val="00792A22"/>
    <w:rsid w:val="007942B5"/>
    <w:rsid w:val="007A12AA"/>
    <w:rsid w:val="007C4A1B"/>
    <w:rsid w:val="007C7A8B"/>
    <w:rsid w:val="00806173"/>
    <w:rsid w:val="00816358"/>
    <w:rsid w:val="00843677"/>
    <w:rsid w:val="00850574"/>
    <w:rsid w:val="00854F1E"/>
    <w:rsid w:val="0086060C"/>
    <w:rsid w:val="0086452C"/>
    <w:rsid w:val="00865DDD"/>
    <w:rsid w:val="00897FC4"/>
    <w:rsid w:val="008B44F4"/>
    <w:rsid w:val="008B48EB"/>
    <w:rsid w:val="008C3CB2"/>
    <w:rsid w:val="008D48F2"/>
    <w:rsid w:val="008E4E38"/>
    <w:rsid w:val="008F07D5"/>
    <w:rsid w:val="0090539E"/>
    <w:rsid w:val="009077F8"/>
    <w:rsid w:val="0091103D"/>
    <w:rsid w:val="009135AA"/>
    <w:rsid w:val="0091763D"/>
    <w:rsid w:val="00956F22"/>
    <w:rsid w:val="0096151B"/>
    <w:rsid w:val="0097205E"/>
    <w:rsid w:val="009720DC"/>
    <w:rsid w:val="0097328F"/>
    <w:rsid w:val="00981C96"/>
    <w:rsid w:val="009A3E2B"/>
    <w:rsid w:val="009C5033"/>
    <w:rsid w:val="009E4F27"/>
    <w:rsid w:val="00A0638B"/>
    <w:rsid w:val="00A124A3"/>
    <w:rsid w:val="00A24719"/>
    <w:rsid w:val="00A25757"/>
    <w:rsid w:val="00A327CE"/>
    <w:rsid w:val="00A42055"/>
    <w:rsid w:val="00A44C3C"/>
    <w:rsid w:val="00A751F0"/>
    <w:rsid w:val="00A7589C"/>
    <w:rsid w:val="00A7611F"/>
    <w:rsid w:val="00A76A98"/>
    <w:rsid w:val="00A807CE"/>
    <w:rsid w:val="00A81A12"/>
    <w:rsid w:val="00A86B78"/>
    <w:rsid w:val="00A86F1D"/>
    <w:rsid w:val="00AA01EE"/>
    <w:rsid w:val="00AD4BF5"/>
    <w:rsid w:val="00AF2E3D"/>
    <w:rsid w:val="00AF378D"/>
    <w:rsid w:val="00B002D0"/>
    <w:rsid w:val="00B0644B"/>
    <w:rsid w:val="00B06701"/>
    <w:rsid w:val="00B12824"/>
    <w:rsid w:val="00B1721D"/>
    <w:rsid w:val="00B212F0"/>
    <w:rsid w:val="00B41B01"/>
    <w:rsid w:val="00B4542F"/>
    <w:rsid w:val="00B71D66"/>
    <w:rsid w:val="00B73608"/>
    <w:rsid w:val="00B74576"/>
    <w:rsid w:val="00B9192A"/>
    <w:rsid w:val="00B942A7"/>
    <w:rsid w:val="00BA486E"/>
    <w:rsid w:val="00BB45F2"/>
    <w:rsid w:val="00BC1664"/>
    <w:rsid w:val="00BC46FB"/>
    <w:rsid w:val="00BD05DB"/>
    <w:rsid w:val="00BF3AD8"/>
    <w:rsid w:val="00C00B9E"/>
    <w:rsid w:val="00C11B4E"/>
    <w:rsid w:val="00C33563"/>
    <w:rsid w:val="00C452B2"/>
    <w:rsid w:val="00C6093D"/>
    <w:rsid w:val="00C81F7E"/>
    <w:rsid w:val="00C851A5"/>
    <w:rsid w:val="00C92444"/>
    <w:rsid w:val="00CB56BA"/>
    <w:rsid w:val="00CC6D77"/>
    <w:rsid w:val="00CC78C9"/>
    <w:rsid w:val="00CD67B3"/>
    <w:rsid w:val="00D0667C"/>
    <w:rsid w:val="00D1264C"/>
    <w:rsid w:val="00D30C13"/>
    <w:rsid w:val="00D32C8D"/>
    <w:rsid w:val="00D50765"/>
    <w:rsid w:val="00D731D6"/>
    <w:rsid w:val="00D74F04"/>
    <w:rsid w:val="00D873A8"/>
    <w:rsid w:val="00D91152"/>
    <w:rsid w:val="00D91484"/>
    <w:rsid w:val="00D936B7"/>
    <w:rsid w:val="00D93933"/>
    <w:rsid w:val="00DB3861"/>
    <w:rsid w:val="00DC56A5"/>
    <w:rsid w:val="00DD1DD8"/>
    <w:rsid w:val="00DF08D2"/>
    <w:rsid w:val="00E01749"/>
    <w:rsid w:val="00E03222"/>
    <w:rsid w:val="00E20E7F"/>
    <w:rsid w:val="00E34802"/>
    <w:rsid w:val="00E52A14"/>
    <w:rsid w:val="00E754A8"/>
    <w:rsid w:val="00E93594"/>
    <w:rsid w:val="00EC4069"/>
    <w:rsid w:val="00EE744F"/>
    <w:rsid w:val="00F0106B"/>
    <w:rsid w:val="00F056A7"/>
    <w:rsid w:val="00F21863"/>
    <w:rsid w:val="00F3295B"/>
    <w:rsid w:val="00F50651"/>
    <w:rsid w:val="00F51FDB"/>
    <w:rsid w:val="00F611D0"/>
    <w:rsid w:val="00F620B2"/>
    <w:rsid w:val="00F65CA8"/>
    <w:rsid w:val="00F77F4A"/>
    <w:rsid w:val="00FB1B74"/>
    <w:rsid w:val="00FC7DA1"/>
    <w:rsid w:val="00FD4D96"/>
    <w:rsid w:val="00FD5558"/>
    <w:rsid w:val="00FE14C1"/>
    <w:rsid w:val="00FE2384"/>
    <w:rsid w:val="00FE7D4F"/>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FCD3"/>
  <w15:chartTrackingRefBased/>
  <w15:docId w15:val="{3982F805-11CC-456C-92D0-DEF3DCDA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9F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6F1D"/>
    <w:pPr>
      <w:spacing w:line="259" w:lineRule="auto"/>
      <w:ind w:left="720"/>
      <w:contextualSpacing/>
    </w:pPr>
  </w:style>
  <w:style w:type="paragraph" w:styleId="Geenafstand">
    <w:name w:val="No Spacing"/>
    <w:uiPriority w:val="1"/>
    <w:qFormat/>
    <w:rsid w:val="002E21E3"/>
    <w:pPr>
      <w:spacing w:after="0" w:line="240" w:lineRule="auto"/>
    </w:pPr>
    <w:rPr>
      <w:rFonts w:asciiTheme="minorHAnsi" w:hAnsiTheme="minorHAnsi"/>
      <w:sz w:val="22"/>
      <w:lang w:val="nl-NL"/>
    </w:rPr>
  </w:style>
  <w:style w:type="paragraph" w:styleId="Revisie">
    <w:name w:val="Revision"/>
    <w:hidden/>
    <w:uiPriority w:val="99"/>
    <w:semiHidden/>
    <w:rsid w:val="00194116"/>
    <w:pPr>
      <w:spacing w:after="0" w:line="240" w:lineRule="auto"/>
    </w:pPr>
  </w:style>
  <w:style w:type="table" w:styleId="Tabelraster">
    <w:name w:val="Table Grid"/>
    <w:basedOn w:val="Standaardtabel"/>
    <w:uiPriority w:val="39"/>
    <w:rsid w:val="00251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B56BA"/>
    <w:rPr>
      <w:sz w:val="16"/>
      <w:szCs w:val="16"/>
    </w:rPr>
  </w:style>
  <w:style w:type="paragraph" w:styleId="Tekstopmerking">
    <w:name w:val="annotation text"/>
    <w:basedOn w:val="Standaard"/>
    <w:link w:val="TekstopmerkingChar"/>
    <w:uiPriority w:val="99"/>
    <w:unhideWhenUsed/>
    <w:rsid w:val="00CB56BA"/>
    <w:pPr>
      <w:spacing w:line="240" w:lineRule="auto"/>
    </w:pPr>
    <w:rPr>
      <w:sz w:val="20"/>
      <w:szCs w:val="20"/>
    </w:rPr>
  </w:style>
  <w:style w:type="character" w:customStyle="1" w:styleId="TekstopmerkingChar">
    <w:name w:val="Tekst opmerking Char"/>
    <w:basedOn w:val="Standaardalinea-lettertype"/>
    <w:link w:val="Tekstopmerking"/>
    <w:uiPriority w:val="99"/>
    <w:rsid w:val="00CB56BA"/>
    <w:rPr>
      <w:sz w:val="20"/>
      <w:szCs w:val="20"/>
    </w:rPr>
  </w:style>
  <w:style w:type="paragraph" w:styleId="Onderwerpvanopmerking">
    <w:name w:val="annotation subject"/>
    <w:basedOn w:val="Tekstopmerking"/>
    <w:next w:val="Tekstopmerking"/>
    <w:link w:val="OnderwerpvanopmerkingChar"/>
    <w:uiPriority w:val="99"/>
    <w:semiHidden/>
    <w:unhideWhenUsed/>
    <w:rsid w:val="00CB56BA"/>
    <w:rPr>
      <w:b/>
      <w:bCs/>
    </w:rPr>
  </w:style>
  <w:style w:type="character" w:customStyle="1" w:styleId="OnderwerpvanopmerkingChar">
    <w:name w:val="Onderwerp van opmerking Char"/>
    <w:basedOn w:val="TekstopmerkingChar"/>
    <w:link w:val="Onderwerpvanopmerking"/>
    <w:uiPriority w:val="99"/>
    <w:semiHidden/>
    <w:rsid w:val="00CB56BA"/>
    <w:rPr>
      <w:b/>
      <w:bCs/>
      <w:sz w:val="20"/>
      <w:szCs w:val="20"/>
    </w:rPr>
  </w:style>
  <w:style w:type="paragraph" w:styleId="Voetnoottekst">
    <w:name w:val="footnote text"/>
    <w:basedOn w:val="Standaard"/>
    <w:link w:val="VoetnoottekstChar"/>
    <w:uiPriority w:val="99"/>
    <w:semiHidden/>
    <w:unhideWhenUsed/>
    <w:rsid w:val="00C6093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6093D"/>
    <w:rPr>
      <w:sz w:val="20"/>
      <w:szCs w:val="20"/>
    </w:rPr>
  </w:style>
  <w:style w:type="character" w:styleId="Voetnootmarkering">
    <w:name w:val="footnote reference"/>
    <w:basedOn w:val="Standaardalinea-lettertype"/>
    <w:uiPriority w:val="99"/>
    <w:semiHidden/>
    <w:unhideWhenUsed/>
    <w:rsid w:val="00C609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8394">
      <w:bodyDiv w:val="1"/>
      <w:marLeft w:val="0"/>
      <w:marRight w:val="0"/>
      <w:marTop w:val="0"/>
      <w:marBottom w:val="0"/>
      <w:divBdr>
        <w:top w:val="none" w:sz="0" w:space="0" w:color="auto"/>
        <w:left w:val="none" w:sz="0" w:space="0" w:color="auto"/>
        <w:bottom w:val="none" w:sz="0" w:space="0" w:color="auto"/>
        <w:right w:val="none" w:sz="0" w:space="0" w:color="auto"/>
      </w:divBdr>
    </w:div>
    <w:div w:id="740063609">
      <w:bodyDiv w:val="1"/>
      <w:marLeft w:val="0"/>
      <w:marRight w:val="0"/>
      <w:marTop w:val="0"/>
      <w:marBottom w:val="0"/>
      <w:divBdr>
        <w:top w:val="none" w:sz="0" w:space="0" w:color="auto"/>
        <w:left w:val="none" w:sz="0" w:space="0" w:color="auto"/>
        <w:bottom w:val="none" w:sz="0" w:space="0" w:color="auto"/>
        <w:right w:val="none" w:sz="0" w:space="0" w:color="auto"/>
      </w:divBdr>
    </w:div>
    <w:div w:id="19385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2454</ap:Words>
  <ap:Characters>13500</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2023-12-11T10:20:00.0000000Z</lastPrinted>
  <dcterms:created xsi:type="dcterms:W3CDTF">2024-09-17T09:12:00.0000000Z</dcterms:created>
  <dcterms:modified xsi:type="dcterms:W3CDTF">2024-09-17T09:12:00.0000000Z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2023-11-27T14:11:12Z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f428149b-0e27-4673-af0f-7805de0c2266</vt:lpwstr>
  </property>
  <property fmtid="{D5CDD505-2E9C-101B-9397-08002B2CF9AE}" pid="8" name="MSIP_Label_6800fede-0e59-47ad-af95-4e63bbdb932d_ContentBits">
    <vt:lpwstr>0</vt:lpwstr>
  </property>
</Properties>
</file>