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5F6D" w:rsidR="002860E9" w:rsidP="00A579AC" w:rsidRDefault="00B87AF7" w14:paraId="29FD8640" w14:textId="06110356">
      <w:pPr>
        <w:tabs>
          <w:tab w:val="left" w:pos="0"/>
        </w:tabs>
        <w:rPr>
          <w:b/>
          <w:bCs/>
        </w:rPr>
      </w:pPr>
      <w:r>
        <w:rPr>
          <w:b/>
          <w:bCs/>
        </w:rPr>
        <w:t>Wijziging van de Wet verlaging eigen bijdrage huurtoeslag, de Wet op de huurtoeslag en enkele andere wetten ter verbetering van de koopkracht en vereenvoudiging van de regeling</w:t>
      </w:r>
    </w:p>
    <w:p w:rsidRPr="00475F6D" w:rsidR="002860E9" w:rsidP="00A579AC" w:rsidRDefault="002860E9" w14:paraId="62954292" w14:textId="77777777">
      <w:pPr>
        <w:tabs>
          <w:tab w:val="left" w:pos="0"/>
        </w:tabs>
        <w:rPr>
          <w:b/>
          <w:bCs/>
        </w:rPr>
      </w:pPr>
    </w:p>
    <w:p w:rsidRPr="00475F6D" w:rsidR="007F4A6B" w:rsidP="00A579AC" w:rsidRDefault="00944BDA" w14:paraId="167914C5" w14:textId="7E140F20">
      <w:pPr>
        <w:tabs>
          <w:tab w:val="left" w:pos="0"/>
        </w:tabs>
      </w:pPr>
      <w:r w:rsidRPr="00475F6D">
        <w:rPr>
          <w:b/>
          <w:bCs/>
        </w:rPr>
        <w:t>MEMORIE VAN TOELICHTING</w:t>
      </w:r>
    </w:p>
    <w:p w:rsidRPr="00475F6D" w:rsidR="007F4A6B" w:rsidP="00A579AC" w:rsidRDefault="007F4A6B" w14:paraId="2CCFA623" w14:textId="77777777">
      <w:pPr>
        <w:tabs>
          <w:tab w:val="left" w:pos="0"/>
        </w:tabs>
      </w:pPr>
    </w:p>
    <w:p w:rsidRPr="00475F6D" w:rsidR="009C5569" w:rsidP="00A579AC" w:rsidRDefault="009C5569" w14:paraId="5B42584B" w14:textId="48DBA1AA">
      <w:pPr>
        <w:rPr>
          <w:b/>
          <w:bCs/>
        </w:rPr>
      </w:pPr>
      <w:bookmarkStart w:name="_Hlk174461240" w:id="0"/>
      <w:r w:rsidRPr="00475F6D">
        <w:rPr>
          <w:b/>
          <w:bCs/>
        </w:rPr>
        <w:t>I. Algemeen deel</w:t>
      </w:r>
    </w:p>
    <w:p w:rsidRPr="00475F6D" w:rsidR="006C798F" w:rsidP="00A579AC" w:rsidRDefault="006C798F" w14:paraId="7627AE14" w14:textId="77777777">
      <w:pPr>
        <w:rPr>
          <w:b/>
          <w:bCs/>
        </w:rPr>
      </w:pPr>
    </w:p>
    <w:p w:rsidRPr="00475F6D" w:rsidR="00761D3C" w:rsidP="00A579AC" w:rsidRDefault="00761D3C" w14:paraId="5DB3096E" w14:textId="77777777">
      <w:pPr>
        <w:pStyle w:val="Lijstalinea"/>
        <w:numPr>
          <w:ilvl w:val="0"/>
          <w:numId w:val="3"/>
        </w:numPr>
        <w:tabs>
          <w:tab w:val="left" w:pos="0"/>
        </w:tabs>
        <w:spacing w:after="0" w:line="240" w:lineRule="atLeast"/>
        <w:ind w:left="0" w:firstLine="0"/>
        <w:rPr>
          <w:b/>
          <w:bCs/>
          <w:lang w:val="nl-NL"/>
        </w:rPr>
      </w:pPr>
      <w:r w:rsidRPr="00475F6D">
        <w:rPr>
          <w:b/>
          <w:bCs/>
          <w:lang w:val="nl-NL"/>
        </w:rPr>
        <w:t>Inleiding</w:t>
      </w:r>
    </w:p>
    <w:p w:rsidRPr="00475F6D" w:rsidR="00761D3C" w:rsidP="00A579AC" w:rsidRDefault="00761D3C" w14:paraId="387D9E06" w14:textId="77777777">
      <w:pPr>
        <w:pStyle w:val="Lijstalinea"/>
        <w:tabs>
          <w:tab w:val="left" w:pos="0"/>
        </w:tabs>
        <w:spacing w:after="0" w:line="240" w:lineRule="atLeast"/>
        <w:ind w:left="0"/>
        <w:rPr>
          <w:b/>
          <w:bCs/>
          <w:lang w:val="nl-NL"/>
        </w:rPr>
      </w:pPr>
    </w:p>
    <w:p w:rsidRPr="00475F6D" w:rsidR="00761D3C" w:rsidP="00A579AC" w:rsidRDefault="00761D3C" w14:paraId="46241695" w14:textId="77777777">
      <w:r w:rsidRPr="00475F6D">
        <w:t xml:space="preserve">De huurtoeslag is een bewezen effectief middel om huurders met een laag inkomen in hun woonlasten te ondersteunen. De afgelopen jaren is echter duidelijk geworden dat het toeslagenstelsel en het bredere stelsel van inkomensondersteuning, onzekerheid met zich meebrengen. De verschillende inkomensondersteunende regelingen zijn ingewikkeld en moeilijk te doorgronden. Dit leidt tot onzekerheid over het inkomen, in het bijzonder wanneer iemands persoonlijke situatie veranderd. </w:t>
      </w:r>
    </w:p>
    <w:p w:rsidRPr="00475F6D" w:rsidR="00761D3C" w:rsidP="00A579AC" w:rsidRDefault="00761D3C" w14:paraId="71833A20" w14:textId="77777777"/>
    <w:p w:rsidRPr="00475F6D" w:rsidR="00761D3C" w:rsidP="00A579AC" w:rsidRDefault="00761D3C" w14:paraId="5259E252" w14:textId="0F8511B7">
      <w:r w:rsidRPr="00475F6D">
        <w:t xml:space="preserve">In het Hoofdlijnenakkoord 2024 </w:t>
      </w:r>
      <w:r w:rsidRPr="00475F6D" w:rsidR="0052719B">
        <w:t>“</w:t>
      </w:r>
      <w:r w:rsidRPr="00475F6D">
        <w:t>Hoop, lef en trots</w:t>
      </w:r>
      <w:r w:rsidRPr="00475F6D" w:rsidR="0052719B">
        <w:t xml:space="preserve">” </w:t>
      </w:r>
      <w:r w:rsidRPr="00475F6D">
        <w:t xml:space="preserve">is benoemd dat er nu maatregelen nodig zijn die mensen merken in de portemonnee, waardoor ze meer loon naar werken krijgen. Meer werken moet ook ertoe leiden dat mensen erop vooruitgaan. Dit kabinet gaat stapsgewijs werken aan verbeteringen in de toeslagen, zodat werken meer loont en zodat de regeling beter te begrijpen is.  </w:t>
      </w:r>
    </w:p>
    <w:p w:rsidRPr="00475F6D" w:rsidR="00761D3C" w:rsidP="00A579AC" w:rsidRDefault="00761D3C" w14:paraId="5D4C5800" w14:textId="77777777"/>
    <w:p w:rsidRPr="00475F6D" w:rsidR="00761D3C" w:rsidP="00A579AC" w:rsidRDefault="00761D3C" w14:paraId="54D8EDA3" w14:textId="0BF02FD3">
      <w:r w:rsidRPr="00475F6D">
        <w:t>In het voorliggende wetsvoorstel voor wijziging van de Wet op de huurtoeslag (</w:t>
      </w:r>
      <w:r w:rsidRPr="00475F6D" w:rsidR="004E1FFF">
        <w:t xml:space="preserve">hierna: </w:t>
      </w:r>
      <w:proofErr w:type="spellStart"/>
      <w:r w:rsidRPr="00475F6D">
        <w:t>Wht</w:t>
      </w:r>
      <w:proofErr w:type="spellEnd"/>
      <w:r w:rsidRPr="00475F6D">
        <w:t xml:space="preserve">) </w:t>
      </w:r>
      <w:r w:rsidRPr="00475F6D" w:rsidR="00B766F0">
        <w:t xml:space="preserve">en enkele andere wetten </w:t>
      </w:r>
      <w:r w:rsidRPr="00475F6D">
        <w:t>wordt de koopkracht verbeterd en wordt de huurtoeslag versimpeld. De inkomensafhankelijke afbouw van de huurtoeslag wordt gelijkmatiger, waardoor huurtoeslagontvangers beter kunnen inschatten welk effect een inkomensstijging heeft voor hun huurtoeslag en zij meer zekerheid hebben over de hoogte van hun besteedbare inkomen. Daarnaast krijgt een deel van de huurtoeslagontvangers een lagere marginale druk</w:t>
      </w:r>
      <w:r w:rsidRPr="00475F6D" w:rsidR="00807072">
        <w:rPr>
          <w:rStyle w:val="Voetnootmarkering"/>
        </w:rPr>
        <w:footnoteReference w:id="1"/>
      </w:r>
      <w:r w:rsidRPr="00475F6D">
        <w:t xml:space="preserve">: hun huurtoeslag neemt hierdoor minder snel af wanneer hun inkomen toeneemt. </w:t>
      </w:r>
      <w:bookmarkStart w:name="_Hlk174546074" w:id="1"/>
      <w:r w:rsidRPr="00475F6D">
        <w:t xml:space="preserve">Het voorgestelde pakket aan maatregelen draagt hiermee bij aan meerdere doelen van het Hoofdlijnenakkoord: het terugdringen van armoede, vereenvoudigen van toeslagen en werken meer laten lonen. </w:t>
      </w:r>
      <w:bookmarkEnd w:id="1"/>
      <w:r w:rsidRPr="00475F6D">
        <w:t>Het kabinet trekt structureel € 500 miljoen uit voor deze maatregelen.</w:t>
      </w:r>
      <w:r w:rsidRPr="00475F6D" w:rsidR="00876BD9">
        <w:t xml:space="preserve"> De hier voorgestelde maatregelen waren tevens onderdeel van de verkenning voor verbeteringen binnen het stelsel van de huurtoeslag in de eindrapportage Toekomst Toeslagen (kamerstuk TK 31 066, nr. 1340).</w:t>
      </w:r>
    </w:p>
    <w:p w:rsidRPr="00475F6D" w:rsidR="00761D3C" w:rsidP="00A579AC" w:rsidRDefault="00761D3C" w14:paraId="212166CD" w14:textId="77777777"/>
    <w:p w:rsidR="000F4D5D" w:rsidP="00A579AC" w:rsidRDefault="00475F6D" w14:paraId="34B817AE" w14:textId="77777777">
      <w:r w:rsidRPr="00475F6D">
        <w:t xml:space="preserve">In dit voorstel worden verschillende maatregelen voorgesteld. </w:t>
      </w:r>
    </w:p>
    <w:p w:rsidRPr="00475F6D" w:rsidR="00B271C0" w:rsidP="000F4D5D" w:rsidRDefault="000F4D5D" w14:paraId="16F065CD" w14:textId="7A8CB70E">
      <w:pPr>
        <w:pStyle w:val="Lijstalinea"/>
        <w:numPr>
          <w:ilvl w:val="0"/>
          <w:numId w:val="6"/>
        </w:numPr>
        <w:ind w:left="0" w:firstLine="0"/>
      </w:pPr>
      <w:bookmarkStart w:name="_Hlk174545905" w:id="2"/>
      <w:r w:rsidRPr="000F4D5D">
        <w:rPr>
          <w:b/>
          <w:bCs/>
          <w:lang w:val="nl-NL"/>
        </w:rPr>
        <w:t>G</w:t>
      </w:r>
      <w:r w:rsidRPr="000F4D5D" w:rsidR="00761D3C">
        <w:rPr>
          <w:b/>
          <w:bCs/>
          <w:lang w:val="nl-NL"/>
        </w:rPr>
        <w:t>enerieke verlaging van de eigen bijdrage met €11,58</w:t>
      </w:r>
      <w:r w:rsidRPr="000F4D5D" w:rsidR="00B271C0">
        <w:rPr>
          <w:b/>
          <w:bCs/>
          <w:lang w:val="nl-NL"/>
        </w:rPr>
        <w:t xml:space="preserve"> per maand</w:t>
      </w:r>
      <w:r w:rsidRPr="000F4D5D" w:rsidR="004D2604">
        <w:rPr>
          <w:b/>
          <w:bCs/>
          <w:lang w:val="nl-NL"/>
        </w:rPr>
        <w:t xml:space="preserve">. </w:t>
      </w:r>
      <w:proofErr w:type="spellStart"/>
      <w:r w:rsidRPr="00475F6D" w:rsidR="004D2604">
        <w:t>Deze</w:t>
      </w:r>
      <w:proofErr w:type="spellEnd"/>
      <w:r w:rsidRPr="00475F6D" w:rsidR="004D2604">
        <w:t xml:space="preserve"> </w:t>
      </w:r>
      <w:proofErr w:type="spellStart"/>
      <w:r w:rsidRPr="00475F6D" w:rsidR="004D2604">
        <w:t>verlaging</w:t>
      </w:r>
      <w:proofErr w:type="spellEnd"/>
      <w:r w:rsidRPr="00475F6D" w:rsidR="004D2604">
        <w:t xml:space="preserve"> </w:t>
      </w:r>
      <w:proofErr w:type="spellStart"/>
      <w:r w:rsidRPr="00475F6D" w:rsidR="004D2604">
        <w:t>geldt</w:t>
      </w:r>
      <w:proofErr w:type="spellEnd"/>
      <w:r w:rsidRPr="00475F6D" w:rsidR="00761D3C">
        <w:t xml:space="preserve"> </w:t>
      </w:r>
      <w:proofErr w:type="spellStart"/>
      <w:r w:rsidRPr="00475F6D" w:rsidR="00761D3C">
        <w:t>voor</w:t>
      </w:r>
      <w:proofErr w:type="spellEnd"/>
      <w:r w:rsidRPr="00475F6D" w:rsidR="00761D3C">
        <w:t xml:space="preserve"> alle </w:t>
      </w:r>
      <w:proofErr w:type="spellStart"/>
      <w:r w:rsidRPr="00475F6D" w:rsidR="00761D3C">
        <w:t>huurtoeslagontvangers</w:t>
      </w:r>
      <w:proofErr w:type="spellEnd"/>
      <w:r w:rsidRPr="00475F6D" w:rsidR="00761D3C">
        <w:t xml:space="preserve">, </w:t>
      </w:r>
      <w:proofErr w:type="spellStart"/>
      <w:r w:rsidRPr="00475F6D" w:rsidR="00761D3C">
        <w:t>ongeacht</w:t>
      </w:r>
      <w:proofErr w:type="spellEnd"/>
      <w:r w:rsidRPr="00475F6D" w:rsidR="00761D3C">
        <w:t xml:space="preserve"> de </w:t>
      </w:r>
      <w:proofErr w:type="spellStart"/>
      <w:r w:rsidRPr="00475F6D" w:rsidR="00761D3C">
        <w:t>huur</w:t>
      </w:r>
      <w:proofErr w:type="spellEnd"/>
      <w:r w:rsidRPr="00475F6D" w:rsidR="00761D3C">
        <w:t xml:space="preserve"> of het </w:t>
      </w:r>
      <w:proofErr w:type="spellStart"/>
      <w:r w:rsidRPr="00475F6D" w:rsidR="00761D3C">
        <w:t>inkomen</w:t>
      </w:r>
      <w:proofErr w:type="spellEnd"/>
      <w:r w:rsidRPr="00475F6D" w:rsidR="00761D3C">
        <w:t>.</w:t>
      </w:r>
      <w:r w:rsidRPr="00475F6D" w:rsidR="00475F6D">
        <w:t xml:space="preserve"> </w:t>
      </w:r>
      <w:proofErr w:type="spellStart"/>
      <w:r w:rsidRPr="00475F6D" w:rsidR="00475F6D">
        <w:t>Daarnaast</w:t>
      </w:r>
      <w:proofErr w:type="spellEnd"/>
      <w:r w:rsidRPr="00475F6D" w:rsidR="00475F6D">
        <w:t xml:space="preserve"> </w:t>
      </w:r>
      <w:proofErr w:type="spellStart"/>
      <w:r w:rsidRPr="00475F6D" w:rsidR="00475F6D">
        <w:t>leiden</w:t>
      </w:r>
      <w:proofErr w:type="spellEnd"/>
      <w:r w:rsidRPr="00475F6D" w:rsidR="00475F6D">
        <w:t xml:space="preserve"> de </w:t>
      </w:r>
      <w:proofErr w:type="spellStart"/>
      <w:r w:rsidRPr="00475F6D" w:rsidR="00475F6D">
        <w:t>hieronder</w:t>
      </w:r>
      <w:proofErr w:type="spellEnd"/>
      <w:r w:rsidRPr="00475F6D" w:rsidR="00475F6D">
        <w:t xml:space="preserve"> </w:t>
      </w:r>
      <w:proofErr w:type="spellStart"/>
      <w:r w:rsidRPr="00475F6D" w:rsidR="00B271C0">
        <w:t>gepresenteerd</w:t>
      </w:r>
      <w:r w:rsidRPr="00475F6D" w:rsidR="002F6126">
        <w:t>e</w:t>
      </w:r>
      <w:proofErr w:type="spellEnd"/>
      <w:r w:rsidRPr="00475F6D" w:rsidR="00B271C0">
        <w:t xml:space="preserve"> </w:t>
      </w:r>
      <w:proofErr w:type="spellStart"/>
      <w:r w:rsidRPr="00475F6D" w:rsidR="00B271C0">
        <w:t>maatregelen</w:t>
      </w:r>
      <w:proofErr w:type="spellEnd"/>
      <w:r w:rsidRPr="00475F6D" w:rsidR="00B271C0">
        <w:t xml:space="preserve"> </w:t>
      </w:r>
      <w:proofErr w:type="spellStart"/>
      <w:r w:rsidRPr="00475F6D" w:rsidR="00B271C0">
        <w:t>ter</w:t>
      </w:r>
      <w:proofErr w:type="spellEnd"/>
      <w:r w:rsidRPr="00475F6D" w:rsidR="00B271C0">
        <w:t xml:space="preserve"> </w:t>
      </w:r>
      <w:proofErr w:type="spellStart"/>
      <w:r w:rsidRPr="00475F6D" w:rsidR="00B271C0">
        <w:t>vereenvoudiging</w:t>
      </w:r>
      <w:proofErr w:type="spellEnd"/>
      <w:r w:rsidRPr="00475F6D" w:rsidR="00B271C0">
        <w:t xml:space="preserve"> </w:t>
      </w:r>
      <w:proofErr w:type="spellStart"/>
      <w:r w:rsidRPr="00475F6D" w:rsidR="00B271C0">
        <w:t>en</w:t>
      </w:r>
      <w:proofErr w:type="spellEnd"/>
      <w:r w:rsidRPr="00475F6D" w:rsidR="00B271C0">
        <w:t xml:space="preserve"> </w:t>
      </w:r>
      <w:proofErr w:type="spellStart"/>
      <w:r w:rsidRPr="00475F6D" w:rsidR="00B271C0">
        <w:t>verbetering</w:t>
      </w:r>
      <w:proofErr w:type="spellEnd"/>
      <w:r w:rsidRPr="00475F6D" w:rsidR="00B271C0">
        <w:t xml:space="preserve"> van de </w:t>
      </w:r>
      <w:proofErr w:type="spellStart"/>
      <w:r w:rsidRPr="00475F6D" w:rsidR="00B271C0">
        <w:t>marginale</w:t>
      </w:r>
      <w:proofErr w:type="spellEnd"/>
      <w:r w:rsidRPr="00475F6D" w:rsidR="00B271C0">
        <w:t xml:space="preserve"> </w:t>
      </w:r>
      <w:proofErr w:type="spellStart"/>
      <w:r w:rsidRPr="00475F6D" w:rsidR="00B271C0">
        <w:t>druk</w:t>
      </w:r>
      <w:proofErr w:type="spellEnd"/>
      <w:r w:rsidRPr="00475F6D" w:rsidR="00B271C0">
        <w:t xml:space="preserve">, </w:t>
      </w:r>
      <w:proofErr w:type="spellStart"/>
      <w:r w:rsidRPr="00475F6D" w:rsidR="00B271C0">
        <w:t>afhankelijk</w:t>
      </w:r>
      <w:proofErr w:type="spellEnd"/>
      <w:r w:rsidRPr="00475F6D" w:rsidR="00B271C0">
        <w:t xml:space="preserve"> van </w:t>
      </w:r>
      <w:r w:rsidRPr="00475F6D" w:rsidR="002F6126">
        <w:t xml:space="preserve">het </w:t>
      </w:r>
      <w:proofErr w:type="spellStart"/>
      <w:r w:rsidRPr="00475F6D" w:rsidR="002F6126">
        <w:t>huishoudtype</w:t>
      </w:r>
      <w:proofErr w:type="spellEnd"/>
      <w:r w:rsidRPr="00475F6D" w:rsidR="002F6126">
        <w:t xml:space="preserve">, </w:t>
      </w:r>
      <w:proofErr w:type="spellStart"/>
      <w:r w:rsidRPr="00475F6D" w:rsidR="002F6126">
        <w:t>inkomen</w:t>
      </w:r>
      <w:proofErr w:type="spellEnd"/>
      <w:r w:rsidRPr="00475F6D" w:rsidR="002F6126">
        <w:t xml:space="preserve"> </w:t>
      </w:r>
      <w:proofErr w:type="spellStart"/>
      <w:r w:rsidRPr="00475F6D" w:rsidR="002F6126">
        <w:t>en</w:t>
      </w:r>
      <w:proofErr w:type="spellEnd"/>
      <w:r w:rsidRPr="00475F6D" w:rsidR="002F6126">
        <w:t xml:space="preserve"> </w:t>
      </w:r>
      <w:proofErr w:type="spellStart"/>
      <w:r w:rsidRPr="00475F6D" w:rsidR="002F6126">
        <w:t>huurniveau</w:t>
      </w:r>
      <w:proofErr w:type="spellEnd"/>
      <w:r w:rsidRPr="00475F6D" w:rsidR="00B271C0">
        <w:t xml:space="preserve"> tot </w:t>
      </w:r>
      <w:proofErr w:type="spellStart"/>
      <w:r w:rsidRPr="00475F6D" w:rsidR="00475F6D">
        <w:t>nog</w:t>
      </w:r>
      <w:proofErr w:type="spellEnd"/>
      <w:r w:rsidRPr="00475F6D" w:rsidR="00475F6D">
        <w:t xml:space="preserve"> </w:t>
      </w:r>
      <w:proofErr w:type="spellStart"/>
      <w:r w:rsidRPr="00475F6D" w:rsidR="00B271C0">
        <w:t>een</w:t>
      </w:r>
      <w:proofErr w:type="spellEnd"/>
      <w:r w:rsidRPr="00475F6D" w:rsidR="00B271C0">
        <w:t xml:space="preserve"> </w:t>
      </w:r>
      <w:proofErr w:type="spellStart"/>
      <w:r w:rsidRPr="00475F6D" w:rsidR="00B271C0">
        <w:t>maandelijkse</w:t>
      </w:r>
      <w:proofErr w:type="spellEnd"/>
      <w:r w:rsidRPr="00475F6D" w:rsidR="00B271C0">
        <w:t xml:space="preserve"> </w:t>
      </w:r>
      <w:proofErr w:type="spellStart"/>
      <w:r w:rsidRPr="00475F6D" w:rsidR="00B271C0">
        <w:t>verhoging</w:t>
      </w:r>
      <w:proofErr w:type="spellEnd"/>
      <w:r w:rsidRPr="00475F6D" w:rsidR="00B271C0">
        <w:t xml:space="preserve"> van de </w:t>
      </w:r>
      <w:proofErr w:type="spellStart"/>
      <w:r w:rsidRPr="00475F6D" w:rsidR="00B271C0">
        <w:t>huurtoeslag</w:t>
      </w:r>
      <w:proofErr w:type="spellEnd"/>
      <w:r w:rsidRPr="00475F6D" w:rsidR="00B271C0">
        <w:t xml:space="preserve"> </w:t>
      </w:r>
      <w:r w:rsidRPr="00475F6D" w:rsidR="002F6126">
        <w:t xml:space="preserve">met </w:t>
      </w:r>
      <w:proofErr w:type="spellStart"/>
      <w:r w:rsidRPr="00475F6D" w:rsidR="002F6126">
        <w:t>een</w:t>
      </w:r>
      <w:proofErr w:type="spellEnd"/>
      <w:r w:rsidRPr="00475F6D" w:rsidR="002F6126">
        <w:t xml:space="preserve"> </w:t>
      </w:r>
      <w:proofErr w:type="spellStart"/>
      <w:r w:rsidRPr="00475F6D" w:rsidR="002F6126">
        <w:t>bedrag</w:t>
      </w:r>
      <w:proofErr w:type="spellEnd"/>
      <w:r w:rsidRPr="00475F6D" w:rsidR="002F6126">
        <w:t xml:space="preserve"> </w:t>
      </w:r>
      <w:proofErr w:type="spellStart"/>
      <w:r w:rsidRPr="00475F6D" w:rsidR="00B271C0">
        <w:t>tussen</w:t>
      </w:r>
      <w:proofErr w:type="spellEnd"/>
      <w:r w:rsidRPr="00475F6D" w:rsidR="00B271C0">
        <w:t xml:space="preserve"> </w:t>
      </w:r>
      <w:r w:rsidRPr="00475F6D" w:rsidR="002F6126">
        <w:t xml:space="preserve">de </w:t>
      </w:r>
      <w:r w:rsidRPr="00475F6D" w:rsidR="00B271C0">
        <w:t xml:space="preserve">€0 </w:t>
      </w:r>
      <w:proofErr w:type="spellStart"/>
      <w:r w:rsidRPr="00475F6D" w:rsidR="00B271C0">
        <w:t>en</w:t>
      </w:r>
      <w:proofErr w:type="spellEnd"/>
      <w:r w:rsidRPr="00475F6D" w:rsidR="00B271C0">
        <w:t xml:space="preserve"> </w:t>
      </w:r>
      <w:proofErr w:type="spellStart"/>
      <w:r w:rsidRPr="00475F6D" w:rsidR="00B271C0">
        <w:t>ruim</w:t>
      </w:r>
      <w:proofErr w:type="spellEnd"/>
      <w:r w:rsidRPr="00475F6D" w:rsidR="00B271C0">
        <w:t xml:space="preserve"> €100</w:t>
      </w:r>
      <w:r w:rsidRPr="00475F6D" w:rsidR="00475F6D">
        <w:t xml:space="preserve">, </w:t>
      </w:r>
      <w:proofErr w:type="spellStart"/>
      <w:r w:rsidRPr="00475F6D" w:rsidR="00475F6D">
        <w:t>naast</w:t>
      </w:r>
      <w:proofErr w:type="spellEnd"/>
      <w:r w:rsidRPr="00475F6D" w:rsidR="00475F6D">
        <w:t xml:space="preserve"> de </w:t>
      </w:r>
      <w:proofErr w:type="spellStart"/>
      <w:r w:rsidRPr="00475F6D" w:rsidR="00475F6D">
        <w:t>generieke</w:t>
      </w:r>
      <w:proofErr w:type="spellEnd"/>
      <w:r w:rsidRPr="00475F6D" w:rsidR="00475F6D">
        <w:t xml:space="preserve"> </w:t>
      </w:r>
      <w:proofErr w:type="spellStart"/>
      <w:r w:rsidRPr="00475F6D" w:rsidR="00475F6D">
        <w:t>verhoging</w:t>
      </w:r>
      <w:proofErr w:type="spellEnd"/>
      <w:r w:rsidRPr="00475F6D" w:rsidR="00B271C0">
        <w:t>.</w:t>
      </w:r>
    </w:p>
    <w:p w:rsidRPr="00475F6D" w:rsidR="00761D3C" w:rsidP="00A579AC" w:rsidRDefault="00761D3C" w14:paraId="0B3D3E20" w14:textId="05C5452F">
      <w:pPr>
        <w:pStyle w:val="Lijstalinea"/>
        <w:numPr>
          <w:ilvl w:val="0"/>
          <w:numId w:val="2"/>
        </w:numPr>
        <w:spacing w:after="0" w:line="240" w:lineRule="atLeast"/>
        <w:ind w:left="0" w:firstLine="0"/>
        <w:rPr>
          <w:lang w:val="nl-NL"/>
        </w:rPr>
      </w:pPr>
      <w:r w:rsidRPr="00475F6D">
        <w:rPr>
          <w:b/>
          <w:bCs/>
          <w:lang w:val="nl-NL"/>
        </w:rPr>
        <w:t xml:space="preserve">Harmonisering van het aantal huishoudtypes in de huurtoeslag. </w:t>
      </w:r>
      <w:r w:rsidRPr="00475F6D">
        <w:rPr>
          <w:lang w:val="nl-NL"/>
        </w:rPr>
        <w:t xml:space="preserve">De huidige vier huishoudtypes in de huurtoeslag – eenpersoonshuishoudens, meerpersoonshuishoudens, </w:t>
      </w:r>
      <w:proofErr w:type="spellStart"/>
      <w:r w:rsidRPr="00475F6D">
        <w:rPr>
          <w:lang w:val="nl-NL"/>
        </w:rPr>
        <w:t>eenpersoonsouderenhuishoudens</w:t>
      </w:r>
      <w:proofErr w:type="spellEnd"/>
      <w:r w:rsidRPr="00475F6D">
        <w:rPr>
          <w:lang w:val="nl-NL"/>
        </w:rPr>
        <w:t xml:space="preserve"> en </w:t>
      </w:r>
      <w:proofErr w:type="spellStart"/>
      <w:r w:rsidRPr="00475F6D">
        <w:rPr>
          <w:lang w:val="nl-NL"/>
        </w:rPr>
        <w:t>meerpersoonsouderenhuishoudens</w:t>
      </w:r>
      <w:proofErr w:type="spellEnd"/>
      <w:r w:rsidRPr="00475F6D">
        <w:rPr>
          <w:lang w:val="nl-NL"/>
        </w:rPr>
        <w:t xml:space="preserve"> – met elk hun eigen inkomensafhankelijke afbouw en vergoeding van huurdelen, wordt teruggebracht naar twee. Het onderscheid tussen niet-ouderenhuishoudens en ouderenhuishoudens wordt weggenomen, zodat er enkel nog onderscheid is tussen een- en meerpersoonshuishoudens. Dit maakt de regeling begrijpelijker. Ook zullen in het bijzonder meerpersoonshuishoudens (niet-ouderen) met een hoge</w:t>
      </w:r>
      <w:r w:rsidRPr="00475F6D" w:rsidR="00CE44EE">
        <w:rPr>
          <w:lang w:val="nl-NL"/>
        </w:rPr>
        <w:t>re</w:t>
      </w:r>
      <w:r w:rsidRPr="00475F6D">
        <w:rPr>
          <w:lang w:val="nl-NL"/>
        </w:rPr>
        <w:t xml:space="preserve"> huur meer huurtoeslag ontvangen, door harmonisatie van de vergoeding van de huurdelen. </w:t>
      </w:r>
    </w:p>
    <w:p w:rsidR="00761D3C" w:rsidP="00A579AC" w:rsidRDefault="00761D3C" w14:paraId="47851356" w14:textId="7AEE278B">
      <w:pPr>
        <w:pStyle w:val="Lijstalinea"/>
        <w:numPr>
          <w:ilvl w:val="0"/>
          <w:numId w:val="2"/>
        </w:numPr>
        <w:spacing w:after="0" w:line="240" w:lineRule="atLeast"/>
        <w:ind w:left="0" w:firstLine="0"/>
        <w:rPr>
          <w:lang w:val="nl-NL"/>
        </w:rPr>
      </w:pPr>
      <w:r w:rsidRPr="00475F6D">
        <w:rPr>
          <w:b/>
          <w:bCs/>
          <w:lang w:val="nl-NL"/>
        </w:rPr>
        <w:t>Invoeren van een lineaire inkomensafhankelijke afbouw.</w:t>
      </w:r>
      <w:bookmarkEnd w:id="2"/>
      <w:r w:rsidRPr="00475F6D">
        <w:rPr>
          <w:lang w:val="nl-NL"/>
        </w:rPr>
        <w:t xml:space="preserve"> </w:t>
      </w:r>
      <w:bookmarkStart w:name="_Hlk174545925" w:id="3"/>
      <w:r w:rsidRPr="00475F6D">
        <w:rPr>
          <w:lang w:val="nl-NL"/>
        </w:rPr>
        <w:t>Momenteel is de berekening van de inkomensafhankelijke afbouw van de huurtoeslag dermate ingewikkeld dat de marginale druk per ontvanger kan verschillen, afhankelijk van zowel het inkomen als de feitelijke huur van de ontvanger. Dit leidt tot pieken en dalen in de marginale druk. Een hoge marginale druk kan leiden tot hoge terugvorderingen</w:t>
      </w:r>
      <w:r w:rsidRPr="00475F6D" w:rsidR="00CE44EE">
        <w:rPr>
          <w:lang w:val="nl-NL"/>
        </w:rPr>
        <w:t xml:space="preserve"> bij relatief kleine inkomensstijgingen</w:t>
      </w:r>
      <w:r w:rsidRPr="00475F6D">
        <w:rPr>
          <w:lang w:val="nl-NL"/>
        </w:rPr>
        <w:t xml:space="preserve">. Met de voorgestelde wijziging is afbouw van de huurtoeslag </w:t>
      </w:r>
      <w:r w:rsidRPr="00475F6D" w:rsidR="00CE44EE">
        <w:rPr>
          <w:lang w:val="nl-NL"/>
        </w:rPr>
        <w:t xml:space="preserve">alleen nog afhankelijk </w:t>
      </w:r>
      <w:r w:rsidRPr="00475F6D">
        <w:rPr>
          <w:lang w:val="nl-NL"/>
        </w:rPr>
        <w:t xml:space="preserve">van het inkomen, en </w:t>
      </w:r>
      <w:r w:rsidRPr="00475F6D">
        <w:rPr>
          <w:lang w:val="nl-NL"/>
        </w:rPr>
        <w:lastRenderedPageBreak/>
        <w:t>bouwt deze lineair af. Dit maakt de gevolgen van een wijziging in het inkomen beter in te schatten. De marginale druk wordt voor de meeste huurtoeslagontvangers verlaagd.</w:t>
      </w:r>
    </w:p>
    <w:p w:rsidR="00231038" w:rsidP="00231038" w:rsidRDefault="00231038" w14:paraId="5E176BF6" w14:textId="77777777"/>
    <w:p w:rsidRPr="00475F6D" w:rsidR="00231038" w:rsidP="00231038" w:rsidRDefault="00C96474" w14:paraId="4E90E417" w14:textId="0DFBB6CF">
      <w:pPr>
        <w:pStyle w:val="Lijstalinea"/>
        <w:spacing w:after="0" w:line="240" w:lineRule="atLeast"/>
        <w:ind w:left="0"/>
        <w:rPr>
          <w:lang w:val="nl-NL"/>
        </w:rPr>
      </w:pPr>
      <w:r>
        <w:rPr>
          <w:lang w:val="nl-NL"/>
        </w:rPr>
        <w:t xml:space="preserve">De maatregelen kennen een gefaseerde inwerkingtreding: de harmonisering van het aantal huishoudtypes is beoogd vanaf 1 januari 2025 en de invoering van de lineaire inkomensafhankelijke afbouw en verlaging van de eigen bijdrage zijn beoogd </w:t>
      </w:r>
      <w:r w:rsidRPr="005A5B60">
        <w:rPr>
          <w:lang w:val="nl-NL"/>
        </w:rPr>
        <w:t>per 202</w:t>
      </w:r>
      <w:r w:rsidR="005A5B60">
        <w:rPr>
          <w:lang w:val="nl-NL"/>
        </w:rPr>
        <w:t>6</w:t>
      </w:r>
      <w:r w:rsidRPr="005A5B60">
        <w:rPr>
          <w:lang w:val="nl-NL"/>
        </w:rPr>
        <w:t>.</w:t>
      </w:r>
      <w:r>
        <w:rPr>
          <w:lang w:val="nl-NL"/>
        </w:rPr>
        <w:t xml:space="preserve"> Daarnaast zal voor de invoering van de lineaire lijn in 2025 een deel van het effect benaderd worden met de huidige formule, door een aanpassing van de parameters. Er is gekozen om deze maatregelen alsnog integraal aan te bieden om zowel burgers als de uitvoering tijdig duidelijkheid en zekerheid te bieden over het beoogde eindbeeld en de inwerkingtreding hiervan. </w:t>
      </w:r>
      <w:r w:rsidR="0008048D">
        <w:rPr>
          <w:lang w:val="nl-NL"/>
        </w:rPr>
        <w:t xml:space="preserve">Het kabinet vindt dit van nadrukkelijk belang, omdat burgers aangeven grote onzekerheid te ervaren over hun inkomen. </w:t>
      </w:r>
      <w:r w:rsidR="005A5B60">
        <w:rPr>
          <w:lang w:val="nl-NL"/>
        </w:rPr>
        <w:t xml:space="preserve">Met dit integrale voorstel weten zij waar ze de komende jaren aan toe zijn met betrekking tot huurtoeslag. </w:t>
      </w:r>
      <w:r>
        <w:rPr>
          <w:lang w:val="nl-NL"/>
        </w:rPr>
        <w:t>Daarnaast is er bij de invoering van de lineaire afbouw in 2026 en de benadering hiervan in 2025 sprake van een afhankelijkheid</w:t>
      </w:r>
      <w:r w:rsidR="005A5B60">
        <w:rPr>
          <w:lang w:val="nl-NL"/>
        </w:rPr>
        <w:t xml:space="preserve"> tussen de maatregelen</w:t>
      </w:r>
      <w:r>
        <w:rPr>
          <w:lang w:val="nl-NL"/>
        </w:rPr>
        <w:t xml:space="preserve">, waardoor dit als één pakket wordt gepresenteerd. </w:t>
      </w:r>
    </w:p>
    <w:bookmarkEnd w:id="3"/>
    <w:p w:rsidRPr="00475F6D" w:rsidR="00761D3C" w:rsidP="00A579AC" w:rsidRDefault="00761D3C" w14:paraId="5743AF8B" w14:textId="77777777"/>
    <w:p w:rsidRPr="00475F6D" w:rsidR="00761D3C" w:rsidP="00A579AC" w:rsidRDefault="00761D3C" w14:paraId="5AB25783" w14:textId="77777777">
      <w:pPr>
        <w:pStyle w:val="Lijstalinea"/>
        <w:numPr>
          <w:ilvl w:val="0"/>
          <w:numId w:val="3"/>
        </w:numPr>
        <w:spacing w:after="0" w:line="240" w:lineRule="atLeast"/>
        <w:ind w:left="0" w:firstLine="0"/>
        <w:rPr>
          <w:b/>
          <w:bCs/>
          <w:lang w:val="nl-NL"/>
        </w:rPr>
      </w:pPr>
      <w:r w:rsidRPr="00475F6D">
        <w:rPr>
          <w:b/>
          <w:bCs/>
          <w:lang w:val="nl-NL"/>
        </w:rPr>
        <w:t xml:space="preserve">Inhoud van het wetsvoorstel </w:t>
      </w:r>
    </w:p>
    <w:p w:rsidRPr="00475F6D" w:rsidR="00761D3C" w:rsidP="00A579AC" w:rsidRDefault="00761D3C" w14:paraId="06D42BA3" w14:textId="7D834E21">
      <w:pPr>
        <w:pStyle w:val="Lijstalinea"/>
        <w:numPr>
          <w:ilvl w:val="1"/>
          <w:numId w:val="3"/>
        </w:numPr>
        <w:spacing w:after="0" w:line="240" w:lineRule="atLeast"/>
        <w:ind w:left="0" w:firstLine="0"/>
        <w:rPr>
          <w:i/>
          <w:iCs/>
          <w:lang w:val="nl-NL"/>
        </w:rPr>
      </w:pPr>
      <w:r w:rsidRPr="00475F6D">
        <w:rPr>
          <w:i/>
          <w:iCs/>
          <w:lang w:val="nl-NL"/>
        </w:rPr>
        <w:t>Generieke verlaging van de eigen bijdrage met €11,58</w:t>
      </w:r>
      <w:r w:rsidR="0008048D">
        <w:rPr>
          <w:i/>
          <w:iCs/>
          <w:lang w:val="nl-NL"/>
        </w:rPr>
        <w:t xml:space="preserve"> </w:t>
      </w:r>
    </w:p>
    <w:p w:rsidRPr="00475F6D" w:rsidR="00761D3C" w:rsidP="00A579AC" w:rsidRDefault="00761D3C" w14:paraId="149AC709" w14:textId="77777777">
      <w:r w:rsidRPr="00475F6D">
        <w:t>Voor de vormgeving van de generieke koopkrachtverbetering is gekozen voor een verlaging van de zogenoemde basishuur. Daarnaast wordt mogelijk gemaakt dat dit bedrag in de toekomst bij algemene maatregel van bestuur hoger of lager kan worden gesteld.</w:t>
      </w:r>
    </w:p>
    <w:p w:rsidRPr="00475F6D" w:rsidR="00761D3C" w:rsidP="00A579AC" w:rsidRDefault="00761D3C" w14:paraId="10D26E4D" w14:textId="1D6FFE94">
      <w:r w:rsidRPr="00475F6D">
        <w:t xml:space="preserve">De basishuur is dat gedeelte van de huur dat voor rekening van de huurtoeslagontvanger blijft (eigen bijdrage). De basishuur bestaat momenteel uit een inkomensafhankelijk deel (de normhuur) en een vast bedrag, berekend overeenkomstig artikel 16 </w:t>
      </w:r>
      <w:proofErr w:type="spellStart"/>
      <w:r w:rsidRPr="00475F6D">
        <w:t>Wht</w:t>
      </w:r>
      <w:proofErr w:type="spellEnd"/>
      <w:r w:rsidRPr="00475F6D">
        <w:t>. Met dit wetsvoorstel wordt de berekening van de eigen bijdrage opgesplitst: de basishuur is straks volledig inkomensonafhankelijk en de inkomensafhankelijke component in de huurtoeslag wordt elders in de wet berekend, zie hiervoor paragraaf 2.3.</w:t>
      </w:r>
    </w:p>
    <w:p w:rsidRPr="00475F6D" w:rsidR="00761D3C" w:rsidP="00A579AC" w:rsidRDefault="00761D3C" w14:paraId="73DE4521" w14:textId="77777777"/>
    <w:p w:rsidRPr="00475F6D" w:rsidR="00761D3C" w:rsidP="00A579AC" w:rsidRDefault="00761D3C" w14:paraId="310EF5EE" w14:textId="27869AC4">
      <w:r w:rsidRPr="00475F6D">
        <w:t xml:space="preserve">Sinds 1 januari 2024 wordt de basishuur verlaagd met de in de Wet verlaging eigen bijdrage huurtoeslag genoemde bedragen (een afslag), met in totaal € 37,72. In 2023 werd een eerdere opslag op de eigen bijdrage van € 16,94 al afgeschaft. In het kader van de koopkrachtverbetering wordt in dit wetsvoorstel voorgesteld via dezelfde weg de basishuur nog verder te verlagen. Zo wordt de eigen bijdrage voor alle huurtoeslagontvangers </w:t>
      </w:r>
      <w:r w:rsidR="00231038">
        <w:t xml:space="preserve">vanaf 2026 </w:t>
      </w:r>
      <w:r w:rsidRPr="00475F6D">
        <w:t xml:space="preserve">structureel verder verlaagd met € 11,58 per maand. </w:t>
      </w:r>
    </w:p>
    <w:p w:rsidRPr="00475F6D" w:rsidR="00761D3C" w:rsidP="00A579AC" w:rsidRDefault="00761D3C" w14:paraId="25FD7784" w14:textId="77777777"/>
    <w:p w:rsidRPr="00475F6D" w:rsidR="00761D3C" w:rsidP="00A579AC" w:rsidRDefault="00761D3C" w14:paraId="3FE258CC" w14:textId="77777777">
      <w:pPr>
        <w:pStyle w:val="Lijstalinea"/>
        <w:numPr>
          <w:ilvl w:val="1"/>
          <w:numId w:val="3"/>
        </w:numPr>
        <w:spacing w:after="0" w:line="240" w:lineRule="atLeast"/>
        <w:ind w:left="0" w:firstLine="0"/>
        <w:rPr>
          <w:i/>
          <w:iCs/>
          <w:lang w:val="nl-NL"/>
        </w:rPr>
      </w:pPr>
      <w:r w:rsidRPr="00475F6D">
        <w:rPr>
          <w:i/>
          <w:iCs/>
          <w:lang w:val="nl-NL"/>
        </w:rPr>
        <w:t>Harmonisering van het aantal huishoudtypes in de huurtoeslag</w:t>
      </w:r>
    </w:p>
    <w:p w:rsidRPr="00475F6D" w:rsidR="00761D3C" w:rsidP="00A579AC" w:rsidRDefault="00761D3C" w14:paraId="697551AA" w14:textId="77777777">
      <w:pPr>
        <w:pStyle w:val="Lijstalinea"/>
        <w:numPr>
          <w:ilvl w:val="2"/>
          <w:numId w:val="3"/>
        </w:numPr>
        <w:spacing w:after="0" w:line="240" w:lineRule="atLeast"/>
        <w:ind w:left="0" w:firstLine="0"/>
        <w:rPr>
          <w:i/>
          <w:iCs/>
          <w:lang w:val="nl-NL"/>
        </w:rPr>
      </w:pPr>
      <w:r w:rsidRPr="00475F6D">
        <w:rPr>
          <w:i/>
          <w:iCs/>
          <w:lang w:val="nl-NL"/>
        </w:rPr>
        <w:t>Harmoniseren inkomensparameters en normhuren</w:t>
      </w:r>
    </w:p>
    <w:p w:rsidRPr="00475F6D" w:rsidR="00761D3C" w:rsidP="00A579AC" w:rsidRDefault="00761D3C" w14:paraId="54CAD281" w14:textId="77777777">
      <w:r w:rsidRPr="00475F6D">
        <w:t>De huurtoeslag kent momenteel vier huishoudtypes:</w:t>
      </w:r>
    </w:p>
    <w:p w:rsidRPr="00475F6D" w:rsidR="00761D3C" w:rsidP="00A579AC" w:rsidRDefault="00761D3C" w14:paraId="03FA8059" w14:textId="77777777">
      <w:pPr>
        <w:pStyle w:val="Lijstalinea"/>
        <w:numPr>
          <w:ilvl w:val="0"/>
          <w:numId w:val="2"/>
        </w:numPr>
        <w:spacing w:after="0" w:line="240" w:lineRule="atLeast"/>
        <w:ind w:left="0" w:firstLine="0"/>
        <w:rPr>
          <w:lang w:val="nl-NL"/>
        </w:rPr>
      </w:pPr>
      <w:r w:rsidRPr="00475F6D">
        <w:rPr>
          <w:lang w:val="nl-NL"/>
        </w:rPr>
        <w:t>Eenpersoonshuishoudens</w:t>
      </w:r>
    </w:p>
    <w:p w:rsidRPr="00475F6D" w:rsidR="00761D3C" w:rsidP="00A579AC" w:rsidRDefault="00761D3C" w14:paraId="3C1A95DF" w14:textId="77777777">
      <w:pPr>
        <w:pStyle w:val="Lijstalinea"/>
        <w:numPr>
          <w:ilvl w:val="0"/>
          <w:numId w:val="2"/>
        </w:numPr>
        <w:spacing w:after="0" w:line="240" w:lineRule="atLeast"/>
        <w:ind w:left="0" w:firstLine="0"/>
        <w:rPr>
          <w:lang w:val="nl-NL"/>
        </w:rPr>
      </w:pPr>
      <w:r w:rsidRPr="00475F6D">
        <w:rPr>
          <w:lang w:val="nl-NL"/>
        </w:rPr>
        <w:t>Meerpersoonshuishoudens</w:t>
      </w:r>
    </w:p>
    <w:p w:rsidRPr="00475F6D" w:rsidR="00761D3C" w:rsidP="00A579AC" w:rsidRDefault="00761D3C" w14:paraId="62F4670C" w14:textId="77777777">
      <w:pPr>
        <w:pStyle w:val="Lijstalinea"/>
        <w:numPr>
          <w:ilvl w:val="0"/>
          <w:numId w:val="2"/>
        </w:numPr>
        <w:spacing w:after="0" w:line="240" w:lineRule="atLeast"/>
        <w:ind w:left="0" w:firstLine="0"/>
        <w:rPr>
          <w:lang w:val="nl-NL"/>
        </w:rPr>
      </w:pPr>
      <w:proofErr w:type="spellStart"/>
      <w:r w:rsidRPr="00475F6D">
        <w:rPr>
          <w:lang w:val="nl-NL"/>
        </w:rPr>
        <w:t>Eenpersoonsouderenhuishoudens</w:t>
      </w:r>
      <w:proofErr w:type="spellEnd"/>
    </w:p>
    <w:p w:rsidRPr="00475F6D" w:rsidR="00761D3C" w:rsidP="00A579AC" w:rsidRDefault="00761D3C" w14:paraId="55222BCC" w14:textId="77777777">
      <w:pPr>
        <w:pStyle w:val="Lijstalinea"/>
        <w:numPr>
          <w:ilvl w:val="0"/>
          <w:numId w:val="2"/>
        </w:numPr>
        <w:spacing w:after="0" w:line="240" w:lineRule="atLeast"/>
        <w:ind w:left="0" w:firstLine="0"/>
        <w:rPr>
          <w:lang w:val="nl-NL"/>
        </w:rPr>
      </w:pPr>
      <w:proofErr w:type="spellStart"/>
      <w:r w:rsidRPr="00475F6D">
        <w:rPr>
          <w:lang w:val="nl-NL"/>
        </w:rPr>
        <w:t>Meerpersoonsouderenhuishoudens</w:t>
      </w:r>
      <w:proofErr w:type="spellEnd"/>
    </w:p>
    <w:p w:rsidRPr="00475F6D" w:rsidR="00761D3C" w:rsidP="00A579AC" w:rsidRDefault="00761D3C" w14:paraId="1AF7154B" w14:textId="77777777">
      <w:pPr>
        <w:rPr>
          <w:i/>
          <w:iCs/>
        </w:rPr>
      </w:pPr>
    </w:p>
    <w:p w:rsidRPr="00475F6D" w:rsidR="00761D3C" w:rsidP="00A579AC" w:rsidRDefault="00761D3C" w14:paraId="13F88C1B" w14:textId="1A9F3FD4">
      <w:r w:rsidRPr="00475F6D">
        <w:t xml:space="preserve">Deze huishoudtypes, beschreven in artikel 2 </w:t>
      </w:r>
      <w:proofErr w:type="spellStart"/>
      <w:r w:rsidRPr="00475F6D">
        <w:t>Wht</w:t>
      </w:r>
      <w:proofErr w:type="spellEnd"/>
      <w:r w:rsidRPr="00475F6D">
        <w:t xml:space="preserve">, kennen elk hun eigen inkomensparameters en bijhorende normhuren die mede de hoogte van het huurtoeslagbedrag bepalen. Hierbij zijn de inkomensparameters voor niet-ouderenhuishoudens afhankelijk van de hoogte van het wettelijk minimumloon en die van ouderenhuishoudens afhankelijk van de hoogte van de AOW. De minimum-inkomensijkpunten, het inkomen waar vanaf de inkomensafhankelijke afbouw van de huurtoeslag begint (artikel 17 </w:t>
      </w:r>
      <w:proofErr w:type="spellStart"/>
      <w:r w:rsidRPr="00475F6D">
        <w:t>Wht</w:t>
      </w:r>
      <w:proofErr w:type="spellEnd"/>
      <w:r w:rsidRPr="00475F6D">
        <w:t>), van de ouderenhuishoudens liggen momenteel hoger dan die van niet</w:t>
      </w:r>
      <w:r w:rsidR="00BC4A64">
        <w:t>-</w:t>
      </w:r>
      <w:r w:rsidRPr="00475F6D">
        <w:t>ouderen (tabel 1). Ouderenhuishoudens beginnen dus pas bij een hoger inkomen met het afbouwen van hun huurtoeslag. Bij de minimum-inkomensijkpunten horen minimum normhuurbedragen. Deze bepalen samen met het vaste bedrag aan opslag of afslag, zoals hierboven beschreven, het minimale bedrag wat een huurtoeslagontvanger zelf aan huur betaalt. Dit is ook wel de minimale eigen bijdrage of de inkomensonafhankelijke eigen bijdrage.</w:t>
      </w:r>
    </w:p>
    <w:p w:rsidRPr="00475F6D" w:rsidR="00761D3C" w:rsidP="00A579AC" w:rsidRDefault="00761D3C" w14:paraId="4123A194" w14:textId="77777777"/>
    <w:p w:rsidRPr="00475F6D" w:rsidR="00761D3C" w:rsidP="00A579AC" w:rsidRDefault="00761D3C" w14:paraId="3C001D02" w14:textId="76E53528">
      <w:r w:rsidRPr="00475F6D">
        <w:t xml:space="preserve">De minimum-inkomensijkpunten bepalen samen met de referentie-inkomensijkpunten (en bijhorende referentie normhuren, beide artikel 18 </w:t>
      </w:r>
      <w:proofErr w:type="spellStart"/>
      <w:r w:rsidRPr="00475F6D">
        <w:t>Wht</w:t>
      </w:r>
      <w:proofErr w:type="spellEnd"/>
      <w:r w:rsidRPr="00475F6D">
        <w:t xml:space="preserve">) de formule van de kwadratische opbouw </w:t>
      </w:r>
      <w:r w:rsidRPr="00475F6D">
        <w:lastRenderedPageBreak/>
        <w:t>van de eigen</w:t>
      </w:r>
      <w:r w:rsidRPr="00475F6D" w:rsidR="004E1FFF">
        <w:t xml:space="preserve"> </w:t>
      </w:r>
      <w:r w:rsidRPr="00475F6D">
        <w:t>bijdrage (zie paragraaf 2.3, figuur 2) en daarmee de inkomensafhankelijke afbouw van de huurtoeslag.</w:t>
      </w:r>
    </w:p>
    <w:p w:rsidRPr="00475F6D" w:rsidR="00761D3C" w:rsidP="00A579AC" w:rsidRDefault="00761D3C" w14:paraId="6B659D0E" w14:textId="48E35AC5">
      <w:pPr>
        <w:pStyle w:val="Tabel"/>
        <w:spacing w:line="240" w:lineRule="atLeast"/>
      </w:pPr>
      <w:r w:rsidRPr="00475F6D">
        <w:t xml:space="preserve">Tabel </w:t>
      </w:r>
      <w:r w:rsidR="00C755B4">
        <w:fldChar w:fldCharType="begin"/>
      </w:r>
      <w:r w:rsidR="00C755B4">
        <w:instrText xml:space="preserve"> SEQ Tabel \* ARABIC </w:instrText>
      </w:r>
      <w:r w:rsidR="00C755B4">
        <w:fldChar w:fldCharType="separate"/>
      </w:r>
      <w:r w:rsidR="001B15DD">
        <w:rPr>
          <w:noProof/>
        </w:rPr>
        <w:t>1</w:t>
      </w:r>
      <w:r w:rsidR="00C755B4">
        <w:rPr>
          <w:noProof/>
        </w:rPr>
        <w:fldChar w:fldCharType="end"/>
      </w:r>
      <w:r w:rsidRPr="00475F6D">
        <w:t xml:space="preserve"> Huidige inkomensijkpunten per huishoudtype, 2024</w:t>
      </w:r>
    </w:p>
    <w:tbl>
      <w:tblPr>
        <w:tblStyle w:val="Tabelraster"/>
        <w:tblW w:w="0" w:type="auto"/>
        <w:tblCellMar>
          <w:top w:w="57" w:type="dxa"/>
          <w:bottom w:w="57" w:type="dxa"/>
        </w:tblCellMar>
        <w:tblLook w:val="04A0" w:firstRow="1" w:lastRow="0" w:firstColumn="1" w:lastColumn="0" w:noHBand="0" w:noVBand="1"/>
      </w:tblPr>
      <w:tblGrid>
        <w:gridCol w:w="2920"/>
        <w:gridCol w:w="1777"/>
        <w:gridCol w:w="1801"/>
        <w:gridCol w:w="1237"/>
        <w:gridCol w:w="1281"/>
      </w:tblGrid>
      <w:tr w:rsidRPr="00475F6D" w:rsidR="00761D3C" w:rsidTr="00AF1D7C" w14:paraId="4F576EA0" w14:textId="77777777">
        <w:tc>
          <w:tcPr>
            <w:tcW w:w="0" w:type="auto"/>
          </w:tcPr>
          <w:p w:rsidRPr="00475F6D" w:rsidR="00761D3C" w:rsidP="00A579AC" w:rsidRDefault="00761D3C" w14:paraId="34471F4B" w14:textId="77777777">
            <w:pPr>
              <w:pStyle w:val="Tabel"/>
              <w:spacing w:line="240" w:lineRule="atLeast"/>
            </w:pPr>
          </w:p>
        </w:tc>
        <w:tc>
          <w:tcPr>
            <w:tcW w:w="0" w:type="auto"/>
          </w:tcPr>
          <w:p w:rsidRPr="00475F6D" w:rsidR="00761D3C" w:rsidP="00A579AC" w:rsidRDefault="00761D3C" w14:paraId="278847CE" w14:textId="77777777">
            <w:pPr>
              <w:pStyle w:val="Tabel"/>
              <w:spacing w:line="240" w:lineRule="atLeast"/>
            </w:pPr>
            <w:r w:rsidRPr="00475F6D">
              <w:t>Minimum-inkomensijkpunt</w:t>
            </w:r>
          </w:p>
        </w:tc>
        <w:tc>
          <w:tcPr>
            <w:tcW w:w="0" w:type="auto"/>
          </w:tcPr>
          <w:p w:rsidRPr="00475F6D" w:rsidR="00761D3C" w:rsidP="00A579AC" w:rsidRDefault="00761D3C" w14:paraId="32376F39" w14:textId="77777777">
            <w:pPr>
              <w:pStyle w:val="Tabel"/>
              <w:spacing w:line="240" w:lineRule="atLeast"/>
            </w:pPr>
            <w:r w:rsidRPr="00475F6D">
              <w:t>Referentie-inkomensijkpunt</w:t>
            </w:r>
          </w:p>
        </w:tc>
        <w:tc>
          <w:tcPr>
            <w:tcW w:w="0" w:type="auto"/>
          </w:tcPr>
          <w:p w:rsidRPr="00475F6D" w:rsidR="00761D3C" w:rsidP="00A579AC" w:rsidRDefault="00761D3C" w14:paraId="13B298D4" w14:textId="77777777">
            <w:pPr>
              <w:pStyle w:val="Tabel"/>
              <w:spacing w:line="240" w:lineRule="atLeast"/>
            </w:pPr>
            <w:r w:rsidRPr="00475F6D">
              <w:t>Minimum normhuur</w:t>
            </w:r>
          </w:p>
        </w:tc>
        <w:tc>
          <w:tcPr>
            <w:tcW w:w="0" w:type="auto"/>
          </w:tcPr>
          <w:p w:rsidRPr="00475F6D" w:rsidR="00761D3C" w:rsidP="00A579AC" w:rsidRDefault="00761D3C" w14:paraId="459DBC8E" w14:textId="77777777">
            <w:pPr>
              <w:pStyle w:val="Tabel"/>
              <w:spacing w:line="240" w:lineRule="atLeast"/>
            </w:pPr>
            <w:r w:rsidRPr="00475F6D">
              <w:t>Referentie normhuur</w:t>
            </w:r>
          </w:p>
        </w:tc>
      </w:tr>
      <w:tr w:rsidRPr="00475F6D" w:rsidR="00761D3C" w:rsidTr="00AF1D7C" w14:paraId="5B324A5C" w14:textId="77777777">
        <w:tc>
          <w:tcPr>
            <w:tcW w:w="0" w:type="auto"/>
          </w:tcPr>
          <w:p w:rsidRPr="00475F6D" w:rsidR="00761D3C" w:rsidP="00A579AC" w:rsidRDefault="00761D3C" w14:paraId="683BBE33" w14:textId="77777777">
            <w:pPr>
              <w:pStyle w:val="Tabel"/>
              <w:spacing w:line="240" w:lineRule="atLeast"/>
            </w:pPr>
            <w:r w:rsidRPr="00475F6D">
              <w:t>Eenpersoonshuishouden</w:t>
            </w:r>
          </w:p>
        </w:tc>
        <w:tc>
          <w:tcPr>
            <w:tcW w:w="0" w:type="auto"/>
            <w:vAlign w:val="center"/>
          </w:tcPr>
          <w:p w:rsidRPr="00475F6D" w:rsidR="00761D3C" w:rsidP="00A579AC" w:rsidRDefault="00761D3C" w14:paraId="56FC8EB5" w14:textId="77777777">
            <w:pPr>
              <w:pStyle w:val="Tabel"/>
              <w:spacing w:line="240" w:lineRule="atLeast"/>
            </w:pPr>
            <w:r w:rsidRPr="00475F6D">
              <w:t>€ 20.700</w:t>
            </w:r>
          </w:p>
        </w:tc>
        <w:tc>
          <w:tcPr>
            <w:tcW w:w="0" w:type="auto"/>
            <w:vAlign w:val="center"/>
          </w:tcPr>
          <w:p w:rsidRPr="00475F6D" w:rsidR="00761D3C" w:rsidP="00A579AC" w:rsidRDefault="00761D3C" w14:paraId="31FB89F9" w14:textId="77777777">
            <w:pPr>
              <w:pStyle w:val="Tabel"/>
              <w:spacing w:line="240" w:lineRule="atLeast"/>
            </w:pPr>
            <w:r w:rsidRPr="00475F6D">
              <w:t>€ 30.550</w:t>
            </w:r>
          </w:p>
        </w:tc>
        <w:tc>
          <w:tcPr>
            <w:tcW w:w="0" w:type="auto"/>
            <w:vAlign w:val="center"/>
          </w:tcPr>
          <w:p w:rsidRPr="00475F6D" w:rsidR="00761D3C" w:rsidP="00A579AC" w:rsidRDefault="00761D3C" w14:paraId="19E8F598" w14:textId="77777777">
            <w:pPr>
              <w:pStyle w:val="Tabel"/>
              <w:spacing w:line="240" w:lineRule="atLeast"/>
            </w:pPr>
            <w:r w:rsidRPr="00475F6D">
              <w:rPr>
                <w:rFonts w:cs="Arial"/>
                <w:szCs w:val="16"/>
              </w:rPr>
              <w:t>€ 226,67</w:t>
            </w:r>
          </w:p>
        </w:tc>
        <w:tc>
          <w:tcPr>
            <w:tcW w:w="0" w:type="auto"/>
          </w:tcPr>
          <w:p w:rsidRPr="00475F6D" w:rsidR="00761D3C" w:rsidP="00A579AC" w:rsidRDefault="00761D3C" w14:paraId="19227D6C" w14:textId="77777777">
            <w:pPr>
              <w:pStyle w:val="Tabel"/>
              <w:spacing w:line="240" w:lineRule="atLeast"/>
            </w:pPr>
            <w:r w:rsidRPr="00475F6D">
              <w:t>€ 458,92</w:t>
            </w:r>
          </w:p>
        </w:tc>
      </w:tr>
      <w:tr w:rsidRPr="00475F6D" w:rsidR="00761D3C" w:rsidTr="00AF1D7C" w14:paraId="2758CA3E" w14:textId="77777777">
        <w:tc>
          <w:tcPr>
            <w:tcW w:w="0" w:type="auto"/>
          </w:tcPr>
          <w:p w:rsidRPr="00475F6D" w:rsidR="00761D3C" w:rsidP="00A579AC" w:rsidRDefault="00761D3C" w14:paraId="335B991E" w14:textId="77777777">
            <w:pPr>
              <w:pStyle w:val="Tabel"/>
              <w:spacing w:line="240" w:lineRule="atLeast"/>
            </w:pPr>
            <w:r w:rsidRPr="00475F6D">
              <w:t>Meerpersoonshuishouden</w:t>
            </w:r>
          </w:p>
        </w:tc>
        <w:tc>
          <w:tcPr>
            <w:tcW w:w="0" w:type="auto"/>
            <w:vAlign w:val="center"/>
          </w:tcPr>
          <w:p w:rsidRPr="00475F6D" w:rsidR="00761D3C" w:rsidP="00A579AC" w:rsidRDefault="00761D3C" w14:paraId="5C0DEABD" w14:textId="77777777">
            <w:pPr>
              <w:pStyle w:val="Tabel"/>
              <w:spacing w:line="240" w:lineRule="atLeast"/>
            </w:pPr>
            <w:r w:rsidRPr="00475F6D">
              <w:t>€ 26.975</w:t>
            </w:r>
          </w:p>
        </w:tc>
        <w:tc>
          <w:tcPr>
            <w:tcW w:w="0" w:type="auto"/>
            <w:vAlign w:val="center"/>
          </w:tcPr>
          <w:p w:rsidRPr="00475F6D" w:rsidR="00761D3C" w:rsidP="00A579AC" w:rsidRDefault="00761D3C" w14:paraId="1CF34282" w14:textId="77777777">
            <w:pPr>
              <w:pStyle w:val="Tabel"/>
              <w:spacing w:line="240" w:lineRule="atLeast"/>
            </w:pPr>
            <w:r w:rsidRPr="00475F6D">
              <w:t>€ 39.700</w:t>
            </w:r>
          </w:p>
        </w:tc>
        <w:tc>
          <w:tcPr>
            <w:tcW w:w="0" w:type="auto"/>
            <w:vAlign w:val="center"/>
          </w:tcPr>
          <w:p w:rsidRPr="00475F6D" w:rsidR="00761D3C" w:rsidP="00A579AC" w:rsidRDefault="00761D3C" w14:paraId="3B4B33A4" w14:textId="77777777">
            <w:pPr>
              <w:pStyle w:val="Tabel"/>
              <w:spacing w:line="240" w:lineRule="atLeast"/>
            </w:pPr>
            <w:r w:rsidRPr="00475F6D">
              <w:rPr>
                <w:rFonts w:cs="Arial"/>
                <w:szCs w:val="16"/>
              </w:rPr>
              <w:t>€ 226,67</w:t>
            </w:r>
          </w:p>
        </w:tc>
        <w:tc>
          <w:tcPr>
            <w:tcW w:w="0" w:type="auto"/>
          </w:tcPr>
          <w:p w:rsidRPr="00475F6D" w:rsidR="00761D3C" w:rsidP="00A579AC" w:rsidRDefault="00761D3C" w14:paraId="4F09002E" w14:textId="77777777">
            <w:pPr>
              <w:pStyle w:val="Tabel"/>
              <w:spacing w:line="240" w:lineRule="atLeast"/>
            </w:pPr>
            <w:r w:rsidRPr="00475F6D">
              <w:t>€ 457,11</w:t>
            </w:r>
          </w:p>
        </w:tc>
      </w:tr>
      <w:tr w:rsidRPr="00475F6D" w:rsidR="00761D3C" w:rsidTr="00AF1D7C" w14:paraId="7A364C1B" w14:textId="77777777">
        <w:tc>
          <w:tcPr>
            <w:tcW w:w="0" w:type="auto"/>
          </w:tcPr>
          <w:p w:rsidRPr="00475F6D" w:rsidR="00761D3C" w:rsidP="00A579AC" w:rsidRDefault="00761D3C" w14:paraId="145364B9" w14:textId="77777777">
            <w:pPr>
              <w:pStyle w:val="Tabel"/>
              <w:spacing w:line="240" w:lineRule="atLeast"/>
            </w:pPr>
            <w:proofErr w:type="spellStart"/>
            <w:r w:rsidRPr="00475F6D">
              <w:t>Eenpersoonsouderenhuishouden</w:t>
            </w:r>
            <w:proofErr w:type="spellEnd"/>
          </w:p>
        </w:tc>
        <w:tc>
          <w:tcPr>
            <w:tcW w:w="0" w:type="auto"/>
            <w:vAlign w:val="center"/>
          </w:tcPr>
          <w:p w:rsidRPr="00475F6D" w:rsidR="00761D3C" w:rsidP="00A579AC" w:rsidRDefault="00761D3C" w14:paraId="5E4BC986" w14:textId="77777777">
            <w:pPr>
              <w:pStyle w:val="Tabel"/>
              <w:spacing w:line="240" w:lineRule="atLeast"/>
            </w:pPr>
            <w:r w:rsidRPr="00475F6D">
              <w:t>€ 22.025</w:t>
            </w:r>
          </w:p>
        </w:tc>
        <w:tc>
          <w:tcPr>
            <w:tcW w:w="0" w:type="auto"/>
            <w:vAlign w:val="center"/>
          </w:tcPr>
          <w:p w:rsidRPr="00475F6D" w:rsidR="00761D3C" w:rsidP="00A579AC" w:rsidRDefault="00761D3C" w14:paraId="1C7EFBFD" w14:textId="77777777">
            <w:pPr>
              <w:pStyle w:val="Tabel"/>
              <w:spacing w:line="240" w:lineRule="atLeast"/>
            </w:pPr>
            <w:r w:rsidRPr="00475F6D">
              <w:t>€ 30.575</w:t>
            </w:r>
          </w:p>
        </w:tc>
        <w:tc>
          <w:tcPr>
            <w:tcW w:w="0" w:type="auto"/>
            <w:vAlign w:val="center"/>
          </w:tcPr>
          <w:p w:rsidRPr="00475F6D" w:rsidR="00761D3C" w:rsidP="00A579AC" w:rsidRDefault="00761D3C" w14:paraId="4E95D860" w14:textId="77777777">
            <w:pPr>
              <w:pStyle w:val="Tabel"/>
              <w:spacing w:line="240" w:lineRule="atLeast"/>
            </w:pPr>
            <w:r w:rsidRPr="00475F6D">
              <w:rPr>
                <w:rFonts w:cs="Arial"/>
                <w:szCs w:val="16"/>
              </w:rPr>
              <w:t>€ 224,85</w:t>
            </w:r>
          </w:p>
        </w:tc>
        <w:tc>
          <w:tcPr>
            <w:tcW w:w="0" w:type="auto"/>
          </w:tcPr>
          <w:p w:rsidRPr="00475F6D" w:rsidR="00761D3C" w:rsidP="00A579AC" w:rsidRDefault="00761D3C" w14:paraId="659AAEF1" w14:textId="77777777">
            <w:pPr>
              <w:pStyle w:val="Tabel"/>
              <w:spacing w:line="240" w:lineRule="atLeast"/>
            </w:pPr>
            <w:r w:rsidRPr="00475F6D">
              <w:t>€ 458,47</w:t>
            </w:r>
          </w:p>
        </w:tc>
      </w:tr>
      <w:tr w:rsidRPr="00475F6D" w:rsidR="00761D3C" w:rsidTr="00AF1D7C" w14:paraId="04315637" w14:textId="77777777">
        <w:tc>
          <w:tcPr>
            <w:tcW w:w="0" w:type="auto"/>
          </w:tcPr>
          <w:p w:rsidRPr="00475F6D" w:rsidR="00761D3C" w:rsidP="00A579AC" w:rsidRDefault="00761D3C" w14:paraId="1012B1FB" w14:textId="77777777">
            <w:pPr>
              <w:pStyle w:val="Tabel"/>
              <w:spacing w:line="240" w:lineRule="atLeast"/>
            </w:pPr>
            <w:proofErr w:type="spellStart"/>
            <w:r w:rsidRPr="00475F6D">
              <w:t>Meerpersoonsouderenhuishouden</w:t>
            </w:r>
            <w:proofErr w:type="spellEnd"/>
          </w:p>
        </w:tc>
        <w:tc>
          <w:tcPr>
            <w:tcW w:w="0" w:type="auto"/>
            <w:vAlign w:val="center"/>
          </w:tcPr>
          <w:p w:rsidRPr="00475F6D" w:rsidR="00761D3C" w:rsidP="00A579AC" w:rsidRDefault="00761D3C" w14:paraId="38429B90" w14:textId="77777777">
            <w:pPr>
              <w:pStyle w:val="Tabel"/>
              <w:spacing w:line="240" w:lineRule="atLeast"/>
            </w:pPr>
            <w:r w:rsidRPr="00475F6D">
              <w:t>€ 29.325</w:t>
            </w:r>
          </w:p>
        </w:tc>
        <w:tc>
          <w:tcPr>
            <w:tcW w:w="0" w:type="auto"/>
            <w:vAlign w:val="center"/>
          </w:tcPr>
          <w:p w:rsidRPr="00475F6D" w:rsidR="00761D3C" w:rsidP="00A579AC" w:rsidRDefault="00761D3C" w14:paraId="6E56B1AF" w14:textId="77777777">
            <w:pPr>
              <w:pStyle w:val="Tabel"/>
              <w:spacing w:line="240" w:lineRule="atLeast"/>
            </w:pPr>
            <w:r w:rsidRPr="00475F6D">
              <w:t>€ 39.875</w:t>
            </w:r>
          </w:p>
        </w:tc>
        <w:tc>
          <w:tcPr>
            <w:tcW w:w="0" w:type="auto"/>
            <w:vAlign w:val="center"/>
          </w:tcPr>
          <w:p w:rsidRPr="00475F6D" w:rsidR="00761D3C" w:rsidP="00A579AC" w:rsidRDefault="00761D3C" w14:paraId="0EEB86A1" w14:textId="77777777">
            <w:pPr>
              <w:pStyle w:val="Tabel"/>
              <w:spacing w:line="240" w:lineRule="atLeast"/>
            </w:pPr>
            <w:r w:rsidRPr="00475F6D">
              <w:rPr>
                <w:rFonts w:cs="Arial"/>
                <w:szCs w:val="16"/>
              </w:rPr>
              <w:t>€ 223,04</w:t>
            </w:r>
          </w:p>
        </w:tc>
        <w:tc>
          <w:tcPr>
            <w:tcW w:w="0" w:type="auto"/>
          </w:tcPr>
          <w:p w:rsidRPr="00475F6D" w:rsidR="00761D3C" w:rsidP="00A579AC" w:rsidRDefault="00761D3C" w14:paraId="7C98924C" w14:textId="77777777">
            <w:pPr>
              <w:pStyle w:val="Tabel"/>
              <w:spacing w:line="240" w:lineRule="atLeast"/>
            </w:pPr>
            <w:r w:rsidRPr="00475F6D">
              <w:t>€ 456,20</w:t>
            </w:r>
          </w:p>
        </w:tc>
      </w:tr>
    </w:tbl>
    <w:p w:rsidRPr="00475F6D" w:rsidR="00761D3C" w:rsidP="00A579AC" w:rsidRDefault="00761D3C" w14:paraId="73C51EF8" w14:textId="77777777"/>
    <w:p w:rsidRPr="00475F6D" w:rsidR="00761D3C" w:rsidP="00A579AC" w:rsidRDefault="00761D3C" w14:paraId="6C4209A0" w14:textId="566257EB">
      <w:r w:rsidRPr="00475F6D">
        <w:t>Door de inkomensparameters en bijhorende normhuren voor de niet-ouderenhuishoudens gelijk te trekken met die van de ouderenhuishoudens, beginnen niet-ouderenhuishoudens ook vanaf een hoger inkomen met het afbouwen van de huurtoeslag en zal hun minimale eigen bijdrage lager liggen. Hierdoor hebben zij meer ruimte om vanuit een (zeer) laag inkomen of uitkeringen (meer) te gaan werken</w:t>
      </w:r>
      <w:r w:rsidRPr="00475F6D" w:rsidR="00CE44EE">
        <w:t xml:space="preserve"> (werkloosheidsval)</w:t>
      </w:r>
      <w:r w:rsidRPr="00475F6D">
        <w:t xml:space="preserve">, zonder dat ze gelijk een deel van hun huurtoeslag kwijtraken. </w:t>
      </w:r>
    </w:p>
    <w:p w:rsidRPr="00475F6D" w:rsidR="00761D3C" w:rsidP="00A579AC" w:rsidRDefault="00761D3C" w14:paraId="3C7830F1" w14:textId="77777777"/>
    <w:p w:rsidRPr="00475F6D" w:rsidR="00761D3C" w:rsidP="00A579AC" w:rsidRDefault="00761D3C" w14:paraId="69FA6417" w14:textId="77777777">
      <w:pPr>
        <w:pStyle w:val="Lijstalinea"/>
        <w:numPr>
          <w:ilvl w:val="2"/>
          <w:numId w:val="3"/>
        </w:numPr>
        <w:spacing w:after="0" w:line="240" w:lineRule="atLeast"/>
        <w:ind w:left="0" w:firstLine="0"/>
        <w:rPr>
          <w:i/>
          <w:iCs/>
          <w:lang w:val="nl-NL"/>
        </w:rPr>
      </w:pPr>
      <w:r w:rsidRPr="00475F6D">
        <w:rPr>
          <w:i/>
          <w:iCs/>
          <w:lang w:val="nl-NL"/>
        </w:rPr>
        <w:t>Harmoniseren kwaliteitskortingskortingspercentages</w:t>
      </w:r>
    </w:p>
    <w:p w:rsidRPr="00475F6D" w:rsidR="00761D3C" w:rsidP="00A579AC" w:rsidRDefault="00761D3C" w14:paraId="45DEBEB1" w14:textId="77777777">
      <w:r w:rsidRPr="00475F6D">
        <w:t>De huurtoeslag vergoedt de volledige huur, afgezien van de eigen bijdrage, tot de kwaliteitskortingsgrens (€ 454,47 in 2024, zie figuur 1). De huurdelen daarboven worden nog maar deels vergoed omdat er ‘kwaliteitskortingspercentages’ worden gehanteerd. Het huurdeel tussen de kwaliteitskortingsgrens en de aftoppingsgrens wordt nog voor 65% vergoed. Daarnaast ontvangen momenteel alle huishoudtypes met uitzondering van de meerpersoonshuishoudens (niet-ouderen) nog 40% vergoeding over het huurdeel tussen de aftoppingsgrens en de maximum huurgrens.</w:t>
      </w:r>
    </w:p>
    <w:p w:rsidRPr="00475F6D" w:rsidR="00761D3C" w:rsidP="00A579AC" w:rsidRDefault="00761D3C" w14:paraId="0D465B34" w14:textId="77777777"/>
    <w:p w:rsidRPr="00475F6D" w:rsidR="00761D3C" w:rsidP="00A579AC" w:rsidRDefault="00761D3C" w14:paraId="5F2597A1" w14:textId="77777777">
      <w:r w:rsidRPr="00475F6D">
        <w:t>Meerpersoonshuishoudens krijgen over dit huurdeel 0% vergoed. Dit terwijl juist dit huishoudtype ook bestaat uit gezinnen, die eerder grotere en daarmee duurdere woningen nodig hebben vanwege de grootte van het huishouden. Verschillende adviezen, zoals door de Commissie Sociaal Minimum</w:t>
      </w:r>
      <w:r w:rsidRPr="00475F6D">
        <w:rPr>
          <w:rStyle w:val="Voetnootmarkering"/>
        </w:rPr>
        <w:footnoteReference w:id="2"/>
      </w:r>
      <w:r w:rsidRPr="00475F6D">
        <w:t xml:space="preserve"> en de Raad voor Volksgezondheid en Samenleving</w:t>
      </w:r>
      <w:r w:rsidRPr="00475F6D">
        <w:rPr>
          <w:rStyle w:val="Voetnootmarkering"/>
        </w:rPr>
        <w:footnoteReference w:id="3"/>
      </w:r>
      <w:r w:rsidRPr="00475F6D">
        <w:t xml:space="preserve">, hebben aangegeven dat gezinnen eerder (financieel) in de knel komen omdat zij dit huurdeel niet vergoed krijgen. Met de in dit wetsvoorstel voorgestelde harmonisatie tussen de huishoudtypes, krijgen ook deze huurtoeslagontvangers dit laatste huurdeel voor 40% vergoed. Dit verbetert voor hen de betaalbaarheid van wonen en maakt meer woningen voor hen financieel toegankelijk. </w:t>
      </w:r>
    </w:p>
    <w:p w:rsidRPr="00475F6D" w:rsidR="00761D3C" w:rsidP="00A579AC" w:rsidRDefault="00761D3C" w14:paraId="4036EF1A" w14:textId="77777777"/>
    <w:p w:rsidRPr="00475F6D" w:rsidR="00761D3C" w:rsidP="00A579AC" w:rsidRDefault="00761D3C" w14:paraId="167F9CB4" w14:textId="77777777">
      <w:pPr>
        <w:keepNext/>
      </w:pPr>
      <w:r w:rsidRPr="00475F6D">
        <w:rPr>
          <w:noProof/>
        </w:rPr>
        <w:lastRenderedPageBreak/>
        <w:drawing>
          <wp:inline distT="0" distB="0" distL="0" distR="0" wp14:anchorId="77CF8D37" wp14:editId="53862DAA">
            <wp:extent cx="4619625" cy="5310720"/>
            <wp:effectExtent l="0" t="0" r="0" b="4445"/>
            <wp:docPr id="1" name="Afbeelding 1" descr="Afbeelding met tekst, schermopname, softwar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software, Lettertyp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8138" cy="5343498"/>
                    </a:xfrm>
                    <a:prstGeom prst="rect">
                      <a:avLst/>
                    </a:prstGeom>
                  </pic:spPr>
                </pic:pic>
              </a:graphicData>
            </a:graphic>
          </wp:inline>
        </w:drawing>
      </w:r>
    </w:p>
    <w:p w:rsidRPr="00475F6D" w:rsidR="00761D3C" w:rsidP="00A579AC" w:rsidRDefault="00761D3C" w14:paraId="38AB5A37" w14:textId="4C5F938E">
      <w:pPr>
        <w:pStyle w:val="Tabel"/>
        <w:spacing w:line="240" w:lineRule="atLeast"/>
      </w:pPr>
      <w:r w:rsidRPr="00475F6D">
        <w:t xml:space="preserve">Figuur </w:t>
      </w:r>
      <w:r w:rsidR="00C755B4">
        <w:fldChar w:fldCharType="begin"/>
      </w:r>
      <w:r w:rsidR="00C755B4">
        <w:instrText xml:space="preserve"> SEQ Figuur \* ARABIC </w:instrText>
      </w:r>
      <w:r w:rsidR="00C755B4">
        <w:fldChar w:fldCharType="separate"/>
      </w:r>
      <w:r w:rsidR="001B15DD">
        <w:rPr>
          <w:noProof/>
        </w:rPr>
        <w:t>1</w:t>
      </w:r>
      <w:r w:rsidR="00C755B4">
        <w:rPr>
          <w:noProof/>
        </w:rPr>
        <w:fldChar w:fldCharType="end"/>
      </w:r>
      <w:r w:rsidRPr="00475F6D">
        <w:t xml:space="preserve"> Visualisatie werking huurtoeslag 2024; meerpersoonshuishoudens onder de AOW-leeftijd ontvangen over het laatste huurdeel geen vergoeding</w:t>
      </w:r>
    </w:p>
    <w:p w:rsidRPr="00475F6D" w:rsidR="00761D3C" w:rsidP="00A579AC" w:rsidRDefault="00761D3C" w14:paraId="20B0CBFF" w14:textId="77777777">
      <w:r w:rsidRPr="00475F6D">
        <w:t xml:space="preserve"> </w:t>
      </w:r>
    </w:p>
    <w:p w:rsidRPr="00475F6D" w:rsidR="00761D3C" w:rsidP="00A579AC" w:rsidRDefault="00761D3C" w14:paraId="398EAB36" w14:textId="77777777">
      <w:r w:rsidRPr="00475F6D">
        <w:t>Naast dat deze maatregelen voor harmonisatie van het aantal huishoudtypes de betaalbaarheid van wonen verbeteren voor niet-ouderenhuishoudens en in het bijzonder meerpersoonshuishoudens met een hogere huur, wordt de regeling ook begrijpelijker. Hiermee zijn er minder situaties waarop het huishoudtype, en daarmee de hoogte van het huurtoeslagbedrag, kan wijzigen.</w:t>
      </w:r>
    </w:p>
    <w:p w:rsidRPr="00475F6D" w:rsidR="00761D3C" w:rsidP="00A579AC" w:rsidRDefault="00761D3C" w14:paraId="314B0B96" w14:textId="77777777">
      <w:pPr>
        <w:rPr>
          <w:i/>
          <w:iCs/>
        </w:rPr>
      </w:pPr>
    </w:p>
    <w:p w:rsidRPr="00475F6D" w:rsidR="00761D3C" w:rsidP="00A579AC" w:rsidRDefault="00761D3C" w14:paraId="27085295" w14:textId="77777777">
      <w:pPr>
        <w:pStyle w:val="Lijstalinea"/>
        <w:numPr>
          <w:ilvl w:val="1"/>
          <w:numId w:val="3"/>
        </w:numPr>
        <w:spacing w:after="0" w:line="240" w:lineRule="atLeast"/>
        <w:ind w:left="0" w:firstLine="0"/>
        <w:rPr>
          <w:i/>
          <w:iCs/>
          <w:lang w:val="nl-NL"/>
        </w:rPr>
      </w:pPr>
      <w:r w:rsidRPr="00475F6D">
        <w:rPr>
          <w:i/>
          <w:iCs/>
          <w:lang w:val="nl-NL"/>
        </w:rPr>
        <w:t>Invoeren van een lineaire inkomensafhankelijke afbouw</w:t>
      </w:r>
    </w:p>
    <w:p w:rsidRPr="00475F6D" w:rsidR="00CE44EE" w:rsidP="00A579AC" w:rsidRDefault="00CE44EE" w14:paraId="608921D8" w14:textId="69016BD3">
      <w:pPr>
        <w:pStyle w:val="Lijstalinea"/>
        <w:numPr>
          <w:ilvl w:val="2"/>
          <w:numId w:val="3"/>
        </w:numPr>
        <w:spacing w:after="0" w:line="240" w:lineRule="atLeast"/>
        <w:ind w:left="0" w:firstLine="0"/>
        <w:rPr>
          <w:i/>
          <w:iCs/>
          <w:lang w:val="nl-NL"/>
        </w:rPr>
      </w:pPr>
      <w:r w:rsidRPr="00475F6D">
        <w:rPr>
          <w:i/>
          <w:iCs/>
          <w:lang w:val="nl-NL"/>
        </w:rPr>
        <w:t>Beschrijving van de maatregel</w:t>
      </w:r>
    </w:p>
    <w:p w:rsidRPr="00475F6D" w:rsidR="00761D3C" w:rsidP="00A579AC" w:rsidRDefault="00761D3C" w14:paraId="0554F6D9" w14:textId="1A5D90D7">
      <w:r w:rsidRPr="00475F6D">
        <w:t xml:space="preserve">Momenteel verloopt de inkomensafhankelijke afbouw van de huurtoeslag vrij ingewikkeld, wat het voor ontvangers moeilijk maakt om zelf in te schatten hoe deze afbouwt als ze meer gaan verdienen. Het inkomensafhankelijke deel van de eigen bijdrage, vanaf het minimale bedrag, wordt berekend met een kwadratische formule, waardoor de opbouw van de eigen bijdrage sneller toeneemt naarmate het inkomen hoger is. </w:t>
      </w:r>
    </w:p>
    <w:p w:rsidRPr="00475F6D" w:rsidR="00761D3C" w:rsidP="00A579AC" w:rsidRDefault="00761D3C" w14:paraId="278E98B5" w14:textId="77777777"/>
    <w:p w:rsidRPr="00475F6D" w:rsidR="00761D3C" w:rsidP="00A579AC" w:rsidRDefault="00761D3C" w14:paraId="2485223C" w14:textId="77777777">
      <w:r w:rsidRPr="00475F6D">
        <w:rPr>
          <w:noProof/>
        </w:rPr>
        <w:lastRenderedPageBreak/>
        <mc:AlternateContent>
          <mc:Choice Requires="wps">
            <w:drawing>
              <wp:inline distT="0" distB="0" distL="0" distR="0" wp14:anchorId="160E9A47" wp14:editId="4941630B">
                <wp:extent cx="5760000" cy="1263015"/>
                <wp:effectExtent l="0" t="0" r="12700" b="2603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263015"/>
                        </a:xfrm>
                        <a:prstGeom prst="rect">
                          <a:avLst/>
                        </a:prstGeom>
                        <a:solidFill>
                          <a:srgbClr val="FFFFFF"/>
                        </a:solidFill>
                        <a:ln w="9525">
                          <a:solidFill>
                            <a:srgbClr val="000000"/>
                          </a:solidFill>
                          <a:miter lim="800000"/>
                          <a:headEnd/>
                          <a:tailEnd/>
                        </a:ln>
                      </wps:spPr>
                      <wps:txbx>
                        <w:txbxContent>
                          <w:p w:rsidRPr="00660BFB" w:rsidR="00761D3C" w:rsidP="00761D3C" w:rsidRDefault="00D06CD1" w14:paraId="5A19B617" w14:textId="77777777">
                            <w:pPr>
                              <w:jc w:val="center"/>
                              <w:rPr>
                                <w:iCs/>
                              </w:rPr>
                            </w:pPr>
                            <m:oMathPara>
                              <m:oMath>
                                <m:d>
                                  <m:dPr>
                                    <m:ctrlPr>
                                      <w:rPr>
                                        <w:rFonts w:ascii="Cambria Math" w:hAnsi="Cambria Math"/>
                                        <w:iCs/>
                                      </w:rPr>
                                    </m:ctrlPr>
                                  </m:dPr>
                                  <m:e>
                                    <m:r>
                                      <m:rPr>
                                        <m:sty m:val="p"/>
                                      </m:rPr>
                                      <w:rPr>
                                        <w:rFonts w:ascii="Cambria Math" w:hAnsi="Cambria Math"/>
                                      </w:rPr>
                                      <m:t>a*</m:t>
                                    </m:r>
                                    <m:sSup>
                                      <m:sSupPr>
                                        <m:ctrlPr>
                                          <w:rPr>
                                            <w:rFonts w:ascii="Cambria Math" w:hAnsi="Cambria Math"/>
                                            <w:iCs/>
                                          </w:rPr>
                                        </m:ctrlPr>
                                      </m:sSupPr>
                                      <m:e>
                                        <m:r>
                                          <m:rPr>
                                            <m:sty m:val="p"/>
                                          </m:rPr>
                                          <w:rPr>
                                            <w:rFonts w:ascii="Cambria Math" w:hAnsi="Cambria Math"/>
                                          </w:rPr>
                                          <m:t>Y</m:t>
                                        </m:r>
                                      </m:e>
                                      <m:sup>
                                        <m:r>
                                          <m:rPr>
                                            <m:sty m:val="p"/>
                                          </m:rPr>
                                          <w:rPr>
                                            <w:rFonts w:ascii="Cambria Math" w:hAnsi="Cambria Math"/>
                                          </w:rPr>
                                          <m:t>2</m:t>
                                        </m:r>
                                      </m:sup>
                                    </m:sSup>
                                  </m:e>
                                </m:d>
                                <m:r>
                                  <m:rPr>
                                    <m:sty m:val="p"/>
                                  </m:rPr>
                                  <w:rPr>
                                    <w:rFonts w:ascii="Cambria Math" w:hAnsi="Cambria Math"/>
                                  </w:rPr>
                                  <m:t>+(b*Y)</m:t>
                                </m:r>
                                <m:r>
                                  <m:rPr>
                                    <m:sty m:val="p"/>
                                  </m:rPr>
                                  <w:rPr>
                                    <w:rFonts w:ascii="Cambria Math" w:hAnsi="Cambria Math"/>
                                  </w:rPr>
                                  <w:br/>
                                </m:r>
                              </m:oMath>
                            </m:oMathPara>
                          </w:p>
                          <w:p w:rsidR="00761D3C" w:rsidP="00761D3C" w:rsidRDefault="00761D3C" w14:paraId="276B6434" w14:textId="77777777">
                            <w:pPr>
                              <w:pStyle w:val="Tabel"/>
                              <w:jc w:val="center"/>
                            </w:pPr>
                            <w:r>
                              <w:t>In welke formule voorstelt:</w:t>
                            </w:r>
                          </w:p>
                          <w:p w:rsidR="00761D3C" w:rsidP="00761D3C" w:rsidRDefault="00761D3C" w14:paraId="5DEFDC2E" w14:textId="77777777">
                            <w:pPr>
                              <w:pStyle w:val="Tabel"/>
                              <w:jc w:val="center"/>
                            </w:pPr>
                          </w:p>
                          <w:p w:rsidR="00761D3C" w:rsidP="00761D3C" w:rsidRDefault="00761D3C" w14:paraId="55DEC0E1" w14:textId="77777777">
                            <w:pPr>
                              <w:pStyle w:val="Tabel"/>
                              <w:jc w:val="center"/>
                            </w:pPr>
                            <w:r>
                              <w:t>a en b: de factoren, per type huishouden, afgeleid uit de lineaire relatie tussen de bij het minimum-inkomensijkpunt behorende normhuurquote en de bij het referentie-inkomensijkpunt behorende normhuurquote;</w:t>
                            </w:r>
                          </w:p>
                          <w:p w:rsidR="00761D3C" w:rsidP="00761D3C" w:rsidRDefault="00761D3C" w14:paraId="5D9A4E5B" w14:textId="77777777">
                            <w:pPr>
                              <w:pStyle w:val="Tabel"/>
                              <w:jc w:val="center"/>
                            </w:pPr>
                          </w:p>
                          <w:p w:rsidR="00761D3C" w:rsidP="00761D3C" w:rsidRDefault="00761D3C" w14:paraId="03BCD201" w14:textId="77777777">
                            <w:pPr>
                              <w:pStyle w:val="Tabel"/>
                              <w:jc w:val="center"/>
                            </w:pPr>
                            <w:r>
                              <w:t>Y: het rekeninkomen.</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160E9A47">
                <v:stroke joinstyle="miter"/>
                <v:path gradientshapeok="t" o:connecttype="rect"/>
              </v:shapetype>
              <v:shape id="Tekstvak 2" style="width:453.55pt;height:99.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">
                <v:textbox style="mso-fit-shape-to-text:t">
                  <w:txbxContent>
                    <w:p w:rsidRPr="00660BFB" w:rsidR="00761D3C" w:rsidP="00761D3C" w:rsidRDefault="00D06CD1" w14:paraId="5A19B617" w14:textId="77777777">
                      <w:pPr>
                        <w:jc w:val="center"/>
                        <w:rPr>
                          <w:iCs/>
                        </w:rPr>
                      </w:pPr>
                      <m:oMathPara>
                        <m:oMath>
                          <m:d>
                            <m:dPr>
                              <m:ctrlPr>
                                <w:rPr>
                                  <w:rFonts w:ascii="Cambria Math" w:hAnsi="Cambria Math"/>
                                  <w:iCs/>
                                </w:rPr>
                              </m:ctrlPr>
                            </m:dPr>
                            <m:e>
                              <m:r>
                                <m:rPr>
                                  <m:sty m:val="p"/>
                                </m:rPr>
                                <w:rPr>
                                  <w:rFonts w:ascii="Cambria Math" w:hAnsi="Cambria Math"/>
                                </w:rPr>
                                <m:t>a*</m:t>
                              </m:r>
                              <m:sSup>
                                <m:sSupPr>
                                  <m:ctrlPr>
                                    <w:rPr>
                                      <w:rFonts w:ascii="Cambria Math" w:hAnsi="Cambria Math"/>
                                      <w:iCs/>
                                    </w:rPr>
                                  </m:ctrlPr>
                                </m:sSupPr>
                                <m:e>
                                  <m:r>
                                    <m:rPr>
                                      <m:sty m:val="p"/>
                                    </m:rPr>
                                    <w:rPr>
                                      <w:rFonts w:ascii="Cambria Math" w:hAnsi="Cambria Math"/>
                                    </w:rPr>
                                    <m:t>Y</m:t>
                                  </m:r>
                                </m:e>
                                <m:sup>
                                  <m:r>
                                    <m:rPr>
                                      <m:sty m:val="p"/>
                                    </m:rPr>
                                    <w:rPr>
                                      <w:rFonts w:ascii="Cambria Math" w:hAnsi="Cambria Math"/>
                                    </w:rPr>
                                    <m:t>2</m:t>
                                  </m:r>
                                </m:sup>
                              </m:sSup>
                            </m:e>
                          </m:d>
                          <m:r>
                            <m:rPr>
                              <m:sty m:val="p"/>
                            </m:rPr>
                            <w:rPr>
                              <w:rFonts w:ascii="Cambria Math" w:hAnsi="Cambria Math"/>
                            </w:rPr>
                            <m:t>+(b*Y)</m:t>
                          </m:r>
                          <m:r>
                            <m:rPr>
                              <m:sty m:val="p"/>
                            </m:rPr>
                            <w:rPr>
                              <w:rFonts w:ascii="Cambria Math" w:hAnsi="Cambria Math"/>
                            </w:rPr>
                            <w:br/>
                          </m:r>
                        </m:oMath>
                      </m:oMathPara>
                    </w:p>
                    <w:p w:rsidR="00761D3C" w:rsidP="00761D3C" w:rsidRDefault="00761D3C" w14:paraId="276B6434" w14:textId="77777777">
                      <w:pPr>
                        <w:pStyle w:val="Tabel"/>
                        <w:jc w:val="center"/>
                      </w:pPr>
                      <w:r>
                        <w:t>In welke formule voorstelt:</w:t>
                      </w:r>
                    </w:p>
                    <w:p w:rsidR="00761D3C" w:rsidP="00761D3C" w:rsidRDefault="00761D3C" w14:paraId="5DEFDC2E" w14:textId="77777777">
                      <w:pPr>
                        <w:pStyle w:val="Tabel"/>
                        <w:jc w:val="center"/>
                      </w:pPr>
                    </w:p>
                    <w:p w:rsidR="00761D3C" w:rsidP="00761D3C" w:rsidRDefault="00761D3C" w14:paraId="55DEC0E1" w14:textId="77777777">
                      <w:pPr>
                        <w:pStyle w:val="Tabel"/>
                        <w:jc w:val="center"/>
                      </w:pPr>
                      <w:r>
                        <w:t>a en b: de factoren, per type huishouden, afgeleid uit de lineaire relatie tussen de bij het minimum-inkomensijkpunt behorende normhuurquote en de bij het referentie-inkomensijkpunt behorende normhuurquote;</w:t>
                      </w:r>
                    </w:p>
                    <w:p w:rsidR="00761D3C" w:rsidP="00761D3C" w:rsidRDefault="00761D3C" w14:paraId="5D9A4E5B" w14:textId="77777777">
                      <w:pPr>
                        <w:pStyle w:val="Tabel"/>
                        <w:jc w:val="center"/>
                      </w:pPr>
                    </w:p>
                    <w:p w:rsidR="00761D3C" w:rsidP="00761D3C" w:rsidRDefault="00761D3C" w14:paraId="03BCD201" w14:textId="77777777">
                      <w:pPr>
                        <w:pStyle w:val="Tabel"/>
                        <w:jc w:val="center"/>
                      </w:pPr>
                      <w:r>
                        <w:t>Y: het rekeninkomen.</w:t>
                      </w:r>
                    </w:p>
                  </w:txbxContent>
                </v:textbox>
                <w10:anchorlock/>
              </v:shape>
            </w:pict>
          </mc:Fallback>
        </mc:AlternateContent>
      </w:r>
    </w:p>
    <w:p w:rsidRPr="00475F6D" w:rsidR="00761D3C" w:rsidP="00A579AC" w:rsidRDefault="00761D3C" w14:paraId="227F2068" w14:textId="7F52F7D8">
      <w:pPr>
        <w:pStyle w:val="Tabel"/>
        <w:spacing w:line="240" w:lineRule="atLeast"/>
      </w:pPr>
      <w:r w:rsidRPr="00475F6D">
        <w:t xml:space="preserve">Figuur </w:t>
      </w:r>
      <w:r w:rsidR="00C755B4">
        <w:fldChar w:fldCharType="begin"/>
      </w:r>
      <w:r w:rsidR="00C755B4">
        <w:instrText xml:space="preserve"> SEQ Figuur \* ARABIC </w:instrText>
      </w:r>
      <w:r w:rsidR="00C755B4">
        <w:fldChar w:fldCharType="separate"/>
      </w:r>
      <w:r w:rsidR="001B15DD">
        <w:rPr>
          <w:noProof/>
        </w:rPr>
        <w:t>2</w:t>
      </w:r>
      <w:r w:rsidR="00C755B4">
        <w:rPr>
          <w:noProof/>
        </w:rPr>
        <w:fldChar w:fldCharType="end"/>
      </w:r>
      <w:r w:rsidRPr="00475F6D">
        <w:t xml:space="preserve"> Huidige kwadratische formule voor berekening eigen bijdrage huurtoeslag, artikel 19 </w:t>
      </w:r>
      <w:proofErr w:type="spellStart"/>
      <w:r w:rsidRPr="00475F6D">
        <w:t>Wht</w:t>
      </w:r>
      <w:proofErr w:type="spellEnd"/>
    </w:p>
    <w:p w:rsidRPr="00475F6D" w:rsidR="00761D3C" w:rsidP="00A579AC" w:rsidRDefault="00761D3C" w14:paraId="020AE9A3" w14:textId="77777777"/>
    <w:p w:rsidRPr="00475F6D" w:rsidR="00761D3C" w:rsidP="00A579AC" w:rsidRDefault="00761D3C" w14:paraId="77B1BA00" w14:textId="78CCC966">
      <w:r w:rsidRPr="00475F6D">
        <w:t>De afbouw van de huurtoeslag wordt bepaald door de inkomensafhankelijke opbouw van de eigen</w:t>
      </w:r>
      <w:r w:rsidRPr="00475F6D" w:rsidR="004E1FFF">
        <w:t xml:space="preserve"> </w:t>
      </w:r>
      <w:r w:rsidRPr="00475F6D">
        <w:t xml:space="preserve">bijdrage, zoals hierboven beschreven, in combinatie met de hoogte van de te subsidiëren rekenhuur en de daarvoor geldende kwaliteitskortingspercentages. Dit leidt tot sprongen in de marginale druk (zie figuur 3). De marginale druk is het verlies aan huurtoeslag in verhouding tot de stijging van het inkomen. </w:t>
      </w:r>
    </w:p>
    <w:p w:rsidRPr="00475F6D" w:rsidR="00761D3C" w:rsidP="00A579AC" w:rsidRDefault="00761D3C" w14:paraId="78397D26" w14:textId="77777777"/>
    <w:p w:rsidRPr="00475F6D" w:rsidR="00761D3C" w:rsidP="00A579AC" w:rsidRDefault="00761D3C" w14:paraId="508301FB" w14:textId="153B2E2F">
      <w:r w:rsidRPr="00475F6D">
        <w:t>Door de kwadratische opbouw van de eigen</w:t>
      </w:r>
      <w:r w:rsidRPr="00475F6D" w:rsidR="004E1FFF">
        <w:t xml:space="preserve"> </w:t>
      </w:r>
      <w:r w:rsidRPr="00475F6D">
        <w:t>bijdrage neemt de huurtoeslag in principe steeds sneller af en neemt de marginale druk dus toe naarmate het inkomen hoger is. Echter, het effect van de kwaliteitskortingspercentages doorkruist dit. Wanneer de eigen</w:t>
      </w:r>
      <w:r w:rsidRPr="00475F6D" w:rsidR="004E1FFF">
        <w:t xml:space="preserve"> </w:t>
      </w:r>
      <w:r w:rsidRPr="00475F6D">
        <w:t>bijdrage lager is dan de kwaliteitskortingsgrens is het verlies aan huurtoeslag door een stijging van het inkomen relatief groot omdat het huurdeel dat onder de eigen bijdrage komt te vallen niet langer gesubsidieerd wordt voor 100%. De marginale druk maakt een flinke sprong naar beneden op het moment dat de eigen bijdrage, door een stijging van het inkomen, boven de kwaliteitskortingsgrens uitkomt. Vanaf dat punt was het huurdeel dat nu onder de eigen</w:t>
      </w:r>
      <w:r w:rsidRPr="00475F6D" w:rsidR="004E1FFF">
        <w:t xml:space="preserve"> </w:t>
      </w:r>
      <w:r w:rsidRPr="00475F6D">
        <w:t xml:space="preserve">bijdrage komt te vallen namelijk voor 65% vergoed. Bij eenzelfde stijging van het inkomen is verlies aan huurtoeslag dus kleiner, waardoor de marginale druk ook lager is. Het verlies aan huurtoeslag is nog lager wanneer de eigen bijdrage boven de aftoppingsgrens uitkomt omdat daar slechts 40% van het huurdeel wordt vergoed. Dit leidt tot de onderstaande blauwe lijn (zie figuur 3). De lijn loopt op vanwege de kwadratische opbouw van de eigen bijdrage maar maakt tot tweemaal toe een sprong naar beneden als gevolg van de kwaliteitskortingspercentages. Met de voorgestelde wijziging nemen de pieken in de marginale druk af. Een hoge marginale druk kan leiden tot hoge terugvorderingen, wanneer men een stijging van het inkomen niet op tijd doorgeeft. </w:t>
      </w:r>
    </w:p>
    <w:p w:rsidRPr="00475F6D" w:rsidR="00727793" w:rsidP="00A579AC" w:rsidRDefault="00727793" w14:paraId="1C56EC63" w14:textId="77777777"/>
    <w:p w:rsidRPr="00475F6D" w:rsidR="00727793" w:rsidP="00A579AC" w:rsidRDefault="00727793" w14:paraId="0CB5FD4B" w14:textId="53EE792B">
      <w:bookmarkStart w:name="_Hlk174545432" w:id="4"/>
      <w:r w:rsidRPr="00475F6D">
        <w:t xml:space="preserve">Ongeveer de helft van de huurtoeslagontvangers hebben een inkomen onder het voor hen geldende minimuminkomensijkpunt. Deze huishoudens kunnen te maken krijgen met de inkomensafhankelijke afbouw van de huurtoeslag op het moment dat ze meer gaan verdienen, bijvoorbeeld wanneer ze meer gaan werken. Dit kan resulteren in een hoge marginale druk, het effect van de huurtoeslag kan oplopen tot wel 34%-punt (zie figuur 3). Ook huishoudens met een inkomen tot circa 150% van het minimuminkomensijkpunt hebben te maken met een relatief hoge marginale druk. </w:t>
      </w:r>
    </w:p>
    <w:p w:rsidRPr="00475F6D" w:rsidR="00761D3C" w:rsidP="00A579AC" w:rsidRDefault="00761D3C" w14:paraId="4CEFD8AB" w14:textId="77777777"/>
    <w:p w:rsidRPr="00475F6D" w:rsidR="00761D3C" w:rsidP="00A579AC" w:rsidRDefault="00761D3C" w14:paraId="2857F3D6" w14:textId="77777777">
      <w:pPr>
        <w:keepNext/>
      </w:pPr>
      <w:r w:rsidRPr="00475F6D">
        <w:rPr>
          <w:noProof/>
        </w:rPr>
        <w:lastRenderedPageBreak/>
        <w:drawing>
          <wp:inline distT="0" distB="0" distL="0" distR="0" wp14:anchorId="6C81813F" wp14:editId="3F484F70">
            <wp:extent cx="5731510" cy="3282822"/>
            <wp:effectExtent l="0" t="0" r="2540" b="13335"/>
            <wp:docPr id="2" name="Grafiek 2">
              <a:extLst xmlns:a="http://schemas.openxmlformats.org/drawingml/2006/main">
                <a:ext uri="{FF2B5EF4-FFF2-40B4-BE49-F238E27FC236}">
                  <a16:creationId xmlns:a16="http://schemas.microsoft.com/office/drawing/2014/main" id="{669E5546-1852-49D7-8D1D-B39D46D98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475F6D" w:rsidR="00761D3C" w:rsidP="00A579AC" w:rsidRDefault="00761D3C" w14:paraId="513218CE" w14:textId="6A773E5B">
      <w:pPr>
        <w:pStyle w:val="Tabel"/>
        <w:spacing w:line="240" w:lineRule="atLeast"/>
      </w:pPr>
      <w:r w:rsidRPr="00475F6D">
        <w:t xml:space="preserve">Figuur </w:t>
      </w:r>
      <w:r w:rsidR="00C755B4">
        <w:fldChar w:fldCharType="begin"/>
      </w:r>
      <w:r w:rsidR="00C755B4">
        <w:instrText xml:space="preserve"> SEQ Figuur \* ARABIC </w:instrText>
      </w:r>
      <w:r w:rsidR="00C755B4">
        <w:fldChar w:fldCharType="separate"/>
      </w:r>
      <w:r w:rsidR="001B15DD">
        <w:rPr>
          <w:noProof/>
        </w:rPr>
        <w:t>3</w:t>
      </w:r>
      <w:r w:rsidR="00C755B4">
        <w:rPr>
          <w:noProof/>
        </w:rPr>
        <w:fldChar w:fldCharType="end"/>
      </w:r>
      <w:r w:rsidRPr="00475F6D">
        <w:t xml:space="preserve"> Marginale druk bij een eenpersoonshuishouden met een huur van €800 p/</w:t>
      </w:r>
      <w:proofErr w:type="spellStart"/>
      <w:r w:rsidRPr="00475F6D">
        <w:t>mnd</w:t>
      </w:r>
      <w:proofErr w:type="spellEnd"/>
      <w:r w:rsidRPr="00475F6D">
        <w:t xml:space="preserve">, huidige marginale druk en na invoering van de maatregelen in dit wetsvoorstel. </w:t>
      </w:r>
    </w:p>
    <w:p w:rsidRPr="00475F6D" w:rsidR="00761D3C" w:rsidP="00A579AC" w:rsidRDefault="00761D3C" w14:paraId="09EE7C4B" w14:textId="77777777"/>
    <w:p w:rsidRPr="00475F6D" w:rsidR="00761D3C" w:rsidP="00A579AC" w:rsidRDefault="00761D3C" w14:paraId="1D22FA7A" w14:textId="77777777">
      <w:r w:rsidRPr="00475F6D">
        <w:t>Door de inkomensafhankelijke afbouw van de huurtoeslag te berekenen na de bepaling van het huurdeel waarover huurtoeslag ontvangen kan worden, is er geen interactie meer tussen de kwaliteitskortingspercentages en de inkomensafhankelijke component in de huurtoeslag. De kwaliteitskortingspercentages blijven wel in stand voor de bepaling van het huurdeel waarvoor huurtoeslag ontvangen kan worden. Door de inkomensafhankelijke afbouw lineair in te stellen, wordt de marginale druk over heel het inkomensgebouw, per huishoudtype, gelijkgetrokken (zie figuur 3 voor een voorbeeld van een eenpersoonshuishouden met een rekenhuur van € 800).</w:t>
      </w:r>
    </w:p>
    <w:p w:rsidRPr="00475F6D" w:rsidR="00761D3C" w:rsidP="00A579AC" w:rsidRDefault="00761D3C" w14:paraId="61EFDAC2" w14:textId="77777777"/>
    <w:p w:rsidRPr="00475F6D" w:rsidR="00761D3C" w:rsidP="00A579AC" w:rsidRDefault="00761D3C" w14:paraId="49A82668" w14:textId="77777777">
      <w:r w:rsidRPr="00475F6D">
        <w:t>Zoals toegelicht in paragraaf 2.2 zal het harmoniseren van de huishoudtypes ertoe leiden dat niet-ouderenhuishoudens hogere minimum-inkomensijkpunten (en bijhorende minimum normhuren) krijgen en dus vanaf een hoger inkomen beginnen met het afbouwen van de huurtoeslag. De referentie-inkomensijkpunten (en bijhorende referentie normhuren) spelen geen rol meer met de invoering van de lineaire formule en komen te vervallen.</w:t>
      </w:r>
    </w:p>
    <w:p w:rsidRPr="00475F6D" w:rsidR="00761D3C" w:rsidP="00A579AC" w:rsidRDefault="00761D3C" w14:paraId="52D64D21" w14:textId="77777777"/>
    <w:p w:rsidRPr="00475F6D" w:rsidR="00761D3C" w:rsidP="00A579AC" w:rsidRDefault="00761D3C" w14:paraId="0259D3AB" w14:textId="77777777">
      <w:r w:rsidRPr="00475F6D">
        <w:t>Met de voorgestelde wijziging wordt de berekening als volgt:</w:t>
      </w:r>
    </w:p>
    <w:p w:rsidRPr="00475F6D" w:rsidR="00761D3C" w:rsidP="00A579AC" w:rsidRDefault="00761D3C" w14:paraId="4B19F115" w14:textId="77777777">
      <w:pPr>
        <w:pStyle w:val="Lijstalinea"/>
        <w:numPr>
          <w:ilvl w:val="0"/>
          <w:numId w:val="2"/>
        </w:numPr>
        <w:spacing w:after="0" w:line="240" w:lineRule="atLeast"/>
        <w:ind w:left="0" w:firstLine="0"/>
        <w:rPr>
          <w:lang w:val="nl-NL"/>
        </w:rPr>
      </w:pPr>
      <w:r w:rsidRPr="00475F6D">
        <w:rPr>
          <w:lang w:val="nl-NL"/>
        </w:rPr>
        <w:t xml:space="preserve">Eerst wordt bepaald over welk huurbedrag huurtoeslag kan worden ontvangen op basis van de rekenhuur (de kale huur en subsidiabele servicekosten, artikel 5 </w:t>
      </w:r>
      <w:proofErr w:type="spellStart"/>
      <w:r w:rsidRPr="00475F6D">
        <w:rPr>
          <w:lang w:val="nl-NL"/>
        </w:rPr>
        <w:t>Wht</w:t>
      </w:r>
      <w:proofErr w:type="spellEnd"/>
      <w:r w:rsidRPr="00475F6D">
        <w:rPr>
          <w:lang w:val="nl-NL"/>
        </w:rPr>
        <w:t xml:space="preserve">) en de voor het huishoudtype geldende basishuur. Na invoering van het wetsvoorstel bestaat de basishuur enkele uit inkomensonafhankelijke componenten en is deze in principe gelijk aan een minimum eigen bijdrage, zie paragraaf 2.1. Vervolgens worden de kwaliteitskortingspercentages toegepast over de verschillende huurdelen. </w:t>
      </w:r>
    </w:p>
    <w:p w:rsidRPr="00475F6D" w:rsidR="00761D3C" w:rsidP="00A579AC" w:rsidRDefault="00761D3C" w14:paraId="3D4281AE" w14:textId="77777777">
      <w:pPr>
        <w:pStyle w:val="Lijstalinea"/>
        <w:numPr>
          <w:ilvl w:val="0"/>
          <w:numId w:val="2"/>
        </w:numPr>
        <w:spacing w:after="0" w:line="240" w:lineRule="atLeast"/>
        <w:ind w:left="0" w:firstLine="0"/>
        <w:rPr>
          <w:lang w:val="nl-NL"/>
        </w:rPr>
      </w:pPr>
      <w:r w:rsidRPr="00475F6D">
        <w:rPr>
          <w:lang w:val="nl-NL"/>
        </w:rPr>
        <w:t>Als het rekeninkomen lager of gelijk is aan het voor het huishoudtype geldende minimum-inkomensijkpunt, is het resterende bedrag de huurtoeslag die ontvangen zal worden. Dit is het maximaal mogelijke huurtoeslagbedrag wat het huishoudtype met die huurprijs kan ontvangen.</w:t>
      </w:r>
    </w:p>
    <w:p w:rsidRPr="00475F6D" w:rsidR="00761D3C" w:rsidP="00A579AC" w:rsidRDefault="00761D3C" w14:paraId="3B75D2E4" w14:textId="77777777">
      <w:pPr>
        <w:pStyle w:val="Lijstalinea"/>
        <w:numPr>
          <w:ilvl w:val="0"/>
          <w:numId w:val="2"/>
        </w:numPr>
        <w:spacing w:after="0" w:line="240" w:lineRule="atLeast"/>
        <w:ind w:left="0" w:firstLine="0"/>
        <w:rPr>
          <w:lang w:val="nl-NL"/>
        </w:rPr>
      </w:pPr>
      <w:r w:rsidRPr="00475F6D">
        <w:rPr>
          <w:lang w:val="nl-NL"/>
        </w:rPr>
        <w:t xml:space="preserve">Als het rekeninkomen hoger is dan het geldende minimum-inkomensijkpunt, zal dit maximum huurtoeslagbedrag worden afgebouwd. Hiervoor zal onderstaande (in figuur 4) lineaire formule gelden. Het bedrag dat uit deze formule komt, zal in mindering worden gebracht bij het eerder berekende maximum huurtoeslagbedrag. Voor eenpersoonshuishoudens zal de marginale druk van de huurtoeslag op 27% komen te liggen, voor meerpersoonshuishoudens op 22%. </w:t>
      </w:r>
    </w:p>
    <w:p w:rsidRPr="00475F6D" w:rsidR="00761D3C" w:rsidP="00A579AC" w:rsidRDefault="00761D3C" w14:paraId="32285723" w14:textId="77777777">
      <w:r w:rsidRPr="00475F6D">
        <w:t>In paragraaf 3.1.2 wordt deze aangepaste berekening aan de hand van een aantal casussen verder toegelicht.</w:t>
      </w:r>
    </w:p>
    <w:p w:rsidRPr="00475F6D" w:rsidR="00761D3C" w:rsidP="00A579AC" w:rsidRDefault="00761D3C" w14:paraId="50A3992E" w14:textId="77777777"/>
    <w:p w:rsidRPr="00475F6D" w:rsidR="00761D3C" w:rsidP="00A579AC" w:rsidRDefault="00761D3C" w14:paraId="2F384DC8" w14:textId="77777777">
      <w:r w:rsidRPr="00475F6D">
        <w:rPr>
          <w:noProof/>
        </w:rPr>
        <w:lastRenderedPageBreak/>
        <mc:AlternateContent>
          <mc:Choice Requires="wps">
            <w:drawing>
              <wp:inline distT="0" distB="0" distL="0" distR="0" wp14:anchorId="541C57C6" wp14:editId="5E6029D5">
                <wp:extent cx="5760000" cy="1263015"/>
                <wp:effectExtent l="0" t="0" r="12700" b="26035"/>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263015"/>
                        </a:xfrm>
                        <a:prstGeom prst="rect">
                          <a:avLst/>
                        </a:prstGeom>
                        <a:solidFill>
                          <a:srgbClr val="FFFFFF"/>
                        </a:solidFill>
                        <a:ln w="9525">
                          <a:solidFill>
                            <a:srgbClr val="000000"/>
                          </a:solidFill>
                          <a:miter lim="800000"/>
                          <a:headEnd/>
                          <a:tailEnd/>
                        </a:ln>
                      </wps:spPr>
                      <wps:txbx>
                        <w:txbxContent>
                          <w:p w:rsidRPr="00660BFB" w:rsidR="00761D3C" w:rsidP="00761D3C" w:rsidRDefault="00761D3C" w14:paraId="5916FAC5" w14:textId="77777777">
                            <w:pPr>
                              <w:jc w:val="center"/>
                              <w:rPr>
                                <w:iCs/>
                              </w:rPr>
                            </w:pPr>
                            <m:oMathPara>
                              <m:oMath>
                                <m:r>
                                  <m:rPr>
                                    <m:sty m:val="p"/>
                                  </m:rPr>
                                  <w:rPr>
                                    <w:rFonts w:ascii="Cambria Math" w:hAnsi="Cambria Math"/>
                                  </w:rPr>
                                  <m:t>Y*(</m:t>
                                </m:r>
                                <m:f>
                                  <m:fPr>
                                    <m:ctrlPr>
                                      <w:rPr>
                                        <w:rFonts w:ascii="Cambria Math" w:hAnsi="Cambria Math"/>
                                        <w:iCs/>
                                      </w:rPr>
                                    </m:ctrlPr>
                                  </m:fPr>
                                  <m:num>
                                    <m:r>
                                      <m:rPr>
                                        <m:sty m:val="p"/>
                                      </m:rPr>
                                      <w:rPr>
                                        <w:rFonts w:ascii="Cambria Math" w:hAnsi="Cambria Math"/>
                                      </w:rPr>
                                      <m:t>afbouwpercentage</m:t>
                                    </m:r>
                                  </m:num>
                                  <m:den>
                                    <m:r>
                                      <m:rPr>
                                        <m:sty m:val="p"/>
                                      </m:rPr>
                                      <w:rPr>
                                        <w:rFonts w:ascii="Cambria Math" w:hAnsi="Cambria Math"/>
                                      </w:rPr>
                                      <m:t>12</m:t>
                                    </m:r>
                                  </m:den>
                                </m:f>
                                <m:r>
                                  <m:rPr>
                                    <m:sty m:val="p"/>
                                  </m:rPr>
                                  <w:rPr>
                                    <w:rFonts w:ascii="Cambria Math" w:hAnsi="Cambria Math"/>
                                  </w:rPr>
                                  <m:t>)</m:t>
                                </m:r>
                                <m:r>
                                  <m:rPr>
                                    <m:sty m:val="p"/>
                                  </m:rPr>
                                  <w:rPr>
                                    <w:rFonts w:ascii="Cambria Math" w:hAnsi="Cambria Math"/>
                                  </w:rPr>
                                  <w:br/>
                                </m:r>
                              </m:oMath>
                            </m:oMathPara>
                          </w:p>
                          <w:p w:rsidR="009B17B5" w:rsidP="009B17B5" w:rsidRDefault="009B17B5" w14:paraId="5BF98642" w14:textId="2DAD5352">
                            <w:pPr>
                              <w:pStyle w:val="Tabel"/>
                              <w:jc w:val="center"/>
                            </w:pPr>
                            <w:r>
                              <w:t>In welke formule voorstelt:</w:t>
                            </w:r>
                          </w:p>
                          <w:p w:rsidR="009B17B5" w:rsidP="009B17B5" w:rsidRDefault="009B17B5" w14:paraId="0EA08299" w14:textId="77777777">
                            <w:pPr>
                              <w:pStyle w:val="Tabel"/>
                              <w:jc w:val="center"/>
                            </w:pPr>
                          </w:p>
                          <w:p w:rsidR="009B17B5" w:rsidP="009B17B5" w:rsidRDefault="009B17B5" w14:paraId="3EBEDB48" w14:textId="77777777">
                            <w:pPr>
                              <w:pStyle w:val="Tabel"/>
                              <w:jc w:val="center"/>
                            </w:pPr>
                            <w:r>
                              <w:t>Y: het rekeninkomen verminderd met het minimum-inkomensijkpunt, bedoeld in artikel 17;</w:t>
                            </w:r>
                          </w:p>
                          <w:p w:rsidR="009B17B5" w:rsidP="009B17B5" w:rsidRDefault="009B17B5" w14:paraId="3AEF3FBC" w14:textId="77777777">
                            <w:pPr>
                              <w:pStyle w:val="Tabel"/>
                              <w:jc w:val="center"/>
                            </w:pPr>
                          </w:p>
                          <w:p w:rsidR="009B17B5" w:rsidP="009B17B5" w:rsidRDefault="009B17B5" w14:paraId="076CDC54" w14:textId="6ECD348C">
                            <w:pPr>
                              <w:pStyle w:val="Tabel"/>
                              <w:jc w:val="center"/>
                            </w:pPr>
                            <w:r>
                              <w:t xml:space="preserve">Afbouwpercentage: </w:t>
                            </w:r>
                          </w:p>
                          <w:p w:rsidR="009B17B5" w:rsidP="009B17B5" w:rsidRDefault="009B17B5" w14:paraId="764D2B80" w14:textId="77777777">
                            <w:pPr>
                              <w:pStyle w:val="Tabel"/>
                              <w:jc w:val="center"/>
                            </w:pPr>
                            <w:r>
                              <w:t xml:space="preserve">a. 27% voor eenpersoonshuishoudens; of </w:t>
                            </w:r>
                          </w:p>
                          <w:p w:rsidR="00761D3C" w:rsidP="009B17B5" w:rsidRDefault="009B17B5" w14:paraId="38673091" w14:textId="098AB50E">
                            <w:pPr>
                              <w:pStyle w:val="Tabel"/>
                              <w:jc w:val="center"/>
                            </w:pPr>
                            <w:r>
                              <w:t xml:space="preserve">b. 22% voor meerpersoonshuishoudens.  </w:t>
                            </w:r>
                          </w:p>
                        </w:txbxContent>
                      </wps:txbx>
                      <wps:bodyPr rot="0" vert="horz" wrap="square" lIns="91440" tIns="45720" rIns="91440" bIns="45720" anchor="t" anchorCtr="0">
                        <a:spAutoFit/>
                      </wps:bodyPr>
                    </wps:wsp>
                  </a:graphicData>
                </a:graphic>
              </wp:inline>
            </w:drawing>
          </mc:Choice>
          <mc:Fallback>
            <w:pict>
              <v:shape id="_x0000_s1027" style="width:453.55pt;height:99.4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" w14:anchorId="541C57C6">
                <v:textbox style="mso-fit-shape-to-text:t">
                  <w:txbxContent>
                    <w:p w:rsidRPr="00660BFB" w:rsidR="00761D3C" w:rsidP="00761D3C" w:rsidRDefault="00761D3C" w14:paraId="5916FAC5" w14:textId="77777777">
                      <w:pPr>
                        <w:jc w:val="center"/>
                        <w:rPr>
                          <w:iCs/>
                        </w:rPr>
                      </w:pPr>
                      <m:oMathPara>
                        <m:oMath>
                          <m:r>
                            <m:rPr>
                              <m:sty m:val="p"/>
                            </m:rPr>
                            <w:rPr>
                              <w:rFonts w:ascii="Cambria Math" w:hAnsi="Cambria Math"/>
                            </w:rPr>
                            <m:t>Y*(</m:t>
                          </m:r>
                          <m:f>
                            <m:fPr>
                              <m:ctrlPr>
                                <w:rPr>
                                  <w:rFonts w:ascii="Cambria Math" w:hAnsi="Cambria Math"/>
                                  <w:iCs/>
                                </w:rPr>
                              </m:ctrlPr>
                            </m:fPr>
                            <m:num>
                              <m:r>
                                <m:rPr>
                                  <m:sty m:val="p"/>
                                </m:rPr>
                                <w:rPr>
                                  <w:rFonts w:ascii="Cambria Math" w:hAnsi="Cambria Math"/>
                                </w:rPr>
                                <m:t>afbouwpercentage</m:t>
                              </m:r>
                            </m:num>
                            <m:den>
                              <m:r>
                                <m:rPr>
                                  <m:sty m:val="p"/>
                                </m:rPr>
                                <w:rPr>
                                  <w:rFonts w:ascii="Cambria Math" w:hAnsi="Cambria Math"/>
                                </w:rPr>
                                <m:t>12</m:t>
                              </m:r>
                            </m:den>
                          </m:f>
                          <m:r>
                            <m:rPr>
                              <m:sty m:val="p"/>
                            </m:rPr>
                            <w:rPr>
                              <w:rFonts w:ascii="Cambria Math" w:hAnsi="Cambria Math"/>
                            </w:rPr>
                            <m:t>)</m:t>
                          </m:r>
                          <m:r>
                            <m:rPr>
                              <m:sty m:val="p"/>
                            </m:rPr>
                            <w:rPr>
                              <w:rFonts w:ascii="Cambria Math" w:hAnsi="Cambria Math"/>
                            </w:rPr>
                            <w:br/>
                          </m:r>
                        </m:oMath>
                      </m:oMathPara>
                    </w:p>
                    <w:p w:rsidR="009B17B5" w:rsidP="009B17B5" w:rsidRDefault="009B17B5" w14:paraId="5BF98642" w14:textId="2DAD5352">
                      <w:pPr>
                        <w:pStyle w:val="Tabel"/>
                        <w:jc w:val="center"/>
                      </w:pPr>
                      <w:r>
                        <w:t>In welke formule voorstelt:</w:t>
                      </w:r>
                    </w:p>
                    <w:p w:rsidR="009B17B5" w:rsidP="009B17B5" w:rsidRDefault="009B17B5" w14:paraId="0EA08299" w14:textId="77777777">
                      <w:pPr>
                        <w:pStyle w:val="Tabel"/>
                        <w:jc w:val="center"/>
                      </w:pPr>
                    </w:p>
                    <w:p w:rsidR="009B17B5" w:rsidP="009B17B5" w:rsidRDefault="009B17B5" w14:paraId="3EBEDB48" w14:textId="77777777">
                      <w:pPr>
                        <w:pStyle w:val="Tabel"/>
                        <w:jc w:val="center"/>
                      </w:pPr>
                      <w:r>
                        <w:t>Y: het rekeninkomen verminderd met het minimum-inkomensijkpunt, bedoeld in artikel 17;</w:t>
                      </w:r>
                    </w:p>
                    <w:p w:rsidR="009B17B5" w:rsidP="009B17B5" w:rsidRDefault="009B17B5" w14:paraId="3AEF3FBC" w14:textId="77777777">
                      <w:pPr>
                        <w:pStyle w:val="Tabel"/>
                        <w:jc w:val="center"/>
                      </w:pPr>
                    </w:p>
                    <w:p w:rsidR="009B17B5" w:rsidP="009B17B5" w:rsidRDefault="009B17B5" w14:paraId="076CDC54" w14:textId="6ECD348C">
                      <w:pPr>
                        <w:pStyle w:val="Tabel"/>
                        <w:jc w:val="center"/>
                      </w:pPr>
                      <w:r>
                        <w:t xml:space="preserve">Afbouwpercentage: </w:t>
                      </w:r>
                    </w:p>
                    <w:p w:rsidR="009B17B5" w:rsidP="009B17B5" w:rsidRDefault="009B17B5" w14:paraId="764D2B80" w14:textId="77777777">
                      <w:pPr>
                        <w:pStyle w:val="Tabel"/>
                        <w:jc w:val="center"/>
                      </w:pPr>
                      <w:r>
                        <w:t xml:space="preserve">a. 27% voor eenpersoonshuishoudens; of </w:t>
                      </w:r>
                    </w:p>
                    <w:p w:rsidR="00761D3C" w:rsidP="009B17B5" w:rsidRDefault="009B17B5" w14:paraId="38673091" w14:textId="098AB50E">
                      <w:pPr>
                        <w:pStyle w:val="Tabel"/>
                        <w:jc w:val="center"/>
                      </w:pPr>
                      <w:r>
                        <w:t xml:space="preserve">b. 22% voor meerpersoonshuishoudens.  </w:t>
                      </w:r>
                    </w:p>
                  </w:txbxContent>
                </v:textbox>
                <w10:anchorlock/>
              </v:shape>
            </w:pict>
          </mc:Fallback>
        </mc:AlternateContent>
      </w:r>
    </w:p>
    <w:p w:rsidRPr="00475F6D" w:rsidR="00761D3C" w:rsidP="00A579AC" w:rsidRDefault="00761D3C" w14:paraId="1E0CC3DB" w14:textId="77777777">
      <w:pPr>
        <w:pStyle w:val="Tabel"/>
        <w:spacing w:line="240" w:lineRule="atLeast"/>
      </w:pPr>
      <w:r w:rsidRPr="00475F6D">
        <w:t xml:space="preserve">Figuur 4 Voorgestelde lineaire formule voor berekening inkomensafhankelijke eigen bijdrage huurtoeslag, zal worden beschreven in artikel 21 </w:t>
      </w:r>
      <w:proofErr w:type="spellStart"/>
      <w:r w:rsidRPr="00475F6D">
        <w:t>Wht</w:t>
      </w:r>
      <w:proofErr w:type="spellEnd"/>
      <w:r w:rsidRPr="00475F6D">
        <w:t>.</w:t>
      </w:r>
    </w:p>
    <w:p w:rsidRPr="00475F6D" w:rsidR="00761D3C" w:rsidP="00A579AC" w:rsidRDefault="00761D3C" w14:paraId="6AC265FF" w14:textId="77777777"/>
    <w:p w:rsidRPr="00475F6D" w:rsidR="00727793" w:rsidP="00A579AC" w:rsidRDefault="00761D3C" w14:paraId="0CDD0922" w14:textId="47EFC924">
      <w:r w:rsidRPr="00475F6D">
        <w:t>Door het invoeren van deze aanpassing van de berekeningsmethode, wordt het voor huurtoeslagontvangers beter inzichtelijk welk effect een wijziging in het inkomen heeft op de huurtoeslag en hoe de huurtoeslagberekening is opgebouwd.</w:t>
      </w:r>
      <w:r w:rsidRPr="00475F6D" w:rsidR="00727793">
        <w:t xml:space="preserve"> Voor de eerder beschreven groepen huishoudens met een inkomen onder het minimum-inkomensijkpunt of een inkomen tot 150% van het minimum-inkomensijkpunt, wordt de marginale druk flink verlaagd waardoor het aantrekkelijker wordt om meer te gaan werken. Zij zullen bij een stijging van het inkomen meer overhouden. Een deel van de huurtoeslagontvangers, ca. 8%, heeft een inkomen dat hoger is dan 150% van het minimuminkomensijkpunt. Voor deze huishoudens zal de huidige, relatief lage marginale druk, juist iets toenemen zodat deze gelijk wordt getrokken met de andere twee inkomensgroepen.</w:t>
      </w:r>
    </w:p>
    <w:bookmarkEnd w:id="4"/>
    <w:p w:rsidRPr="00475F6D" w:rsidR="00CE44EE" w:rsidP="00A579AC" w:rsidRDefault="00CE44EE" w14:paraId="04F55B18" w14:textId="77777777"/>
    <w:p w:rsidRPr="00475F6D" w:rsidR="00CE44EE" w:rsidP="00A579AC" w:rsidRDefault="00CE44EE" w14:paraId="281A40CF" w14:textId="4BF0023E">
      <w:pPr>
        <w:pStyle w:val="Lijstalinea"/>
        <w:numPr>
          <w:ilvl w:val="2"/>
          <w:numId w:val="3"/>
        </w:numPr>
        <w:spacing w:after="0" w:line="240" w:lineRule="atLeast"/>
        <w:ind w:left="0" w:firstLine="0"/>
        <w:rPr>
          <w:i/>
          <w:iCs/>
          <w:lang w:val="nl-NL"/>
        </w:rPr>
      </w:pPr>
      <w:bookmarkStart w:name="_Hlk174541884" w:id="5"/>
      <w:r w:rsidRPr="00475F6D">
        <w:rPr>
          <w:i/>
          <w:iCs/>
          <w:lang w:val="nl-NL"/>
        </w:rPr>
        <w:t>Benadering van de maatregel in 2025</w:t>
      </w:r>
    </w:p>
    <w:p w:rsidRPr="00475F6D" w:rsidR="00C44FC8" w:rsidP="00A579AC" w:rsidRDefault="00C44FC8" w14:paraId="3A402DD0" w14:textId="77777777">
      <w:bookmarkStart w:name="_Hlk174542890" w:id="6"/>
      <w:bookmarkEnd w:id="5"/>
      <w:r w:rsidRPr="00475F6D">
        <w:t xml:space="preserve">Het aanpassen van de berekeningsmethode en invoering van de lineaire inkomensafhankelijke afbouw betreft een majeure wijziging in de systemen van Dienst Toeslagen, en zal niet per 1 januari 2025 ingevoerd kunnen worden. Dit wordt verder toegelicht in paragraaf 3.2.2. </w:t>
      </w:r>
    </w:p>
    <w:p w:rsidRPr="00475F6D" w:rsidR="00C44FC8" w:rsidP="00A579AC" w:rsidRDefault="00C44FC8" w14:paraId="4B2A4FB7" w14:textId="77777777"/>
    <w:p w:rsidRPr="00475F6D" w:rsidR="00761D3C" w:rsidP="00A579AC" w:rsidRDefault="00C44FC8" w14:paraId="48AD7866" w14:textId="50E52672">
      <w:r w:rsidRPr="00475F6D">
        <w:t>Het is echter mogelijk om het effect van de maatregel (eenmalig) te benaderen door een aanpassing van de huidige referentie-inkomensijkpunten.</w:t>
      </w:r>
      <w:r w:rsidR="00C96474">
        <w:t xml:space="preserve"> Dit betreft geen majeure wijziging, maar enkel een parameterwijziging.</w:t>
      </w:r>
      <w:r w:rsidRPr="00475F6D">
        <w:t xml:space="preserve"> Door deze te verhogen wordt het verschil met de minimum-inkomensijkpunten groter, en wordt de inkomensafhankelijke afbouw minder steil.</w:t>
      </w:r>
      <w:r w:rsidR="00C96474">
        <w:t xml:space="preserve"> Hiermee wordt ook in 2025 de marginale druk voor een deel van de huurtoeslagontvangers verlaagd en kan</w:t>
      </w:r>
      <w:r w:rsidRPr="00475F6D">
        <w:t xml:space="preserve"> alsnog een deel van de koopkrachtverbetering als gevolg van deze maatregel worden gerealiseerd. Met deze methode </w:t>
      </w:r>
      <w:r w:rsidRPr="00475F6D" w:rsidR="00C11FFB">
        <w:t>kan</w:t>
      </w:r>
      <w:r w:rsidRPr="00475F6D">
        <w:t xml:space="preserve"> in 2025 het effect van de beoogde maatregel zo dicht mogelijk worden benaderd, maar is </w:t>
      </w:r>
      <w:r w:rsidRPr="00475F6D" w:rsidR="00C11FFB">
        <w:t xml:space="preserve">het </w:t>
      </w:r>
      <w:r w:rsidRPr="00475F6D">
        <w:t>niet mogelijk om het effect volledig te reproduceren. Hierdoor zal ook bij de daadwerkelijke invoering van de lineaire afbouw in 2026, een deel van de huurtoeslagontvangers er nog op vooruit gaan.</w:t>
      </w:r>
      <w:r w:rsidR="00C80F94">
        <w:t xml:space="preserve"> Ook leidt enkel het aanpassen van de steilheid van de afbouw niet tot de gewenste vereenvoudiging en verbeterde transparantie met betrekking tot de inkomensafhankelijke afbouw van de huurtoeslag. Hiervoor is alsnog de invoering van de lineaire afbouw per 2026 noodzakelijk.</w:t>
      </w:r>
    </w:p>
    <w:bookmarkEnd w:id="6"/>
    <w:p w:rsidRPr="00475F6D" w:rsidR="00C44FC8" w:rsidP="00A579AC" w:rsidRDefault="00C44FC8" w14:paraId="739FC4B2" w14:textId="77777777"/>
    <w:p w:rsidRPr="00475F6D" w:rsidR="00761D3C" w:rsidP="00A579AC" w:rsidRDefault="00761D3C" w14:paraId="41F0BABE" w14:textId="77777777">
      <w:pPr>
        <w:pStyle w:val="Lijstalinea"/>
        <w:numPr>
          <w:ilvl w:val="0"/>
          <w:numId w:val="3"/>
        </w:numPr>
        <w:spacing w:after="0" w:line="240" w:lineRule="atLeast"/>
        <w:ind w:left="0" w:firstLine="0"/>
        <w:rPr>
          <w:b/>
          <w:bCs/>
          <w:lang w:val="nl-NL"/>
        </w:rPr>
      </w:pPr>
      <w:r w:rsidRPr="00475F6D">
        <w:rPr>
          <w:b/>
          <w:bCs/>
          <w:lang w:val="nl-NL"/>
        </w:rPr>
        <w:t>Gevolgen</w:t>
      </w:r>
    </w:p>
    <w:p w:rsidRPr="00475F6D" w:rsidR="00761D3C" w:rsidP="00A579AC" w:rsidRDefault="00761D3C" w14:paraId="4B38F51F" w14:textId="77777777">
      <w:pPr>
        <w:pStyle w:val="Lijstalinea"/>
        <w:numPr>
          <w:ilvl w:val="1"/>
          <w:numId w:val="3"/>
        </w:numPr>
        <w:spacing w:after="0" w:line="240" w:lineRule="atLeast"/>
        <w:ind w:left="0" w:firstLine="0"/>
        <w:rPr>
          <w:i/>
          <w:iCs/>
          <w:lang w:val="nl-NL"/>
        </w:rPr>
      </w:pPr>
      <w:r w:rsidRPr="00475F6D">
        <w:rPr>
          <w:i/>
          <w:iCs/>
          <w:lang w:val="nl-NL"/>
        </w:rPr>
        <w:t>Gevolgen voor huurtoeslagontvangers</w:t>
      </w:r>
    </w:p>
    <w:p w:rsidRPr="00475F6D" w:rsidR="00761D3C" w:rsidP="00A579AC" w:rsidRDefault="00761D3C" w14:paraId="632087E4" w14:textId="77777777">
      <w:pPr>
        <w:pStyle w:val="Lijstalinea"/>
        <w:numPr>
          <w:ilvl w:val="2"/>
          <w:numId w:val="3"/>
        </w:numPr>
        <w:spacing w:after="0" w:line="240" w:lineRule="atLeast"/>
        <w:ind w:left="0" w:firstLine="0"/>
        <w:rPr>
          <w:i/>
          <w:iCs/>
          <w:lang w:val="nl-NL"/>
        </w:rPr>
      </w:pPr>
      <w:r w:rsidRPr="00475F6D">
        <w:rPr>
          <w:i/>
          <w:iCs/>
          <w:lang w:val="nl-NL"/>
        </w:rPr>
        <w:t>Inkomenseffecten</w:t>
      </w:r>
    </w:p>
    <w:p w:rsidR="00337C9E" w:rsidP="00A579AC" w:rsidRDefault="00761D3C" w14:paraId="12A7CBE1" w14:textId="09D2D6AA">
      <w:r w:rsidRPr="00475F6D">
        <w:t>Alle in dit wetsvoorstel voorgestelde maatregelen leiden tot positieve inkomenseffecten voor huurtoeslagontvangers</w:t>
      </w:r>
      <w:r w:rsidR="009A1E56">
        <w:t xml:space="preserve"> in 2026. In 2025 zullen er ook huurtoeslagontvangers zijn voor wie niks verandert. Er zijn geen negatieve inkomenseffecten.</w:t>
      </w:r>
      <w:r w:rsidRPr="00475F6D">
        <w:t xml:space="preserve"> De huidige huurtoeslagontvangers gaan er </w:t>
      </w:r>
      <w:r w:rsidR="009A1E56">
        <w:t xml:space="preserve">in 2025 </w:t>
      </w:r>
      <w:r w:rsidRPr="00475F6D">
        <w:t>gemiddeld</w:t>
      </w:r>
      <w:r w:rsidR="009A1E56">
        <w:t xml:space="preserve"> €141 per jaar op vooruit, door de harmonisatie van de huishoudtypes (2.2.1 en 2.2.2) en door de benadering van de lineaire afbouw met de huidige formule (2.3.2). Vanaf 2026 gaan </w:t>
      </w:r>
      <w:r w:rsidR="00337C9E">
        <w:t>huurtoeslagontvangers</w:t>
      </w:r>
      <w:r w:rsidR="009A1E56">
        <w:t xml:space="preserve"> er gemiddeld</w:t>
      </w:r>
      <w:r w:rsidRPr="00475F6D">
        <w:t xml:space="preserve"> €</w:t>
      </w:r>
      <w:r w:rsidRPr="00475F6D" w:rsidR="00C11FFB">
        <w:t> </w:t>
      </w:r>
      <w:r w:rsidRPr="00475F6D">
        <w:t>316 per jaar op vooruit</w:t>
      </w:r>
      <w:r w:rsidR="009A1E56">
        <w:t xml:space="preserve"> ten opzichte van </w:t>
      </w:r>
      <w:r w:rsidR="00A72407">
        <w:t>2024</w:t>
      </w:r>
      <w:r w:rsidR="009A1E56">
        <w:t xml:space="preserve">, wanneer ook de eigen </w:t>
      </w:r>
      <w:r w:rsidR="00A72407">
        <w:t>bijdrage met €11,58 per maand wordt verlaagd en de lineaire afbouw wordt ingevoerd</w:t>
      </w:r>
      <w:r w:rsidRPr="00475F6D">
        <w:t>. Het minimale bedrag dat een huurtoeslagontvanger erop vooruit zal gaan is €</w:t>
      </w:r>
      <w:r w:rsidRPr="00475F6D" w:rsidR="00C11FFB">
        <w:t> </w:t>
      </w:r>
      <w:r w:rsidRPr="00475F6D">
        <w:t>139 per jaar, en tot maximaal €</w:t>
      </w:r>
      <w:r w:rsidRPr="00475F6D" w:rsidR="00C11FFB">
        <w:t> </w:t>
      </w:r>
      <w:r w:rsidRPr="00475F6D">
        <w:t xml:space="preserve">1.394 per jaar. </w:t>
      </w:r>
    </w:p>
    <w:p w:rsidR="00337C9E" w:rsidP="00A579AC" w:rsidRDefault="00337C9E" w14:paraId="59603DF0" w14:textId="77777777"/>
    <w:p w:rsidRPr="00475F6D" w:rsidR="00337C9E" w:rsidP="00337C9E" w:rsidRDefault="00337C9E" w14:paraId="2E08483D" w14:textId="0EC5AE36">
      <w:r w:rsidRPr="00475F6D">
        <w:lastRenderedPageBreak/>
        <w:t xml:space="preserve">Daarnaast </w:t>
      </w:r>
      <w:r>
        <w:t>krijgen</w:t>
      </w:r>
      <w:r w:rsidRPr="00475F6D">
        <w:t xml:space="preserve"> </w:t>
      </w:r>
      <w:r>
        <w:t xml:space="preserve">als gevolg van de voorgestelde maatregelen </w:t>
      </w:r>
      <w:r w:rsidRPr="00475F6D">
        <w:t>nog ca. 5</w:t>
      </w:r>
      <w:r>
        <w:t>7</w:t>
      </w:r>
      <w:r w:rsidRPr="00475F6D">
        <w:t xml:space="preserve">.000 huurders </w:t>
      </w:r>
      <w:r>
        <w:t>recht op</w:t>
      </w:r>
      <w:r w:rsidRPr="00475F6D">
        <w:t xml:space="preserve"> huurtoeslag</w:t>
      </w:r>
      <w:r>
        <w:t xml:space="preserve"> in 2026, ten opzichte van 2024</w:t>
      </w:r>
      <w:r w:rsidRPr="00475F6D">
        <w:t xml:space="preserve">. </w:t>
      </w:r>
      <w:r>
        <w:t xml:space="preserve">28.000 hiervan zullen al in 2025 recht krijgen. </w:t>
      </w:r>
      <w:r w:rsidRPr="00475F6D">
        <w:t>Instromers in de huurtoeslag zullen er</w:t>
      </w:r>
      <w:r>
        <w:t xml:space="preserve"> (in 2026)</w:t>
      </w:r>
      <w:r w:rsidRPr="00475F6D">
        <w:t xml:space="preserve"> gemiddeld € 3</w:t>
      </w:r>
      <w:r>
        <w:t>44</w:t>
      </w:r>
      <w:r w:rsidRPr="00475F6D">
        <w:t xml:space="preserve"> per jaar op vooruit gaan.</w:t>
      </w:r>
    </w:p>
    <w:p w:rsidR="00337C9E" w:rsidP="00A579AC" w:rsidRDefault="00337C9E" w14:paraId="144EBBC6" w14:textId="77777777"/>
    <w:p w:rsidR="00337C9E" w:rsidP="00A579AC" w:rsidRDefault="00337C9E" w14:paraId="5B86116D" w14:textId="77777777"/>
    <w:p w:rsidRPr="00475F6D" w:rsidR="006C06BD" w:rsidP="00A579AC" w:rsidRDefault="006C06BD" w14:paraId="33AAB121" w14:textId="77777777"/>
    <w:p w:rsidR="00761D3C" w:rsidP="00A579AC" w:rsidRDefault="00761D3C" w14:paraId="720A29AA" w14:textId="31973A6D">
      <w:r w:rsidRPr="00475F6D">
        <w:t>Zie tabel 2 een verdere uitsplitsing van de inkomenseffecten naar verschillende doelgroepen</w:t>
      </w:r>
      <w:r w:rsidRPr="00475F6D" w:rsidR="00C11FFB">
        <w:t>, binnen de huidige huurtoeslagpopulatie (excl. instromers)</w:t>
      </w:r>
      <w:r w:rsidRPr="00475F6D">
        <w:t>. Omdat voor individuele huurtoeslagontvangers sprake kan zijn van interactie-effecten tussen de maatregelen, is het bij de integrale doorrekening niet mogelijk om uitkomsten specifiek aan één maatregel toe te schrijven, met uitzondering van de generieke verlaging van de eigen bijdrage</w:t>
      </w:r>
      <w:r w:rsidR="00337C9E">
        <w:t xml:space="preserve"> vanaf 2026</w:t>
      </w:r>
      <w:r w:rsidRPr="00475F6D">
        <w:t>. In paragraaf 3.1.2 wordt aan de hand van een aantal casussen het effect van de individuele maatregelen verder toegelicht.</w:t>
      </w:r>
    </w:p>
    <w:p w:rsidR="00337C9E" w:rsidP="00A579AC" w:rsidRDefault="00337C9E" w14:paraId="4963F4CD" w14:textId="77777777"/>
    <w:p w:rsidRPr="00475F6D" w:rsidR="00337C9E" w:rsidP="00337C9E" w:rsidRDefault="00337C9E" w14:paraId="13DFCB2F" w14:textId="11E5A27C">
      <w:pPr>
        <w:pStyle w:val="Tabel"/>
        <w:spacing w:line="240" w:lineRule="atLeast"/>
      </w:pPr>
      <w:r w:rsidRPr="00475F6D">
        <w:t xml:space="preserve">Tabel </w:t>
      </w:r>
      <w:r w:rsidR="009205A3">
        <w:t>2</w:t>
      </w:r>
      <w:r w:rsidRPr="00475F6D">
        <w:t xml:space="preserve"> Inkomenseffecten</w:t>
      </w:r>
      <w:r>
        <w:t xml:space="preserve"> in 2026 – alle maatregelen - </w:t>
      </w:r>
      <w:r w:rsidRPr="00475F6D">
        <w:t>huidige huurtoeslagpopulatie in € p/jaar, afgerond op hele bedragen. Aantallen afgerond op duizend</w:t>
      </w:r>
    </w:p>
    <w:tbl>
      <w:tblPr>
        <w:tblStyle w:val="Tabelraster"/>
        <w:tblW w:w="0" w:type="auto"/>
        <w:tblBorders>
          <w:left w:val="none" w:color="auto" w:sz="0" w:space="0"/>
          <w:right w:val="none" w:color="auto" w:sz="0" w:space="0"/>
        </w:tblBorders>
        <w:tblCellMar>
          <w:top w:w="57" w:type="dxa"/>
          <w:bottom w:w="57" w:type="dxa"/>
        </w:tblCellMar>
        <w:tblLook w:val="04A0" w:firstRow="1" w:lastRow="0" w:firstColumn="1" w:lastColumn="0" w:noHBand="0" w:noVBand="1"/>
      </w:tblPr>
      <w:tblGrid>
        <w:gridCol w:w="3517"/>
        <w:gridCol w:w="1392"/>
        <w:gridCol w:w="1369"/>
        <w:gridCol w:w="1369"/>
        <w:gridCol w:w="1369"/>
      </w:tblGrid>
      <w:tr w:rsidRPr="00475F6D" w:rsidR="00337C9E" w:rsidTr="007B044A" w14:paraId="101C2AA3" w14:textId="77777777">
        <w:tc>
          <w:tcPr>
            <w:tcW w:w="3517" w:type="dxa"/>
          </w:tcPr>
          <w:p w:rsidRPr="00475F6D" w:rsidR="00337C9E" w:rsidP="007B044A" w:rsidRDefault="00337C9E" w14:paraId="0B828A4B" w14:textId="77777777">
            <w:pPr>
              <w:pStyle w:val="Tabel"/>
              <w:spacing w:line="240" w:lineRule="atLeast"/>
            </w:pPr>
          </w:p>
        </w:tc>
        <w:tc>
          <w:tcPr>
            <w:tcW w:w="1392" w:type="dxa"/>
          </w:tcPr>
          <w:p w:rsidRPr="00475F6D" w:rsidR="00337C9E" w:rsidP="007B044A" w:rsidRDefault="00337C9E" w14:paraId="2A0005E9" w14:textId="77777777">
            <w:pPr>
              <w:pStyle w:val="Tabel"/>
              <w:spacing w:line="240" w:lineRule="atLeast"/>
            </w:pPr>
            <w:r w:rsidRPr="00475F6D">
              <w:t>Gemiddeld effect</w:t>
            </w:r>
          </w:p>
        </w:tc>
        <w:tc>
          <w:tcPr>
            <w:tcW w:w="1369" w:type="dxa"/>
          </w:tcPr>
          <w:p w:rsidRPr="00475F6D" w:rsidR="00337C9E" w:rsidP="007B044A" w:rsidRDefault="00337C9E" w14:paraId="5DEF8AFE" w14:textId="77777777">
            <w:pPr>
              <w:pStyle w:val="Tabel"/>
              <w:spacing w:line="240" w:lineRule="atLeast"/>
            </w:pPr>
            <w:r w:rsidRPr="00475F6D">
              <w:t>Minimaal effect</w:t>
            </w:r>
          </w:p>
        </w:tc>
        <w:tc>
          <w:tcPr>
            <w:tcW w:w="1369" w:type="dxa"/>
          </w:tcPr>
          <w:p w:rsidRPr="00475F6D" w:rsidR="00337C9E" w:rsidP="007B044A" w:rsidRDefault="00337C9E" w14:paraId="49B419D3" w14:textId="77777777">
            <w:pPr>
              <w:pStyle w:val="Tabel"/>
              <w:spacing w:line="240" w:lineRule="atLeast"/>
            </w:pPr>
            <w:r w:rsidRPr="00475F6D">
              <w:t>Maximaal effect</w:t>
            </w:r>
          </w:p>
        </w:tc>
        <w:tc>
          <w:tcPr>
            <w:tcW w:w="1369" w:type="dxa"/>
          </w:tcPr>
          <w:p w:rsidRPr="00475F6D" w:rsidR="00337C9E" w:rsidP="007B044A" w:rsidRDefault="00337C9E" w14:paraId="1D4F8E8B" w14:textId="77777777">
            <w:pPr>
              <w:pStyle w:val="Tabel"/>
              <w:spacing w:line="240" w:lineRule="atLeast"/>
            </w:pPr>
            <w:r w:rsidRPr="00475F6D">
              <w:t>Aantal huishoudens</w:t>
            </w:r>
          </w:p>
        </w:tc>
      </w:tr>
      <w:tr w:rsidRPr="00475F6D" w:rsidR="00337C9E" w:rsidTr="007B044A" w14:paraId="55FC1FAA" w14:textId="77777777">
        <w:tc>
          <w:tcPr>
            <w:tcW w:w="3517" w:type="dxa"/>
            <w:tcBorders>
              <w:bottom w:val="single" w:color="auto" w:sz="4" w:space="0"/>
            </w:tcBorders>
            <w:vAlign w:val="bottom"/>
          </w:tcPr>
          <w:p w:rsidRPr="00475F6D" w:rsidR="00337C9E" w:rsidP="007B044A" w:rsidRDefault="00337C9E" w14:paraId="239C7546" w14:textId="77777777">
            <w:pPr>
              <w:pStyle w:val="Tabel"/>
              <w:spacing w:line="240" w:lineRule="atLeast"/>
            </w:pPr>
            <w:r w:rsidRPr="00475F6D">
              <w:t>Huidige huurtoeslagpopulatie</w:t>
            </w:r>
          </w:p>
        </w:tc>
        <w:tc>
          <w:tcPr>
            <w:tcW w:w="1392" w:type="dxa"/>
            <w:tcBorders>
              <w:bottom w:val="single" w:color="auto" w:sz="4" w:space="0"/>
            </w:tcBorders>
            <w:vAlign w:val="center"/>
          </w:tcPr>
          <w:p w:rsidRPr="00475F6D" w:rsidR="00337C9E" w:rsidP="007B044A" w:rsidRDefault="00337C9E" w14:paraId="444BD1E6" w14:textId="77777777">
            <w:pPr>
              <w:pStyle w:val="Tabel"/>
              <w:jc w:val="right"/>
            </w:pPr>
            <w:r w:rsidRPr="00BF4009">
              <w:t xml:space="preserve"> € 316 </w:t>
            </w:r>
          </w:p>
        </w:tc>
        <w:tc>
          <w:tcPr>
            <w:tcW w:w="1369" w:type="dxa"/>
            <w:tcBorders>
              <w:bottom w:val="single" w:color="auto" w:sz="4" w:space="0"/>
            </w:tcBorders>
            <w:vAlign w:val="center"/>
          </w:tcPr>
          <w:p w:rsidRPr="00475F6D" w:rsidR="00337C9E" w:rsidP="007B044A" w:rsidRDefault="00337C9E" w14:paraId="2BC04BBC" w14:textId="77777777">
            <w:pPr>
              <w:pStyle w:val="Tabel"/>
              <w:jc w:val="right"/>
            </w:pPr>
            <w:r w:rsidRPr="00BF4009">
              <w:t xml:space="preserve"> € 139 </w:t>
            </w:r>
          </w:p>
        </w:tc>
        <w:tc>
          <w:tcPr>
            <w:tcW w:w="1369" w:type="dxa"/>
            <w:tcBorders>
              <w:bottom w:val="single" w:color="auto" w:sz="4" w:space="0"/>
            </w:tcBorders>
            <w:vAlign w:val="center"/>
          </w:tcPr>
          <w:p w:rsidRPr="00475F6D" w:rsidR="00337C9E" w:rsidP="007B044A" w:rsidRDefault="00337C9E" w14:paraId="0B262359" w14:textId="77777777">
            <w:pPr>
              <w:pStyle w:val="Tabel"/>
              <w:jc w:val="right"/>
            </w:pPr>
            <w:r w:rsidRPr="00BF4009">
              <w:t xml:space="preserve"> € 1.394 </w:t>
            </w:r>
          </w:p>
        </w:tc>
        <w:tc>
          <w:tcPr>
            <w:tcW w:w="1369" w:type="dxa"/>
            <w:tcBorders>
              <w:bottom w:val="single" w:color="auto" w:sz="4" w:space="0"/>
            </w:tcBorders>
            <w:vAlign w:val="center"/>
          </w:tcPr>
          <w:p w:rsidRPr="00475F6D" w:rsidR="00337C9E" w:rsidP="007B044A" w:rsidRDefault="00337C9E" w14:paraId="5126BBB6" w14:textId="77777777">
            <w:pPr>
              <w:pStyle w:val="Tabel"/>
              <w:jc w:val="right"/>
            </w:pPr>
            <w:r w:rsidRPr="00BF4009">
              <w:t xml:space="preserve"> 1.431.000 </w:t>
            </w:r>
          </w:p>
        </w:tc>
      </w:tr>
      <w:tr w:rsidRPr="00475F6D" w:rsidR="00337C9E" w:rsidTr="007B044A" w14:paraId="043A5A83" w14:textId="77777777">
        <w:tc>
          <w:tcPr>
            <w:tcW w:w="3517" w:type="dxa"/>
            <w:tcBorders>
              <w:right w:val="nil"/>
            </w:tcBorders>
            <w:vAlign w:val="bottom"/>
          </w:tcPr>
          <w:p w:rsidRPr="00475F6D" w:rsidR="00337C9E" w:rsidP="007B044A" w:rsidRDefault="00337C9E" w14:paraId="4457A1D6" w14:textId="77777777">
            <w:pPr>
              <w:pStyle w:val="Tabel"/>
              <w:spacing w:line="240" w:lineRule="atLeast"/>
              <w:rPr>
                <w:b/>
                <w:bCs/>
              </w:rPr>
            </w:pPr>
            <w:r w:rsidRPr="00475F6D">
              <w:rPr>
                <w:b/>
                <w:bCs/>
                <w:lang w:eastAsia="nl-NL"/>
              </w:rPr>
              <w:t>Inkomensgroep</w:t>
            </w:r>
          </w:p>
        </w:tc>
        <w:tc>
          <w:tcPr>
            <w:tcW w:w="1392" w:type="dxa"/>
            <w:tcBorders>
              <w:left w:val="nil"/>
              <w:right w:val="nil"/>
            </w:tcBorders>
            <w:vAlign w:val="center"/>
          </w:tcPr>
          <w:p w:rsidRPr="00475F6D" w:rsidR="00337C9E" w:rsidP="007B044A" w:rsidRDefault="00337C9E" w14:paraId="70E869DA" w14:textId="77777777">
            <w:pPr>
              <w:pStyle w:val="Tabel"/>
              <w:jc w:val="right"/>
            </w:pPr>
          </w:p>
        </w:tc>
        <w:tc>
          <w:tcPr>
            <w:tcW w:w="1369" w:type="dxa"/>
            <w:tcBorders>
              <w:left w:val="nil"/>
              <w:right w:val="nil"/>
            </w:tcBorders>
            <w:vAlign w:val="center"/>
          </w:tcPr>
          <w:p w:rsidRPr="00475F6D" w:rsidR="00337C9E" w:rsidP="007B044A" w:rsidRDefault="00337C9E" w14:paraId="1F31CB9B" w14:textId="77777777">
            <w:pPr>
              <w:pStyle w:val="Tabel"/>
              <w:jc w:val="right"/>
            </w:pPr>
          </w:p>
        </w:tc>
        <w:tc>
          <w:tcPr>
            <w:tcW w:w="1369" w:type="dxa"/>
            <w:tcBorders>
              <w:left w:val="nil"/>
              <w:right w:val="nil"/>
            </w:tcBorders>
            <w:vAlign w:val="center"/>
          </w:tcPr>
          <w:p w:rsidRPr="00475F6D" w:rsidR="00337C9E" w:rsidP="007B044A" w:rsidRDefault="00337C9E" w14:paraId="545CB314" w14:textId="77777777">
            <w:pPr>
              <w:pStyle w:val="Tabel"/>
              <w:jc w:val="right"/>
            </w:pPr>
          </w:p>
        </w:tc>
        <w:tc>
          <w:tcPr>
            <w:tcW w:w="1369" w:type="dxa"/>
            <w:tcBorders>
              <w:left w:val="nil"/>
            </w:tcBorders>
            <w:vAlign w:val="center"/>
          </w:tcPr>
          <w:p w:rsidRPr="00475F6D" w:rsidR="00337C9E" w:rsidP="007B044A" w:rsidRDefault="00337C9E" w14:paraId="034EE1D5" w14:textId="77777777">
            <w:pPr>
              <w:pStyle w:val="Tabel"/>
              <w:jc w:val="right"/>
            </w:pPr>
          </w:p>
        </w:tc>
      </w:tr>
      <w:tr w:rsidRPr="00475F6D" w:rsidR="00337C9E" w:rsidTr="007B044A" w14:paraId="364AFB23" w14:textId="77777777">
        <w:tc>
          <w:tcPr>
            <w:tcW w:w="3517" w:type="dxa"/>
            <w:vAlign w:val="bottom"/>
          </w:tcPr>
          <w:p w:rsidRPr="00475F6D" w:rsidR="00337C9E" w:rsidP="007B044A" w:rsidRDefault="00337C9E" w14:paraId="4DAEF48F" w14:textId="77777777">
            <w:pPr>
              <w:pStyle w:val="Tabel"/>
              <w:spacing w:line="240" w:lineRule="atLeast"/>
            </w:pPr>
            <w:r w:rsidRPr="00475F6D">
              <w:rPr>
                <w:lang w:eastAsia="nl-NL"/>
              </w:rPr>
              <w:t>1e (&lt;=111% WML)</w:t>
            </w:r>
          </w:p>
        </w:tc>
        <w:tc>
          <w:tcPr>
            <w:tcW w:w="1392" w:type="dxa"/>
            <w:vAlign w:val="center"/>
          </w:tcPr>
          <w:p w:rsidRPr="00475F6D" w:rsidR="00337C9E" w:rsidP="007B044A" w:rsidRDefault="00337C9E" w14:paraId="4BE8FFC9" w14:textId="77777777">
            <w:pPr>
              <w:pStyle w:val="Tabel"/>
              <w:jc w:val="right"/>
            </w:pPr>
            <w:r w:rsidRPr="00BF4009">
              <w:t xml:space="preserve"> € 220 </w:t>
            </w:r>
          </w:p>
        </w:tc>
        <w:tc>
          <w:tcPr>
            <w:tcW w:w="1369" w:type="dxa"/>
            <w:vAlign w:val="center"/>
          </w:tcPr>
          <w:p w:rsidRPr="00475F6D" w:rsidR="00337C9E" w:rsidP="007B044A" w:rsidRDefault="00337C9E" w14:paraId="44A99783" w14:textId="77777777">
            <w:pPr>
              <w:pStyle w:val="Tabel"/>
              <w:jc w:val="right"/>
            </w:pPr>
            <w:r w:rsidRPr="00BF4009">
              <w:t xml:space="preserve"> € 139 </w:t>
            </w:r>
          </w:p>
        </w:tc>
        <w:tc>
          <w:tcPr>
            <w:tcW w:w="1369" w:type="dxa"/>
            <w:vAlign w:val="center"/>
          </w:tcPr>
          <w:p w:rsidRPr="00475F6D" w:rsidR="00337C9E" w:rsidP="007B044A" w:rsidRDefault="00337C9E" w14:paraId="39266018" w14:textId="77777777">
            <w:pPr>
              <w:pStyle w:val="Tabel"/>
              <w:jc w:val="right"/>
            </w:pPr>
            <w:r w:rsidRPr="00BF4009">
              <w:t xml:space="preserve"> € 1.272 </w:t>
            </w:r>
          </w:p>
        </w:tc>
        <w:tc>
          <w:tcPr>
            <w:tcW w:w="1369" w:type="dxa"/>
            <w:vAlign w:val="center"/>
          </w:tcPr>
          <w:p w:rsidRPr="00475F6D" w:rsidR="00337C9E" w:rsidP="007B044A" w:rsidRDefault="00337C9E" w14:paraId="10415AF4" w14:textId="77777777">
            <w:pPr>
              <w:pStyle w:val="Tabel"/>
              <w:jc w:val="right"/>
            </w:pPr>
            <w:r w:rsidRPr="00BF4009">
              <w:t xml:space="preserve"> 1.012.000 </w:t>
            </w:r>
          </w:p>
        </w:tc>
      </w:tr>
      <w:tr w:rsidRPr="00475F6D" w:rsidR="00337C9E" w:rsidTr="007B044A" w14:paraId="5D21BB99" w14:textId="77777777">
        <w:tc>
          <w:tcPr>
            <w:tcW w:w="3517" w:type="dxa"/>
            <w:vAlign w:val="bottom"/>
          </w:tcPr>
          <w:p w:rsidRPr="00475F6D" w:rsidR="00337C9E" w:rsidP="007B044A" w:rsidRDefault="00337C9E" w14:paraId="759145E7" w14:textId="77777777">
            <w:pPr>
              <w:pStyle w:val="Tabel"/>
              <w:spacing w:line="240" w:lineRule="atLeast"/>
            </w:pPr>
            <w:r w:rsidRPr="00475F6D">
              <w:rPr>
                <w:lang w:eastAsia="nl-NL"/>
              </w:rPr>
              <w:t>2e (111-177% WML)</w:t>
            </w:r>
          </w:p>
        </w:tc>
        <w:tc>
          <w:tcPr>
            <w:tcW w:w="1392" w:type="dxa"/>
            <w:vAlign w:val="center"/>
          </w:tcPr>
          <w:p w:rsidRPr="00475F6D" w:rsidR="00337C9E" w:rsidP="007B044A" w:rsidRDefault="00337C9E" w14:paraId="6133A71A" w14:textId="77777777">
            <w:pPr>
              <w:pStyle w:val="Tabel"/>
              <w:jc w:val="right"/>
            </w:pPr>
            <w:r w:rsidRPr="00BF4009">
              <w:t xml:space="preserve"> € 546 </w:t>
            </w:r>
          </w:p>
        </w:tc>
        <w:tc>
          <w:tcPr>
            <w:tcW w:w="1369" w:type="dxa"/>
            <w:vAlign w:val="center"/>
          </w:tcPr>
          <w:p w:rsidRPr="00475F6D" w:rsidR="00337C9E" w:rsidP="007B044A" w:rsidRDefault="00337C9E" w14:paraId="159E77C6" w14:textId="77777777">
            <w:pPr>
              <w:pStyle w:val="Tabel"/>
              <w:jc w:val="right"/>
            </w:pPr>
            <w:r w:rsidRPr="00BF4009">
              <w:t xml:space="preserve"> € 139 </w:t>
            </w:r>
          </w:p>
        </w:tc>
        <w:tc>
          <w:tcPr>
            <w:tcW w:w="1369" w:type="dxa"/>
            <w:vAlign w:val="center"/>
          </w:tcPr>
          <w:p w:rsidRPr="00475F6D" w:rsidR="00337C9E" w:rsidP="007B044A" w:rsidRDefault="00337C9E" w14:paraId="7B65ACE9" w14:textId="77777777">
            <w:pPr>
              <w:pStyle w:val="Tabel"/>
              <w:jc w:val="right"/>
            </w:pPr>
            <w:r w:rsidRPr="00BF4009">
              <w:t xml:space="preserve"> € 1.394 </w:t>
            </w:r>
          </w:p>
        </w:tc>
        <w:tc>
          <w:tcPr>
            <w:tcW w:w="1369" w:type="dxa"/>
            <w:vAlign w:val="center"/>
          </w:tcPr>
          <w:p w:rsidRPr="00475F6D" w:rsidR="00337C9E" w:rsidP="007B044A" w:rsidRDefault="00337C9E" w14:paraId="06A75983" w14:textId="77777777">
            <w:pPr>
              <w:pStyle w:val="Tabel"/>
              <w:jc w:val="right"/>
            </w:pPr>
            <w:r w:rsidRPr="00BF4009">
              <w:t xml:space="preserve"> 399.000 </w:t>
            </w:r>
          </w:p>
        </w:tc>
      </w:tr>
      <w:tr w:rsidRPr="00475F6D" w:rsidR="00337C9E" w:rsidTr="007B044A" w14:paraId="096927FF" w14:textId="77777777">
        <w:tc>
          <w:tcPr>
            <w:tcW w:w="3517" w:type="dxa"/>
            <w:tcBorders>
              <w:bottom w:val="single" w:color="auto" w:sz="4" w:space="0"/>
            </w:tcBorders>
            <w:vAlign w:val="bottom"/>
          </w:tcPr>
          <w:p w:rsidRPr="00475F6D" w:rsidR="00337C9E" w:rsidP="007B044A" w:rsidRDefault="00337C9E" w14:paraId="7226C195" w14:textId="77777777">
            <w:pPr>
              <w:pStyle w:val="Tabel"/>
              <w:spacing w:line="240" w:lineRule="atLeast"/>
            </w:pPr>
            <w:r w:rsidRPr="00475F6D">
              <w:rPr>
                <w:lang w:eastAsia="nl-NL"/>
              </w:rPr>
              <w:t>3e (&gt;177% WML)</w:t>
            </w:r>
          </w:p>
        </w:tc>
        <w:tc>
          <w:tcPr>
            <w:tcW w:w="1392" w:type="dxa"/>
            <w:tcBorders>
              <w:bottom w:val="single" w:color="auto" w:sz="4" w:space="0"/>
            </w:tcBorders>
            <w:vAlign w:val="center"/>
          </w:tcPr>
          <w:p w:rsidRPr="00475F6D" w:rsidR="00337C9E" w:rsidP="007B044A" w:rsidRDefault="00337C9E" w14:paraId="53DD6BA3" w14:textId="77777777">
            <w:pPr>
              <w:pStyle w:val="Tabel"/>
              <w:jc w:val="right"/>
            </w:pPr>
            <w:r w:rsidRPr="00BF4009">
              <w:t xml:space="preserve"> € 611 </w:t>
            </w:r>
          </w:p>
        </w:tc>
        <w:tc>
          <w:tcPr>
            <w:tcW w:w="1369" w:type="dxa"/>
            <w:tcBorders>
              <w:bottom w:val="single" w:color="auto" w:sz="4" w:space="0"/>
            </w:tcBorders>
            <w:vAlign w:val="center"/>
          </w:tcPr>
          <w:p w:rsidRPr="00475F6D" w:rsidR="00337C9E" w:rsidP="007B044A" w:rsidRDefault="00337C9E" w14:paraId="70772574" w14:textId="77777777">
            <w:pPr>
              <w:pStyle w:val="Tabel"/>
              <w:jc w:val="right"/>
            </w:pPr>
            <w:r w:rsidRPr="00BF4009">
              <w:t xml:space="preserve"> € 333 </w:t>
            </w:r>
          </w:p>
        </w:tc>
        <w:tc>
          <w:tcPr>
            <w:tcW w:w="1369" w:type="dxa"/>
            <w:tcBorders>
              <w:bottom w:val="single" w:color="auto" w:sz="4" w:space="0"/>
            </w:tcBorders>
            <w:vAlign w:val="center"/>
          </w:tcPr>
          <w:p w:rsidRPr="00475F6D" w:rsidR="00337C9E" w:rsidP="007B044A" w:rsidRDefault="00337C9E" w14:paraId="25E4B9CB" w14:textId="77777777">
            <w:pPr>
              <w:pStyle w:val="Tabel"/>
              <w:jc w:val="right"/>
            </w:pPr>
            <w:r w:rsidRPr="00BF4009">
              <w:t xml:space="preserve"> € 1.160 </w:t>
            </w:r>
          </w:p>
        </w:tc>
        <w:tc>
          <w:tcPr>
            <w:tcW w:w="1369" w:type="dxa"/>
            <w:tcBorders>
              <w:bottom w:val="single" w:color="auto" w:sz="4" w:space="0"/>
            </w:tcBorders>
            <w:vAlign w:val="center"/>
          </w:tcPr>
          <w:p w:rsidRPr="00475F6D" w:rsidR="00337C9E" w:rsidP="007B044A" w:rsidRDefault="00337C9E" w14:paraId="52B874E4" w14:textId="77777777">
            <w:pPr>
              <w:pStyle w:val="Tabel"/>
              <w:jc w:val="right"/>
            </w:pPr>
            <w:r w:rsidRPr="00BF4009">
              <w:t xml:space="preserve"> 21.000 </w:t>
            </w:r>
          </w:p>
        </w:tc>
      </w:tr>
      <w:tr w:rsidRPr="00475F6D" w:rsidR="00337C9E" w:rsidTr="007B044A" w14:paraId="193F2F8F" w14:textId="77777777">
        <w:tc>
          <w:tcPr>
            <w:tcW w:w="3517" w:type="dxa"/>
            <w:tcBorders>
              <w:right w:val="nil"/>
            </w:tcBorders>
            <w:vAlign w:val="bottom"/>
          </w:tcPr>
          <w:p w:rsidRPr="00475F6D" w:rsidR="00337C9E" w:rsidP="007B044A" w:rsidRDefault="00337C9E" w14:paraId="22301AF6" w14:textId="77777777">
            <w:pPr>
              <w:pStyle w:val="Tabel"/>
              <w:spacing w:line="240" w:lineRule="atLeast"/>
              <w:rPr>
                <w:b/>
                <w:bCs/>
              </w:rPr>
            </w:pPr>
            <w:r w:rsidRPr="00475F6D">
              <w:rPr>
                <w:b/>
                <w:bCs/>
                <w:lang w:eastAsia="nl-NL"/>
              </w:rPr>
              <w:t>Inkomensbron</w:t>
            </w:r>
          </w:p>
        </w:tc>
        <w:tc>
          <w:tcPr>
            <w:tcW w:w="1392" w:type="dxa"/>
            <w:tcBorders>
              <w:left w:val="nil"/>
              <w:right w:val="nil"/>
            </w:tcBorders>
            <w:vAlign w:val="center"/>
          </w:tcPr>
          <w:p w:rsidRPr="00475F6D" w:rsidR="00337C9E" w:rsidP="007B044A" w:rsidRDefault="00337C9E" w14:paraId="2A87011F" w14:textId="77777777">
            <w:pPr>
              <w:pStyle w:val="Tabel"/>
              <w:jc w:val="right"/>
            </w:pPr>
          </w:p>
        </w:tc>
        <w:tc>
          <w:tcPr>
            <w:tcW w:w="1369" w:type="dxa"/>
            <w:tcBorders>
              <w:left w:val="nil"/>
              <w:right w:val="nil"/>
            </w:tcBorders>
            <w:vAlign w:val="center"/>
          </w:tcPr>
          <w:p w:rsidRPr="00475F6D" w:rsidR="00337C9E" w:rsidP="007B044A" w:rsidRDefault="00337C9E" w14:paraId="1842CD1E" w14:textId="77777777">
            <w:pPr>
              <w:pStyle w:val="Tabel"/>
              <w:jc w:val="right"/>
            </w:pPr>
          </w:p>
        </w:tc>
        <w:tc>
          <w:tcPr>
            <w:tcW w:w="1369" w:type="dxa"/>
            <w:tcBorders>
              <w:left w:val="nil"/>
              <w:right w:val="nil"/>
            </w:tcBorders>
            <w:vAlign w:val="center"/>
          </w:tcPr>
          <w:p w:rsidRPr="00475F6D" w:rsidR="00337C9E" w:rsidP="007B044A" w:rsidRDefault="00337C9E" w14:paraId="55C3BCFB" w14:textId="77777777">
            <w:pPr>
              <w:pStyle w:val="Tabel"/>
              <w:jc w:val="right"/>
            </w:pPr>
          </w:p>
        </w:tc>
        <w:tc>
          <w:tcPr>
            <w:tcW w:w="1369" w:type="dxa"/>
            <w:tcBorders>
              <w:left w:val="nil"/>
            </w:tcBorders>
            <w:vAlign w:val="center"/>
          </w:tcPr>
          <w:p w:rsidRPr="00475F6D" w:rsidR="00337C9E" w:rsidP="007B044A" w:rsidRDefault="00337C9E" w14:paraId="5135D528" w14:textId="77777777">
            <w:pPr>
              <w:pStyle w:val="Tabel"/>
              <w:jc w:val="right"/>
            </w:pPr>
          </w:p>
        </w:tc>
      </w:tr>
      <w:tr w:rsidRPr="00475F6D" w:rsidR="00337C9E" w:rsidTr="007B044A" w14:paraId="08597E4B" w14:textId="77777777">
        <w:tc>
          <w:tcPr>
            <w:tcW w:w="3517" w:type="dxa"/>
            <w:vAlign w:val="bottom"/>
          </w:tcPr>
          <w:p w:rsidRPr="00475F6D" w:rsidR="00337C9E" w:rsidP="007B044A" w:rsidRDefault="00337C9E" w14:paraId="28103421" w14:textId="77777777">
            <w:pPr>
              <w:pStyle w:val="Tabel"/>
              <w:spacing w:line="240" w:lineRule="atLeast"/>
            </w:pPr>
            <w:r w:rsidRPr="00475F6D">
              <w:rPr>
                <w:lang w:eastAsia="nl-NL"/>
              </w:rPr>
              <w:t>Werkenden</w:t>
            </w:r>
          </w:p>
        </w:tc>
        <w:tc>
          <w:tcPr>
            <w:tcW w:w="1392" w:type="dxa"/>
            <w:vAlign w:val="center"/>
          </w:tcPr>
          <w:p w:rsidRPr="00475F6D" w:rsidR="00337C9E" w:rsidP="007B044A" w:rsidRDefault="00337C9E" w14:paraId="10AC8BCA" w14:textId="77777777">
            <w:pPr>
              <w:pStyle w:val="Tabel"/>
              <w:jc w:val="right"/>
            </w:pPr>
            <w:r w:rsidRPr="00BF4009">
              <w:t xml:space="preserve"> € 420 </w:t>
            </w:r>
          </w:p>
        </w:tc>
        <w:tc>
          <w:tcPr>
            <w:tcW w:w="1369" w:type="dxa"/>
            <w:vAlign w:val="center"/>
          </w:tcPr>
          <w:p w:rsidRPr="00475F6D" w:rsidR="00337C9E" w:rsidP="007B044A" w:rsidRDefault="00337C9E" w14:paraId="467B87E5" w14:textId="77777777">
            <w:pPr>
              <w:pStyle w:val="Tabel"/>
              <w:jc w:val="right"/>
            </w:pPr>
            <w:r w:rsidRPr="00BF4009">
              <w:t xml:space="preserve"> € 139 </w:t>
            </w:r>
          </w:p>
        </w:tc>
        <w:tc>
          <w:tcPr>
            <w:tcW w:w="1369" w:type="dxa"/>
            <w:vAlign w:val="center"/>
          </w:tcPr>
          <w:p w:rsidRPr="00475F6D" w:rsidR="00337C9E" w:rsidP="007B044A" w:rsidRDefault="00337C9E" w14:paraId="0C1928EC" w14:textId="77777777">
            <w:pPr>
              <w:pStyle w:val="Tabel"/>
              <w:jc w:val="right"/>
            </w:pPr>
            <w:r w:rsidRPr="00BF4009">
              <w:t xml:space="preserve"> € 1.394 </w:t>
            </w:r>
          </w:p>
        </w:tc>
        <w:tc>
          <w:tcPr>
            <w:tcW w:w="1369" w:type="dxa"/>
            <w:vAlign w:val="center"/>
          </w:tcPr>
          <w:p w:rsidRPr="00475F6D" w:rsidR="00337C9E" w:rsidP="007B044A" w:rsidRDefault="00337C9E" w14:paraId="3C439936" w14:textId="77777777">
            <w:pPr>
              <w:pStyle w:val="Tabel"/>
              <w:jc w:val="right"/>
            </w:pPr>
            <w:r w:rsidRPr="00BF4009">
              <w:t xml:space="preserve"> 453.000 </w:t>
            </w:r>
          </w:p>
        </w:tc>
      </w:tr>
      <w:tr w:rsidRPr="00475F6D" w:rsidR="00337C9E" w:rsidTr="007B044A" w14:paraId="68C368D5" w14:textId="77777777">
        <w:tc>
          <w:tcPr>
            <w:tcW w:w="3517" w:type="dxa"/>
            <w:vAlign w:val="bottom"/>
          </w:tcPr>
          <w:p w:rsidRPr="00475F6D" w:rsidR="00337C9E" w:rsidP="007B044A" w:rsidRDefault="00337C9E" w14:paraId="6C4EB645" w14:textId="77777777">
            <w:pPr>
              <w:pStyle w:val="Tabel"/>
              <w:spacing w:line="240" w:lineRule="atLeast"/>
            </w:pPr>
            <w:r w:rsidRPr="00475F6D">
              <w:rPr>
                <w:lang w:eastAsia="nl-NL"/>
              </w:rPr>
              <w:t>Uitkeringsgerechtigden</w:t>
            </w:r>
          </w:p>
        </w:tc>
        <w:tc>
          <w:tcPr>
            <w:tcW w:w="1392" w:type="dxa"/>
            <w:vAlign w:val="center"/>
          </w:tcPr>
          <w:p w:rsidRPr="00475F6D" w:rsidR="00337C9E" w:rsidP="007B044A" w:rsidRDefault="00337C9E" w14:paraId="22B369A8" w14:textId="77777777">
            <w:pPr>
              <w:pStyle w:val="Tabel"/>
              <w:jc w:val="right"/>
            </w:pPr>
            <w:r w:rsidRPr="00BF4009">
              <w:t xml:space="preserve"> € 248 </w:t>
            </w:r>
          </w:p>
        </w:tc>
        <w:tc>
          <w:tcPr>
            <w:tcW w:w="1369" w:type="dxa"/>
            <w:vAlign w:val="center"/>
          </w:tcPr>
          <w:p w:rsidRPr="00475F6D" w:rsidR="00337C9E" w:rsidP="007B044A" w:rsidRDefault="00337C9E" w14:paraId="57E91DC8" w14:textId="77777777">
            <w:pPr>
              <w:pStyle w:val="Tabel"/>
              <w:jc w:val="right"/>
            </w:pPr>
            <w:r w:rsidRPr="00BF4009">
              <w:t xml:space="preserve"> € 139 </w:t>
            </w:r>
          </w:p>
        </w:tc>
        <w:tc>
          <w:tcPr>
            <w:tcW w:w="1369" w:type="dxa"/>
            <w:vAlign w:val="center"/>
          </w:tcPr>
          <w:p w:rsidRPr="00475F6D" w:rsidR="00337C9E" w:rsidP="007B044A" w:rsidRDefault="00337C9E" w14:paraId="25287400" w14:textId="77777777">
            <w:pPr>
              <w:pStyle w:val="Tabel"/>
              <w:jc w:val="right"/>
            </w:pPr>
            <w:r w:rsidRPr="00BF4009">
              <w:t xml:space="preserve"> € 1.294 </w:t>
            </w:r>
          </w:p>
        </w:tc>
        <w:tc>
          <w:tcPr>
            <w:tcW w:w="1369" w:type="dxa"/>
            <w:vAlign w:val="center"/>
          </w:tcPr>
          <w:p w:rsidRPr="00475F6D" w:rsidR="00337C9E" w:rsidP="007B044A" w:rsidRDefault="00337C9E" w14:paraId="1BF6DE86" w14:textId="77777777">
            <w:pPr>
              <w:pStyle w:val="Tabel"/>
              <w:jc w:val="right"/>
            </w:pPr>
            <w:r w:rsidRPr="00BF4009">
              <w:t xml:space="preserve"> 428.000 </w:t>
            </w:r>
          </w:p>
        </w:tc>
      </w:tr>
      <w:tr w:rsidRPr="00475F6D" w:rsidR="00337C9E" w:rsidTr="007B044A" w14:paraId="286FFF30" w14:textId="77777777">
        <w:tc>
          <w:tcPr>
            <w:tcW w:w="3517" w:type="dxa"/>
            <w:tcBorders>
              <w:bottom w:val="single" w:color="auto" w:sz="4" w:space="0"/>
            </w:tcBorders>
            <w:vAlign w:val="bottom"/>
          </w:tcPr>
          <w:p w:rsidRPr="00475F6D" w:rsidR="00337C9E" w:rsidP="007B044A" w:rsidRDefault="00337C9E" w14:paraId="2B99AF63" w14:textId="77777777">
            <w:pPr>
              <w:pStyle w:val="Tabel"/>
              <w:spacing w:line="240" w:lineRule="atLeast"/>
            </w:pPr>
            <w:r w:rsidRPr="00475F6D">
              <w:rPr>
                <w:lang w:eastAsia="nl-NL"/>
              </w:rPr>
              <w:t>Gepensioneerden</w:t>
            </w:r>
          </w:p>
        </w:tc>
        <w:tc>
          <w:tcPr>
            <w:tcW w:w="1392" w:type="dxa"/>
            <w:tcBorders>
              <w:bottom w:val="single" w:color="auto" w:sz="4" w:space="0"/>
            </w:tcBorders>
            <w:vAlign w:val="center"/>
          </w:tcPr>
          <w:p w:rsidRPr="00475F6D" w:rsidR="00337C9E" w:rsidP="007B044A" w:rsidRDefault="00337C9E" w14:paraId="41EA340B" w14:textId="77777777">
            <w:pPr>
              <w:pStyle w:val="Tabel"/>
              <w:jc w:val="right"/>
            </w:pPr>
            <w:r w:rsidRPr="00BF4009">
              <w:t xml:space="preserve"> € 284 </w:t>
            </w:r>
          </w:p>
        </w:tc>
        <w:tc>
          <w:tcPr>
            <w:tcW w:w="1369" w:type="dxa"/>
            <w:tcBorders>
              <w:bottom w:val="single" w:color="auto" w:sz="4" w:space="0"/>
            </w:tcBorders>
            <w:vAlign w:val="center"/>
          </w:tcPr>
          <w:p w:rsidRPr="00475F6D" w:rsidR="00337C9E" w:rsidP="007B044A" w:rsidRDefault="00337C9E" w14:paraId="50DB63FC" w14:textId="77777777">
            <w:pPr>
              <w:pStyle w:val="Tabel"/>
              <w:jc w:val="right"/>
            </w:pPr>
            <w:r w:rsidRPr="00BF4009">
              <w:t xml:space="preserve"> € 139 </w:t>
            </w:r>
          </w:p>
        </w:tc>
        <w:tc>
          <w:tcPr>
            <w:tcW w:w="1369" w:type="dxa"/>
            <w:tcBorders>
              <w:bottom w:val="single" w:color="auto" w:sz="4" w:space="0"/>
            </w:tcBorders>
            <w:vAlign w:val="center"/>
          </w:tcPr>
          <w:p w:rsidRPr="00475F6D" w:rsidR="00337C9E" w:rsidP="007B044A" w:rsidRDefault="00337C9E" w14:paraId="0B979A29" w14:textId="77777777">
            <w:pPr>
              <w:pStyle w:val="Tabel"/>
              <w:jc w:val="right"/>
            </w:pPr>
            <w:r w:rsidRPr="00BF4009">
              <w:t xml:space="preserve"> € 1.247 </w:t>
            </w:r>
          </w:p>
        </w:tc>
        <w:tc>
          <w:tcPr>
            <w:tcW w:w="1369" w:type="dxa"/>
            <w:tcBorders>
              <w:bottom w:val="single" w:color="auto" w:sz="4" w:space="0"/>
            </w:tcBorders>
            <w:vAlign w:val="center"/>
          </w:tcPr>
          <w:p w:rsidRPr="00475F6D" w:rsidR="00337C9E" w:rsidP="007B044A" w:rsidRDefault="00337C9E" w14:paraId="5201C1AE" w14:textId="77777777">
            <w:pPr>
              <w:pStyle w:val="Tabel"/>
              <w:jc w:val="right"/>
            </w:pPr>
            <w:r w:rsidRPr="00BF4009">
              <w:t xml:space="preserve"> 550.000 </w:t>
            </w:r>
          </w:p>
        </w:tc>
      </w:tr>
      <w:tr w:rsidRPr="00475F6D" w:rsidR="00337C9E" w:rsidTr="007B044A" w14:paraId="04EEBD33" w14:textId="77777777">
        <w:tc>
          <w:tcPr>
            <w:tcW w:w="3517" w:type="dxa"/>
            <w:tcBorders>
              <w:right w:val="nil"/>
            </w:tcBorders>
            <w:vAlign w:val="bottom"/>
          </w:tcPr>
          <w:p w:rsidRPr="00475F6D" w:rsidR="00337C9E" w:rsidP="007B044A" w:rsidRDefault="00337C9E" w14:paraId="6B9D9925" w14:textId="77777777">
            <w:pPr>
              <w:pStyle w:val="Tabel"/>
              <w:spacing w:line="240" w:lineRule="atLeast"/>
              <w:rPr>
                <w:b/>
                <w:bCs/>
              </w:rPr>
            </w:pPr>
            <w:r w:rsidRPr="00475F6D">
              <w:rPr>
                <w:b/>
                <w:bCs/>
                <w:lang w:eastAsia="nl-NL"/>
              </w:rPr>
              <w:t>Huishoudtype</w:t>
            </w:r>
          </w:p>
        </w:tc>
        <w:tc>
          <w:tcPr>
            <w:tcW w:w="1392" w:type="dxa"/>
            <w:tcBorders>
              <w:left w:val="nil"/>
              <w:right w:val="nil"/>
            </w:tcBorders>
            <w:vAlign w:val="center"/>
          </w:tcPr>
          <w:p w:rsidRPr="00475F6D" w:rsidR="00337C9E" w:rsidP="007B044A" w:rsidRDefault="00337C9E" w14:paraId="18090FF0" w14:textId="77777777">
            <w:pPr>
              <w:pStyle w:val="Tabel"/>
              <w:jc w:val="right"/>
            </w:pPr>
          </w:p>
        </w:tc>
        <w:tc>
          <w:tcPr>
            <w:tcW w:w="1369" w:type="dxa"/>
            <w:tcBorders>
              <w:left w:val="nil"/>
              <w:right w:val="nil"/>
            </w:tcBorders>
            <w:vAlign w:val="center"/>
          </w:tcPr>
          <w:p w:rsidRPr="00475F6D" w:rsidR="00337C9E" w:rsidP="007B044A" w:rsidRDefault="00337C9E" w14:paraId="2EB52874" w14:textId="77777777">
            <w:pPr>
              <w:pStyle w:val="Tabel"/>
              <w:jc w:val="right"/>
            </w:pPr>
          </w:p>
        </w:tc>
        <w:tc>
          <w:tcPr>
            <w:tcW w:w="1369" w:type="dxa"/>
            <w:tcBorders>
              <w:left w:val="nil"/>
              <w:right w:val="nil"/>
            </w:tcBorders>
            <w:vAlign w:val="center"/>
          </w:tcPr>
          <w:p w:rsidRPr="00475F6D" w:rsidR="00337C9E" w:rsidP="007B044A" w:rsidRDefault="00337C9E" w14:paraId="76DDC1CE" w14:textId="77777777">
            <w:pPr>
              <w:pStyle w:val="Tabel"/>
              <w:jc w:val="right"/>
            </w:pPr>
          </w:p>
        </w:tc>
        <w:tc>
          <w:tcPr>
            <w:tcW w:w="1369" w:type="dxa"/>
            <w:tcBorders>
              <w:left w:val="nil"/>
            </w:tcBorders>
            <w:vAlign w:val="center"/>
          </w:tcPr>
          <w:p w:rsidRPr="00475F6D" w:rsidR="00337C9E" w:rsidP="007B044A" w:rsidRDefault="00337C9E" w14:paraId="3460E99B" w14:textId="77777777">
            <w:pPr>
              <w:pStyle w:val="Tabel"/>
              <w:jc w:val="right"/>
            </w:pPr>
          </w:p>
        </w:tc>
      </w:tr>
      <w:tr w:rsidRPr="00475F6D" w:rsidR="00337C9E" w:rsidTr="007B044A" w14:paraId="0CB0854D" w14:textId="77777777">
        <w:tc>
          <w:tcPr>
            <w:tcW w:w="3517" w:type="dxa"/>
            <w:vAlign w:val="bottom"/>
          </w:tcPr>
          <w:p w:rsidRPr="00475F6D" w:rsidR="00337C9E" w:rsidP="007B044A" w:rsidRDefault="00337C9E" w14:paraId="55DCF17E" w14:textId="77777777">
            <w:pPr>
              <w:pStyle w:val="Tabel"/>
              <w:spacing w:line="240" w:lineRule="atLeast"/>
            </w:pPr>
            <w:r w:rsidRPr="00475F6D">
              <w:rPr>
                <w:lang w:eastAsia="nl-NL"/>
              </w:rPr>
              <w:t>Eenpersoonshuishouden</w:t>
            </w:r>
          </w:p>
        </w:tc>
        <w:tc>
          <w:tcPr>
            <w:tcW w:w="1392" w:type="dxa"/>
            <w:vAlign w:val="center"/>
          </w:tcPr>
          <w:p w:rsidRPr="00475F6D" w:rsidR="00337C9E" w:rsidP="007B044A" w:rsidRDefault="00337C9E" w14:paraId="18294FCF" w14:textId="77777777">
            <w:pPr>
              <w:pStyle w:val="Tabel"/>
              <w:jc w:val="right"/>
            </w:pPr>
            <w:r w:rsidRPr="00BF4009">
              <w:t xml:space="preserve"> € 291 </w:t>
            </w:r>
          </w:p>
        </w:tc>
        <w:tc>
          <w:tcPr>
            <w:tcW w:w="1369" w:type="dxa"/>
            <w:vAlign w:val="center"/>
          </w:tcPr>
          <w:p w:rsidRPr="00475F6D" w:rsidR="00337C9E" w:rsidP="007B044A" w:rsidRDefault="00337C9E" w14:paraId="03E7744C" w14:textId="77777777">
            <w:pPr>
              <w:pStyle w:val="Tabel"/>
              <w:jc w:val="right"/>
            </w:pPr>
            <w:r w:rsidRPr="00BF4009">
              <w:t xml:space="preserve"> € 139 </w:t>
            </w:r>
          </w:p>
        </w:tc>
        <w:tc>
          <w:tcPr>
            <w:tcW w:w="1369" w:type="dxa"/>
            <w:vAlign w:val="center"/>
          </w:tcPr>
          <w:p w:rsidRPr="00475F6D" w:rsidR="00337C9E" w:rsidP="007B044A" w:rsidRDefault="00337C9E" w14:paraId="61652EA5" w14:textId="77777777">
            <w:pPr>
              <w:pStyle w:val="Tabel"/>
              <w:jc w:val="right"/>
            </w:pPr>
            <w:r w:rsidRPr="00BF4009">
              <w:t xml:space="preserve"> € 621 </w:t>
            </w:r>
          </w:p>
        </w:tc>
        <w:tc>
          <w:tcPr>
            <w:tcW w:w="1369" w:type="dxa"/>
            <w:vAlign w:val="center"/>
          </w:tcPr>
          <w:p w:rsidRPr="00475F6D" w:rsidR="00337C9E" w:rsidP="007B044A" w:rsidRDefault="00337C9E" w14:paraId="01BB6223" w14:textId="77777777">
            <w:pPr>
              <w:pStyle w:val="Tabel"/>
              <w:jc w:val="right"/>
            </w:pPr>
            <w:r w:rsidRPr="00BF4009">
              <w:t xml:space="preserve"> 527.000 </w:t>
            </w:r>
          </w:p>
        </w:tc>
      </w:tr>
      <w:tr w:rsidRPr="00475F6D" w:rsidR="00337C9E" w:rsidTr="007B044A" w14:paraId="2862A883" w14:textId="77777777">
        <w:tc>
          <w:tcPr>
            <w:tcW w:w="3517" w:type="dxa"/>
            <w:vAlign w:val="bottom"/>
          </w:tcPr>
          <w:p w:rsidRPr="00475F6D" w:rsidR="00337C9E" w:rsidP="007B044A" w:rsidRDefault="00337C9E" w14:paraId="6AF6915F" w14:textId="77777777">
            <w:pPr>
              <w:pStyle w:val="Tabel"/>
              <w:spacing w:line="240" w:lineRule="atLeast"/>
            </w:pPr>
            <w:r w:rsidRPr="00475F6D">
              <w:rPr>
                <w:lang w:eastAsia="nl-NL"/>
              </w:rPr>
              <w:t>Meerpersoonshuishouden</w:t>
            </w:r>
          </w:p>
        </w:tc>
        <w:tc>
          <w:tcPr>
            <w:tcW w:w="1392" w:type="dxa"/>
            <w:vAlign w:val="center"/>
          </w:tcPr>
          <w:p w:rsidRPr="00475F6D" w:rsidR="00337C9E" w:rsidP="007B044A" w:rsidRDefault="00337C9E" w14:paraId="1033D567" w14:textId="77777777">
            <w:pPr>
              <w:pStyle w:val="Tabel"/>
              <w:jc w:val="right"/>
            </w:pPr>
            <w:r w:rsidRPr="00BF4009">
              <w:t xml:space="preserve"> € 399 </w:t>
            </w:r>
          </w:p>
        </w:tc>
        <w:tc>
          <w:tcPr>
            <w:tcW w:w="1369" w:type="dxa"/>
            <w:vAlign w:val="center"/>
          </w:tcPr>
          <w:p w:rsidRPr="00475F6D" w:rsidR="00337C9E" w:rsidP="007B044A" w:rsidRDefault="00337C9E" w14:paraId="2F8E8A57" w14:textId="77777777">
            <w:pPr>
              <w:pStyle w:val="Tabel"/>
              <w:jc w:val="right"/>
            </w:pPr>
            <w:r w:rsidRPr="00BF4009">
              <w:t xml:space="preserve"> € 183 </w:t>
            </w:r>
          </w:p>
        </w:tc>
        <w:tc>
          <w:tcPr>
            <w:tcW w:w="1369" w:type="dxa"/>
            <w:vAlign w:val="center"/>
          </w:tcPr>
          <w:p w:rsidRPr="00475F6D" w:rsidR="00337C9E" w:rsidP="007B044A" w:rsidRDefault="00337C9E" w14:paraId="0A5DEEBF" w14:textId="77777777">
            <w:pPr>
              <w:pStyle w:val="Tabel"/>
              <w:jc w:val="right"/>
            </w:pPr>
            <w:r w:rsidRPr="00BF4009">
              <w:t xml:space="preserve"> € 1.394 </w:t>
            </w:r>
          </w:p>
        </w:tc>
        <w:tc>
          <w:tcPr>
            <w:tcW w:w="1369" w:type="dxa"/>
            <w:vAlign w:val="center"/>
          </w:tcPr>
          <w:p w:rsidRPr="00475F6D" w:rsidR="00337C9E" w:rsidP="007B044A" w:rsidRDefault="00337C9E" w14:paraId="509CBF45" w14:textId="77777777">
            <w:pPr>
              <w:pStyle w:val="Tabel"/>
              <w:jc w:val="right"/>
            </w:pPr>
            <w:r w:rsidRPr="00BF4009">
              <w:t xml:space="preserve"> 377.000 </w:t>
            </w:r>
          </w:p>
        </w:tc>
      </w:tr>
      <w:tr w:rsidRPr="00475F6D" w:rsidR="00337C9E" w:rsidTr="007B044A" w14:paraId="2478241F" w14:textId="77777777">
        <w:tc>
          <w:tcPr>
            <w:tcW w:w="3517" w:type="dxa"/>
            <w:vAlign w:val="bottom"/>
          </w:tcPr>
          <w:p w:rsidRPr="00475F6D" w:rsidR="00337C9E" w:rsidP="007B044A" w:rsidRDefault="00337C9E" w14:paraId="6BE77963" w14:textId="77777777">
            <w:pPr>
              <w:pStyle w:val="Tabel"/>
              <w:spacing w:line="240" w:lineRule="atLeast"/>
            </w:pPr>
            <w:proofErr w:type="spellStart"/>
            <w:r w:rsidRPr="00475F6D">
              <w:rPr>
                <w:lang w:eastAsia="nl-NL"/>
              </w:rPr>
              <w:t>Eenpersoonsouderenhuishouden</w:t>
            </w:r>
            <w:proofErr w:type="spellEnd"/>
          </w:p>
        </w:tc>
        <w:tc>
          <w:tcPr>
            <w:tcW w:w="1392" w:type="dxa"/>
            <w:vAlign w:val="center"/>
          </w:tcPr>
          <w:p w:rsidRPr="00475F6D" w:rsidR="00337C9E" w:rsidP="007B044A" w:rsidRDefault="00337C9E" w14:paraId="2A28B5F7" w14:textId="77777777">
            <w:pPr>
              <w:pStyle w:val="Tabel"/>
              <w:jc w:val="right"/>
            </w:pPr>
            <w:r w:rsidRPr="00BF4009">
              <w:t xml:space="preserve"> € 249 </w:t>
            </w:r>
          </w:p>
        </w:tc>
        <w:tc>
          <w:tcPr>
            <w:tcW w:w="1369" w:type="dxa"/>
            <w:vAlign w:val="center"/>
          </w:tcPr>
          <w:p w:rsidRPr="00475F6D" w:rsidR="00337C9E" w:rsidP="007B044A" w:rsidRDefault="00337C9E" w14:paraId="76D986E4" w14:textId="77777777">
            <w:pPr>
              <w:pStyle w:val="Tabel"/>
              <w:jc w:val="right"/>
            </w:pPr>
            <w:r w:rsidRPr="00BF4009">
              <w:t xml:space="preserve"> € 139 </w:t>
            </w:r>
          </w:p>
        </w:tc>
        <w:tc>
          <w:tcPr>
            <w:tcW w:w="1369" w:type="dxa"/>
            <w:vAlign w:val="center"/>
          </w:tcPr>
          <w:p w:rsidRPr="00475F6D" w:rsidR="00337C9E" w:rsidP="007B044A" w:rsidRDefault="00337C9E" w14:paraId="1218C195" w14:textId="77777777">
            <w:pPr>
              <w:pStyle w:val="Tabel"/>
              <w:jc w:val="right"/>
            </w:pPr>
            <w:r w:rsidRPr="00BF4009">
              <w:t xml:space="preserve"> € 816 </w:t>
            </w:r>
          </w:p>
        </w:tc>
        <w:tc>
          <w:tcPr>
            <w:tcW w:w="1369" w:type="dxa"/>
            <w:vAlign w:val="center"/>
          </w:tcPr>
          <w:p w:rsidRPr="00475F6D" w:rsidR="00337C9E" w:rsidP="007B044A" w:rsidRDefault="00337C9E" w14:paraId="5AC72235" w14:textId="77777777">
            <w:pPr>
              <w:pStyle w:val="Tabel"/>
              <w:jc w:val="right"/>
            </w:pPr>
            <w:r w:rsidRPr="00BF4009">
              <w:t xml:space="preserve"> 370.000 </w:t>
            </w:r>
          </w:p>
        </w:tc>
      </w:tr>
      <w:tr w:rsidRPr="00475F6D" w:rsidR="00337C9E" w:rsidTr="007B044A" w14:paraId="7F222552" w14:textId="77777777">
        <w:tc>
          <w:tcPr>
            <w:tcW w:w="3517" w:type="dxa"/>
            <w:vAlign w:val="bottom"/>
          </w:tcPr>
          <w:p w:rsidRPr="00475F6D" w:rsidR="00337C9E" w:rsidP="007B044A" w:rsidRDefault="00337C9E" w14:paraId="300E7D13" w14:textId="77777777">
            <w:pPr>
              <w:pStyle w:val="Tabel"/>
              <w:spacing w:line="240" w:lineRule="atLeast"/>
            </w:pPr>
            <w:proofErr w:type="spellStart"/>
            <w:r w:rsidRPr="00475F6D">
              <w:rPr>
                <w:lang w:eastAsia="nl-NL"/>
              </w:rPr>
              <w:t>Meerpersoonsouderenhuishouden</w:t>
            </w:r>
            <w:proofErr w:type="spellEnd"/>
          </w:p>
        </w:tc>
        <w:tc>
          <w:tcPr>
            <w:tcW w:w="1392" w:type="dxa"/>
            <w:vAlign w:val="center"/>
          </w:tcPr>
          <w:p w:rsidRPr="00475F6D" w:rsidR="00337C9E" w:rsidP="007B044A" w:rsidRDefault="00337C9E" w14:paraId="36E10424" w14:textId="77777777">
            <w:pPr>
              <w:pStyle w:val="Tabel"/>
              <w:jc w:val="right"/>
            </w:pPr>
            <w:r w:rsidRPr="00BF4009">
              <w:t xml:space="preserve"> € 357 </w:t>
            </w:r>
          </w:p>
        </w:tc>
        <w:tc>
          <w:tcPr>
            <w:tcW w:w="1369" w:type="dxa"/>
            <w:vAlign w:val="center"/>
          </w:tcPr>
          <w:p w:rsidRPr="00475F6D" w:rsidR="00337C9E" w:rsidP="007B044A" w:rsidRDefault="00337C9E" w14:paraId="7168A26E" w14:textId="77777777">
            <w:pPr>
              <w:pStyle w:val="Tabel"/>
              <w:jc w:val="right"/>
            </w:pPr>
            <w:r w:rsidRPr="00BF4009">
              <w:t xml:space="preserve"> € 139 </w:t>
            </w:r>
          </w:p>
        </w:tc>
        <w:tc>
          <w:tcPr>
            <w:tcW w:w="1369" w:type="dxa"/>
            <w:vAlign w:val="center"/>
          </w:tcPr>
          <w:p w:rsidRPr="00475F6D" w:rsidR="00337C9E" w:rsidP="007B044A" w:rsidRDefault="00337C9E" w14:paraId="562C4F7E" w14:textId="77777777">
            <w:pPr>
              <w:pStyle w:val="Tabel"/>
              <w:jc w:val="right"/>
            </w:pPr>
            <w:r w:rsidRPr="00BF4009">
              <w:t xml:space="preserve"> € 815 </w:t>
            </w:r>
          </w:p>
        </w:tc>
        <w:tc>
          <w:tcPr>
            <w:tcW w:w="1369" w:type="dxa"/>
            <w:vAlign w:val="center"/>
          </w:tcPr>
          <w:p w:rsidRPr="00475F6D" w:rsidR="00337C9E" w:rsidP="007B044A" w:rsidRDefault="00337C9E" w14:paraId="7CF28696" w14:textId="77777777">
            <w:pPr>
              <w:pStyle w:val="Tabel"/>
              <w:jc w:val="right"/>
            </w:pPr>
            <w:r w:rsidRPr="00BF4009">
              <w:t xml:space="preserve"> 157.000 </w:t>
            </w:r>
          </w:p>
        </w:tc>
      </w:tr>
    </w:tbl>
    <w:p w:rsidRPr="00475F6D" w:rsidR="00337C9E" w:rsidP="00337C9E" w:rsidRDefault="00337C9E" w14:paraId="5BFEAC4E" w14:textId="77777777">
      <w:pPr>
        <w:pStyle w:val="Tabel"/>
        <w:spacing w:line="240" w:lineRule="atLeast"/>
      </w:pPr>
      <w:r w:rsidRPr="00475F6D">
        <w:t xml:space="preserve">Bron: eigen bewerking Ministerie VRO op </w:t>
      </w:r>
      <w:proofErr w:type="spellStart"/>
      <w:r w:rsidRPr="00475F6D">
        <w:t>WoonOnderzoek</w:t>
      </w:r>
      <w:proofErr w:type="spellEnd"/>
      <w:r w:rsidRPr="00475F6D">
        <w:t xml:space="preserve"> Nederland 2021</w:t>
      </w:r>
    </w:p>
    <w:p w:rsidR="00337C9E" w:rsidP="00A579AC" w:rsidRDefault="00337C9E" w14:paraId="2C7EB19B" w14:textId="77777777"/>
    <w:p w:rsidRPr="00475F6D" w:rsidR="00723FCA" w:rsidP="00723FCA" w:rsidRDefault="00723FCA" w14:paraId="79513C85" w14:textId="77777777">
      <w:r>
        <w:t>N</w:t>
      </w:r>
      <w:r w:rsidRPr="00475F6D">
        <w:t>iet-ouderenhuishoudens</w:t>
      </w:r>
      <w:r>
        <w:t xml:space="preserve"> </w:t>
      </w:r>
      <w:r w:rsidRPr="00475F6D">
        <w:t xml:space="preserve">met een inkomen boven het huidige minimum-inkomensijkpunt </w:t>
      </w:r>
      <w:r>
        <w:t xml:space="preserve">ervaren vanaf 2025 </w:t>
      </w:r>
      <w:r w:rsidRPr="00475F6D">
        <w:t>een positief effect doordat zij vanaf een hoger inkomen beginnen met de inkomensafhankelijke afbouw van de huurtoeslag. Meerpersoonshuishouden (niet-ouderen) met een relatief hoge huur (boven de aftoppingsgrens) ervaren daarnaast een extra positief effect doordat ook zij over het laatste huurdeel 40% vergoeding krijgen.</w:t>
      </w:r>
    </w:p>
    <w:p w:rsidR="00723FCA" w:rsidP="00A579AC" w:rsidRDefault="00723FCA" w14:paraId="54BDA1C6" w14:textId="77777777"/>
    <w:p w:rsidRPr="00475F6D" w:rsidR="00761D3C" w:rsidP="00A579AC" w:rsidRDefault="00761D3C" w14:paraId="5C9DE3E1" w14:textId="3C8BA820">
      <w:r w:rsidRPr="00475F6D">
        <w:t>Alle huidige huurtoeslagontvanger</w:t>
      </w:r>
      <w:r w:rsidR="006B6F7C">
        <w:t>s</w:t>
      </w:r>
      <w:r w:rsidRPr="00475F6D">
        <w:t xml:space="preserve"> ontvangen</w:t>
      </w:r>
      <w:r w:rsidR="00337C9E">
        <w:t xml:space="preserve"> in 2026</w:t>
      </w:r>
      <w:r w:rsidRPr="00475F6D">
        <w:t xml:space="preserve"> ten minste de generieke verlaging van de eigen bijdrage van € 11,58 per maand, wat ertoe leidt dat het minimale bedrag waarmee huurtoeslagontvangers erop vooruit zullen gaan € 139 per jaar is.</w:t>
      </w:r>
    </w:p>
    <w:p w:rsidRPr="00475F6D" w:rsidR="00761D3C" w:rsidP="00A579AC" w:rsidRDefault="00761D3C" w14:paraId="303C1DDC" w14:textId="77777777"/>
    <w:p w:rsidRPr="00475F6D" w:rsidR="00761D3C" w:rsidP="00A579AC" w:rsidRDefault="00761D3C" w14:paraId="40C74959" w14:textId="576A7830">
      <w:r w:rsidRPr="00475F6D">
        <w:t>De invoering van de lineaire afbouw van de huurtoeslag</w:t>
      </w:r>
      <w:r w:rsidR="00723FCA">
        <w:t>, en in 2025 de benadering hiervan met de huidige formule,</w:t>
      </w:r>
      <w:r w:rsidRPr="00475F6D">
        <w:t xml:space="preserve"> pakt vooral positief uit voor (lage) middeninkomens. Huishoudens met een inkomen onder de minimuminkomensijkpunten ervaren geen gevolgen van deze wijziging.    </w:t>
      </w:r>
    </w:p>
    <w:p w:rsidR="00761D3C" w:rsidP="00A579AC" w:rsidRDefault="00761D3C" w14:paraId="3855B758" w14:textId="77777777"/>
    <w:p w:rsidR="001148B4" w:rsidP="00A579AC" w:rsidRDefault="001148B4" w14:paraId="123D497B" w14:textId="77777777"/>
    <w:p w:rsidRPr="00475F6D" w:rsidR="001148B4" w:rsidP="00A579AC" w:rsidRDefault="001148B4" w14:paraId="1DDBD146" w14:textId="77777777"/>
    <w:p w:rsidRPr="00475F6D" w:rsidR="00761D3C" w:rsidP="00A579AC" w:rsidRDefault="00761D3C" w14:paraId="4B6786E8" w14:textId="77777777">
      <w:pPr>
        <w:pStyle w:val="Lijstalinea"/>
        <w:numPr>
          <w:ilvl w:val="2"/>
          <w:numId w:val="3"/>
        </w:numPr>
        <w:spacing w:after="0" w:line="240" w:lineRule="atLeast"/>
        <w:ind w:left="0" w:firstLine="0"/>
        <w:rPr>
          <w:i/>
          <w:iCs/>
          <w:lang w:val="nl-NL"/>
        </w:rPr>
      </w:pPr>
      <w:r w:rsidRPr="00475F6D">
        <w:rPr>
          <w:i/>
          <w:iCs/>
          <w:lang w:val="nl-NL"/>
        </w:rPr>
        <w:lastRenderedPageBreak/>
        <w:t>Illustratieve casussen</w:t>
      </w:r>
    </w:p>
    <w:p w:rsidRPr="00475F6D" w:rsidR="00761D3C" w:rsidP="00A579AC" w:rsidRDefault="00761D3C" w14:paraId="5DAF4740" w14:textId="65E67566">
      <w:r w:rsidRPr="00475F6D">
        <w:t>Hieronder wordt aan de hand van een aantal casussen het effect van de voorgestelde maatregelen</w:t>
      </w:r>
      <w:r w:rsidR="00EC449E">
        <w:t>, in totaal in 2026 ten opzichte van 2024,</w:t>
      </w:r>
      <w:r w:rsidRPr="00475F6D">
        <w:t xml:space="preserve"> op het maandelijks huurtoeslagbedrag. Hierbij is telkens sprake van een andere combinatie van huishoudtype (volgens de huidige huurtoeslagregeling), rekenhuur en rekeninkomen gebruikt en zullen niet alle maatregelen voor alle huishoudens effect hebben. </w:t>
      </w:r>
    </w:p>
    <w:p w:rsidRPr="00475F6D" w:rsidR="00761D3C" w:rsidP="00A579AC" w:rsidRDefault="00761D3C" w14:paraId="284D3B57" w14:textId="77777777"/>
    <w:p w:rsidRPr="00475F6D" w:rsidR="00761D3C" w:rsidP="00A579AC" w:rsidRDefault="00761D3C" w14:paraId="35EA5152" w14:textId="77777777">
      <w:pPr>
        <w:pStyle w:val="Lijstalinea"/>
        <w:numPr>
          <w:ilvl w:val="0"/>
          <w:numId w:val="4"/>
        </w:numPr>
        <w:spacing w:after="0" w:line="240" w:lineRule="atLeast"/>
        <w:ind w:left="0" w:firstLine="0"/>
        <w:rPr>
          <w:i/>
          <w:iCs/>
          <w:lang w:val="nl-NL"/>
        </w:rPr>
      </w:pPr>
      <w:r w:rsidRPr="00475F6D">
        <w:rPr>
          <w:i/>
          <w:iCs/>
          <w:lang w:val="nl-NL"/>
        </w:rPr>
        <w:t>Eenpersoonshuishouden; € 575,-; € 20.000</w:t>
      </w:r>
    </w:p>
    <w:p w:rsidRPr="00475F6D" w:rsidR="00761D3C" w:rsidP="00A579AC" w:rsidRDefault="00761D3C" w14:paraId="793E9306" w14:textId="7881F33F">
      <w:r w:rsidRPr="00475F6D">
        <w:t>Deze persoon heeft een inkomen onder zowel het huidige minimum-inkomensijkpunt als het toekomstige minimum-inkomensijkpunt na harmonisering van de inkomensparameters. Hier merkt deze persoon dus geen effect van in het huurtoeslagbedrag. Wel leidt de harmonisering van de inkomensonafhankelijke eigen bijdrage (basishuur) ertoe dat deze € 1,82 lager wordt. Omdat deze persoon nog niet in de inkomensafhankelijke afbouw van de huurtoeslag zit, is er geen effect door de aanpassing van de berekeningsmethode. Samen met de generieke verlaging van de eigen bijdrage, zal deze persoon na invoering van het wetsvoorstel € 13,40 meer huurtoeslag per maand ontvangen.</w:t>
      </w:r>
    </w:p>
    <w:p w:rsidRPr="00475F6D" w:rsidR="00761D3C" w:rsidP="00A579AC" w:rsidRDefault="00761D3C" w14:paraId="709B3E05" w14:textId="77777777"/>
    <w:p w:rsidRPr="00475F6D" w:rsidR="00761D3C" w:rsidP="00A579AC" w:rsidRDefault="00761D3C" w14:paraId="0EA734F0" w14:textId="16D77BEC">
      <w:pPr>
        <w:pStyle w:val="Tabel"/>
        <w:spacing w:line="240" w:lineRule="atLeast"/>
      </w:pPr>
      <w:r w:rsidRPr="00475F6D">
        <w:t xml:space="preserve">Tabel </w:t>
      </w:r>
      <w:r w:rsidR="00C755B4">
        <w:fldChar w:fldCharType="begin"/>
      </w:r>
      <w:r w:rsidR="00C755B4">
        <w:instrText xml:space="preserve"> SEQ Tabel \* ARABIC </w:instrText>
      </w:r>
      <w:r w:rsidR="00C755B4">
        <w:fldChar w:fldCharType="separate"/>
      </w:r>
      <w:r w:rsidR="001B15DD">
        <w:rPr>
          <w:noProof/>
        </w:rPr>
        <w:t>3</w:t>
      </w:r>
      <w:r w:rsidR="00C755B4">
        <w:rPr>
          <w:noProof/>
        </w:rPr>
        <w:fldChar w:fldCharType="end"/>
      </w:r>
      <w:r w:rsidRPr="00475F6D">
        <w:t xml:space="preserve"> Effecten per maatregel casus 1 per maand</w:t>
      </w:r>
    </w:p>
    <w:tbl>
      <w:tblPr>
        <w:tblStyle w:val="Tabelraster"/>
        <w:tblW w:w="0" w:type="auto"/>
        <w:tblBorders>
          <w:left w:val="none" w:color="auto" w:sz="0" w:space="0"/>
          <w:right w:val="none" w:color="auto" w:sz="0" w:space="0"/>
        </w:tblBorders>
        <w:tblCellMar>
          <w:top w:w="57" w:type="dxa"/>
          <w:bottom w:w="57" w:type="dxa"/>
        </w:tblCellMar>
        <w:tblLook w:val="04A0" w:firstRow="1" w:lastRow="0" w:firstColumn="1" w:lastColumn="0" w:noHBand="0" w:noVBand="1"/>
      </w:tblPr>
      <w:tblGrid>
        <w:gridCol w:w="1256"/>
        <w:gridCol w:w="1190"/>
        <w:gridCol w:w="1866"/>
        <w:gridCol w:w="2077"/>
        <w:gridCol w:w="1217"/>
        <w:gridCol w:w="1420"/>
      </w:tblGrid>
      <w:tr w:rsidRPr="00475F6D" w:rsidR="00761D3C" w:rsidTr="00AF1D7C" w14:paraId="202F84B5" w14:textId="77777777">
        <w:tc>
          <w:tcPr>
            <w:tcW w:w="0" w:type="auto"/>
          </w:tcPr>
          <w:p w:rsidRPr="00475F6D" w:rsidR="00761D3C" w:rsidP="00A579AC" w:rsidRDefault="00761D3C" w14:paraId="3FA69D0D" w14:textId="77777777">
            <w:pPr>
              <w:pStyle w:val="Tabel"/>
              <w:spacing w:line="240" w:lineRule="atLeast"/>
            </w:pPr>
            <w:r w:rsidRPr="00475F6D">
              <w:t>Huidige huurtoeslag</w:t>
            </w:r>
          </w:p>
        </w:tc>
        <w:tc>
          <w:tcPr>
            <w:tcW w:w="0" w:type="auto"/>
          </w:tcPr>
          <w:p w:rsidRPr="00475F6D" w:rsidR="00761D3C" w:rsidP="00A579AC" w:rsidRDefault="00761D3C" w14:paraId="75E3C899" w14:textId="77777777">
            <w:pPr>
              <w:pStyle w:val="Tabel"/>
              <w:spacing w:line="240" w:lineRule="atLeast"/>
            </w:pPr>
            <w:r w:rsidRPr="00475F6D">
              <w:t>Verlaging eigen bijdrage (2.1)</w:t>
            </w:r>
          </w:p>
        </w:tc>
        <w:tc>
          <w:tcPr>
            <w:tcW w:w="0" w:type="auto"/>
          </w:tcPr>
          <w:p w:rsidRPr="00475F6D" w:rsidR="00761D3C" w:rsidP="00A579AC" w:rsidRDefault="00761D3C" w14:paraId="3E937D5C" w14:textId="77777777">
            <w:pPr>
              <w:pStyle w:val="Tabel"/>
              <w:spacing w:line="240" w:lineRule="atLeast"/>
            </w:pPr>
            <w:r w:rsidRPr="00475F6D">
              <w:t>Harmonisering inkomens-parameters en basishuur (2.2.1)</w:t>
            </w:r>
          </w:p>
        </w:tc>
        <w:tc>
          <w:tcPr>
            <w:tcW w:w="0" w:type="auto"/>
          </w:tcPr>
          <w:p w:rsidRPr="00475F6D" w:rsidR="00761D3C" w:rsidP="00A579AC" w:rsidRDefault="00761D3C" w14:paraId="3B3CFBED" w14:textId="77777777">
            <w:pPr>
              <w:pStyle w:val="Tabel"/>
              <w:spacing w:line="240" w:lineRule="atLeast"/>
            </w:pPr>
            <w:r w:rsidRPr="00475F6D">
              <w:t xml:space="preserve">Harmonisering </w:t>
            </w:r>
            <w:proofErr w:type="spellStart"/>
            <w:r w:rsidRPr="00475F6D">
              <w:t>kwaliteitskortings</w:t>
            </w:r>
            <w:proofErr w:type="spellEnd"/>
            <w:r w:rsidRPr="00475F6D">
              <w:t>-percentages (2.2.2)</w:t>
            </w:r>
          </w:p>
        </w:tc>
        <w:tc>
          <w:tcPr>
            <w:tcW w:w="0" w:type="auto"/>
          </w:tcPr>
          <w:p w:rsidRPr="00475F6D" w:rsidR="00761D3C" w:rsidP="00A579AC" w:rsidRDefault="00761D3C" w14:paraId="2D999435" w14:textId="77777777">
            <w:pPr>
              <w:pStyle w:val="Tabel"/>
              <w:spacing w:line="240" w:lineRule="atLeast"/>
            </w:pPr>
            <w:r w:rsidRPr="00475F6D">
              <w:t>Invoering lineaire afbouw (2.3)</w:t>
            </w:r>
          </w:p>
        </w:tc>
        <w:tc>
          <w:tcPr>
            <w:tcW w:w="0" w:type="auto"/>
          </w:tcPr>
          <w:p w:rsidRPr="00475F6D" w:rsidR="00761D3C" w:rsidP="00A579AC" w:rsidRDefault="00761D3C" w14:paraId="77D77850" w14:textId="77777777">
            <w:pPr>
              <w:pStyle w:val="Tabel"/>
              <w:spacing w:line="240" w:lineRule="atLeast"/>
            </w:pPr>
            <w:r w:rsidRPr="00475F6D">
              <w:t>Toename huurtoeslag-bedrag</w:t>
            </w:r>
          </w:p>
        </w:tc>
      </w:tr>
      <w:tr w:rsidRPr="00475F6D" w:rsidR="00761D3C" w:rsidTr="00AF1D7C" w14:paraId="5C88A049" w14:textId="77777777">
        <w:tc>
          <w:tcPr>
            <w:tcW w:w="0" w:type="auto"/>
            <w:tcBorders>
              <w:bottom w:val="single" w:color="auto" w:sz="4" w:space="0"/>
            </w:tcBorders>
          </w:tcPr>
          <w:p w:rsidRPr="00475F6D" w:rsidR="00761D3C" w:rsidP="00A579AC" w:rsidRDefault="00761D3C" w14:paraId="5A02E01B" w14:textId="77777777">
            <w:pPr>
              <w:pStyle w:val="Tabel"/>
              <w:spacing w:line="240" w:lineRule="atLeast"/>
            </w:pPr>
            <w:r w:rsidRPr="00475F6D">
              <w:t xml:space="preserve">€ 343,86 </w:t>
            </w:r>
          </w:p>
        </w:tc>
        <w:tc>
          <w:tcPr>
            <w:tcW w:w="0" w:type="auto"/>
            <w:tcBorders>
              <w:bottom w:val="single" w:color="auto" w:sz="4" w:space="0"/>
            </w:tcBorders>
          </w:tcPr>
          <w:p w:rsidRPr="00475F6D" w:rsidR="00761D3C" w:rsidP="00A579AC" w:rsidRDefault="00761D3C" w14:paraId="3B5C492B" w14:textId="77777777">
            <w:pPr>
              <w:pStyle w:val="Tabel"/>
              <w:spacing w:line="240" w:lineRule="atLeast"/>
            </w:pPr>
            <w:r w:rsidRPr="00475F6D">
              <w:t xml:space="preserve"> € 11,58 </w:t>
            </w:r>
          </w:p>
        </w:tc>
        <w:tc>
          <w:tcPr>
            <w:tcW w:w="0" w:type="auto"/>
            <w:tcBorders>
              <w:bottom w:val="single" w:color="auto" w:sz="4" w:space="0"/>
            </w:tcBorders>
          </w:tcPr>
          <w:p w:rsidRPr="00475F6D" w:rsidR="00761D3C" w:rsidP="00A579AC" w:rsidRDefault="00761D3C" w14:paraId="5E6FDCE6" w14:textId="77777777">
            <w:pPr>
              <w:pStyle w:val="Tabel"/>
              <w:spacing w:line="240" w:lineRule="atLeast"/>
            </w:pPr>
            <w:r w:rsidRPr="00475F6D">
              <w:t xml:space="preserve"> € 1,82 </w:t>
            </w:r>
          </w:p>
        </w:tc>
        <w:tc>
          <w:tcPr>
            <w:tcW w:w="0" w:type="auto"/>
            <w:tcBorders>
              <w:bottom w:val="single" w:color="auto" w:sz="4" w:space="0"/>
            </w:tcBorders>
          </w:tcPr>
          <w:p w:rsidRPr="00475F6D" w:rsidR="00761D3C" w:rsidP="00A579AC" w:rsidRDefault="00761D3C" w14:paraId="047A3B13" w14:textId="77777777">
            <w:pPr>
              <w:pStyle w:val="Tabel"/>
              <w:spacing w:line="240" w:lineRule="atLeast"/>
            </w:pPr>
            <w:r w:rsidRPr="00475F6D">
              <w:t xml:space="preserve"> € -   </w:t>
            </w:r>
          </w:p>
        </w:tc>
        <w:tc>
          <w:tcPr>
            <w:tcW w:w="0" w:type="auto"/>
            <w:tcBorders>
              <w:bottom w:val="single" w:color="auto" w:sz="4" w:space="0"/>
            </w:tcBorders>
          </w:tcPr>
          <w:p w:rsidRPr="00475F6D" w:rsidR="00761D3C" w:rsidP="00A579AC" w:rsidRDefault="00761D3C" w14:paraId="6039015F" w14:textId="77777777">
            <w:pPr>
              <w:pStyle w:val="Tabel"/>
              <w:spacing w:line="240" w:lineRule="atLeast"/>
            </w:pPr>
            <w:r w:rsidRPr="00475F6D">
              <w:t xml:space="preserve"> € -   </w:t>
            </w:r>
          </w:p>
        </w:tc>
        <w:tc>
          <w:tcPr>
            <w:tcW w:w="0" w:type="auto"/>
            <w:tcBorders>
              <w:bottom w:val="single" w:color="auto" w:sz="4" w:space="0"/>
            </w:tcBorders>
          </w:tcPr>
          <w:p w:rsidRPr="00475F6D" w:rsidR="00761D3C" w:rsidP="00A579AC" w:rsidRDefault="00761D3C" w14:paraId="05F67F91" w14:textId="77777777">
            <w:pPr>
              <w:pStyle w:val="Tabel"/>
              <w:spacing w:line="240" w:lineRule="atLeast"/>
            </w:pPr>
            <w:r w:rsidRPr="00475F6D">
              <w:t xml:space="preserve">+ € 13,40 </w:t>
            </w:r>
          </w:p>
        </w:tc>
      </w:tr>
    </w:tbl>
    <w:p w:rsidRPr="00475F6D" w:rsidR="00761D3C" w:rsidP="00A579AC" w:rsidRDefault="00761D3C" w14:paraId="0079FCB8" w14:textId="3DBBA144">
      <w:pPr>
        <w:pStyle w:val="Tabel"/>
        <w:spacing w:line="240" w:lineRule="atLeast"/>
      </w:pPr>
      <w:r w:rsidRPr="00475F6D">
        <w:t>Bron: eigen bewerking Ministerie VRO</w:t>
      </w:r>
    </w:p>
    <w:p w:rsidRPr="00475F6D" w:rsidR="00761D3C" w:rsidP="00A579AC" w:rsidRDefault="00761D3C" w14:paraId="62E0DD68" w14:textId="77777777"/>
    <w:p w:rsidRPr="00475F6D" w:rsidR="00B271C0" w:rsidP="00A579AC" w:rsidRDefault="00B271C0" w14:paraId="410A41F7" w14:textId="77777777">
      <w:pPr>
        <w:pStyle w:val="Lijstalinea"/>
        <w:numPr>
          <w:ilvl w:val="0"/>
          <w:numId w:val="4"/>
        </w:numPr>
        <w:spacing w:after="0" w:line="240" w:lineRule="atLeast"/>
        <w:ind w:left="0" w:firstLine="0"/>
        <w:rPr>
          <w:i/>
          <w:iCs/>
          <w:lang w:val="nl-NL"/>
        </w:rPr>
      </w:pPr>
      <w:proofErr w:type="spellStart"/>
      <w:r w:rsidRPr="00475F6D">
        <w:rPr>
          <w:i/>
          <w:iCs/>
          <w:lang w:val="nl-NL"/>
        </w:rPr>
        <w:t>Eenpersoonsouderenhuishouden</w:t>
      </w:r>
      <w:proofErr w:type="spellEnd"/>
      <w:r w:rsidRPr="00475F6D">
        <w:rPr>
          <w:i/>
          <w:iCs/>
          <w:lang w:val="nl-NL"/>
        </w:rPr>
        <w:t>; € 600,-; € 22.000</w:t>
      </w:r>
    </w:p>
    <w:p w:rsidRPr="00475F6D" w:rsidR="00B271C0" w:rsidP="00A579AC" w:rsidRDefault="00B271C0" w14:paraId="419164FE" w14:textId="27CF6915">
      <w:r w:rsidRPr="00475F6D">
        <w:t>Voor deze persoon, met een leeftijd boven de AOW-leeftijd, verandert weinig. Omdat het hier een ouderenhuishouden betreft, is er geen effect van de harmonisering van de huishoudtypes. Daarnaast ligt het inkomen onder het minimum-inkomensijkpunt, en bouwt deze persoon dus nog geen huurtoeslag af. Er is daarmee ook geen effect van de invoering van de lineaire afbouw. Deze persoon ontvangt enkel meer huurtoeslag door de generieke verlaging van de eigen bijdrage</w:t>
      </w:r>
      <w:r w:rsidR="00EC449E">
        <w:t xml:space="preserve"> in 2026</w:t>
      </w:r>
      <w:r w:rsidRPr="00475F6D">
        <w:t>: €11,58.</w:t>
      </w:r>
    </w:p>
    <w:p w:rsidRPr="00475F6D" w:rsidR="00B271C0" w:rsidP="00A579AC" w:rsidRDefault="00B271C0" w14:paraId="01DC29F6" w14:textId="77777777"/>
    <w:p w:rsidRPr="00475F6D" w:rsidR="00B271C0" w:rsidP="00A579AC" w:rsidRDefault="00B271C0" w14:paraId="764272FE" w14:textId="5AC3ABD9">
      <w:pPr>
        <w:pStyle w:val="Tabel"/>
        <w:spacing w:line="240" w:lineRule="atLeast"/>
      </w:pPr>
      <w:r w:rsidRPr="00475F6D">
        <w:t xml:space="preserve">Tabel </w:t>
      </w:r>
      <w:r w:rsidR="006B6F7C">
        <w:t>4</w:t>
      </w:r>
      <w:r w:rsidRPr="00475F6D">
        <w:t xml:space="preserve"> Effecten per maatregel casus </w:t>
      </w:r>
      <w:r w:rsidR="006B6F7C">
        <w:t>2</w:t>
      </w:r>
      <w:r w:rsidRPr="00475F6D">
        <w:t xml:space="preserve"> per maand</w:t>
      </w:r>
    </w:p>
    <w:tbl>
      <w:tblPr>
        <w:tblStyle w:val="Tabelraster"/>
        <w:tblW w:w="0" w:type="auto"/>
        <w:tblBorders>
          <w:left w:val="none" w:color="auto" w:sz="0" w:space="0"/>
          <w:right w:val="none" w:color="auto" w:sz="0" w:space="0"/>
        </w:tblBorders>
        <w:tblCellMar>
          <w:top w:w="57" w:type="dxa"/>
          <w:bottom w:w="57" w:type="dxa"/>
        </w:tblCellMar>
        <w:tblLook w:val="04A0" w:firstRow="1" w:lastRow="0" w:firstColumn="1" w:lastColumn="0" w:noHBand="0" w:noVBand="1"/>
      </w:tblPr>
      <w:tblGrid>
        <w:gridCol w:w="1256"/>
        <w:gridCol w:w="1190"/>
        <w:gridCol w:w="1866"/>
        <w:gridCol w:w="2077"/>
        <w:gridCol w:w="1217"/>
        <w:gridCol w:w="1420"/>
      </w:tblGrid>
      <w:tr w:rsidRPr="00475F6D" w:rsidR="00B271C0" w:rsidTr="00801A2D" w14:paraId="1117429B" w14:textId="77777777">
        <w:tc>
          <w:tcPr>
            <w:tcW w:w="0" w:type="auto"/>
          </w:tcPr>
          <w:p w:rsidRPr="00475F6D" w:rsidR="00B271C0" w:rsidP="00A579AC" w:rsidRDefault="00B271C0" w14:paraId="6E42760E" w14:textId="77777777">
            <w:pPr>
              <w:pStyle w:val="Tabel"/>
              <w:spacing w:line="240" w:lineRule="atLeast"/>
            </w:pPr>
            <w:r w:rsidRPr="00475F6D">
              <w:t>Huidige huurtoeslag</w:t>
            </w:r>
          </w:p>
        </w:tc>
        <w:tc>
          <w:tcPr>
            <w:tcW w:w="0" w:type="auto"/>
          </w:tcPr>
          <w:p w:rsidRPr="00475F6D" w:rsidR="00B271C0" w:rsidP="00A579AC" w:rsidRDefault="00B271C0" w14:paraId="06B7EAB4" w14:textId="77777777">
            <w:pPr>
              <w:pStyle w:val="Tabel"/>
              <w:spacing w:line="240" w:lineRule="atLeast"/>
            </w:pPr>
            <w:r w:rsidRPr="00475F6D">
              <w:t>Verlaging eigen bijdrage (2.1)</w:t>
            </w:r>
          </w:p>
        </w:tc>
        <w:tc>
          <w:tcPr>
            <w:tcW w:w="0" w:type="auto"/>
          </w:tcPr>
          <w:p w:rsidRPr="00475F6D" w:rsidR="00B271C0" w:rsidP="00A579AC" w:rsidRDefault="00B271C0" w14:paraId="58B3B95B" w14:textId="77777777">
            <w:pPr>
              <w:pStyle w:val="Tabel"/>
              <w:spacing w:line="240" w:lineRule="atLeast"/>
            </w:pPr>
            <w:r w:rsidRPr="00475F6D">
              <w:t>Harmonisering inkomens-parameters en basishuur (2.2.1)</w:t>
            </w:r>
          </w:p>
        </w:tc>
        <w:tc>
          <w:tcPr>
            <w:tcW w:w="0" w:type="auto"/>
          </w:tcPr>
          <w:p w:rsidRPr="00475F6D" w:rsidR="00B271C0" w:rsidP="00A579AC" w:rsidRDefault="00B271C0" w14:paraId="01DABA38" w14:textId="77777777">
            <w:pPr>
              <w:pStyle w:val="Tabel"/>
              <w:spacing w:line="240" w:lineRule="atLeast"/>
            </w:pPr>
            <w:r w:rsidRPr="00475F6D">
              <w:t xml:space="preserve">Harmonisering </w:t>
            </w:r>
            <w:proofErr w:type="spellStart"/>
            <w:r w:rsidRPr="00475F6D">
              <w:t>kwaliteitskortings</w:t>
            </w:r>
            <w:proofErr w:type="spellEnd"/>
            <w:r w:rsidRPr="00475F6D">
              <w:t>-percentages (2.2.2)</w:t>
            </w:r>
          </w:p>
        </w:tc>
        <w:tc>
          <w:tcPr>
            <w:tcW w:w="0" w:type="auto"/>
          </w:tcPr>
          <w:p w:rsidRPr="00475F6D" w:rsidR="00B271C0" w:rsidP="00A579AC" w:rsidRDefault="00B271C0" w14:paraId="3F26A7DF" w14:textId="77777777">
            <w:pPr>
              <w:pStyle w:val="Tabel"/>
              <w:spacing w:line="240" w:lineRule="atLeast"/>
            </w:pPr>
            <w:r w:rsidRPr="00475F6D">
              <w:t>Invoering lineaire afbouw (2.3)</w:t>
            </w:r>
          </w:p>
        </w:tc>
        <w:tc>
          <w:tcPr>
            <w:tcW w:w="0" w:type="auto"/>
          </w:tcPr>
          <w:p w:rsidRPr="00475F6D" w:rsidR="00B271C0" w:rsidP="00A579AC" w:rsidRDefault="00B271C0" w14:paraId="4902F253" w14:textId="77777777">
            <w:pPr>
              <w:pStyle w:val="Tabel"/>
              <w:spacing w:line="240" w:lineRule="atLeast"/>
            </w:pPr>
            <w:r w:rsidRPr="00475F6D">
              <w:t>Toename huurtoeslag-bedrag</w:t>
            </w:r>
          </w:p>
        </w:tc>
      </w:tr>
      <w:tr w:rsidRPr="00475F6D" w:rsidR="00B271C0" w:rsidTr="00801A2D" w14:paraId="43D38B3F" w14:textId="77777777">
        <w:tc>
          <w:tcPr>
            <w:tcW w:w="0" w:type="auto"/>
            <w:tcBorders>
              <w:bottom w:val="single" w:color="auto" w:sz="4" w:space="0"/>
            </w:tcBorders>
          </w:tcPr>
          <w:p w:rsidRPr="00475F6D" w:rsidR="00B271C0" w:rsidP="00A579AC" w:rsidRDefault="00B271C0" w14:paraId="4462EFBA" w14:textId="77777777">
            <w:pPr>
              <w:pStyle w:val="Tabel"/>
              <w:spacing w:line="240" w:lineRule="atLeast"/>
            </w:pPr>
            <w:r w:rsidRPr="00475F6D">
              <w:t xml:space="preserve">€ 361,93 </w:t>
            </w:r>
          </w:p>
        </w:tc>
        <w:tc>
          <w:tcPr>
            <w:tcW w:w="0" w:type="auto"/>
            <w:tcBorders>
              <w:bottom w:val="single" w:color="auto" w:sz="4" w:space="0"/>
            </w:tcBorders>
          </w:tcPr>
          <w:p w:rsidRPr="00475F6D" w:rsidR="00B271C0" w:rsidP="00A579AC" w:rsidRDefault="00B271C0" w14:paraId="22938DFC" w14:textId="77777777">
            <w:pPr>
              <w:pStyle w:val="Tabel"/>
              <w:spacing w:line="240" w:lineRule="atLeast"/>
            </w:pPr>
            <w:r w:rsidRPr="00475F6D">
              <w:t xml:space="preserve"> € 11,58 </w:t>
            </w:r>
          </w:p>
        </w:tc>
        <w:tc>
          <w:tcPr>
            <w:tcW w:w="0" w:type="auto"/>
            <w:tcBorders>
              <w:bottom w:val="single" w:color="auto" w:sz="4" w:space="0"/>
            </w:tcBorders>
          </w:tcPr>
          <w:p w:rsidRPr="00475F6D" w:rsidR="00B271C0" w:rsidP="00A579AC" w:rsidRDefault="00B271C0" w14:paraId="11BAC71B" w14:textId="77777777">
            <w:pPr>
              <w:pStyle w:val="Tabel"/>
              <w:spacing w:line="240" w:lineRule="atLeast"/>
            </w:pPr>
            <w:r w:rsidRPr="00475F6D">
              <w:t xml:space="preserve"> € - </w:t>
            </w:r>
          </w:p>
        </w:tc>
        <w:tc>
          <w:tcPr>
            <w:tcW w:w="0" w:type="auto"/>
            <w:tcBorders>
              <w:bottom w:val="single" w:color="auto" w:sz="4" w:space="0"/>
            </w:tcBorders>
          </w:tcPr>
          <w:p w:rsidRPr="00475F6D" w:rsidR="00B271C0" w:rsidP="00A579AC" w:rsidRDefault="00B271C0" w14:paraId="45750005" w14:textId="77777777">
            <w:pPr>
              <w:pStyle w:val="Tabel"/>
              <w:spacing w:line="240" w:lineRule="atLeast"/>
            </w:pPr>
            <w:r w:rsidRPr="00475F6D">
              <w:t xml:space="preserve"> € -   </w:t>
            </w:r>
          </w:p>
        </w:tc>
        <w:tc>
          <w:tcPr>
            <w:tcW w:w="0" w:type="auto"/>
            <w:tcBorders>
              <w:bottom w:val="single" w:color="auto" w:sz="4" w:space="0"/>
            </w:tcBorders>
          </w:tcPr>
          <w:p w:rsidRPr="00475F6D" w:rsidR="00B271C0" w:rsidP="00A579AC" w:rsidRDefault="00B271C0" w14:paraId="348E95E9" w14:textId="77777777">
            <w:pPr>
              <w:pStyle w:val="Tabel"/>
              <w:spacing w:line="240" w:lineRule="atLeast"/>
            </w:pPr>
            <w:r w:rsidRPr="00475F6D">
              <w:t xml:space="preserve"> € -   </w:t>
            </w:r>
          </w:p>
        </w:tc>
        <w:tc>
          <w:tcPr>
            <w:tcW w:w="0" w:type="auto"/>
            <w:tcBorders>
              <w:bottom w:val="single" w:color="auto" w:sz="4" w:space="0"/>
            </w:tcBorders>
          </w:tcPr>
          <w:p w:rsidRPr="00475F6D" w:rsidR="00B271C0" w:rsidP="00A579AC" w:rsidRDefault="00B271C0" w14:paraId="5D19DA2B" w14:textId="77777777">
            <w:pPr>
              <w:pStyle w:val="Tabel"/>
              <w:spacing w:line="240" w:lineRule="atLeast"/>
            </w:pPr>
            <w:r w:rsidRPr="00475F6D">
              <w:t xml:space="preserve">+ € 11,58 </w:t>
            </w:r>
          </w:p>
        </w:tc>
      </w:tr>
    </w:tbl>
    <w:p w:rsidRPr="00475F6D" w:rsidR="00B271C0" w:rsidP="00A579AC" w:rsidRDefault="00B271C0" w14:paraId="2591D1BF" w14:textId="06EC9924">
      <w:pPr>
        <w:pStyle w:val="Tabel"/>
        <w:spacing w:line="240" w:lineRule="atLeast"/>
      </w:pPr>
      <w:r w:rsidRPr="00475F6D">
        <w:t>Bron: eigen bewerking Ministerie VRO</w:t>
      </w:r>
    </w:p>
    <w:p w:rsidRPr="00475F6D" w:rsidR="00B271C0" w:rsidP="00A579AC" w:rsidRDefault="00B271C0" w14:paraId="6C34CF86" w14:textId="77777777"/>
    <w:p w:rsidRPr="00475F6D" w:rsidR="00761D3C" w:rsidP="00A579AC" w:rsidRDefault="00761D3C" w14:paraId="679AD252" w14:textId="77777777">
      <w:pPr>
        <w:pStyle w:val="Lijstalinea"/>
        <w:numPr>
          <w:ilvl w:val="0"/>
          <w:numId w:val="4"/>
        </w:numPr>
        <w:spacing w:after="0" w:line="240" w:lineRule="atLeast"/>
        <w:ind w:left="0" w:firstLine="0"/>
        <w:rPr>
          <w:i/>
          <w:iCs/>
          <w:lang w:val="nl-NL"/>
        </w:rPr>
      </w:pPr>
      <w:r w:rsidRPr="00475F6D">
        <w:rPr>
          <w:i/>
          <w:iCs/>
          <w:lang w:val="nl-NL"/>
        </w:rPr>
        <w:t>Eenpersoonshuishouden; € 650,-; € 38.500</w:t>
      </w:r>
    </w:p>
    <w:p w:rsidRPr="00475F6D" w:rsidR="00761D3C" w:rsidP="00A579AC" w:rsidRDefault="00761D3C" w14:paraId="39837C8A" w14:textId="77777777">
      <w:r w:rsidRPr="00475F6D">
        <w:t xml:space="preserve">Deze persoon heeft een inkomen boven zowel het huidige minimum-inkomensijkpunt als het toekomstige minimum-inkomensijkpunt na harmonisering van de inkomensparameters. Het inkomen is dermate hoog dat met de huidige berekeningsmethode al geen recht is op huurtoeslag: de inkomensafhankelijke eigen bijdrage is al hoger dan het maximaal mogelijke huurtoeslagbedrag bij deze huur. </w:t>
      </w:r>
    </w:p>
    <w:p w:rsidRPr="00475F6D" w:rsidR="00761D3C" w:rsidP="00A579AC" w:rsidRDefault="00761D3C" w14:paraId="044D916E" w14:textId="77777777"/>
    <w:p w:rsidRPr="00475F6D" w:rsidR="00761D3C" w:rsidP="00A579AC" w:rsidRDefault="00761D3C" w14:paraId="2ED0CD87" w14:textId="77777777">
      <w:r w:rsidRPr="00475F6D">
        <w:t>Door de invoering van de lineaire afbouw wordt het inkomensbereik voor dit huishoudtype uitgebreid en de marginale druk verlaagd. Hierdoor zal deze persoon wel in aanmerking komen voor huurtoeslag; samen met de verlaging van de eigen bijdrage zal deze persoon € 34,70 aan huurtoeslag kunnen ontvangen.</w:t>
      </w:r>
    </w:p>
    <w:p w:rsidRPr="00475F6D" w:rsidR="00761D3C" w:rsidP="00A579AC" w:rsidRDefault="00761D3C" w14:paraId="1B698019" w14:textId="77777777"/>
    <w:p w:rsidRPr="00475F6D" w:rsidR="00761D3C" w:rsidP="00A579AC" w:rsidRDefault="00761D3C" w14:paraId="39640092" w14:textId="5298BD09">
      <w:pPr>
        <w:pStyle w:val="Tabel"/>
        <w:spacing w:line="240" w:lineRule="atLeast"/>
      </w:pPr>
      <w:r w:rsidRPr="00475F6D">
        <w:lastRenderedPageBreak/>
        <w:t xml:space="preserve">Tabel </w:t>
      </w:r>
      <w:r w:rsidR="006B6F7C">
        <w:t>5</w:t>
      </w:r>
      <w:r w:rsidRPr="00475F6D">
        <w:t xml:space="preserve"> Effecten per maatregel casus </w:t>
      </w:r>
      <w:r w:rsidR="006B6F7C">
        <w:t>3</w:t>
      </w:r>
      <w:r w:rsidRPr="00475F6D">
        <w:t xml:space="preserve"> per maand</w:t>
      </w:r>
    </w:p>
    <w:tbl>
      <w:tblPr>
        <w:tblStyle w:val="Tabelraster"/>
        <w:tblW w:w="0" w:type="auto"/>
        <w:tblBorders>
          <w:left w:val="none" w:color="auto" w:sz="0" w:space="0"/>
          <w:right w:val="none" w:color="auto" w:sz="0" w:space="0"/>
        </w:tblBorders>
        <w:tblCellMar>
          <w:top w:w="57" w:type="dxa"/>
          <w:bottom w:w="57" w:type="dxa"/>
        </w:tblCellMar>
        <w:tblLook w:val="04A0" w:firstRow="1" w:lastRow="0" w:firstColumn="1" w:lastColumn="0" w:noHBand="0" w:noVBand="1"/>
      </w:tblPr>
      <w:tblGrid>
        <w:gridCol w:w="1256"/>
        <w:gridCol w:w="1190"/>
        <w:gridCol w:w="1866"/>
        <w:gridCol w:w="2077"/>
        <w:gridCol w:w="1217"/>
        <w:gridCol w:w="1420"/>
      </w:tblGrid>
      <w:tr w:rsidRPr="00475F6D" w:rsidR="00761D3C" w:rsidTr="00AF1D7C" w14:paraId="09290304" w14:textId="77777777">
        <w:tc>
          <w:tcPr>
            <w:tcW w:w="0" w:type="auto"/>
          </w:tcPr>
          <w:p w:rsidRPr="00475F6D" w:rsidR="00761D3C" w:rsidP="00A579AC" w:rsidRDefault="00761D3C" w14:paraId="4C76B170" w14:textId="77777777">
            <w:pPr>
              <w:pStyle w:val="Tabel"/>
              <w:spacing w:line="240" w:lineRule="atLeast"/>
            </w:pPr>
            <w:r w:rsidRPr="00475F6D">
              <w:t>Huidige huurtoeslag</w:t>
            </w:r>
          </w:p>
        </w:tc>
        <w:tc>
          <w:tcPr>
            <w:tcW w:w="0" w:type="auto"/>
          </w:tcPr>
          <w:p w:rsidRPr="00475F6D" w:rsidR="00761D3C" w:rsidP="00A579AC" w:rsidRDefault="00761D3C" w14:paraId="0081EBB6" w14:textId="77777777">
            <w:pPr>
              <w:pStyle w:val="Tabel"/>
              <w:spacing w:line="240" w:lineRule="atLeast"/>
            </w:pPr>
            <w:r w:rsidRPr="00475F6D">
              <w:t>Verlaging eigen bijdrage (2.1)</w:t>
            </w:r>
          </w:p>
        </w:tc>
        <w:tc>
          <w:tcPr>
            <w:tcW w:w="0" w:type="auto"/>
          </w:tcPr>
          <w:p w:rsidRPr="00475F6D" w:rsidR="00761D3C" w:rsidP="00A579AC" w:rsidRDefault="00761D3C" w14:paraId="133C4650" w14:textId="77777777">
            <w:pPr>
              <w:pStyle w:val="Tabel"/>
              <w:spacing w:line="240" w:lineRule="atLeast"/>
            </w:pPr>
            <w:r w:rsidRPr="00475F6D">
              <w:t>Harmonisering inkomens-parameters en basishuur (2.2.1)</w:t>
            </w:r>
          </w:p>
        </w:tc>
        <w:tc>
          <w:tcPr>
            <w:tcW w:w="0" w:type="auto"/>
          </w:tcPr>
          <w:p w:rsidRPr="00475F6D" w:rsidR="00761D3C" w:rsidP="00A579AC" w:rsidRDefault="00761D3C" w14:paraId="0A623073" w14:textId="77777777">
            <w:pPr>
              <w:pStyle w:val="Tabel"/>
              <w:spacing w:line="240" w:lineRule="atLeast"/>
            </w:pPr>
            <w:r w:rsidRPr="00475F6D">
              <w:t xml:space="preserve">Harmonisering </w:t>
            </w:r>
            <w:proofErr w:type="spellStart"/>
            <w:r w:rsidRPr="00475F6D">
              <w:t>kwaliteitskortings</w:t>
            </w:r>
            <w:proofErr w:type="spellEnd"/>
            <w:r w:rsidRPr="00475F6D">
              <w:t>-percentages (2.2.2)</w:t>
            </w:r>
          </w:p>
        </w:tc>
        <w:tc>
          <w:tcPr>
            <w:tcW w:w="0" w:type="auto"/>
          </w:tcPr>
          <w:p w:rsidRPr="00475F6D" w:rsidR="00761D3C" w:rsidP="00A579AC" w:rsidRDefault="00761D3C" w14:paraId="73E97265" w14:textId="77777777">
            <w:pPr>
              <w:pStyle w:val="Tabel"/>
              <w:spacing w:line="240" w:lineRule="atLeast"/>
            </w:pPr>
            <w:r w:rsidRPr="00475F6D">
              <w:t>Invoering lineaire afbouw (2.3)</w:t>
            </w:r>
          </w:p>
        </w:tc>
        <w:tc>
          <w:tcPr>
            <w:tcW w:w="0" w:type="auto"/>
          </w:tcPr>
          <w:p w:rsidRPr="00475F6D" w:rsidR="00761D3C" w:rsidP="00A579AC" w:rsidRDefault="00761D3C" w14:paraId="5DD6813E" w14:textId="77777777">
            <w:pPr>
              <w:pStyle w:val="Tabel"/>
              <w:spacing w:line="240" w:lineRule="atLeast"/>
            </w:pPr>
            <w:r w:rsidRPr="00475F6D">
              <w:t>Toename huurtoeslag-bedrag</w:t>
            </w:r>
          </w:p>
        </w:tc>
      </w:tr>
      <w:tr w:rsidRPr="00475F6D" w:rsidR="00761D3C" w:rsidTr="00AF1D7C" w14:paraId="4891D958" w14:textId="77777777">
        <w:tc>
          <w:tcPr>
            <w:tcW w:w="0" w:type="auto"/>
            <w:tcBorders>
              <w:bottom w:val="single" w:color="auto" w:sz="4" w:space="0"/>
            </w:tcBorders>
          </w:tcPr>
          <w:p w:rsidRPr="00475F6D" w:rsidR="00761D3C" w:rsidP="00A579AC" w:rsidRDefault="00761D3C" w14:paraId="05655B9E" w14:textId="77777777">
            <w:pPr>
              <w:pStyle w:val="Tabel"/>
              <w:spacing w:line="240" w:lineRule="atLeast"/>
            </w:pPr>
            <w:r w:rsidRPr="00475F6D">
              <w:t xml:space="preserve">€ - </w:t>
            </w:r>
          </w:p>
        </w:tc>
        <w:tc>
          <w:tcPr>
            <w:tcW w:w="0" w:type="auto"/>
            <w:tcBorders>
              <w:bottom w:val="single" w:color="auto" w:sz="4" w:space="0"/>
            </w:tcBorders>
          </w:tcPr>
          <w:p w:rsidRPr="00475F6D" w:rsidR="00761D3C" w:rsidP="00A579AC" w:rsidRDefault="00761D3C" w14:paraId="1C78617E" w14:textId="77777777">
            <w:pPr>
              <w:pStyle w:val="Tabel"/>
              <w:spacing w:line="240" w:lineRule="atLeast"/>
            </w:pPr>
            <w:r w:rsidRPr="00475F6D">
              <w:t xml:space="preserve"> € 11,58 </w:t>
            </w:r>
          </w:p>
        </w:tc>
        <w:tc>
          <w:tcPr>
            <w:tcW w:w="0" w:type="auto"/>
            <w:tcBorders>
              <w:bottom w:val="single" w:color="auto" w:sz="4" w:space="0"/>
            </w:tcBorders>
          </w:tcPr>
          <w:p w:rsidRPr="00475F6D" w:rsidR="00761D3C" w:rsidP="00A579AC" w:rsidRDefault="00761D3C" w14:paraId="5140CEE0" w14:textId="77777777">
            <w:pPr>
              <w:pStyle w:val="Tabel"/>
              <w:spacing w:line="240" w:lineRule="atLeast"/>
            </w:pPr>
            <w:r w:rsidRPr="00475F6D">
              <w:t xml:space="preserve"> € - </w:t>
            </w:r>
          </w:p>
        </w:tc>
        <w:tc>
          <w:tcPr>
            <w:tcW w:w="0" w:type="auto"/>
            <w:tcBorders>
              <w:bottom w:val="single" w:color="auto" w:sz="4" w:space="0"/>
            </w:tcBorders>
          </w:tcPr>
          <w:p w:rsidRPr="00475F6D" w:rsidR="00761D3C" w:rsidP="00A579AC" w:rsidRDefault="00761D3C" w14:paraId="3E4D58BE" w14:textId="77777777">
            <w:pPr>
              <w:pStyle w:val="Tabel"/>
              <w:spacing w:line="240" w:lineRule="atLeast"/>
            </w:pPr>
            <w:r w:rsidRPr="00475F6D">
              <w:t xml:space="preserve"> € -   </w:t>
            </w:r>
          </w:p>
        </w:tc>
        <w:tc>
          <w:tcPr>
            <w:tcW w:w="0" w:type="auto"/>
            <w:tcBorders>
              <w:bottom w:val="single" w:color="auto" w:sz="4" w:space="0"/>
            </w:tcBorders>
          </w:tcPr>
          <w:p w:rsidRPr="00475F6D" w:rsidR="00761D3C" w:rsidP="00A579AC" w:rsidRDefault="00761D3C" w14:paraId="3852440B" w14:textId="77777777">
            <w:pPr>
              <w:pStyle w:val="Tabel"/>
              <w:spacing w:line="240" w:lineRule="atLeast"/>
            </w:pPr>
            <w:r w:rsidRPr="00475F6D">
              <w:t xml:space="preserve"> € 23,12   </w:t>
            </w:r>
          </w:p>
        </w:tc>
        <w:tc>
          <w:tcPr>
            <w:tcW w:w="0" w:type="auto"/>
            <w:tcBorders>
              <w:bottom w:val="single" w:color="auto" w:sz="4" w:space="0"/>
            </w:tcBorders>
          </w:tcPr>
          <w:p w:rsidRPr="00475F6D" w:rsidR="00761D3C" w:rsidP="00A579AC" w:rsidRDefault="00761D3C" w14:paraId="47093DBA" w14:textId="77777777">
            <w:pPr>
              <w:pStyle w:val="Tabel"/>
              <w:spacing w:line="240" w:lineRule="atLeast"/>
            </w:pPr>
            <w:r w:rsidRPr="00475F6D">
              <w:t xml:space="preserve">+ € 34,70 </w:t>
            </w:r>
          </w:p>
        </w:tc>
      </w:tr>
    </w:tbl>
    <w:p w:rsidRPr="00475F6D" w:rsidR="00761D3C" w:rsidP="00A579AC" w:rsidRDefault="00761D3C" w14:paraId="1E4BD778" w14:textId="1D0FEC65">
      <w:pPr>
        <w:pStyle w:val="Tabel"/>
        <w:spacing w:line="240" w:lineRule="atLeast"/>
      </w:pPr>
      <w:r w:rsidRPr="00475F6D">
        <w:t>Bron: eigen bewerking Ministerie VRO</w:t>
      </w:r>
    </w:p>
    <w:p w:rsidRPr="00475F6D" w:rsidR="00761D3C" w:rsidP="00A579AC" w:rsidRDefault="00761D3C" w14:paraId="5E95C98B" w14:textId="77777777"/>
    <w:p w:rsidRPr="00475F6D" w:rsidR="00761D3C" w:rsidP="00A579AC" w:rsidRDefault="00761D3C" w14:paraId="3361C71E" w14:textId="77777777">
      <w:pPr>
        <w:pStyle w:val="Lijstalinea"/>
        <w:numPr>
          <w:ilvl w:val="0"/>
          <w:numId w:val="4"/>
        </w:numPr>
        <w:spacing w:after="0" w:line="240" w:lineRule="atLeast"/>
        <w:ind w:left="0" w:firstLine="0"/>
        <w:rPr>
          <w:i/>
          <w:iCs/>
          <w:lang w:val="nl-NL"/>
        </w:rPr>
      </w:pPr>
      <w:r w:rsidRPr="00475F6D">
        <w:rPr>
          <w:i/>
          <w:iCs/>
          <w:lang w:val="nl-NL"/>
        </w:rPr>
        <w:t>Meerpersoonshuishouden; € 750,-; € 35.000</w:t>
      </w:r>
    </w:p>
    <w:p w:rsidRPr="00475F6D" w:rsidR="00761D3C" w:rsidP="00A579AC" w:rsidRDefault="00761D3C" w14:paraId="492099C6" w14:textId="39145B25">
      <w:r w:rsidRPr="00475F6D">
        <w:t xml:space="preserve">Dit huishouden heeft (gezamenlijk) een inkomen waarmee de huurtoeslag al wel wordt afgebouwd, zowel in de huidige als in de voorgestelde situatie, maar waarmee nog wel recht is op huurtoeslag. Door het harmoniseren van de huishoudtypes, zal dit huishouden </w:t>
      </w:r>
      <w:r w:rsidR="00EC449E">
        <w:t xml:space="preserve">vanaf 2025 </w:t>
      </w:r>
      <w:r w:rsidRPr="00475F6D">
        <w:t xml:space="preserve">afbouwen volgens de hogere afbouw van nu de ouderenhuishoudens. Daarnaast profiteert ook dit huishouden van de invoering van de lineaire lijn en verlaagde marginale druk. Hierdoor zal dit huishouden meer huurtoeslag ontvangen. </w:t>
      </w:r>
    </w:p>
    <w:p w:rsidRPr="00475F6D" w:rsidR="00761D3C" w:rsidP="00A579AC" w:rsidRDefault="00761D3C" w14:paraId="02B80C89" w14:textId="77777777"/>
    <w:p w:rsidRPr="00475F6D" w:rsidR="00761D3C" w:rsidP="00A579AC" w:rsidRDefault="00761D3C" w14:paraId="69C5A1CF" w14:textId="4356F1A2">
      <w:r w:rsidRPr="00475F6D">
        <w:t xml:space="preserve">Daarnaast ligt de huur van dit huishouden tussen de aftoppingsgrens en de maximum huurgrens. Over dit laatste huurdeel krijgt dit huishouden nu 0% vergoeding. Na </w:t>
      </w:r>
      <w:r w:rsidR="00EC449E">
        <w:t xml:space="preserve">de harmonisatie van de huishoudtypes in 2025 </w:t>
      </w:r>
      <w:r w:rsidRPr="00475F6D">
        <w:t>zullen zij hier 40% vergoeding over ontvangen. Ook hierdoor ontvangen zij meer huurtoeslag. Per saldo zal dit huishouden</w:t>
      </w:r>
      <w:r w:rsidR="00EC449E">
        <w:t xml:space="preserve"> in 2026</w:t>
      </w:r>
      <w:r w:rsidRPr="00475F6D">
        <w:t xml:space="preserve"> € 87,49 meer huurtoeslag ontvangen</w:t>
      </w:r>
      <w:r w:rsidR="00EC449E">
        <w:t xml:space="preserve"> dan in 2024</w:t>
      </w:r>
      <w:r w:rsidRPr="00475F6D">
        <w:t xml:space="preserve">. </w:t>
      </w:r>
    </w:p>
    <w:p w:rsidRPr="00475F6D" w:rsidR="00761D3C" w:rsidP="00A579AC" w:rsidRDefault="00761D3C" w14:paraId="5DDD6B53" w14:textId="77777777"/>
    <w:p w:rsidRPr="00475F6D" w:rsidR="00761D3C" w:rsidP="00A579AC" w:rsidRDefault="00761D3C" w14:paraId="126B39EE" w14:textId="088E5245">
      <w:pPr>
        <w:pStyle w:val="Tabel"/>
        <w:spacing w:line="240" w:lineRule="atLeast"/>
      </w:pPr>
      <w:r w:rsidRPr="00475F6D">
        <w:t xml:space="preserve">Tabel </w:t>
      </w:r>
      <w:r w:rsidR="006B6F7C">
        <w:t>6</w:t>
      </w:r>
      <w:r w:rsidRPr="00475F6D">
        <w:t xml:space="preserve"> Effecten per maatregel casus </w:t>
      </w:r>
      <w:r w:rsidR="006B6F7C">
        <w:t>4</w:t>
      </w:r>
      <w:r w:rsidRPr="00475F6D">
        <w:t xml:space="preserve"> per maand</w:t>
      </w:r>
    </w:p>
    <w:tbl>
      <w:tblPr>
        <w:tblStyle w:val="Tabelraster"/>
        <w:tblW w:w="0" w:type="auto"/>
        <w:tblBorders>
          <w:left w:val="none" w:color="auto" w:sz="0" w:space="0"/>
          <w:right w:val="none" w:color="auto" w:sz="0" w:space="0"/>
        </w:tblBorders>
        <w:tblCellMar>
          <w:top w:w="57" w:type="dxa"/>
          <w:bottom w:w="57" w:type="dxa"/>
        </w:tblCellMar>
        <w:tblLook w:val="04A0" w:firstRow="1" w:lastRow="0" w:firstColumn="1" w:lastColumn="0" w:noHBand="0" w:noVBand="1"/>
      </w:tblPr>
      <w:tblGrid>
        <w:gridCol w:w="1256"/>
        <w:gridCol w:w="1190"/>
        <w:gridCol w:w="1866"/>
        <w:gridCol w:w="2077"/>
        <w:gridCol w:w="1217"/>
        <w:gridCol w:w="1420"/>
      </w:tblGrid>
      <w:tr w:rsidRPr="00475F6D" w:rsidR="00761D3C" w:rsidTr="00AF1D7C" w14:paraId="5F3794DD" w14:textId="77777777">
        <w:tc>
          <w:tcPr>
            <w:tcW w:w="0" w:type="auto"/>
          </w:tcPr>
          <w:p w:rsidRPr="00475F6D" w:rsidR="00761D3C" w:rsidP="00A579AC" w:rsidRDefault="00761D3C" w14:paraId="369A0CB8" w14:textId="77777777">
            <w:pPr>
              <w:pStyle w:val="Tabel"/>
              <w:spacing w:line="240" w:lineRule="atLeast"/>
            </w:pPr>
            <w:r w:rsidRPr="00475F6D">
              <w:t>Huidige huurtoeslag</w:t>
            </w:r>
          </w:p>
        </w:tc>
        <w:tc>
          <w:tcPr>
            <w:tcW w:w="0" w:type="auto"/>
          </w:tcPr>
          <w:p w:rsidRPr="00475F6D" w:rsidR="00761D3C" w:rsidP="00A579AC" w:rsidRDefault="00761D3C" w14:paraId="4EE6BD98" w14:textId="77777777">
            <w:pPr>
              <w:pStyle w:val="Tabel"/>
              <w:spacing w:line="240" w:lineRule="atLeast"/>
            </w:pPr>
            <w:r w:rsidRPr="00475F6D">
              <w:t>Verlaging eigen bijdrage (2.1)</w:t>
            </w:r>
          </w:p>
        </w:tc>
        <w:tc>
          <w:tcPr>
            <w:tcW w:w="0" w:type="auto"/>
          </w:tcPr>
          <w:p w:rsidRPr="00475F6D" w:rsidR="00761D3C" w:rsidP="00A579AC" w:rsidRDefault="00761D3C" w14:paraId="05044664" w14:textId="77777777">
            <w:pPr>
              <w:pStyle w:val="Tabel"/>
              <w:spacing w:line="240" w:lineRule="atLeast"/>
            </w:pPr>
            <w:r w:rsidRPr="00475F6D">
              <w:t>Harmonisering inkomens-parameters en basishuur (2.2.1)</w:t>
            </w:r>
          </w:p>
        </w:tc>
        <w:tc>
          <w:tcPr>
            <w:tcW w:w="0" w:type="auto"/>
          </w:tcPr>
          <w:p w:rsidRPr="00475F6D" w:rsidR="00761D3C" w:rsidP="00A579AC" w:rsidRDefault="00761D3C" w14:paraId="100D1976" w14:textId="77777777">
            <w:pPr>
              <w:pStyle w:val="Tabel"/>
              <w:spacing w:line="240" w:lineRule="atLeast"/>
            </w:pPr>
            <w:r w:rsidRPr="00475F6D">
              <w:t xml:space="preserve">Harmonisering </w:t>
            </w:r>
            <w:proofErr w:type="spellStart"/>
            <w:r w:rsidRPr="00475F6D">
              <w:t>kwaliteitskortings</w:t>
            </w:r>
            <w:proofErr w:type="spellEnd"/>
            <w:r w:rsidRPr="00475F6D">
              <w:t>-percentages (2.2.2)</w:t>
            </w:r>
          </w:p>
        </w:tc>
        <w:tc>
          <w:tcPr>
            <w:tcW w:w="0" w:type="auto"/>
          </w:tcPr>
          <w:p w:rsidRPr="00475F6D" w:rsidR="00761D3C" w:rsidP="00A579AC" w:rsidRDefault="00761D3C" w14:paraId="61968102" w14:textId="77777777">
            <w:pPr>
              <w:pStyle w:val="Tabel"/>
              <w:spacing w:line="240" w:lineRule="atLeast"/>
            </w:pPr>
            <w:r w:rsidRPr="00475F6D">
              <w:t>Invoering lineaire afbouw (2.3)</w:t>
            </w:r>
          </w:p>
        </w:tc>
        <w:tc>
          <w:tcPr>
            <w:tcW w:w="0" w:type="auto"/>
          </w:tcPr>
          <w:p w:rsidRPr="00475F6D" w:rsidR="00761D3C" w:rsidP="00A579AC" w:rsidRDefault="00761D3C" w14:paraId="65E00BF5" w14:textId="77777777">
            <w:pPr>
              <w:pStyle w:val="Tabel"/>
              <w:spacing w:line="240" w:lineRule="atLeast"/>
            </w:pPr>
            <w:r w:rsidRPr="00475F6D">
              <w:t>Toename huurtoeslag-bedrag</w:t>
            </w:r>
          </w:p>
        </w:tc>
      </w:tr>
      <w:tr w:rsidRPr="00475F6D" w:rsidR="00761D3C" w:rsidTr="00AF1D7C" w14:paraId="77FCE3F8" w14:textId="77777777">
        <w:tc>
          <w:tcPr>
            <w:tcW w:w="0" w:type="auto"/>
            <w:tcBorders>
              <w:bottom w:val="single" w:color="auto" w:sz="4" w:space="0"/>
            </w:tcBorders>
          </w:tcPr>
          <w:p w:rsidRPr="00475F6D" w:rsidR="00761D3C" w:rsidP="00A579AC" w:rsidRDefault="00761D3C" w14:paraId="7256BA79" w14:textId="77777777">
            <w:pPr>
              <w:pStyle w:val="Tabel"/>
              <w:spacing w:line="240" w:lineRule="atLeast"/>
            </w:pPr>
            <w:r w:rsidRPr="00475F6D">
              <w:t xml:space="preserve">€ 256,79 </w:t>
            </w:r>
          </w:p>
        </w:tc>
        <w:tc>
          <w:tcPr>
            <w:tcW w:w="0" w:type="auto"/>
            <w:tcBorders>
              <w:bottom w:val="single" w:color="auto" w:sz="4" w:space="0"/>
            </w:tcBorders>
          </w:tcPr>
          <w:p w:rsidRPr="00475F6D" w:rsidR="00761D3C" w:rsidP="00A579AC" w:rsidRDefault="00761D3C" w14:paraId="043CAC25" w14:textId="77777777">
            <w:pPr>
              <w:pStyle w:val="Tabel"/>
              <w:spacing w:line="240" w:lineRule="atLeast"/>
            </w:pPr>
            <w:r w:rsidRPr="00475F6D">
              <w:t xml:space="preserve"> € 11,58 </w:t>
            </w:r>
          </w:p>
        </w:tc>
        <w:tc>
          <w:tcPr>
            <w:tcW w:w="0" w:type="auto"/>
            <w:tcBorders>
              <w:bottom w:val="single" w:color="auto" w:sz="4" w:space="0"/>
            </w:tcBorders>
          </w:tcPr>
          <w:p w:rsidRPr="00475F6D" w:rsidR="00761D3C" w:rsidP="00A579AC" w:rsidRDefault="00761D3C" w14:paraId="26A4C868" w14:textId="77777777">
            <w:pPr>
              <w:pStyle w:val="Tabel"/>
              <w:spacing w:line="240" w:lineRule="atLeast"/>
            </w:pPr>
            <w:r w:rsidRPr="00475F6D">
              <w:t xml:space="preserve"> € 24,37 </w:t>
            </w:r>
          </w:p>
        </w:tc>
        <w:tc>
          <w:tcPr>
            <w:tcW w:w="0" w:type="auto"/>
            <w:tcBorders>
              <w:bottom w:val="single" w:color="auto" w:sz="4" w:space="0"/>
            </w:tcBorders>
          </w:tcPr>
          <w:p w:rsidRPr="00475F6D" w:rsidR="00761D3C" w:rsidP="00A579AC" w:rsidRDefault="00761D3C" w14:paraId="1AA903C4" w14:textId="77777777">
            <w:pPr>
              <w:pStyle w:val="Tabel"/>
              <w:spacing w:line="240" w:lineRule="atLeast"/>
            </w:pPr>
            <w:r w:rsidRPr="00475F6D">
              <w:t xml:space="preserve"> € 39,83   </w:t>
            </w:r>
          </w:p>
        </w:tc>
        <w:tc>
          <w:tcPr>
            <w:tcW w:w="0" w:type="auto"/>
            <w:tcBorders>
              <w:bottom w:val="single" w:color="auto" w:sz="4" w:space="0"/>
            </w:tcBorders>
          </w:tcPr>
          <w:p w:rsidRPr="00475F6D" w:rsidR="00761D3C" w:rsidP="00A579AC" w:rsidRDefault="00761D3C" w14:paraId="610242B4" w14:textId="77777777">
            <w:pPr>
              <w:pStyle w:val="Tabel"/>
              <w:spacing w:line="240" w:lineRule="atLeast"/>
            </w:pPr>
            <w:r w:rsidRPr="00475F6D">
              <w:t xml:space="preserve"> € 11,71   </w:t>
            </w:r>
          </w:p>
        </w:tc>
        <w:tc>
          <w:tcPr>
            <w:tcW w:w="0" w:type="auto"/>
            <w:tcBorders>
              <w:bottom w:val="single" w:color="auto" w:sz="4" w:space="0"/>
            </w:tcBorders>
          </w:tcPr>
          <w:p w:rsidRPr="00475F6D" w:rsidR="00761D3C" w:rsidP="00A579AC" w:rsidRDefault="00761D3C" w14:paraId="2EC5DEB0" w14:textId="77777777">
            <w:pPr>
              <w:pStyle w:val="Tabel"/>
              <w:spacing w:line="240" w:lineRule="atLeast"/>
            </w:pPr>
            <w:r w:rsidRPr="00475F6D">
              <w:t xml:space="preserve">+ € 87,49 </w:t>
            </w:r>
          </w:p>
        </w:tc>
      </w:tr>
    </w:tbl>
    <w:p w:rsidRPr="00475F6D" w:rsidR="00761D3C" w:rsidP="00A579AC" w:rsidRDefault="00761D3C" w14:paraId="3BC29FB9" w14:textId="56F6DFEE">
      <w:pPr>
        <w:pStyle w:val="Tabel"/>
        <w:spacing w:line="240" w:lineRule="atLeast"/>
      </w:pPr>
      <w:r w:rsidRPr="00475F6D">
        <w:t>Bron: eigen bewerking Ministerie VRO</w:t>
      </w:r>
    </w:p>
    <w:p w:rsidRPr="00475F6D" w:rsidR="00761D3C" w:rsidP="00A579AC" w:rsidRDefault="00761D3C" w14:paraId="34765526" w14:textId="77777777"/>
    <w:p w:rsidRPr="00475F6D" w:rsidR="00761D3C" w:rsidP="00A579AC" w:rsidRDefault="00761D3C" w14:paraId="6E97336A" w14:textId="77777777">
      <w:pPr>
        <w:pStyle w:val="Lijstalinea"/>
        <w:numPr>
          <w:ilvl w:val="0"/>
          <w:numId w:val="4"/>
        </w:numPr>
        <w:spacing w:after="0" w:line="240" w:lineRule="atLeast"/>
        <w:ind w:left="0" w:firstLine="0"/>
        <w:rPr>
          <w:i/>
          <w:iCs/>
          <w:lang w:val="nl-NL"/>
        </w:rPr>
      </w:pPr>
      <w:proofErr w:type="spellStart"/>
      <w:r w:rsidRPr="00475F6D">
        <w:rPr>
          <w:i/>
          <w:iCs/>
          <w:lang w:val="nl-NL"/>
        </w:rPr>
        <w:t>Meerpersoonsouderenhuishouden</w:t>
      </w:r>
      <w:proofErr w:type="spellEnd"/>
      <w:r w:rsidRPr="00475F6D">
        <w:rPr>
          <w:i/>
          <w:iCs/>
          <w:lang w:val="nl-NL"/>
        </w:rPr>
        <w:t>; € 650,-; € 32.5000</w:t>
      </w:r>
    </w:p>
    <w:p w:rsidRPr="00475F6D" w:rsidR="00761D3C" w:rsidP="00A579AC" w:rsidRDefault="00761D3C" w14:paraId="399C6A63" w14:textId="77777777">
      <w:r w:rsidRPr="00475F6D">
        <w:t>Voor dit ouderenhuishoudens verandert tevens weinig. Omdat het inkomen van dit huishouden wel dermate hoog is dat er sprake is van een afbouw van de huurtoeslag, is er een beperkt effect van de invoering van de lineaire afbouw. Samen met de generieke verlaging van de eigen bijdrage zal dit huishouden € 15,24 meer huurtoeslag ontvangen.</w:t>
      </w:r>
    </w:p>
    <w:p w:rsidRPr="00475F6D" w:rsidR="00761D3C" w:rsidP="00A579AC" w:rsidRDefault="00761D3C" w14:paraId="40AA1BA0" w14:textId="77777777"/>
    <w:p w:rsidRPr="00475F6D" w:rsidR="00761D3C" w:rsidP="00A579AC" w:rsidRDefault="00761D3C" w14:paraId="58F2A3C9" w14:textId="7B27D14B">
      <w:pPr>
        <w:pStyle w:val="Tabel"/>
        <w:spacing w:line="240" w:lineRule="atLeast"/>
      </w:pPr>
      <w:r w:rsidRPr="00475F6D">
        <w:t xml:space="preserve">Tabel 7 Effecten per maatregel casus </w:t>
      </w:r>
      <w:r w:rsidR="006B6F7C">
        <w:t>5</w:t>
      </w:r>
      <w:r w:rsidRPr="00475F6D">
        <w:t xml:space="preserve"> per maand</w:t>
      </w:r>
    </w:p>
    <w:tbl>
      <w:tblPr>
        <w:tblStyle w:val="Tabelraster"/>
        <w:tblW w:w="0" w:type="auto"/>
        <w:tblBorders>
          <w:left w:val="none" w:color="auto" w:sz="0" w:space="0"/>
          <w:right w:val="none" w:color="auto" w:sz="0" w:space="0"/>
        </w:tblBorders>
        <w:tblCellMar>
          <w:top w:w="57" w:type="dxa"/>
          <w:bottom w:w="57" w:type="dxa"/>
        </w:tblCellMar>
        <w:tblLook w:val="04A0" w:firstRow="1" w:lastRow="0" w:firstColumn="1" w:lastColumn="0" w:noHBand="0" w:noVBand="1"/>
      </w:tblPr>
      <w:tblGrid>
        <w:gridCol w:w="1256"/>
        <w:gridCol w:w="1190"/>
        <w:gridCol w:w="1866"/>
        <w:gridCol w:w="2077"/>
        <w:gridCol w:w="1217"/>
        <w:gridCol w:w="1420"/>
      </w:tblGrid>
      <w:tr w:rsidRPr="00475F6D" w:rsidR="00761D3C" w:rsidTr="00AF1D7C" w14:paraId="4D9A8319" w14:textId="77777777">
        <w:tc>
          <w:tcPr>
            <w:tcW w:w="0" w:type="auto"/>
          </w:tcPr>
          <w:p w:rsidRPr="00475F6D" w:rsidR="00761D3C" w:rsidP="00A579AC" w:rsidRDefault="00761D3C" w14:paraId="6F824DFA" w14:textId="77777777">
            <w:pPr>
              <w:pStyle w:val="Tabel"/>
              <w:spacing w:line="240" w:lineRule="atLeast"/>
            </w:pPr>
            <w:r w:rsidRPr="00475F6D">
              <w:t>Huidige huurtoeslag</w:t>
            </w:r>
          </w:p>
        </w:tc>
        <w:tc>
          <w:tcPr>
            <w:tcW w:w="0" w:type="auto"/>
          </w:tcPr>
          <w:p w:rsidRPr="00475F6D" w:rsidR="00761D3C" w:rsidP="00A579AC" w:rsidRDefault="00761D3C" w14:paraId="74F6689A" w14:textId="77777777">
            <w:pPr>
              <w:pStyle w:val="Tabel"/>
              <w:spacing w:line="240" w:lineRule="atLeast"/>
            </w:pPr>
            <w:r w:rsidRPr="00475F6D">
              <w:t>Verlaging eigen bijdrage (2.1)</w:t>
            </w:r>
          </w:p>
        </w:tc>
        <w:tc>
          <w:tcPr>
            <w:tcW w:w="0" w:type="auto"/>
          </w:tcPr>
          <w:p w:rsidRPr="00475F6D" w:rsidR="00761D3C" w:rsidP="00A579AC" w:rsidRDefault="00761D3C" w14:paraId="2C17D4A8" w14:textId="77777777">
            <w:pPr>
              <w:pStyle w:val="Tabel"/>
              <w:spacing w:line="240" w:lineRule="atLeast"/>
            </w:pPr>
            <w:r w:rsidRPr="00475F6D">
              <w:t>Harmonisering inkomens-parameters en basishuur (2.2.1)</w:t>
            </w:r>
          </w:p>
        </w:tc>
        <w:tc>
          <w:tcPr>
            <w:tcW w:w="0" w:type="auto"/>
          </w:tcPr>
          <w:p w:rsidRPr="00475F6D" w:rsidR="00761D3C" w:rsidP="00A579AC" w:rsidRDefault="00761D3C" w14:paraId="2945FC7C" w14:textId="77777777">
            <w:pPr>
              <w:pStyle w:val="Tabel"/>
              <w:spacing w:line="240" w:lineRule="atLeast"/>
            </w:pPr>
            <w:r w:rsidRPr="00475F6D">
              <w:t xml:space="preserve">Harmonisering </w:t>
            </w:r>
            <w:proofErr w:type="spellStart"/>
            <w:r w:rsidRPr="00475F6D">
              <w:t>kwaliteitskortings</w:t>
            </w:r>
            <w:proofErr w:type="spellEnd"/>
            <w:r w:rsidRPr="00475F6D">
              <w:t>-percentages (2.2.2)</w:t>
            </w:r>
          </w:p>
        </w:tc>
        <w:tc>
          <w:tcPr>
            <w:tcW w:w="0" w:type="auto"/>
          </w:tcPr>
          <w:p w:rsidRPr="00475F6D" w:rsidR="00761D3C" w:rsidP="00A579AC" w:rsidRDefault="00761D3C" w14:paraId="7CF3F783" w14:textId="77777777">
            <w:pPr>
              <w:pStyle w:val="Tabel"/>
              <w:spacing w:line="240" w:lineRule="atLeast"/>
            </w:pPr>
            <w:r w:rsidRPr="00475F6D">
              <w:t>Invoering lineaire afbouw (2.3)</w:t>
            </w:r>
          </w:p>
        </w:tc>
        <w:tc>
          <w:tcPr>
            <w:tcW w:w="0" w:type="auto"/>
          </w:tcPr>
          <w:p w:rsidRPr="00475F6D" w:rsidR="00761D3C" w:rsidP="00A579AC" w:rsidRDefault="00761D3C" w14:paraId="366B4DF5" w14:textId="77777777">
            <w:pPr>
              <w:pStyle w:val="Tabel"/>
              <w:spacing w:line="240" w:lineRule="atLeast"/>
            </w:pPr>
            <w:r w:rsidRPr="00475F6D">
              <w:t>Toename huurtoeslag-bedrag</w:t>
            </w:r>
          </w:p>
        </w:tc>
      </w:tr>
      <w:tr w:rsidRPr="00475F6D" w:rsidR="00761D3C" w:rsidTr="00AF1D7C" w14:paraId="08A4590D" w14:textId="77777777">
        <w:tc>
          <w:tcPr>
            <w:tcW w:w="0" w:type="auto"/>
            <w:tcBorders>
              <w:bottom w:val="single" w:color="auto" w:sz="4" w:space="0"/>
            </w:tcBorders>
          </w:tcPr>
          <w:p w:rsidRPr="00475F6D" w:rsidR="00761D3C" w:rsidP="00A579AC" w:rsidRDefault="00761D3C" w14:paraId="3BA440C8" w14:textId="77777777">
            <w:pPr>
              <w:pStyle w:val="Tabel"/>
              <w:spacing w:line="240" w:lineRule="atLeast"/>
            </w:pPr>
            <w:r w:rsidRPr="00475F6D">
              <w:t xml:space="preserve">€ 361,93 </w:t>
            </w:r>
          </w:p>
        </w:tc>
        <w:tc>
          <w:tcPr>
            <w:tcW w:w="0" w:type="auto"/>
            <w:tcBorders>
              <w:bottom w:val="single" w:color="auto" w:sz="4" w:space="0"/>
            </w:tcBorders>
          </w:tcPr>
          <w:p w:rsidRPr="00475F6D" w:rsidR="00761D3C" w:rsidP="00A579AC" w:rsidRDefault="00761D3C" w14:paraId="2756054F" w14:textId="77777777">
            <w:pPr>
              <w:pStyle w:val="Tabel"/>
              <w:spacing w:line="240" w:lineRule="atLeast"/>
            </w:pPr>
            <w:r w:rsidRPr="00475F6D">
              <w:t xml:space="preserve"> € 11,58 </w:t>
            </w:r>
          </w:p>
        </w:tc>
        <w:tc>
          <w:tcPr>
            <w:tcW w:w="0" w:type="auto"/>
            <w:tcBorders>
              <w:bottom w:val="single" w:color="auto" w:sz="4" w:space="0"/>
            </w:tcBorders>
          </w:tcPr>
          <w:p w:rsidRPr="00475F6D" w:rsidR="00761D3C" w:rsidP="00A579AC" w:rsidRDefault="00761D3C" w14:paraId="2A167A92" w14:textId="77777777">
            <w:pPr>
              <w:pStyle w:val="Tabel"/>
              <w:spacing w:line="240" w:lineRule="atLeast"/>
            </w:pPr>
            <w:r w:rsidRPr="00475F6D">
              <w:t xml:space="preserve"> € - </w:t>
            </w:r>
          </w:p>
        </w:tc>
        <w:tc>
          <w:tcPr>
            <w:tcW w:w="0" w:type="auto"/>
            <w:tcBorders>
              <w:bottom w:val="single" w:color="auto" w:sz="4" w:space="0"/>
            </w:tcBorders>
          </w:tcPr>
          <w:p w:rsidRPr="00475F6D" w:rsidR="00761D3C" w:rsidP="00A579AC" w:rsidRDefault="00761D3C" w14:paraId="3B6908D5" w14:textId="77777777">
            <w:pPr>
              <w:pStyle w:val="Tabel"/>
              <w:spacing w:line="240" w:lineRule="atLeast"/>
            </w:pPr>
            <w:r w:rsidRPr="00475F6D">
              <w:t xml:space="preserve"> € -   </w:t>
            </w:r>
          </w:p>
        </w:tc>
        <w:tc>
          <w:tcPr>
            <w:tcW w:w="0" w:type="auto"/>
            <w:tcBorders>
              <w:bottom w:val="single" w:color="auto" w:sz="4" w:space="0"/>
            </w:tcBorders>
          </w:tcPr>
          <w:p w:rsidRPr="00475F6D" w:rsidR="00761D3C" w:rsidP="00A579AC" w:rsidRDefault="00761D3C" w14:paraId="4784AC65" w14:textId="77777777">
            <w:pPr>
              <w:pStyle w:val="Tabel"/>
              <w:spacing w:line="240" w:lineRule="atLeast"/>
            </w:pPr>
            <w:r w:rsidRPr="00475F6D">
              <w:t xml:space="preserve"> € 3,66  </w:t>
            </w:r>
          </w:p>
        </w:tc>
        <w:tc>
          <w:tcPr>
            <w:tcW w:w="0" w:type="auto"/>
            <w:tcBorders>
              <w:bottom w:val="single" w:color="auto" w:sz="4" w:space="0"/>
            </w:tcBorders>
          </w:tcPr>
          <w:p w:rsidRPr="00475F6D" w:rsidR="00761D3C" w:rsidP="00A579AC" w:rsidRDefault="00761D3C" w14:paraId="47D67070" w14:textId="77777777">
            <w:pPr>
              <w:pStyle w:val="Tabel"/>
              <w:spacing w:line="240" w:lineRule="atLeast"/>
            </w:pPr>
            <w:r w:rsidRPr="00475F6D">
              <w:t xml:space="preserve">+ € 15,24 </w:t>
            </w:r>
          </w:p>
        </w:tc>
      </w:tr>
    </w:tbl>
    <w:p w:rsidRPr="00475F6D" w:rsidR="00761D3C" w:rsidP="00A579AC" w:rsidRDefault="00761D3C" w14:paraId="23F8EB77" w14:textId="57F99682">
      <w:pPr>
        <w:pStyle w:val="Tabel"/>
        <w:spacing w:line="240" w:lineRule="atLeast"/>
      </w:pPr>
      <w:r w:rsidRPr="00475F6D">
        <w:t>Bron: eigen bewerking Ministerie VRO</w:t>
      </w:r>
    </w:p>
    <w:p w:rsidRPr="00475F6D" w:rsidR="00761D3C" w:rsidP="00A579AC" w:rsidRDefault="00761D3C" w14:paraId="1F6E005C" w14:textId="77777777"/>
    <w:p w:rsidRPr="00475F6D" w:rsidR="00761D3C" w:rsidP="00A579AC" w:rsidRDefault="00761D3C" w14:paraId="5A1091E0" w14:textId="77777777">
      <w:pPr>
        <w:pStyle w:val="Lijstalinea"/>
        <w:numPr>
          <w:ilvl w:val="2"/>
          <w:numId w:val="3"/>
        </w:numPr>
        <w:spacing w:after="0" w:line="240" w:lineRule="atLeast"/>
        <w:ind w:left="0" w:firstLine="0"/>
        <w:rPr>
          <w:i/>
          <w:iCs/>
          <w:lang w:val="nl-NL"/>
        </w:rPr>
      </w:pPr>
      <w:r w:rsidRPr="00475F6D">
        <w:rPr>
          <w:i/>
          <w:iCs/>
          <w:lang w:val="nl-NL"/>
        </w:rPr>
        <w:t>Administratieve lasten en regeldruk</w:t>
      </w:r>
    </w:p>
    <w:p w:rsidRPr="00475F6D" w:rsidR="00761D3C" w:rsidP="00A579AC" w:rsidRDefault="00761D3C" w14:paraId="48B93104" w14:textId="77777777">
      <w:r w:rsidRPr="00475F6D">
        <w:t xml:space="preserve">De voorgestelde maatregelen zijn slechts veranderingen in de berekeningssystematiek en de hoogte van de tegemoetkoming huurtoeslag. Deze leiden niet tot extra administratieve lasten voor de burger; in het aanvraagproces voor de huurtoeslag verandert er niets. </w:t>
      </w:r>
    </w:p>
    <w:p w:rsidRPr="00475F6D" w:rsidR="00761D3C" w:rsidP="00A579AC" w:rsidRDefault="00761D3C" w14:paraId="039A3CD9" w14:textId="77777777"/>
    <w:p w:rsidRPr="00475F6D" w:rsidR="00761D3C" w:rsidP="00A579AC" w:rsidRDefault="00761D3C" w14:paraId="4F1D14DE" w14:textId="2C5DC0A2">
      <w:r w:rsidRPr="00475F6D">
        <w:t xml:space="preserve">Doordat de maatregelen het huurtoeslagbedrag verhogen en het inkomensbereik van de huurtoeslag uitbreiden, kunnen tot ca. </w:t>
      </w:r>
      <w:r w:rsidRPr="00475F6D" w:rsidR="00585DA2">
        <w:t>57</w:t>
      </w:r>
      <w:r w:rsidRPr="00475F6D">
        <w:t>.000 huishoudens instromen in de huurtoeslag. Het duurt ongeveer 10 minuten om een aanvraag voor de huurtoeslag te doen. Ervan uitgaande dat zij dit direct vanaf inwerkingtreding doen en dat zij dus huur-, inkomens- en overige gegevens moeten aanleveren, leidt dit tot extra administratieve lasten van ongeveer € </w:t>
      </w:r>
      <w:r w:rsidRPr="00475F6D" w:rsidR="00585DA2">
        <w:t>142</w:t>
      </w:r>
      <w:r w:rsidRPr="00475F6D">
        <w:t xml:space="preserve">.500. </w:t>
      </w:r>
    </w:p>
    <w:p w:rsidRPr="00475F6D" w:rsidR="00761D3C" w:rsidP="00A579AC" w:rsidRDefault="00761D3C" w14:paraId="29B65FCB" w14:textId="77777777"/>
    <w:p w:rsidRPr="00475F6D" w:rsidR="00761D3C" w:rsidP="00A579AC" w:rsidRDefault="00761D3C" w14:paraId="5485ABBD" w14:textId="77777777">
      <w:pPr>
        <w:pStyle w:val="Lijstalinea"/>
        <w:numPr>
          <w:ilvl w:val="1"/>
          <w:numId w:val="3"/>
        </w:numPr>
        <w:spacing w:after="0" w:line="240" w:lineRule="atLeast"/>
        <w:ind w:left="0" w:firstLine="0"/>
        <w:rPr>
          <w:i/>
          <w:iCs/>
          <w:lang w:val="nl-NL"/>
        </w:rPr>
      </w:pPr>
      <w:r w:rsidRPr="00475F6D">
        <w:rPr>
          <w:i/>
          <w:iCs/>
          <w:lang w:val="nl-NL"/>
        </w:rPr>
        <w:t xml:space="preserve">Gevolgen voor de overheid </w:t>
      </w:r>
    </w:p>
    <w:p w:rsidRPr="00475F6D" w:rsidR="00761D3C" w:rsidP="00A579AC" w:rsidRDefault="00761D3C" w14:paraId="271A45F5" w14:textId="77777777">
      <w:pPr>
        <w:pStyle w:val="Lijstalinea"/>
        <w:numPr>
          <w:ilvl w:val="2"/>
          <w:numId w:val="3"/>
        </w:numPr>
        <w:spacing w:after="0" w:line="240" w:lineRule="atLeast"/>
        <w:ind w:left="0" w:firstLine="0"/>
        <w:rPr>
          <w:i/>
          <w:iCs/>
          <w:lang w:val="nl-NL"/>
        </w:rPr>
      </w:pPr>
      <w:r w:rsidRPr="00475F6D">
        <w:rPr>
          <w:i/>
          <w:iCs/>
          <w:lang w:val="nl-NL"/>
        </w:rPr>
        <w:t>Financiële consequenties voor het Rijk</w:t>
      </w:r>
    </w:p>
    <w:p w:rsidRPr="00475F6D" w:rsidR="00761D3C" w:rsidP="00A579AC" w:rsidRDefault="00761D3C" w14:paraId="35FA88BE" w14:textId="4E5D977B">
      <w:r w:rsidRPr="00475F6D">
        <w:t xml:space="preserve">De in dit wetsvoorstel opgenomen maatregelen hebben effect op de huurtoeslaguitgaven, en daarmee op de begroting van het Ministerie van Volkshuisvesting en Ruimtelijke Ordening. Door het verlagen van de eigen bijdrage, het harmoniseren van de inkomensparameters en kwaliteitskortingspercentages van de huishoudtypes en het invoeren van een lineaire afbouw waarbij huurtoeslagontvangers er niet op achteruit gaan, leiden allemaal tot hogere uitgaven huurtoeslag. Dekking hiervan is voorzien bij het Hoofdlijnenakkoord 2024. </w:t>
      </w:r>
    </w:p>
    <w:p w:rsidRPr="00475F6D" w:rsidR="00761D3C" w:rsidP="00A579AC" w:rsidRDefault="00761D3C" w14:paraId="675CB876" w14:textId="77777777">
      <w:r w:rsidRPr="00475F6D">
        <w:br/>
        <w:t>Dit leidt tot onderstaande extra uitgaven huurtoeslag, naar huurtoeslagjaar en prijs 2024 en met een verdeling van de budgettaire effecten per maatregel.</w:t>
      </w:r>
    </w:p>
    <w:p w:rsidRPr="00475F6D" w:rsidR="00761D3C" w:rsidP="00A579AC" w:rsidRDefault="00761D3C" w14:paraId="6B1D8618" w14:textId="77777777"/>
    <w:p w:rsidRPr="00475F6D" w:rsidR="00761D3C" w:rsidP="00A579AC" w:rsidRDefault="00761D3C" w14:paraId="66AE30E4" w14:textId="77777777">
      <w:pPr>
        <w:pStyle w:val="Tabel"/>
        <w:spacing w:line="240" w:lineRule="atLeast"/>
      </w:pPr>
      <w:bookmarkStart w:name="_Hlk175059323" w:id="7"/>
      <w:r w:rsidRPr="00475F6D">
        <w:t>Tabel 8 Budgettaire gevolgen wetsvoorstel, totaal en onderscheiden naar maatregel (in € miljoenen)</w:t>
      </w:r>
    </w:p>
    <w:tbl>
      <w:tblPr>
        <w:tblStyle w:val="Tabelraster"/>
        <w:tblW w:w="0" w:type="auto"/>
        <w:tblBorders>
          <w:left w:val="none" w:color="auto" w:sz="0" w:space="0"/>
          <w:right w:val="none" w:color="auto" w:sz="0" w:space="0"/>
        </w:tblBorders>
        <w:tblLook w:val="04A0" w:firstRow="1" w:lastRow="0" w:firstColumn="1" w:lastColumn="0" w:noHBand="0" w:noVBand="1"/>
      </w:tblPr>
      <w:tblGrid>
        <w:gridCol w:w="5386"/>
        <w:gridCol w:w="728"/>
        <w:gridCol w:w="728"/>
        <w:gridCol w:w="728"/>
        <w:gridCol w:w="728"/>
        <w:gridCol w:w="728"/>
      </w:tblGrid>
      <w:tr w:rsidRPr="00475F6D" w:rsidR="00761D3C" w:rsidTr="00AF1D7C" w14:paraId="4C054668" w14:textId="77777777">
        <w:trPr>
          <w:trHeight w:val="70"/>
        </w:trPr>
        <w:tc>
          <w:tcPr>
            <w:tcW w:w="0" w:type="auto"/>
          </w:tcPr>
          <w:p w:rsidRPr="00475F6D" w:rsidR="00761D3C" w:rsidP="00A579AC" w:rsidRDefault="00761D3C" w14:paraId="43968381" w14:textId="77777777">
            <w:pPr>
              <w:spacing w:line="240" w:lineRule="atLeast"/>
            </w:pPr>
          </w:p>
        </w:tc>
        <w:tc>
          <w:tcPr>
            <w:tcW w:w="0" w:type="auto"/>
          </w:tcPr>
          <w:p w:rsidRPr="00475F6D" w:rsidR="00761D3C" w:rsidP="00A579AC" w:rsidRDefault="00761D3C" w14:paraId="003FBC31" w14:textId="77777777">
            <w:pPr>
              <w:spacing w:line="240" w:lineRule="atLeast"/>
              <w:rPr>
                <w:b/>
                <w:bCs/>
              </w:rPr>
            </w:pPr>
            <w:r w:rsidRPr="00475F6D">
              <w:rPr>
                <w:b/>
                <w:bCs/>
              </w:rPr>
              <w:t>2025</w:t>
            </w:r>
          </w:p>
        </w:tc>
        <w:tc>
          <w:tcPr>
            <w:tcW w:w="0" w:type="auto"/>
          </w:tcPr>
          <w:p w:rsidRPr="00475F6D" w:rsidR="00761D3C" w:rsidP="00A579AC" w:rsidRDefault="00761D3C" w14:paraId="28234C7D" w14:textId="77777777">
            <w:pPr>
              <w:spacing w:line="240" w:lineRule="atLeast"/>
              <w:rPr>
                <w:b/>
                <w:bCs/>
              </w:rPr>
            </w:pPr>
            <w:r w:rsidRPr="00475F6D">
              <w:rPr>
                <w:b/>
                <w:bCs/>
              </w:rPr>
              <w:t>2026</w:t>
            </w:r>
          </w:p>
        </w:tc>
        <w:tc>
          <w:tcPr>
            <w:tcW w:w="0" w:type="auto"/>
          </w:tcPr>
          <w:p w:rsidRPr="00475F6D" w:rsidR="00761D3C" w:rsidP="00A579AC" w:rsidRDefault="00761D3C" w14:paraId="6D3A2316" w14:textId="77777777">
            <w:pPr>
              <w:spacing w:line="240" w:lineRule="atLeast"/>
              <w:rPr>
                <w:b/>
                <w:bCs/>
              </w:rPr>
            </w:pPr>
            <w:r w:rsidRPr="00475F6D">
              <w:rPr>
                <w:b/>
                <w:bCs/>
              </w:rPr>
              <w:t>2027</w:t>
            </w:r>
          </w:p>
        </w:tc>
        <w:tc>
          <w:tcPr>
            <w:tcW w:w="0" w:type="auto"/>
          </w:tcPr>
          <w:p w:rsidRPr="00475F6D" w:rsidR="00761D3C" w:rsidP="00A579AC" w:rsidRDefault="00761D3C" w14:paraId="6A60FCC0" w14:textId="77777777">
            <w:pPr>
              <w:spacing w:line="240" w:lineRule="atLeast"/>
              <w:rPr>
                <w:b/>
                <w:bCs/>
              </w:rPr>
            </w:pPr>
            <w:r w:rsidRPr="00475F6D">
              <w:rPr>
                <w:b/>
                <w:bCs/>
              </w:rPr>
              <w:t>2028</w:t>
            </w:r>
          </w:p>
        </w:tc>
        <w:tc>
          <w:tcPr>
            <w:tcW w:w="0" w:type="auto"/>
          </w:tcPr>
          <w:p w:rsidRPr="00475F6D" w:rsidR="00761D3C" w:rsidP="00A579AC" w:rsidRDefault="00761D3C" w14:paraId="25CD3209" w14:textId="77777777">
            <w:pPr>
              <w:spacing w:line="240" w:lineRule="atLeast"/>
              <w:rPr>
                <w:b/>
                <w:bCs/>
              </w:rPr>
            </w:pPr>
            <w:r w:rsidRPr="00475F6D">
              <w:rPr>
                <w:b/>
                <w:bCs/>
              </w:rPr>
              <w:t>2029</w:t>
            </w:r>
          </w:p>
        </w:tc>
      </w:tr>
      <w:tr w:rsidRPr="00475F6D" w:rsidR="00761D3C" w:rsidTr="00AF1D7C" w14:paraId="6FC3586E" w14:textId="77777777">
        <w:tc>
          <w:tcPr>
            <w:tcW w:w="0" w:type="auto"/>
          </w:tcPr>
          <w:p w:rsidRPr="00475F6D" w:rsidR="00761D3C" w:rsidP="00A579AC" w:rsidRDefault="006B6F7C" w14:paraId="016AD409" w14:textId="009F9918">
            <w:pPr>
              <w:spacing w:line="240" w:lineRule="atLeast"/>
            </w:pPr>
            <w:r>
              <w:t>Programmakosten</w:t>
            </w:r>
          </w:p>
        </w:tc>
        <w:tc>
          <w:tcPr>
            <w:tcW w:w="0" w:type="auto"/>
            <w:vAlign w:val="center"/>
          </w:tcPr>
          <w:p w:rsidRPr="00475F6D" w:rsidR="00761D3C" w:rsidP="00A579AC" w:rsidRDefault="00EC449E" w14:paraId="7A54FEFC" w14:textId="2DD53569">
            <w:pPr>
              <w:spacing w:line="240" w:lineRule="atLeast"/>
            </w:pPr>
            <w:r>
              <w:t>215</w:t>
            </w:r>
          </w:p>
        </w:tc>
        <w:tc>
          <w:tcPr>
            <w:tcW w:w="0" w:type="auto"/>
            <w:vAlign w:val="center"/>
          </w:tcPr>
          <w:p w:rsidRPr="00475F6D" w:rsidR="00761D3C" w:rsidP="00A579AC" w:rsidRDefault="006B6F7C" w14:paraId="29C6FFB6" w14:textId="29A541C9">
            <w:pPr>
              <w:spacing w:line="240" w:lineRule="atLeast"/>
            </w:pPr>
            <w:r>
              <w:t>499</w:t>
            </w:r>
          </w:p>
        </w:tc>
        <w:tc>
          <w:tcPr>
            <w:tcW w:w="0" w:type="auto"/>
            <w:vAlign w:val="center"/>
          </w:tcPr>
          <w:p w:rsidRPr="00475F6D" w:rsidR="00761D3C" w:rsidP="00A579AC" w:rsidRDefault="006B6F7C" w14:paraId="524CB95D" w14:textId="49128F46">
            <w:pPr>
              <w:spacing w:line="240" w:lineRule="atLeast"/>
            </w:pPr>
            <w:r>
              <w:t>499</w:t>
            </w:r>
          </w:p>
        </w:tc>
        <w:tc>
          <w:tcPr>
            <w:tcW w:w="0" w:type="auto"/>
            <w:vAlign w:val="center"/>
          </w:tcPr>
          <w:p w:rsidRPr="00475F6D" w:rsidR="00761D3C" w:rsidP="00A579AC" w:rsidRDefault="008A4672" w14:paraId="6470133A" w14:textId="5F1FFF69">
            <w:pPr>
              <w:spacing w:line="240" w:lineRule="atLeast"/>
            </w:pPr>
            <w:r>
              <w:t>499</w:t>
            </w:r>
          </w:p>
        </w:tc>
        <w:tc>
          <w:tcPr>
            <w:tcW w:w="0" w:type="auto"/>
            <w:vAlign w:val="center"/>
          </w:tcPr>
          <w:p w:rsidRPr="00475F6D" w:rsidR="00761D3C" w:rsidP="00A579AC" w:rsidRDefault="006B6F7C" w14:paraId="3A9E8E3C" w14:textId="27906CD9">
            <w:pPr>
              <w:spacing w:line="240" w:lineRule="atLeast"/>
            </w:pPr>
            <w:r>
              <w:t>499</w:t>
            </w:r>
          </w:p>
        </w:tc>
      </w:tr>
      <w:tr w:rsidRPr="00475F6D" w:rsidR="00761D3C" w:rsidTr="00AF1D7C" w14:paraId="14F832DB" w14:textId="77777777">
        <w:tc>
          <w:tcPr>
            <w:tcW w:w="0" w:type="auto"/>
            <w:vAlign w:val="center"/>
          </w:tcPr>
          <w:p w:rsidRPr="00475F6D" w:rsidR="00761D3C" w:rsidP="00A579AC" w:rsidRDefault="00761D3C" w14:paraId="34245C7D" w14:textId="77777777">
            <w:pPr>
              <w:spacing w:line="240" w:lineRule="atLeast"/>
              <w:rPr>
                <w:i/>
                <w:iCs/>
              </w:rPr>
            </w:pPr>
            <w:r w:rsidRPr="00475F6D">
              <w:rPr>
                <w:i/>
                <w:iCs/>
              </w:rPr>
              <w:t>Verlaging eigen bijdrage (2.1)</w:t>
            </w:r>
          </w:p>
        </w:tc>
        <w:tc>
          <w:tcPr>
            <w:tcW w:w="0" w:type="auto"/>
            <w:vAlign w:val="center"/>
          </w:tcPr>
          <w:p w:rsidRPr="00475F6D" w:rsidR="00761D3C" w:rsidP="00A579AC" w:rsidRDefault="00EC449E" w14:paraId="71FCE9DE" w14:textId="5AA2394E">
            <w:pPr>
              <w:spacing w:line="240" w:lineRule="atLeast"/>
              <w:rPr>
                <w:i/>
                <w:iCs/>
              </w:rPr>
            </w:pPr>
            <w:r>
              <w:rPr>
                <w:i/>
                <w:iCs/>
              </w:rPr>
              <w:t>0</w:t>
            </w:r>
          </w:p>
        </w:tc>
        <w:tc>
          <w:tcPr>
            <w:tcW w:w="0" w:type="auto"/>
            <w:vAlign w:val="center"/>
          </w:tcPr>
          <w:p w:rsidRPr="00475F6D" w:rsidR="00761D3C" w:rsidP="00A579AC" w:rsidRDefault="00761D3C" w14:paraId="0EA4EE46" w14:textId="77777777">
            <w:pPr>
              <w:spacing w:line="240" w:lineRule="atLeast"/>
              <w:rPr>
                <w:i/>
                <w:iCs/>
              </w:rPr>
            </w:pPr>
            <w:r w:rsidRPr="00475F6D">
              <w:rPr>
                <w:i/>
                <w:iCs/>
              </w:rPr>
              <w:t>225</w:t>
            </w:r>
          </w:p>
        </w:tc>
        <w:tc>
          <w:tcPr>
            <w:tcW w:w="0" w:type="auto"/>
            <w:vAlign w:val="center"/>
          </w:tcPr>
          <w:p w:rsidRPr="00475F6D" w:rsidR="00761D3C" w:rsidP="00A579AC" w:rsidRDefault="00761D3C" w14:paraId="6855BA62" w14:textId="77777777">
            <w:pPr>
              <w:spacing w:line="240" w:lineRule="atLeast"/>
              <w:rPr>
                <w:i/>
                <w:iCs/>
              </w:rPr>
            </w:pPr>
            <w:r w:rsidRPr="00475F6D">
              <w:rPr>
                <w:i/>
                <w:iCs/>
              </w:rPr>
              <w:t>225</w:t>
            </w:r>
          </w:p>
        </w:tc>
        <w:tc>
          <w:tcPr>
            <w:tcW w:w="0" w:type="auto"/>
            <w:vAlign w:val="center"/>
          </w:tcPr>
          <w:p w:rsidRPr="00475F6D" w:rsidR="00761D3C" w:rsidP="00A579AC" w:rsidRDefault="00761D3C" w14:paraId="3BDC4254" w14:textId="77777777">
            <w:pPr>
              <w:spacing w:line="240" w:lineRule="atLeast"/>
              <w:rPr>
                <w:i/>
                <w:iCs/>
              </w:rPr>
            </w:pPr>
            <w:r w:rsidRPr="00475F6D">
              <w:rPr>
                <w:i/>
                <w:iCs/>
              </w:rPr>
              <w:t>225</w:t>
            </w:r>
          </w:p>
        </w:tc>
        <w:tc>
          <w:tcPr>
            <w:tcW w:w="0" w:type="auto"/>
            <w:vAlign w:val="center"/>
          </w:tcPr>
          <w:p w:rsidRPr="00475F6D" w:rsidR="00761D3C" w:rsidP="00A579AC" w:rsidRDefault="00761D3C" w14:paraId="0BE96C9B" w14:textId="77777777">
            <w:pPr>
              <w:spacing w:line="240" w:lineRule="atLeast"/>
              <w:rPr>
                <w:i/>
                <w:iCs/>
              </w:rPr>
            </w:pPr>
            <w:r w:rsidRPr="00475F6D">
              <w:rPr>
                <w:i/>
                <w:iCs/>
              </w:rPr>
              <w:t>225</w:t>
            </w:r>
          </w:p>
        </w:tc>
      </w:tr>
      <w:tr w:rsidRPr="00475F6D" w:rsidR="00761D3C" w:rsidTr="00AF1D7C" w14:paraId="37195D97" w14:textId="77777777">
        <w:tc>
          <w:tcPr>
            <w:tcW w:w="0" w:type="auto"/>
            <w:vAlign w:val="center"/>
          </w:tcPr>
          <w:p w:rsidRPr="00475F6D" w:rsidR="00761D3C" w:rsidP="00A579AC" w:rsidRDefault="00761D3C" w14:paraId="10C3A60C" w14:textId="77777777">
            <w:pPr>
              <w:spacing w:line="240" w:lineRule="atLeast"/>
              <w:rPr>
                <w:i/>
                <w:iCs/>
              </w:rPr>
            </w:pPr>
            <w:r w:rsidRPr="00475F6D">
              <w:rPr>
                <w:i/>
                <w:iCs/>
              </w:rPr>
              <w:t>Harmonisering inkomens-parameters en basishuur (2.2.1)</w:t>
            </w:r>
          </w:p>
        </w:tc>
        <w:tc>
          <w:tcPr>
            <w:tcW w:w="0" w:type="auto"/>
            <w:vAlign w:val="center"/>
          </w:tcPr>
          <w:p w:rsidRPr="00475F6D" w:rsidR="00761D3C" w:rsidP="00A579AC" w:rsidRDefault="00761D3C" w14:paraId="3CC5CD76" w14:textId="77777777">
            <w:pPr>
              <w:spacing w:line="240" w:lineRule="atLeast"/>
              <w:rPr>
                <w:i/>
                <w:iCs/>
              </w:rPr>
            </w:pPr>
            <w:r w:rsidRPr="00475F6D">
              <w:rPr>
                <w:i/>
                <w:iCs/>
              </w:rPr>
              <w:t>36</w:t>
            </w:r>
          </w:p>
        </w:tc>
        <w:tc>
          <w:tcPr>
            <w:tcW w:w="0" w:type="auto"/>
            <w:vAlign w:val="center"/>
          </w:tcPr>
          <w:p w:rsidRPr="00475F6D" w:rsidR="00761D3C" w:rsidP="00A579AC" w:rsidRDefault="00761D3C" w14:paraId="0B67FD10" w14:textId="77777777">
            <w:pPr>
              <w:spacing w:line="240" w:lineRule="atLeast"/>
              <w:rPr>
                <w:i/>
                <w:iCs/>
              </w:rPr>
            </w:pPr>
            <w:r w:rsidRPr="00475F6D">
              <w:rPr>
                <w:i/>
                <w:iCs/>
              </w:rPr>
              <w:t>36</w:t>
            </w:r>
          </w:p>
        </w:tc>
        <w:tc>
          <w:tcPr>
            <w:tcW w:w="0" w:type="auto"/>
            <w:vAlign w:val="center"/>
          </w:tcPr>
          <w:p w:rsidRPr="00475F6D" w:rsidR="00761D3C" w:rsidP="00A579AC" w:rsidRDefault="00761D3C" w14:paraId="2F641672" w14:textId="77777777">
            <w:pPr>
              <w:spacing w:line="240" w:lineRule="atLeast"/>
              <w:rPr>
                <w:i/>
                <w:iCs/>
              </w:rPr>
            </w:pPr>
            <w:r w:rsidRPr="00475F6D">
              <w:rPr>
                <w:i/>
                <w:iCs/>
              </w:rPr>
              <w:t>36</w:t>
            </w:r>
          </w:p>
        </w:tc>
        <w:tc>
          <w:tcPr>
            <w:tcW w:w="0" w:type="auto"/>
            <w:vAlign w:val="center"/>
          </w:tcPr>
          <w:p w:rsidRPr="00475F6D" w:rsidR="00761D3C" w:rsidP="00A579AC" w:rsidRDefault="00761D3C" w14:paraId="2DBDDFC4" w14:textId="77777777">
            <w:pPr>
              <w:spacing w:line="240" w:lineRule="atLeast"/>
              <w:rPr>
                <w:i/>
                <w:iCs/>
              </w:rPr>
            </w:pPr>
            <w:r w:rsidRPr="00475F6D">
              <w:rPr>
                <w:i/>
                <w:iCs/>
              </w:rPr>
              <w:t>36</w:t>
            </w:r>
          </w:p>
        </w:tc>
        <w:tc>
          <w:tcPr>
            <w:tcW w:w="0" w:type="auto"/>
            <w:vAlign w:val="center"/>
          </w:tcPr>
          <w:p w:rsidRPr="00475F6D" w:rsidR="00761D3C" w:rsidP="00A579AC" w:rsidRDefault="00761D3C" w14:paraId="683E3F90" w14:textId="77777777">
            <w:pPr>
              <w:spacing w:line="240" w:lineRule="atLeast"/>
              <w:rPr>
                <w:i/>
                <w:iCs/>
              </w:rPr>
            </w:pPr>
            <w:r w:rsidRPr="00475F6D">
              <w:rPr>
                <w:i/>
                <w:iCs/>
              </w:rPr>
              <w:t>36</w:t>
            </w:r>
          </w:p>
        </w:tc>
      </w:tr>
      <w:tr w:rsidRPr="00475F6D" w:rsidR="00761D3C" w:rsidTr="00AF1D7C" w14:paraId="2DB8FFEB" w14:textId="77777777">
        <w:tc>
          <w:tcPr>
            <w:tcW w:w="0" w:type="auto"/>
            <w:vAlign w:val="center"/>
          </w:tcPr>
          <w:p w:rsidRPr="00475F6D" w:rsidR="00761D3C" w:rsidP="00A579AC" w:rsidRDefault="00761D3C" w14:paraId="6328415F" w14:textId="77777777">
            <w:pPr>
              <w:spacing w:line="240" w:lineRule="atLeast"/>
              <w:rPr>
                <w:i/>
                <w:iCs/>
              </w:rPr>
            </w:pPr>
            <w:r w:rsidRPr="00475F6D">
              <w:rPr>
                <w:i/>
                <w:iCs/>
              </w:rPr>
              <w:t xml:space="preserve">Harmonisering </w:t>
            </w:r>
            <w:proofErr w:type="spellStart"/>
            <w:r w:rsidRPr="00475F6D">
              <w:rPr>
                <w:i/>
                <w:iCs/>
              </w:rPr>
              <w:t>kwaliteitskortings</w:t>
            </w:r>
            <w:proofErr w:type="spellEnd"/>
            <w:r w:rsidRPr="00475F6D">
              <w:rPr>
                <w:i/>
                <w:iCs/>
              </w:rPr>
              <w:t>-percentages (2.2.2)</w:t>
            </w:r>
          </w:p>
        </w:tc>
        <w:tc>
          <w:tcPr>
            <w:tcW w:w="0" w:type="auto"/>
            <w:vAlign w:val="center"/>
          </w:tcPr>
          <w:p w:rsidRPr="00475F6D" w:rsidR="00761D3C" w:rsidP="00A579AC" w:rsidRDefault="00761D3C" w14:paraId="1A60B959" w14:textId="77777777">
            <w:pPr>
              <w:spacing w:line="240" w:lineRule="atLeast"/>
              <w:rPr>
                <w:i/>
                <w:iCs/>
              </w:rPr>
            </w:pPr>
            <w:r w:rsidRPr="00475F6D">
              <w:rPr>
                <w:i/>
                <w:iCs/>
              </w:rPr>
              <w:t>26</w:t>
            </w:r>
          </w:p>
        </w:tc>
        <w:tc>
          <w:tcPr>
            <w:tcW w:w="0" w:type="auto"/>
            <w:vAlign w:val="center"/>
          </w:tcPr>
          <w:p w:rsidRPr="00475F6D" w:rsidR="00761D3C" w:rsidP="00A579AC" w:rsidRDefault="00761D3C" w14:paraId="0BB34B06" w14:textId="77777777">
            <w:pPr>
              <w:spacing w:line="240" w:lineRule="atLeast"/>
              <w:rPr>
                <w:i/>
                <w:iCs/>
              </w:rPr>
            </w:pPr>
            <w:r w:rsidRPr="00475F6D">
              <w:rPr>
                <w:i/>
                <w:iCs/>
              </w:rPr>
              <w:t>26</w:t>
            </w:r>
          </w:p>
        </w:tc>
        <w:tc>
          <w:tcPr>
            <w:tcW w:w="0" w:type="auto"/>
            <w:vAlign w:val="center"/>
          </w:tcPr>
          <w:p w:rsidRPr="00475F6D" w:rsidR="00761D3C" w:rsidP="00A579AC" w:rsidRDefault="00761D3C" w14:paraId="7851E7CA" w14:textId="77777777">
            <w:pPr>
              <w:spacing w:line="240" w:lineRule="atLeast"/>
              <w:rPr>
                <w:i/>
                <w:iCs/>
              </w:rPr>
            </w:pPr>
            <w:r w:rsidRPr="00475F6D">
              <w:rPr>
                <w:i/>
                <w:iCs/>
              </w:rPr>
              <w:t>26</w:t>
            </w:r>
          </w:p>
        </w:tc>
        <w:tc>
          <w:tcPr>
            <w:tcW w:w="0" w:type="auto"/>
            <w:vAlign w:val="center"/>
          </w:tcPr>
          <w:p w:rsidRPr="00475F6D" w:rsidR="00761D3C" w:rsidP="00A579AC" w:rsidRDefault="00761D3C" w14:paraId="79361C93" w14:textId="77777777">
            <w:pPr>
              <w:spacing w:line="240" w:lineRule="atLeast"/>
              <w:rPr>
                <w:i/>
                <w:iCs/>
              </w:rPr>
            </w:pPr>
            <w:r w:rsidRPr="00475F6D">
              <w:rPr>
                <w:i/>
                <w:iCs/>
              </w:rPr>
              <w:t>26</w:t>
            </w:r>
          </w:p>
        </w:tc>
        <w:tc>
          <w:tcPr>
            <w:tcW w:w="0" w:type="auto"/>
            <w:vAlign w:val="center"/>
          </w:tcPr>
          <w:p w:rsidRPr="00475F6D" w:rsidR="00761D3C" w:rsidP="00A579AC" w:rsidRDefault="00761D3C" w14:paraId="2BF33EB2" w14:textId="77777777">
            <w:pPr>
              <w:spacing w:line="240" w:lineRule="atLeast"/>
              <w:rPr>
                <w:i/>
                <w:iCs/>
              </w:rPr>
            </w:pPr>
            <w:r w:rsidRPr="00475F6D">
              <w:rPr>
                <w:i/>
                <w:iCs/>
              </w:rPr>
              <w:t>26</w:t>
            </w:r>
          </w:p>
        </w:tc>
      </w:tr>
      <w:tr w:rsidRPr="00475F6D" w:rsidR="00761D3C" w:rsidTr="00AF1D7C" w14:paraId="4A79D1AB" w14:textId="77777777">
        <w:tc>
          <w:tcPr>
            <w:tcW w:w="0" w:type="auto"/>
            <w:vAlign w:val="center"/>
          </w:tcPr>
          <w:p w:rsidRPr="00475F6D" w:rsidR="00761D3C" w:rsidP="00A579AC" w:rsidRDefault="00761D3C" w14:paraId="2D3E9843" w14:textId="77777777">
            <w:pPr>
              <w:spacing w:line="240" w:lineRule="atLeast"/>
              <w:rPr>
                <w:i/>
                <w:iCs/>
              </w:rPr>
            </w:pPr>
            <w:r w:rsidRPr="00475F6D">
              <w:rPr>
                <w:i/>
                <w:iCs/>
              </w:rPr>
              <w:t>Invoering lineaire afbouw (2.3)</w:t>
            </w:r>
          </w:p>
        </w:tc>
        <w:tc>
          <w:tcPr>
            <w:tcW w:w="0" w:type="auto"/>
            <w:vAlign w:val="center"/>
          </w:tcPr>
          <w:p w:rsidRPr="00475F6D" w:rsidR="00761D3C" w:rsidP="00A579AC" w:rsidRDefault="00761D3C" w14:paraId="55641D87" w14:textId="77777777">
            <w:pPr>
              <w:spacing w:line="240" w:lineRule="atLeast"/>
              <w:rPr>
                <w:i/>
                <w:iCs/>
              </w:rPr>
            </w:pPr>
          </w:p>
        </w:tc>
        <w:tc>
          <w:tcPr>
            <w:tcW w:w="0" w:type="auto"/>
            <w:vAlign w:val="center"/>
          </w:tcPr>
          <w:p w:rsidRPr="00475F6D" w:rsidR="00761D3C" w:rsidP="00A579AC" w:rsidRDefault="00761D3C" w14:paraId="7CCDA00D" w14:textId="77777777">
            <w:pPr>
              <w:spacing w:line="240" w:lineRule="atLeast"/>
              <w:rPr>
                <w:i/>
                <w:iCs/>
              </w:rPr>
            </w:pPr>
            <w:r w:rsidRPr="00475F6D">
              <w:rPr>
                <w:i/>
                <w:iCs/>
              </w:rPr>
              <w:t>212</w:t>
            </w:r>
          </w:p>
        </w:tc>
        <w:tc>
          <w:tcPr>
            <w:tcW w:w="0" w:type="auto"/>
            <w:vAlign w:val="center"/>
          </w:tcPr>
          <w:p w:rsidRPr="00475F6D" w:rsidR="00761D3C" w:rsidP="00A579AC" w:rsidRDefault="00761D3C" w14:paraId="77821505" w14:textId="77777777">
            <w:pPr>
              <w:spacing w:line="240" w:lineRule="atLeast"/>
              <w:rPr>
                <w:i/>
                <w:iCs/>
              </w:rPr>
            </w:pPr>
            <w:r w:rsidRPr="00475F6D">
              <w:rPr>
                <w:i/>
                <w:iCs/>
              </w:rPr>
              <w:t>212</w:t>
            </w:r>
          </w:p>
        </w:tc>
        <w:tc>
          <w:tcPr>
            <w:tcW w:w="0" w:type="auto"/>
            <w:vAlign w:val="center"/>
          </w:tcPr>
          <w:p w:rsidRPr="00475F6D" w:rsidR="00761D3C" w:rsidP="00A579AC" w:rsidRDefault="00761D3C" w14:paraId="546D5C39" w14:textId="77777777">
            <w:pPr>
              <w:spacing w:line="240" w:lineRule="atLeast"/>
              <w:rPr>
                <w:i/>
                <w:iCs/>
              </w:rPr>
            </w:pPr>
            <w:r w:rsidRPr="00475F6D">
              <w:rPr>
                <w:i/>
                <w:iCs/>
              </w:rPr>
              <w:t>212</w:t>
            </w:r>
          </w:p>
        </w:tc>
        <w:tc>
          <w:tcPr>
            <w:tcW w:w="0" w:type="auto"/>
            <w:vAlign w:val="center"/>
          </w:tcPr>
          <w:p w:rsidRPr="00475F6D" w:rsidR="00761D3C" w:rsidP="00A579AC" w:rsidRDefault="00761D3C" w14:paraId="0277D6D8" w14:textId="77777777">
            <w:pPr>
              <w:spacing w:line="240" w:lineRule="atLeast"/>
              <w:rPr>
                <w:i/>
                <w:iCs/>
              </w:rPr>
            </w:pPr>
            <w:r w:rsidRPr="00475F6D">
              <w:rPr>
                <w:i/>
                <w:iCs/>
              </w:rPr>
              <w:t>212</w:t>
            </w:r>
          </w:p>
        </w:tc>
      </w:tr>
      <w:tr w:rsidRPr="00475F6D" w:rsidR="00761D3C" w:rsidTr="00AF1D7C" w14:paraId="5ADF5BDA" w14:textId="77777777">
        <w:tc>
          <w:tcPr>
            <w:tcW w:w="0" w:type="auto"/>
            <w:vAlign w:val="center"/>
          </w:tcPr>
          <w:p w:rsidRPr="00475F6D" w:rsidR="00761D3C" w:rsidP="00A579AC" w:rsidRDefault="00761D3C" w14:paraId="3E6D659D" w14:textId="344E27E1">
            <w:pPr>
              <w:spacing w:line="240" w:lineRule="atLeast"/>
              <w:rPr>
                <w:i/>
                <w:iCs/>
              </w:rPr>
            </w:pPr>
            <w:r w:rsidRPr="00475F6D">
              <w:rPr>
                <w:i/>
                <w:iCs/>
              </w:rPr>
              <w:t>Benadering van lineaire afbouw met huidige formule (2</w:t>
            </w:r>
            <w:r w:rsidRPr="00475F6D" w:rsidR="00FC01B5">
              <w:rPr>
                <w:i/>
                <w:iCs/>
              </w:rPr>
              <w:t>.3.2</w:t>
            </w:r>
            <w:r w:rsidRPr="00475F6D">
              <w:rPr>
                <w:i/>
                <w:iCs/>
              </w:rPr>
              <w:t>)</w:t>
            </w:r>
          </w:p>
        </w:tc>
        <w:tc>
          <w:tcPr>
            <w:tcW w:w="0" w:type="auto"/>
            <w:vAlign w:val="center"/>
          </w:tcPr>
          <w:p w:rsidRPr="00475F6D" w:rsidR="00761D3C" w:rsidP="00A579AC" w:rsidRDefault="00761D3C" w14:paraId="05E01660" w14:textId="75EBB659">
            <w:pPr>
              <w:spacing w:line="240" w:lineRule="atLeast"/>
              <w:rPr>
                <w:i/>
                <w:iCs/>
              </w:rPr>
            </w:pPr>
            <w:r w:rsidRPr="00475F6D">
              <w:rPr>
                <w:i/>
                <w:iCs/>
              </w:rPr>
              <w:t>1</w:t>
            </w:r>
            <w:r w:rsidR="00EC449E">
              <w:rPr>
                <w:i/>
                <w:iCs/>
              </w:rPr>
              <w:t>5</w:t>
            </w:r>
            <w:r w:rsidRPr="00475F6D">
              <w:rPr>
                <w:i/>
                <w:iCs/>
              </w:rPr>
              <w:t>3</w:t>
            </w:r>
          </w:p>
        </w:tc>
        <w:tc>
          <w:tcPr>
            <w:tcW w:w="0" w:type="auto"/>
            <w:vAlign w:val="center"/>
          </w:tcPr>
          <w:p w:rsidRPr="00475F6D" w:rsidR="00761D3C" w:rsidP="00A579AC" w:rsidRDefault="00761D3C" w14:paraId="00C7084B" w14:textId="77777777">
            <w:pPr>
              <w:spacing w:line="240" w:lineRule="atLeast"/>
              <w:rPr>
                <w:i/>
                <w:iCs/>
              </w:rPr>
            </w:pPr>
          </w:p>
        </w:tc>
        <w:tc>
          <w:tcPr>
            <w:tcW w:w="0" w:type="auto"/>
            <w:vAlign w:val="center"/>
          </w:tcPr>
          <w:p w:rsidRPr="00475F6D" w:rsidR="00761D3C" w:rsidP="00A579AC" w:rsidRDefault="00761D3C" w14:paraId="6E95C730" w14:textId="77777777">
            <w:pPr>
              <w:spacing w:line="240" w:lineRule="atLeast"/>
              <w:rPr>
                <w:i/>
                <w:iCs/>
              </w:rPr>
            </w:pPr>
          </w:p>
        </w:tc>
        <w:tc>
          <w:tcPr>
            <w:tcW w:w="0" w:type="auto"/>
            <w:vAlign w:val="center"/>
          </w:tcPr>
          <w:p w:rsidRPr="00475F6D" w:rsidR="00761D3C" w:rsidP="00A579AC" w:rsidRDefault="00761D3C" w14:paraId="03076125" w14:textId="77777777">
            <w:pPr>
              <w:spacing w:line="240" w:lineRule="atLeast"/>
              <w:rPr>
                <w:i/>
                <w:iCs/>
              </w:rPr>
            </w:pPr>
          </w:p>
        </w:tc>
        <w:tc>
          <w:tcPr>
            <w:tcW w:w="0" w:type="auto"/>
            <w:vAlign w:val="center"/>
          </w:tcPr>
          <w:p w:rsidRPr="00475F6D" w:rsidR="00761D3C" w:rsidP="00A579AC" w:rsidRDefault="00761D3C" w14:paraId="4D268C40" w14:textId="77777777">
            <w:pPr>
              <w:spacing w:line="240" w:lineRule="atLeast"/>
              <w:rPr>
                <w:i/>
                <w:iCs/>
              </w:rPr>
            </w:pPr>
          </w:p>
        </w:tc>
      </w:tr>
      <w:tr w:rsidRPr="00475F6D" w:rsidR="006B6F7C" w:rsidTr="00AF1D7C" w14:paraId="3FE5F5B3" w14:textId="77777777">
        <w:tc>
          <w:tcPr>
            <w:tcW w:w="0" w:type="auto"/>
            <w:vAlign w:val="center"/>
          </w:tcPr>
          <w:p w:rsidRPr="006B6F7C" w:rsidR="006B6F7C" w:rsidP="00A579AC" w:rsidRDefault="006B6F7C" w14:paraId="07561D02" w14:textId="44329B86">
            <w:pPr>
              <w:spacing w:line="240" w:lineRule="atLeast"/>
            </w:pPr>
            <w:r w:rsidRPr="006B6F7C">
              <w:t>Uitvoeringskosten*</w:t>
            </w:r>
          </w:p>
        </w:tc>
        <w:tc>
          <w:tcPr>
            <w:tcW w:w="0" w:type="auto"/>
            <w:vAlign w:val="center"/>
          </w:tcPr>
          <w:p w:rsidRPr="006B6F7C" w:rsidR="006B6F7C" w:rsidP="00A579AC" w:rsidRDefault="008A4672" w14:paraId="0DA383F6" w14:textId="1E0962E7">
            <w:pPr>
              <w:spacing w:line="240" w:lineRule="atLeast"/>
            </w:pPr>
            <w:r>
              <w:t>&lt;3</w:t>
            </w:r>
          </w:p>
        </w:tc>
        <w:tc>
          <w:tcPr>
            <w:tcW w:w="0" w:type="auto"/>
            <w:vAlign w:val="center"/>
          </w:tcPr>
          <w:p w:rsidRPr="006B6F7C" w:rsidR="006B6F7C" w:rsidP="00A579AC" w:rsidRDefault="008A4672" w14:paraId="550A2A9D" w14:textId="6251EF65">
            <w:pPr>
              <w:spacing w:line="240" w:lineRule="atLeast"/>
            </w:pPr>
            <w:r>
              <w:t>&lt;1</w:t>
            </w:r>
          </w:p>
        </w:tc>
        <w:tc>
          <w:tcPr>
            <w:tcW w:w="0" w:type="auto"/>
            <w:vAlign w:val="center"/>
          </w:tcPr>
          <w:p w:rsidRPr="006B6F7C" w:rsidR="006B6F7C" w:rsidP="00A579AC" w:rsidRDefault="008A4672" w14:paraId="0211B65C" w14:textId="40D2F225">
            <w:pPr>
              <w:spacing w:line="240" w:lineRule="atLeast"/>
            </w:pPr>
            <w:r>
              <w:t>&lt;1</w:t>
            </w:r>
          </w:p>
        </w:tc>
        <w:tc>
          <w:tcPr>
            <w:tcW w:w="0" w:type="auto"/>
            <w:vAlign w:val="center"/>
          </w:tcPr>
          <w:p w:rsidRPr="006B6F7C" w:rsidR="006B6F7C" w:rsidP="00A579AC" w:rsidRDefault="008A4672" w14:paraId="7C8D9B6B" w14:textId="3BB919D0">
            <w:pPr>
              <w:spacing w:line="240" w:lineRule="atLeast"/>
            </w:pPr>
            <w:r>
              <w:t>&lt;1</w:t>
            </w:r>
          </w:p>
        </w:tc>
        <w:tc>
          <w:tcPr>
            <w:tcW w:w="0" w:type="auto"/>
            <w:vAlign w:val="center"/>
          </w:tcPr>
          <w:p w:rsidRPr="006B6F7C" w:rsidR="006B6F7C" w:rsidP="00A579AC" w:rsidRDefault="008A4672" w14:paraId="5F905A52" w14:textId="48449DB2">
            <w:pPr>
              <w:spacing w:line="240" w:lineRule="atLeast"/>
            </w:pPr>
            <w:r>
              <w:t>&lt;1</w:t>
            </w:r>
          </w:p>
        </w:tc>
      </w:tr>
    </w:tbl>
    <w:p w:rsidRPr="006B6F7C" w:rsidR="00761D3C" w:rsidP="00A579AC" w:rsidRDefault="006B6F7C" w14:paraId="45D39A8E" w14:textId="5BFFD3EB">
      <w:pPr>
        <w:pStyle w:val="Tabel"/>
        <w:spacing w:line="240" w:lineRule="atLeast"/>
        <w:rPr>
          <w:i/>
          <w:iCs w:val="0"/>
        </w:rPr>
      </w:pPr>
      <w:r>
        <w:rPr>
          <w:i/>
          <w:iCs w:val="0"/>
        </w:rPr>
        <w:t>*Uitvoeringskosten zijn voorlopig, op basis van een weging op de hand van Dienst Toeslagen. Deze bedragen kunnen nog wijzigen n.a.v. de definitieve uitvoeringstoets.</w:t>
      </w:r>
    </w:p>
    <w:bookmarkEnd w:id="7"/>
    <w:p w:rsidRPr="00475F6D" w:rsidR="006B6F7C" w:rsidP="00A579AC" w:rsidRDefault="006B6F7C" w14:paraId="0EC86BBE" w14:textId="77777777">
      <w:pPr>
        <w:rPr>
          <w:i/>
          <w:iCs/>
        </w:rPr>
      </w:pPr>
    </w:p>
    <w:p w:rsidRPr="00475F6D" w:rsidR="00761D3C" w:rsidP="00A579AC" w:rsidRDefault="00761D3C" w14:paraId="61DD03B0" w14:textId="77777777">
      <w:pPr>
        <w:pStyle w:val="Lijstalinea"/>
        <w:numPr>
          <w:ilvl w:val="2"/>
          <w:numId w:val="3"/>
        </w:numPr>
        <w:spacing w:after="0" w:line="240" w:lineRule="atLeast"/>
        <w:ind w:left="0" w:firstLine="0"/>
        <w:rPr>
          <w:i/>
          <w:iCs/>
          <w:lang w:val="nl-NL"/>
        </w:rPr>
      </w:pPr>
      <w:r w:rsidRPr="00475F6D">
        <w:rPr>
          <w:i/>
          <w:iCs/>
          <w:lang w:val="nl-NL"/>
        </w:rPr>
        <w:t>Gevolgen voor de uitvoerder</w:t>
      </w:r>
    </w:p>
    <w:p w:rsidRPr="00475F6D" w:rsidR="00761D3C" w:rsidP="00A579AC" w:rsidRDefault="00761D3C" w14:paraId="76E3696D" w14:textId="77777777">
      <w:pPr>
        <w:rPr>
          <w:i/>
          <w:iCs/>
        </w:rPr>
      </w:pPr>
      <w:bookmarkStart w:name="_Hlk174546120" w:id="8"/>
      <w:r w:rsidRPr="00475F6D">
        <w:rPr>
          <w:i/>
          <w:iCs/>
        </w:rPr>
        <w:t>(Dienst Toeslagen laat op dit moment een uitvoeringstoets uitvoeren om de exacte impact en uitvoeringskosten voor de uitvoering van de maatregel te bepalen. Onderstaande toelichting is op basis van een weging op de hand).</w:t>
      </w:r>
    </w:p>
    <w:bookmarkEnd w:id="8"/>
    <w:p w:rsidRPr="00475F6D" w:rsidR="00761D3C" w:rsidP="00A579AC" w:rsidRDefault="00761D3C" w14:paraId="0D50696C" w14:textId="60DC8C9B">
      <w:r w:rsidRPr="00475F6D">
        <w:t xml:space="preserve">De maatregelen zijn deels per 2025 en deels per 2026 uitvoerbaar. De generieke verlaging van de eigen bijdrage en het harmoniseren van de huishoudtypes (incl. kwaliteitskortingspercentages) betreffen parameteraanpassingen. Deze wijzigingen kunnen tijdig in de toeslagensystemen worden verwerkt bij de reguliere jaaraanpassingen naar aanleiding van de jaarlijkse indexatie van de parameters, mits deze </w:t>
      </w:r>
      <w:r w:rsidR="00817870">
        <w:t>tijdig</w:t>
      </w:r>
      <w:r w:rsidRPr="00475F6D">
        <w:t xml:space="preserve"> worden aangeleverd. </w:t>
      </w:r>
      <w:r w:rsidR="00817870">
        <w:t>Voor het harmoniseren van het aantal huishoudtypes is de datum hiervoor 15 oktober 2024.</w:t>
      </w:r>
    </w:p>
    <w:p w:rsidRPr="00475F6D" w:rsidR="00761D3C" w:rsidP="00A579AC" w:rsidRDefault="00761D3C" w14:paraId="60E8FA39" w14:textId="77777777"/>
    <w:p w:rsidRPr="00475F6D" w:rsidR="00761D3C" w:rsidP="00A579AC" w:rsidRDefault="00761D3C" w14:paraId="64D43A11" w14:textId="77777777">
      <w:r w:rsidRPr="00475F6D">
        <w:t xml:space="preserve">De aanpassing van de berekeningsmethode van de huurtoeslag, waaronder de invoering van een lineaire inkomensafhankelijke afbouw, betreft een systeemwijziging. Dienst Toeslagen heeft voldoende voorbereidings- en implementatietijd nodig om deze maatregel in te voeren en te controleren. Hierbij dient ook rekening gehouden te worden met de IV-portfolio en andere werkzaamheden die Dienst Toeslagen moet uitvoeren. Het is gewenst dat bij het beginnen van de implementatie al zoveel mogelijk duidelijkheid is over de vormgeving en het doorgaan van de maatregel, en dat de parlementaire behandeling dus al heeft plaatsgevonden. Derhalve is het niet uitvoerbaar om deze maatregel al per 2025 in te voeren. Invoering per 2026 is wel mogelijk. </w:t>
      </w:r>
    </w:p>
    <w:p w:rsidRPr="00475F6D" w:rsidR="00761D3C" w:rsidP="00A579AC" w:rsidRDefault="00761D3C" w14:paraId="3CC48474" w14:textId="77777777"/>
    <w:p w:rsidRPr="00475F6D" w:rsidR="00761D3C" w:rsidP="00A579AC" w:rsidRDefault="00761D3C" w14:paraId="5A1A2DA8" w14:textId="77777777">
      <w:r w:rsidRPr="00475F6D">
        <w:t>Het is wel mogelijk om het effect van de invoering van een lineaire inkomensafhankelijke afbouw te benaderen met de huidige kwadratische formule, door een aanpassing van de referentie-inkomensijkpunten. Dit betreft dan wel een parameteraanpassing, die wel per 2025 uitgevoerd kan worden.</w:t>
      </w:r>
    </w:p>
    <w:p w:rsidRPr="00475F6D" w:rsidR="00761D3C" w:rsidP="00A579AC" w:rsidRDefault="00761D3C" w14:paraId="395665DE" w14:textId="77777777"/>
    <w:p w:rsidRPr="00475F6D" w:rsidR="00761D3C" w:rsidP="00A579AC" w:rsidRDefault="00761D3C" w14:paraId="428EB556" w14:textId="66109CE1">
      <w:r w:rsidRPr="00475F6D">
        <w:t>De invoering van de maatregelen die met de jaarlijkaanpassingen meelopen, leidt niet tot extra uitvoeringskosten. De aanpassing van de berekeningsmethode zal naar verwachting tot beperkte incidentele uitgaven leiden. De lichte uitbreiding van het aantal huishoudens (integraal door alle maatregelen) levert wel extra werk op. Dit zal</w:t>
      </w:r>
      <w:r w:rsidR="003C7D43">
        <w:t xml:space="preserve">, naar verwachting op basis van de weging op de </w:t>
      </w:r>
      <w:r w:rsidR="003C7D43">
        <w:lastRenderedPageBreak/>
        <w:t xml:space="preserve">hand, </w:t>
      </w:r>
      <w:r w:rsidRPr="00475F6D">
        <w:t>tot beperkte extra uitvoeringskosten</w:t>
      </w:r>
      <w:r w:rsidR="003C7D43">
        <w:t xml:space="preserve"> leiden. Hiervoor is in 2025 uitgegaan van incidentele uitvoeringskosten tot </w:t>
      </w:r>
      <w:r w:rsidR="006B6F7C">
        <w:t>€ </w:t>
      </w:r>
      <w:r w:rsidR="00AD2AAE">
        <w:t>3 mln.</w:t>
      </w:r>
      <w:r w:rsidR="006B6F7C">
        <w:t xml:space="preserve"> en vanaf 2026 structurel</w:t>
      </w:r>
      <w:r w:rsidR="003C7D43">
        <w:t xml:space="preserve">e uitvoeringskosten tot </w:t>
      </w:r>
      <w:r w:rsidR="006B6F7C">
        <w:t>€</w:t>
      </w:r>
      <w:r w:rsidR="00AD2AAE">
        <w:t xml:space="preserve"> 1 mln.</w:t>
      </w:r>
      <w:r w:rsidR="006B6F7C">
        <w:t xml:space="preserve"> </w:t>
      </w:r>
    </w:p>
    <w:p w:rsidRPr="00475F6D" w:rsidR="009C5569" w:rsidP="00A579AC" w:rsidRDefault="009C5569" w14:paraId="50C80AF9" w14:textId="77777777">
      <w:pPr>
        <w:rPr>
          <w:b/>
          <w:bCs/>
        </w:rPr>
      </w:pPr>
    </w:p>
    <w:p w:rsidRPr="00475F6D" w:rsidR="00DC614F" w:rsidP="00A579AC" w:rsidRDefault="00DC614F" w14:paraId="7B23C7A9" w14:textId="656127D7">
      <w:pPr>
        <w:rPr>
          <w:b/>
          <w:bCs/>
        </w:rPr>
      </w:pPr>
      <w:r w:rsidRPr="00475F6D">
        <w:rPr>
          <w:b/>
          <w:bCs/>
        </w:rPr>
        <w:t xml:space="preserve">Inwerkingtredingsdatum </w:t>
      </w:r>
    </w:p>
    <w:p w:rsidRPr="00475F6D" w:rsidR="00DC614F" w:rsidP="00A579AC" w:rsidRDefault="00DC614F" w14:paraId="26AF996E" w14:textId="77777777"/>
    <w:p w:rsidR="00924873" w:rsidP="003C7D43" w:rsidRDefault="00DC614F" w14:paraId="76013D49" w14:textId="4A6985F5">
      <w:pPr>
        <w:tabs>
          <w:tab w:val="left" w:pos="0"/>
        </w:tabs>
      </w:pPr>
      <w:r w:rsidRPr="00475F6D">
        <w:t xml:space="preserve">De in het wetvoorstel voorgestelde wijzigingen treden in werking op </w:t>
      </w:r>
      <w:r w:rsidR="00817870">
        <w:t xml:space="preserve">een bij koninklijk besluit te bepalen tijdstip; het voornemen is dat tijdstip te bepalen op </w:t>
      </w:r>
      <w:r w:rsidRPr="00475F6D">
        <w:t>1 januari 202</w:t>
      </w:r>
      <w:r w:rsidR="00817870">
        <w:t>6</w:t>
      </w:r>
      <w:r w:rsidRPr="00475F6D">
        <w:t xml:space="preserve">. Uitzondering hierop betreft hetgeen is voorgesteld in de artikelen </w:t>
      </w:r>
      <w:r w:rsidR="00817870">
        <w:t>II en IX</w:t>
      </w:r>
      <w:r w:rsidRPr="00475F6D">
        <w:t>.</w:t>
      </w:r>
      <w:r w:rsidR="00B528C8">
        <w:t xml:space="preserve"> D</w:t>
      </w:r>
      <w:r w:rsidR="00817870">
        <w:t>ie artikelen zien op de vermindering van het aantal huishoudtypes en voorbereiding op de nieuwe afbouwsystematiek en de samenloop met een ander wetsvoorstel en treden op 1 januari 2025 in werking.</w:t>
      </w:r>
      <w:r w:rsidRPr="00475F6D">
        <w:t xml:space="preserve"> </w:t>
      </w:r>
    </w:p>
    <w:p w:rsidR="00B87AF7" w:rsidP="003C7D43" w:rsidRDefault="00B87AF7" w14:paraId="66B5ABD8" w14:textId="77777777">
      <w:pPr>
        <w:tabs>
          <w:tab w:val="left" w:pos="0"/>
        </w:tabs>
      </w:pPr>
    </w:p>
    <w:p w:rsidR="00B87AF7" w:rsidP="003C7D43" w:rsidRDefault="00B87AF7" w14:paraId="0EF986DA" w14:textId="77777777">
      <w:pPr>
        <w:tabs>
          <w:tab w:val="left" w:pos="0"/>
        </w:tabs>
      </w:pPr>
    </w:p>
    <w:p w:rsidRPr="00475F6D" w:rsidR="00DC614F" w:rsidP="00A579AC" w:rsidRDefault="00DC614F" w14:paraId="1362ECA1" w14:textId="77777777">
      <w:pPr>
        <w:tabs>
          <w:tab w:val="left" w:pos="0"/>
        </w:tabs>
      </w:pPr>
      <w:r w:rsidRPr="00475F6D">
        <w:rPr>
          <w:b/>
          <w:bCs/>
        </w:rPr>
        <w:t>II. Artikelen</w:t>
      </w:r>
    </w:p>
    <w:p w:rsidRPr="00475F6D" w:rsidR="00DC614F" w:rsidP="00A579AC" w:rsidRDefault="00DC614F" w14:paraId="551CAAB6" w14:textId="77777777">
      <w:pPr>
        <w:tabs>
          <w:tab w:val="left" w:pos="0"/>
        </w:tabs>
      </w:pPr>
    </w:p>
    <w:p w:rsidRPr="00B87AF7" w:rsidR="00DC614F" w:rsidP="00A579AC" w:rsidRDefault="00DC614F" w14:paraId="47CDFA3C" w14:textId="77777777">
      <w:pPr>
        <w:tabs>
          <w:tab w:val="left" w:pos="0"/>
        </w:tabs>
        <w:rPr>
          <w:i/>
          <w:iCs/>
        </w:rPr>
      </w:pPr>
      <w:r w:rsidRPr="00B87AF7">
        <w:rPr>
          <w:i/>
          <w:iCs/>
        </w:rPr>
        <w:t>Artikel I</w:t>
      </w:r>
    </w:p>
    <w:p w:rsidRPr="00475F6D" w:rsidR="00DC614F" w:rsidP="00A579AC" w:rsidRDefault="00DC614F" w14:paraId="44059BC6" w14:textId="77777777">
      <w:pPr>
        <w:tabs>
          <w:tab w:val="left" w:pos="0"/>
        </w:tabs>
      </w:pPr>
    </w:p>
    <w:p w:rsidRPr="00475F6D" w:rsidR="00DC614F" w:rsidP="00A579AC" w:rsidRDefault="00DC614F" w14:paraId="2635DBD0" w14:textId="77777777">
      <w:pPr>
        <w:tabs>
          <w:tab w:val="left" w:pos="0"/>
        </w:tabs>
      </w:pPr>
      <w:r w:rsidRPr="00475F6D">
        <w:t>Artikel 1 van de Wet verlaging eigen bijdrage huurtoeslag bepaalt dat de overeenkomstig artikel 16 van de Wet op de huurtoeslag berekende basishuur wordt verlaagd met de voor het betreffende kalenderjaar in artikel 1 van de Wet verlaging eigen bijdrage huurtoeslag vastgelegde bedragen.</w:t>
      </w:r>
    </w:p>
    <w:p w:rsidRPr="00475F6D" w:rsidR="00DC614F" w:rsidP="00A579AC" w:rsidRDefault="00DC614F" w14:paraId="7B3E8F14" w14:textId="4F54C484">
      <w:pPr>
        <w:tabs>
          <w:tab w:val="left" w:pos="0"/>
        </w:tabs>
      </w:pPr>
      <w:r w:rsidRPr="00475F6D">
        <w:t>Die in artikel 1 van de Wet verlaging eigen bijdrage huurtoeslag genoemde bedragen worden door artikel I van dit wetsvoorstel met € 11,</w:t>
      </w:r>
      <w:r w:rsidR="00AD2AAE">
        <w:t>58</w:t>
      </w:r>
      <w:r w:rsidRPr="00475F6D">
        <w:t xml:space="preserve"> verhoogd. Door die verhoging wordt de eigen bijdrage met een gelijk bedrag verlaagd.</w:t>
      </w:r>
    </w:p>
    <w:p w:rsidRPr="00475F6D" w:rsidR="00DC614F" w:rsidP="00A579AC" w:rsidRDefault="00DC614F" w14:paraId="2A03EE46" w14:textId="77777777">
      <w:pPr>
        <w:tabs>
          <w:tab w:val="left" w:pos="0"/>
        </w:tabs>
      </w:pPr>
    </w:p>
    <w:p w:rsidRPr="00B87AF7" w:rsidR="00B87AF7" w:rsidP="00B87AF7" w:rsidRDefault="00B87AF7" w14:paraId="16CA87B9" w14:textId="77777777">
      <w:pPr>
        <w:tabs>
          <w:tab w:val="left" w:pos="0"/>
        </w:tabs>
        <w:rPr>
          <w:i/>
          <w:iCs/>
        </w:rPr>
      </w:pPr>
      <w:r w:rsidRPr="00B87AF7">
        <w:rPr>
          <w:i/>
          <w:iCs/>
        </w:rPr>
        <w:t>Artikel II</w:t>
      </w:r>
    </w:p>
    <w:p w:rsidRPr="00475F6D" w:rsidR="00B87AF7" w:rsidP="00B87AF7" w:rsidRDefault="00B87AF7" w14:paraId="72C57E93" w14:textId="77777777">
      <w:pPr>
        <w:tabs>
          <w:tab w:val="left" w:pos="0"/>
        </w:tabs>
      </w:pPr>
    </w:p>
    <w:p w:rsidRPr="00475F6D" w:rsidR="00B87AF7" w:rsidP="00B87AF7" w:rsidRDefault="00B87AF7" w14:paraId="1D95BA5A" w14:textId="77777777">
      <w:pPr>
        <w:tabs>
          <w:tab w:val="left" w:pos="0"/>
        </w:tabs>
        <w:rPr>
          <w:i/>
          <w:iCs/>
        </w:rPr>
      </w:pPr>
      <w:r w:rsidRPr="00475F6D">
        <w:rPr>
          <w:i/>
          <w:iCs/>
        </w:rPr>
        <w:t xml:space="preserve">Onderdelen A </w:t>
      </w:r>
      <w:r>
        <w:rPr>
          <w:i/>
          <w:iCs/>
        </w:rPr>
        <w:t>tot en met</w:t>
      </w:r>
      <w:r w:rsidRPr="00475F6D">
        <w:rPr>
          <w:i/>
          <w:iCs/>
        </w:rPr>
        <w:t xml:space="preserve"> H </w:t>
      </w:r>
    </w:p>
    <w:p w:rsidR="00B87AF7" w:rsidP="00B87AF7" w:rsidRDefault="00B87AF7" w14:paraId="141AC65F" w14:textId="77777777">
      <w:pPr>
        <w:tabs>
          <w:tab w:val="left" w:pos="0"/>
        </w:tabs>
      </w:pPr>
    </w:p>
    <w:p w:rsidRPr="00475F6D" w:rsidR="00B87AF7" w:rsidP="00B87AF7" w:rsidRDefault="00B87AF7" w14:paraId="6238DC6A" w14:textId="77777777">
      <w:pPr>
        <w:tabs>
          <w:tab w:val="left" w:pos="0"/>
        </w:tabs>
      </w:pPr>
      <w:r w:rsidRPr="00475F6D">
        <w:t xml:space="preserve">Deze wijzigingen betreffen de harmonisering van vier huishoudtypen in de huurtoeslag (een-/ meerpersoonshuishoudens en een-/ </w:t>
      </w:r>
      <w:proofErr w:type="spellStart"/>
      <w:r w:rsidRPr="00475F6D">
        <w:t>meerpersoonsouderenhuishoudens</w:t>
      </w:r>
      <w:proofErr w:type="spellEnd"/>
      <w:r w:rsidRPr="00475F6D">
        <w:t>) naar twee (een-/ meerpersoonshuishoudens). In het algemeen deel van deze toelichting is ingegaan op de noodzaak van deze wijziging. Tevens wordt in onderdeel H de voorhangtermijn op vier weken gesteld. De termijn van vier weken is in lijn met de Aanwijzingen voor de Regelgeving</w:t>
      </w:r>
      <w:r>
        <w:t xml:space="preserve"> (zie Aanwijzing 2.36)</w:t>
      </w:r>
      <w:r w:rsidRPr="00475F6D">
        <w:t>.</w:t>
      </w:r>
    </w:p>
    <w:p w:rsidR="00B87AF7" w:rsidP="00B87AF7" w:rsidRDefault="00B87AF7" w14:paraId="3A6CA74C" w14:textId="77777777">
      <w:pPr>
        <w:tabs>
          <w:tab w:val="left" w:pos="0"/>
        </w:tabs>
      </w:pPr>
    </w:p>
    <w:p w:rsidR="00B87AF7" w:rsidP="00B87AF7" w:rsidRDefault="00B87AF7" w14:paraId="755AF1D0" w14:textId="77777777">
      <w:pPr>
        <w:tabs>
          <w:tab w:val="left" w:pos="0"/>
        </w:tabs>
      </w:pPr>
      <w:r>
        <w:rPr>
          <w:i/>
          <w:iCs/>
        </w:rPr>
        <w:t>Onderdeel I</w:t>
      </w:r>
    </w:p>
    <w:p w:rsidRPr="00475F6D" w:rsidR="00B87AF7" w:rsidP="00B87AF7" w:rsidRDefault="00B87AF7" w14:paraId="3CFBA549" w14:textId="77777777">
      <w:pPr>
        <w:tabs>
          <w:tab w:val="left" w:pos="0"/>
        </w:tabs>
      </w:pPr>
    </w:p>
    <w:p w:rsidRPr="00475F6D" w:rsidR="00B87AF7" w:rsidP="00B87AF7" w:rsidRDefault="00B87AF7" w14:paraId="1D00AA94" w14:textId="77777777">
      <w:pPr>
        <w:tabs>
          <w:tab w:val="left" w:pos="0"/>
        </w:tabs>
      </w:pPr>
      <w:r>
        <w:t>Dit wetsvoorstel voorziet in het vervallen van de artikelen 14, 18 en 19 van de Wet op de huurtoeslag.</w:t>
      </w:r>
      <w:r w:rsidRPr="00475F6D">
        <w:t xml:space="preserve"> Dit kan gevolgen hebben voor andere wetgeving waarin wordt aangesloten bij de berekeningen die worden gemaakt op grond van deze artikelen. Om te voorkomen dat deze berekeningen niet meer kunnen worden gemaakt, wordt in onderde</w:t>
      </w:r>
      <w:r>
        <w:t>e</w:t>
      </w:r>
      <w:r w:rsidRPr="00475F6D">
        <w:t xml:space="preserve">l </w:t>
      </w:r>
      <w:r>
        <w:t>I</w:t>
      </w:r>
      <w:r w:rsidRPr="00475F6D">
        <w:t xml:space="preserve"> geregeld dat er nieuwe (delen van) artikelen worden toegevoegd (artikel 5</w:t>
      </w:r>
      <w:r>
        <w:t>2</w:t>
      </w:r>
      <w:r w:rsidRPr="00475F6D">
        <w:t xml:space="preserve"> </w:t>
      </w:r>
      <w:r>
        <w:t>tot en met 54</w:t>
      </w:r>
      <w:r w:rsidRPr="00475F6D">
        <w:t xml:space="preserve">) op grond waarvan de hiervoor aangehaalde berekeningen ongewijzigd doorgang kunnen vinden. Het gaat hier om de berekeningen op grond van artikel </w:t>
      </w:r>
      <w:r>
        <w:t>7:</w:t>
      </w:r>
      <w:r w:rsidRPr="00475F6D">
        <w:t xml:space="preserve">252b, eerste lid, onder 1, </w:t>
      </w:r>
      <w:r>
        <w:t>BW</w:t>
      </w:r>
      <w:r w:rsidRPr="00475F6D">
        <w:t xml:space="preserve"> (huurverlaging ingeval van inkomensdaling)</w:t>
      </w:r>
      <w:r>
        <w:t xml:space="preserve">, </w:t>
      </w:r>
      <w:r w:rsidRPr="00475F6D">
        <w:t>artikel 10, tweede lid, onderdeel c, (indexering maximale huurverhoging)</w:t>
      </w:r>
      <w:r>
        <w:t xml:space="preserve"> en 14, tweede lid, onderdeel c, </w:t>
      </w:r>
      <w:r w:rsidRPr="00475F6D">
        <w:t>(toetsing huurverlaging ingeval van inkomensdaling)</w:t>
      </w:r>
      <w:r>
        <w:t xml:space="preserve"> </w:t>
      </w:r>
      <w:r w:rsidRPr="00475F6D">
        <w:t>van de Uitvoeringswet huurprijzen woonruimte, artikel 10, vijfde lid, Huisvestingswet 2014 (inkomensgrenzen middeninkomens) en artikel 475da, tweede lid, onderdeel d, van het Wetboek van Burgerlijke Rechtsvordering (berekening beslagvrije voet)</w:t>
      </w:r>
      <w:r>
        <w:t>,</w:t>
      </w:r>
      <w:r w:rsidRPr="009D72E8">
        <w:t xml:space="preserve"> </w:t>
      </w:r>
      <w:r w:rsidRPr="00475F6D">
        <w:t>artikel 46, tweede lid, van de Woningwet (passend toewijzen).</w:t>
      </w:r>
    </w:p>
    <w:p w:rsidRPr="00581A12" w:rsidR="00B87AF7" w:rsidP="00B87AF7" w:rsidRDefault="00B87AF7" w14:paraId="3D9CA710" w14:textId="77777777">
      <w:pPr>
        <w:tabs>
          <w:tab w:val="left" w:pos="0"/>
        </w:tabs>
      </w:pPr>
    </w:p>
    <w:p w:rsidRPr="00B87AF7" w:rsidR="00B87AF7" w:rsidP="00B87AF7" w:rsidRDefault="00B87AF7" w14:paraId="3DC1EC9A" w14:textId="77777777">
      <w:pPr>
        <w:tabs>
          <w:tab w:val="left" w:pos="0"/>
        </w:tabs>
        <w:rPr>
          <w:i/>
          <w:iCs/>
        </w:rPr>
      </w:pPr>
      <w:r w:rsidRPr="00B87AF7">
        <w:rPr>
          <w:i/>
          <w:iCs/>
        </w:rPr>
        <w:t>Artikel III</w:t>
      </w:r>
      <w:r w:rsidRPr="00B87AF7">
        <w:rPr>
          <w:i/>
          <w:iCs/>
        </w:rPr>
        <w:br/>
      </w:r>
    </w:p>
    <w:p w:rsidR="00B87AF7" w:rsidP="00B87AF7" w:rsidRDefault="00B87AF7" w14:paraId="539E96FA" w14:textId="499AC9D8">
      <w:pPr>
        <w:tabs>
          <w:tab w:val="left" w:pos="0"/>
        </w:tabs>
      </w:pPr>
      <w:r w:rsidRPr="00475F6D">
        <w:t xml:space="preserve">Artikel III voert een verdere harmonisering van de huurtoeslag door die, anders dan hetgeen bepaald in artikel II, op een later tijdstip dan 1 januari 2025 in werking dient te treden. Daarom is gekozen deze wijzigingen in een separaat artikel </w:t>
      </w:r>
      <w:r>
        <w:t xml:space="preserve">op te nemen </w:t>
      </w:r>
      <w:r w:rsidRPr="00475F6D">
        <w:t>zodat in het artikel dat de inwerkingtreding regelt een uitgestelde inwerkingtreding mogelijk gemaakt kan worden. In het algemeen deel is ingegaan op de redenen om over te gaan tot deze verdere harmonisatie.</w:t>
      </w:r>
    </w:p>
    <w:p w:rsidR="00B87AF7" w:rsidP="00B87AF7" w:rsidRDefault="00B87AF7" w14:paraId="3935CC33" w14:textId="77777777">
      <w:pPr>
        <w:tabs>
          <w:tab w:val="left" w:pos="0"/>
        </w:tabs>
      </w:pPr>
    </w:p>
    <w:p w:rsidRPr="00475F6D" w:rsidR="00B87AF7" w:rsidP="00B87AF7" w:rsidRDefault="00B87AF7" w14:paraId="28CA470A" w14:textId="77777777">
      <w:pPr>
        <w:tabs>
          <w:tab w:val="left" w:pos="0"/>
        </w:tabs>
      </w:pPr>
    </w:p>
    <w:p w:rsidRPr="00B87AF7" w:rsidR="00B87AF7" w:rsidP="00B87AF7" w:rsidRDefault="00B87AF7" w14:paraId="0612D628" w14:textId="77777777">
      <w:pPr>
        <w:tabs>
          <w:tab w:val="left" w:pos="0"/>
        </w:tabs>
        <w:rPr>
          <w:bCs/>
          <w:i/>
          <w:iCs/>
        </w:rPr>
      </w:pPr>
      <w:r w:rsidRPr="00B87AF7">
        <w:rPr>
          <w:bCs/>
          <w:i/>
          <w:iCs/>
        </w:rPr>
        <w:lastRenderedPageBreak/>
        <w:t>Artikelen IV tot en met VIII</w:t>
      </w:r>
    </w:p>
    <w:p w:rsidR="00B87AF7" w:rsidP="00B87AF7" w:rsidRDefault="00B87AF7" w14:paraId="1BAE6E23" w14:textId="77777777">
      <w:pPr>
        <w:tabs>
          <w:tab w:val="left" w:pos="0"/>
        </w:tabs>
        <w:rPr>
          <w:bCs/>
        </w:rPr>
      </w:pPr>
    </w:p>
    <w:p w:rsidR="00B87AF7" w:rsidP="00B87AF7" w:rsidRDefault="00B87AF7" w14:paraId="0DC3F1A3" w14:textId="77777777">
      <w:pPr>
        <w:tabs>
          <w:tab w:val="left" w:pos="0"/>
        </w:tabs>
        <w:rPr>
          <w:bCs/>
        </w:rPr>
      </w:pPr>
      <w:r>
        <w:rPr>
          <w:bCs/>
        </w:rPr>
        <w:t>Deze artikelen voorzien in aanpassingen van verwijzingen in andere wetten. Deze wijzigingen hangen samen met de in artikel II, onderdeel I, voorgestelde artikelen.</w:t>
      </w:r>
    </w:p>
    <w:p w:rsidR="00B87AF7" w:rsidP="00B87AF7" w:rsidRDefault="00B87AF7" w14:paraId="3119A12E" w14:textId="77777777">
      <w:pPr>
        <w:tabs>
          <w:tab w:val="left" w:pos="0"/>
        </w:tabs>
        <w:rPr>
          <w:bCs/>
        </w:rPr>
      </w:pPr>
    </w:p>
    <w:p w:rsidRPr="00B87AF7" w:rsidR="00B87AF7" w:rsidP="00B87AF7" w:rsidRDefault="00B87AF7" w14:paraId="3F492692" w14:textId="77777777">
      <w:pPr>
        <w:tabs>
          <w:tab w:val="left" w:pos="0"/>
        </w:tabs>
        <w:rPr>
          <w:bCs/>
          <w:i/>
          <w:iCs/>
        </w:rPr>
      </w:pPr>
      <w:r w:rsidRPr="00B87AF7">
        <w:rPr>
          <w:bCs/>
          <w:i/>
          <w:iCs/>
        </w:rPr>
        <w:t>Artikel IX</w:t>
      </w:r>
    </w:p>
    <w:p w:rsidR="00B87AF7" w:rsidP="00B87AF7" w:rsidRDefault="00B87AF7" w14:paraId="7459861A" w14:textId="77777777">
      <w:pPr>
        <w:tabs>
          <w:tab w:val="left" w:pos="0"/>
        </w:tabs>
        <w:rPr>
          <w:bCs/>
        </w:rPr>
      </w:pPr>
    </w:p>
    <w:p w:rsidRPr="00674F3F" w:rsidR="00B87AF7" w:rsidP="00B87AF7" w:rsidRDefault="00B87AF7" w14:paraId="297A9632" w14:textId="77777777">
      <w:pPr>
        <w:tabs>
          <w:tab w:val="left" w:pos="0"/>
        </w:tabs>
        <w:rPr>
          <w:bCs/>
        </w:rPr>
      </w:pPr>
      <w:r>
        <w:rPr>
          <w:bCs/>
        </w:rPr>
        <w:t>Dit artikel voorziet in de mogelijkheid om de referentie-inkomensijkpunten per 1 januari 2025 bij ministeriële regeling te verhogen om zo de lineaire lijn te benaderen (zie hierover paragraaf 2.3.2 van deze memorie van toelichting). Indien van deze mogelijkheid gebruikt wordt gemaakt, worden de referentie-inkomensijkpunten eerst geïndexeerd overeenkomstig artikel 27 van de Wet op de huurtoeslag en wordt het nieuwe bedrag vervolgens verder verhoogd.</w:t>
      </w:r>
    </w:p>
    <w:p w:rsidRPr="00924873" w:rsidR="00B87AF7" w:rsidP="00B87AF7" w:rsidRDefault="00B87AF7" w14:paraId="5EE0D4A7" w14:textId="77777777">
      <w:pPr>
        <w:tabs>
          <w:tab w:val="left" w:pos="0"/>
        </w:tabs>
        <w:rPr>
          <w:bCs/>
        </w:rPr>
      </w:pPr>
    </w:p>
    <w:p w:rsidRPr="00B87AF7" w:rsidR="00B87AF7" w:rsidP="00B87AF7" w:rsidRDefault="00B87AF7" w14:paraId="724AF85C" w14:textId="77777777">
      <w:pPr>
        <w:tabs>
          <w:tab w:val="left" w:pos="0"/>
        </w:tabs>
        <w:rPr>
          <w:i/>
          <w:iCs/>
        </w:rPr>
      </w:pPr>
      <w:r w:rsidRPr="00B87AF7">
        <w:rPr>
          <w:i/>
          <w:iCs/>
        </w:rPr>
        <w:t>Artikel X</w:t>
      </w:r>
    </w:p>
    <w:p w:rsidR="00B87AF7" w:rsidP="00B87AF7" w:rsidRDefault="00B87AF7" w14:paraId="4126DEA1" w14:textId="77777777">
      <w:pPr>
        <w:tabs>
          <w:tab w:val="left" w:pos="0"/>
        </w:tabs>
      </w:pPr>
    </w:p>
    <w:p w:rsidRPr="00475F6D" w:rsidR="00B87AF7" w:rsidP="00B87AF7" w:rsidRDefault="00B87AF7" w14:paraId="0B378E0C" w14:textId="77777777">
      <w:pPr>
        <w:tabs>
          <w:tab w:val="left" w:pos="0"/>
        </w:tabs>
      </w:pPr>
      <w:r>
        <w:t xml:space="preserve">Dit artikel voorziet in samenloop met het bij de Tweede Kamer der Staten-Generaal aanhangige wetsvoorstel vereenvoudiging van de huurtoeslag (Kamerstukken II 2022/23, 36 311, </w:t>
      </w:r>
      <w:proofErr w:type="spellStart"/>
      <w:r>
        <w:t>nrs</w:t>
      </w:r>
      <w:proofErr w:type="spellEnd"/>
      <w:r>
        <w:t>. 1-6), aangezien enkele artikelen van de Wet op de huurtoeslag waarvoor wijzigingen in dit wetsvoorstel zijn voorgesteld ook gewijzigd worden door het wetsvoorstel vereenvoudiging van de huurtoeslag</w:t>
      </w:r>
      <w:r w:rsidRPr="00475F6D">
        <w:t xml:space="preserve">. </w:t>
      </w:r>
    </w:p>
    <w:p w:rsidRPr="00475F6D" w:rsidR="00DC614F" w:rsidP="00A579AC" w:rsidRDefault="00DC614F" w14:paraId="37D8981A" w14:textId="77777777">
      <w:pPr>
        <w:tabs>
          <w:tab w:val="left" w:pos="0"/>
        </w:tabs>
      </w:pPr>
    </w:p>
    <w:p w:rsidRPr="00475F6D" w:rsidR="00DC614F" w:rsidP="00A579AC" w:rsidRDefault="00DC614F" w14:paraId="0B4FDE1D" w14:textId="77777777">
      <w:pPr>
        <w:tabs>
          <w:tab w:val="left" w:pos="0"/>
        </w:tabs>
      </w:pPr>
    </w:p>
    <w:p w:rsidRPr="00475F6D" w:rsidR="00DC614F" w:rsidP="00A579AC" w:rsidRDefault="00DC614F" w14:paraId="1208A8A6" w14:textId="77777777">
      <w:pPr>
        <w:tabs>
          <w:tab w:val="left" w:pos="0"/>
        </w:tabs>
      </w:pPr>
      <w:r w:rsidRPr="00475F6D">
        <w:t>De Minister van Volkshuisvesting en Ruimtelijke Ordening,</w:t>
      </w:r>
    </w:p>
    <w:p w:rsidRPr="00475F6D" w:rsidR="00DC614F" w:rsidP="00A579AC" w:rsidRDefault="00DC614F" w14:paraId="713A9EED" w14:textId="77777777">
      <w:pPr>
        <w:tabs>
          <w:tab w:val="left" w:pos="0"/>
        </w:tabs>
      </w:pPr>
    </w:p>
    <w:p w:rsidRPr="00475F6D" w:rsidR="00DC614F" w:rsidP="00A579AC" w:rsidRDefault="00DC614F" w14:paraId="70EFD3E5" w14:textId="77777777">
      <w:pPr>
        <w:tabs>
          <w:tab w:val="left" w:pos="0"/>
        </w:tabs>
      </w:pPr>
    </w:p>
    <w:p w:rsidRPr="00475F6D" w:rsidR="00DC614F" w:rsidP="00A579AC" w:rsidRDefault="00DC614F" w14:paraId="3BA0E450" w14:textId="77777777">
      <w:pPr>
        <w:tabs>
          <w:tab w:val="left" w:pos="0"/>
        </w:tabs>
      </w:pPr>
    </w:p>
    <w:p w:rsidRPr="00475F6D" w:rsidR="00DC614F" w:rsidP="00A579AC" w:rsidRDefault="00DC614F" w14:paraId="2663AF19" w14:textId="77777777">
      <w:pPr>
        <w:tabs>
          <w:tab w:val="left" w:pos="0"/>
        </w:tabs>
      </w:pPr>
    </w:p>
    <w:p w:rsidRPr="00475F6D" w:rsidR="00DC614F" w:rsidP="00A579AC" w:rsidRDefault="00DC614F" w14:paraId="59412A59" w14:textId="77777777">
      <w:pPr>
        <w:tabs>
          <w:tab w:val="left" w:pos="0"/>
        </w:tabs>
      </w:pPr>
    </w:p>
    <w:bookmarkEnd w:id="0"/>
    <w:p w:rsidRPr="00475F6D" w:rsidR="00C823B7" w:rsidP="00A579AC" w:rsidRDefault="00C823B7" w14:paraId="0F3C361F" w14:textId="2B2008A2">
      <w:pPr>
        <w:tabs>
          <w:tab w:val="left" w:pos="0"/>
        </w:tabs>
      </w:pPr>
    </w:p>
    <w:sectPr w:rsidRPr="00475F6D" w:rsidR="00C823B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3DAE" w14:textId="77777777" w:rsidR="00855099" w:rsidRDefault="00855099" w:rsidP="00B87B79">
      <w:pPr>
        <w:spacing w:line="240" w:lineRule="auto"/>
      </w:pPr>
      <w:r>
        <w:separator/>
      </w:r>
    </w:p>
  </w:endnote>
  <w:endnote w:type="continuationSeparator" w:id="0">
    <w:p w14:paraId="01096924" w14:textId="77777777" w:rsidR="00855099" w:rsidRDefault="00855099" w:rsidP="00B87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6122" w14:textId="77777777" w:rsidR="00855099" w:rsidRDefault="00855099" w:rsidP="00B87B79">
      <w:pPr>
        <w:spacing w:line="240" w:lineRule="auto"/>
      </w:pPr>
      <w:r>
        <w:separator/>
      </w:r>
    </w:p>
  </w:footnote>
  <w:footnote w:type="continuationSeparator" w:id="0">
    <w:p w14:paraId="2027EDBB" w14:textId="77777777" w:rsidR="00855099" w:rsidRDefault="00855099" w:rsidP="00B87B79">
      <w:pPr>
        <w:spacing w:line="240" w:lineRule="auto"/>
      </w:pPr>
      <w:r>
        <w:continuationSeparator/>
      </w:r>
    </w:p>
  </w:footnote>
  <w:footnote w:id="1">
    <w:p w14:paraId="186762E2" w14:textId="6E323137" w:rsidR="00807072" w:rsidRDefault="00807072">
      <w:pPr>
        <w:pStyle w:val="Voetnoottekst"/>
      </w:pPr>
      <w:r w:rsidRPr="00727793">
        <w:rPr>
          <w:rStyle w:val="Voetnootmarkering"/>
          <w:sz w:val="16"/>
          <w:szCs w:val="16"/>
        </w:rPr>
        <w:footnoteRef/>
      </w:r>
      <w:r w:rsidRPr="00727793">
        <w:rPr>
          <w:sz w:val="16"/>
          <w:szCs w:val="16"/>
        </w:rPr>
        <w:t xml:space="preserve"> De marginale druk is het verlies aan</w:t>
      </w:r>
      <w:r w:rsidR="00727793" w:rsidRPr="00727793">
        <w:rPr>
          <w:sz w:val="16"/>
          <w:szCs w:val="16"/>
        </w:rPr>
        <w:t xml:space="preserve"> inkomensafhankelijke toeslagen, in dit geval de</w:t>
      </w:r>
      <w:r w:rsidRPr="00727793">
        <w:rPr>
          <w:sz w:val="16"/>
          <w:szCs w:val="16"/>
        </w:rPr>
        <w:t xml:space="preserve"> huurtoeslag</w:t>
      </w:r>
      <w:r w:rsidR="00727793" w:rsidRPr="00727793">
        <w:rPr>
          <w:sz w:val="16"/>
          <w:szCs w:val="16"/>
        </w:rPr>
        <w:t>,</w:t>
      </w:r>
      <w:r w:rsidRPr="00727793">
        <w:rPr>
          <w:sz w:val="16"/>
          <w:szCs w:val="16"/>
        </w:rPr>
        <w:t xml:space="preserve"> in verhouding tot de stijging van het inkomen.</w:t>
      </w:r>
    </w:p>
  </w:footnote>
  <w:footnote w:id="2">
    <w:p w14:paraId="2A31C797" w14:textId="77777777" w:rsidR="00761D3C" w:rsidRPr="009557AB" w:rsidRDefault="00761D3C" w:rsidP="00761D3C">
      <w:pPr>
        <w:pStyle w:val="Voetnoottekst"/>
        <w:rPr>
          <w:sz w:val="16"/>
          <w:szCs w:val="16"/>
        </w:rPr>
      </w:pPr>
      <w:r w:rsidRPr="009557AB">
        <w:rPr>
          <w:rStyle w:val="Voetnootmarkering"/>
          <w:sz w:val="16"/>
          <w:szCs w:val="16"/>
        </w:rPr>
        <w:footnoteRef/>
      </w:r>
      <w:r w:rsidRPr="009557AB">
        <w:rPr>
          <w:sz w:val="16"/>
          <w:szCs w:val="16"/>
        </w:rPr>
        <w:t xml:space="preserve"> Commissie Sociaal Minimum (2023),</w:t>
      </w:r>
      <w:r w:rsidRPr="009557AB">
        <w:rPr>
          <w:i/>
          <w:iCs/>
          <w:sz w:val="16"/>
          <w:szCs w:val="16"/>
        </w:rPr>
        <w:t xml:space="preserve"> Een zeker bestaan</w:t>
      </w:r>
    </w:p>
  </w:footnote>
  <w:footnote w:id="3">
    <w:p w14:paraId="52C2C552" w14:textId="77777777" w:rsidR="00761D3C" w:rsidRPr="009557AB" w:rsidRDefault="00761D3C" w:rsidP="00761D3C">
      <w:pPr>
        <w:pStyle w:val="Voetnoottekst"/>
        <w:rPr>
          <w:i/>
          <w:iCs/>
        </w:rPr>
      </w:pPr>
      <w:r w:rsidRPr="009557AB">
        <w:rPr>
          <w:rStyle w:val="Voetnootmarkering"/>
          <w:sz w:val="16"/>
          <w:szCs w:val="16"/>
        </w:rPr>
        <w:footnoteRef/>
      </w:r>
      <w:r w:rsidRPr="009557AB">
        <w:rPr>
          <w:sz w:val="16"/>
          <w:szCs w:val="16"/>
        </w:rPr>
        <w:t xml:space="preserve"> Raad Volksgezondheid &amp; Samenleving (2023), </w:t>
      </w:r>
      <w:r w:rsidRPr="009557AB">
        <w:rPr>
          <w:i/>
          <w:iCs/>
          <w:sz w:val="16"/>
          <w:szCs w:val="16"/>
        </w:rPr>
        <w:t>Kinderen uit de knel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310"/>
    <w:multiLevelType w:val="hybridMultilevel"/>
    <w:tmpl w:val="941C89C2"/>
    <w:lvl w:ilvl="0" w:tplc="77A8ED20">
      <w:numFmt w:val="bullet"/>
      <w:lvlText w:val="-"/>
      <w:lvlJc w:val="left"/>
      <w:pPr>
        <w:ind w:left="360" w:hanging="360"/>
      </w:pPr>
      <w:rPr>
        <w:rFonts w:ascii="Verdana" w:eastAsiaTheme="minorHAnsi"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91C3029"/>
    <w:multiLevelType w:val="hybridMultilevel"/>
    <w:tmpl w:val="E3CCCCEE"/>
    <w:lvl w:ilvl="0" w:tplc="77A8ED20">
      <w:numFmt w:val="bullet"/>
      <w:lvlText w:val="-"/>
      <w:lvlJc w:val="left"/>
      <w:pPr>
        <w:ind w:left="720" w:hanging="360"/>
      </w:pPr>
      <w:rPr>
        <w:rFonts w:ascii="Verdana" w:eastAsiaTheme="minorHAnsi"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E4145D"/>
    <w:multiLevelType w:val="multilevel"/>
    <w:tmpl w:val="9EDA7C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16F5448"/>
    <w:multiLevelType w:val="hybridMultilevel"/>
    <w:tmpl w:val="9DAC3CE6"/>
    <w:lvl w:ilvl="0" w:tplc="FFFFFFFF">
      <w:start w:val="1"/>
      <w:numFmt w:val="decimal"/>
      <w:suff w:val="space"/>
      <w:lvlText w:val="Casus %1."/>
      <w:lvlJc w:val="left"/>
      <w:pPr>
        <w:ind w:left="1066" w:hanging="358"/>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54D772DD"/>
    <w:multiLevelType w:val="hybridMultilevel"/>
    <w:tmpl w:val="6DD27FD2"/>
    <w:lvl w:ilvl="0" w:tplc="390E2ABE">
      <w:start w:val="1"/>
      <w:numFmt w:val="decimal"/>
      <w:suff w:val="space"/>
      <w:lvlText w:val="Casus %1."/>
      <w:lvlJc w:val="left"/>
      <w:pPr>
        <w:ind w:left="1066" w:hanging="358"/>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606A20A6"/>
    <w:multiLevelType w:val="hybridMultilevel"/>
    <w:tmpl w:val="F20E82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28611068">
    <w:abstractNumId w:val="5"/>
  </w:num>
  <w:num w:numId="2" w16cid:durableId="937101042">
    <w:abstractNumId w:val="0"/>
  </w:num>
  <w:num w:numId="3" w16cid:durableId="443690704">
    <w:abstractNumId w:val="2"/>
  </w:num>
  <w:num w:numId="4" w16cid:durableId="279384561">
    <w:abstractNumId w:val="4"/>
  </w:num>
  <w:num w:numId="5" w16cid:durableId="399595474">
    <w:abstractNumId w:val="3"/>
  </w:num>
  <w:num w:numId="6" w16cid:durableId="346757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60"/>
    <w:rsid w:val="0000125F"/>
    <w:rsid w:val="00002665"/>
    <w:rsid w:val="000114F5"/>
    <w:rsid w:val="000275CD"/>
    <w:rsid w:val="00027F9C"/>
    <w:rsid w:val="000415F3"/>
    <w:rsid w:val="00045751"/>
    <w:rsid w:val="00055503"/>
    <w:rsid w:val="000617F5"/>
    <w:rsid w:val="0008048D"/>
    <w:rsid w:val="000928CD"/>
    <w:rsid w:val="0009543A"/>
    <w:rsid w:val="000A34A6"/>
    <w:rsid w:val="000B1908"/>
    <w:rsid w:val="000B52C4"/>
    <w:rsid w:val="000C2F0C"/>
    <w:rsid w:val="000D1CB1"/>
    <w:rsid w:val="000D2C01"/>
    <w:rsid w:val="000E4A0B"/>
    <w:rsid w:val="000F4D5D"/>
    <w:rsid w:val="00110388"/>
    <w:rsid w:val="00111C5C"/>
    <w:rsid w:val="001134C0"/>
    <w:rsid w:val="001148B4"/>
    <w:rsid w:val="00133E3F"/>
    <w:rsid w:val="00142456"/>
    <w:rsid w:val="001442B8"/>
    <w:rsid w:val="00163EE2"/>
    <w:rsid w:val="001652F3"/>
    <w:rsid w:val="00182CD8"/>
    <w:rsid w:val="001954BE"/>
    <w:rsid w:val="001A1075"/>
    <w:rsid w:val="001B15DD"/>
    <w:rsid w:val="001B1E2C"/>
    <w:rsid w:val="001B2DBD"/>
    <w:rsid w:val="001B7D8F"/>
    <w:rsid w:val="001C771C"/>
    <w:rsid w:val="001D69CA"/>
    <w:rsid w:val="001E72E7"/>
    <w:rsid w:val="001F0C67"/>
    <w:rsid w:val="001F5A2D"/>
    <w:rsid w:val="001F65BF"/>
    <w:rsid w:val="00207DCA"/>
    <w:rsid w:val="00207E7B"/>
    <w:rsid w:val="00210C56"/>
    <w:rsid w:val="002168F2"/>
    <w:rsid w:val="00225552"/>
    <w:rsid w:val="00231038"/>
    <w:rsid w:val="00240A99"/>
    <w:rsid w:val="00256B71"/>
    <w:rsid w:val="0026436E"/>
    <w:rsid w:val="002775F2"/>
    <w:rsid w:val="00283E8C"/>
    <w:rsid w:val="002860E9"/>
    <w:rsid w:val="002946AF"/>
    <w:rsid w:val="002B7074"/>
    <w:rsid w:val="002D60E9"/>
    <w:rsid w:val="002E05C2"/>
    <w:rsid w:val="002F6126"/>
    <w:rsid w:val="002F6430"/>
    <w:rsid w:val="002F7D3E"/>
    <w:rsid w:val="00301793"/>
    <w:rsid w:val="00321878"/>
    <w:rsid w:val="00322D6D"/>
    <w:rsid w:val="00333961"/>
    <w:rsid w:val="00337C9E"/>
    <w:rsid w:val="003468D8"/>
    <w:rsid w:val="00353C87"/>
    <w:rsid w:val="003626EE"/>
    <w:rsid w:val="003852B0"/>
    <w:rsid w:val="003A0A92"/>
    <w:rsid w:val="003A5DCA"/>
    <w:rsid w:val="003B53D7"/>
    <w:rsid w:val="003C5C9B"/>
    <w:rsid w:val="003C7D43"/>
    <w:rsid w:val="003D07ED"/>
    <w:rsid w:val="003D1AC6"/>
    <w:rsid w:val="003D6A14"/>
    <w:rsid w:val="003E7056"/>
    <w:rsid w:val="00402533"/>
    <w:rsid w:val="0040348F"/>
    <w:rsid w:val="004054B0"/>
    <w:rsid w:val="0043442B"/>
    <w:rsid w:val="00437EA8"/>
    <w:rsid w:val="0045686A"/>
    <w:rsid w:val="00456A19"/>
    <w:rsid w:val="00475F6D"/>
    <w:rsid w:val="00482E51"/>
    <w:rsid w:val="0048742F"/>
    <w:rsid w:val="00487854"/>
    <w:rsid w:val="004A0B1C"/>
    <w:rsid w:val="004A7AC5"/>
    <w:rsid w:val="004B44A3"/>
    <w:rsid w:val="004B50CC"/>
    <w:rsid w:val="004B6D5F"/>
    <w:rsid w:val="004D2604"/>
    <w:rsid w:val="004E1FFF"/>
    <w:rsid w:val="004F69A9"/>
    <w:rsid w:val="00500C58"/>
    <w:rsid w:val="00501EED"/>
    <w:rsid w:val="00521390"/>
    <w:rsid w:val="005243B5"/>
    <w:rsid w:val="005268D2"/>
    <w:rsid w:val="0052719B"/>
    <w:rsid w:val="005434F3"/>
    <w:rsid w:val="00544D65"/>
    <w:rsid w:val="005464B3"/>
    <w:rsid w:val="00552980"/>
    <w:rsid w:val="00555FA1"/>
    <w:rsid w:val="0056747F"/>
    <w:rsid w:val="00570CAB"/>
    <w:rsid w:val="0058088B"/>
    <w:rsid w:val="00584487"/>
    <w:rsid w:val="00585DA2"/>
    <w:rsid w:val="005934FB"/>
    <w:rsid w:val="005A2590"/>
    <w:rsid w:val="005A5B60"/>
    <w:rsid w:val="005B087C"/>
    <w:rsid w:val="005C23D5"/>
    <w:rsid w:val="005C3609"/>
    <w:rsid w:val="005D0A8C"/>
    <w:rsid w:val="0061479D"/>
    <w:rsid w:val="006156BD"/>
    <w:rsid w:val="0061728A"/>
    <w:rsid w:val="00621BCD"/>
    <w:rsid w:val="00622468"/>
    <w:rsid w:val="0065687E"/>
    <w:rsid w:val="00664480"/>
    <w:rsid w:val="00673C36"/>
    <w:rsid w:val="00677D84"/>
    <w:rsid w:val="00683F38"/>
    <w:rsid w:val="006A1E40"/>
    <w:rsid w:val="006B2DA4"/>
    <w:rsid w:val="006B6F7C"/>
    <w:rsid w:val="006C06BD"/>
    <w:rsid w:val="006C3938"/>
    <w:rsid w:val="006C4FED"/>
    <w:rsid w:val="006C798F"/>
    <w:rsid w:val="006D0E4F"/>
    <w:rsid w:val="006D404E"/>
    <w:rsid w:val="006F6267"/>
    <w:rsid w:val="0070121A"/>
    <w:rsid w:val="0070367F"/>
    <w:rsid w:val="007051F7"/>
    <w:rsid w:val="00723FCA"/>
    <w:rsid w:val="00725F92"/>
    <w:rsid w:val="00727793"/>
    <w:rsid w:val="00736F26"/>
    <w:rsid w:val="00750049"/>
    <w:rsid w:val="00751F84"/>
    <w:rsid w:val="0075546A"/>
    <w:rsid w:val="00761D3C"/>
    <w:rsid w:val="007625EB"/>
    <w:rsid w:val="00763158"/>
    <w:rsid w:val="0076633F"/>
    <w:rsid w:val="00777237"/>
    <w:rsid w:val="007959CE"/>
    <w:rsid w:val="00795C6F"/>
    <w:rsid w:val="007B1DDB"/>
    <w:rsid w:val="007C40C6"/>
    <w:rsid w:val="007C6A1B"/>
    <w:rsid w:val="007D5F6D"/>
    <w:rsid w:val="007E52B1"/>
    <w:rsid w:val="007F4A6B"/>
    <w:rsid w:val="008041B9"/>
    <w:rsid w:val="00804201"/>
    <w:rsid w:val="00807072"/>
    <w:rsid w:val="00810DD3"/>
    <w:rsid w:val="00817870"/>
    <w:rsid w:val="00822B83"/>
    <w:rsid w:val="00827504"/>
    <w:rsid w:val="00830A3C"/>
    <w:rsid w:val="00831577"/>
    <w:rsid w:val="00840D35"/>
    <w:rsid w:val="00850432"/>
    <w:rsid w:val="00855099"/>
    <w:rsid w:val="00855F4B"/>
    <w:rsid w:val="00864024"/>
    <w:rsid w:val="00876BD9"/>
    <w:rsid w:val="00880496"/>
    <w:rsid w:val="00882E60"/>
    <w:rsid w:val="008A12F5"/>
    <w:rsid w:val="008A31FB"/>
    <w:rsid w:val="008A4672"/>
    <w:rsid w:val="008B3ACF"/>
    <w:rsid w:val="008B666E"/>
    <w:rsid w:val="008C0229"/>
    <w:rsid w:val="008C16DC"/>
    <w:rsid w:val="008C767B"/>
    <w:rsid w:val="008D3AEC"/>
    <w:rsid w:val="008E502E"/>
    <w:rsid w:val="008E5ABF"/>
    <w:rsid w:val="008E7991"/>
    <w:rsid w:val="008F52EB"/>
    <w:rsid w:val="008F5E6E"/>
    <w:rsid w:val="009205A3"/>
    <w:rsid w:val="00924873"/>
    <w:rsid w:val="0092693C"/>
    <w:rsid w:val="009270A8"/>
    <w:rsid w:val="009350A9"/>
    <w:rsid w:val="00935156"/>
    <w:rsid w:val="00940496"/>
    <w:rsid w:val="00944BDA"/>
    <w:rsid w:val="0094775C"/>
    <w:rsid w:val="00955044"/>
    <w:rsid w:val="009637C0"/>
    <w:rsid w:val="009662EF"/>
    <w:rsid w:val="00973405"/>
    <w:rsid w:val="00976B14"/>
    <w:rsid w:val="00990FB1"/>
    <w:rsid w:val="00992741"/>
    <w:rsid w:val="00994554"/>
    <w:rsid w:val="009A1E56"/>
    <w:rsid w:val="009A2515"/>
    <w:rsid w:val="009B00E4"/>
    <w:rsid w:val="009B07C0"/>
    <w:rsid w:val="009B17B5"/>
    <w:rsid w:val="009B4AE5"/>
    <w:rsid w:val="009B77B2"/>
    <w:rsid w:val="009C5569"/>
    <w:rsid w:val="009C6192"/>
    <w:rsid w:val="009D68C0"/>
    <w:rsid w:val="009D72E8"/>
    <w:rsid w:val="00A035A8"/>
    <w:rsid w:val="00A0468C"/>
    <w:rsid w:val="00A07935"/>
    <w:rsid w:val="00A17FA6"/>
    <w:rsid w:val="00A212BD"/>
    <w:rsid w:val="00A21AEE"/>
    <w:rsid w:val="00A2335C"/>
    <w:rsid w:val="00A2665A"/>
    <w:rsid w:val="00A3047A"/>
    <w:rsid w:val="00A368EA"/>
    <w:rsid w:val="00A423B5"/>
    <w:rsid w:val="00A42D0A"/>
    <w:rsid w:val="00A57092"/>
    <w:rsid w:val="00A579AC"/>
    <w:rsid w:val="00A60E3B"/>
    <w:rsid w:val="00A63601"/>
    <w:rsid w:val="00A701CE"/>
    <w:rsid w:val="00A72407"/>
    <w:rsid w:val="00A86B9D"/>
    <w:rsid w:val="00A91C23"/>
    <w:rsid w:val="00A93856"/>
    <w:rsid w:val="00A93ADA"/>
    <w:rsid w:val="00A97BC4"/>
    <w:rsid w:val="00AC1297"/>
    <w:rsid w:val="00AD2AAE"/>
    <w:rsid w:val="00AD3185"/>
    <w:rsid w:val="00AE7DD0"/>
    <w:rsid w:val="00AF619B"/>
    <w:rsid w:val="00B2000E"/>
    <w:rsid w:val="00B21E34"/>
    <w:rsid w:val="00B271C0"/>
    <w:rsid w:val="00B30B84"/>
    <w:rsid w:val="00B33DB5"/>
    <w:rsid w:val="00B35D54"/>
    <w:rsid w:val="00B41A5F"/>
    <w:rsid w:val="00B42E55"/>
    <w:rsid w:val="00B45CDF"/>
    <w:rsid w:val="00B528C8"/>
    <w:rsid w:val="00B54371"/>
    <w:rsid w:val="00B625CC"/>
    <w:rsid w:val="00B7195B"/>
    <w:rsid w:val="00B766F0"/>
    <w:rsid w:val="00B84BE8"/>
    <w:rsid w:val="00B84CA0"/>
    <w:rsid w:val="00B84D1A"/>
    <w:rsid w:val="00B87AF7"/>
    <w:rsid w:val="00B87B79"/>
    <w:rsid w:val="00B96523"/>
    <w:rsid w:val="00B968FF"/>
    <w:rsid w:val="00BA0A63"/>
    <w:rsid w:val="00BC2DBF"/>
    <w:rsid w:val="00BC4A64"/>
    <w:rsid w:val="00BD457D"/>
    <w:rsid w:val="00BE01F8"/>
    <w:rsid w:val="00BE36E2"/>
    <w:rsid w:val="00BE4222"/>
    <w:rsid w:val="00BE7F28"/>
    <w:rsid w:val="00C02F88"/>
    <w:rsid w:val="00C063E0"/>
    <w:rsid w:val="00C06768"/>
    <w:rsid w:val="00C11FFB"/>
    <w:rsid w:val="00C17B63"/>
    <w:rsid w:val="00C20D88"/>
    <w:rsid w:val="00C3698C"/>
    <w:rsid w:val="00C44FC8"/>
    <w:rsid w:val="00C50825"/>
    <w:rsid w:val="00C63FB8"/>
    <w:rsid w:val="00C755B4"/>
    <w:rsid w:val="00C77E8F"/>
    <w:rsid w:val="00C80F94"/>
    <w:rsid w:val="00C823B7"/>
    <w:rsid w:val="00C95822"/>
    <w:rsid w:val="00C96474"/>
    <w:rsid w:val="00CB64F4"/>
    <w:rsid w:val="00CE44EE"/>
    <w:rsid w:val="00CF2093"/>
    <w:rsid w:val="00CF7755"/>
    <w:rsid w:val="00D040C5"/>
    <w:rsid w:val="00D06CD1"/>
    <w:rsid w:val="00D07307"/>
    <w:rsid w:val="00D1101A"/>
    <w:rsid w:val="00D122EA"/>
    <w:rsid w:val="00D21718"/>
    <w:rsid w:val="00D33220"/>
    <w:rsid w:val="00D35305"/>
    <w:rsid w:val="00D35AD1"/>
    <w:rsid w:val="00D456AE"/>
    <w:rsid w:val="00D5653C"/>
    <w:rsid w:val="00D61E2E"/>
    <w:rsid w:val="00D67E6E"/>
    <w:rsid w:val="00D8687A"/>
    <w:rsid w:val="00D87C58"/>
    <w:rsid w:val="00D95F77"/>
    <w:rsid w:val="00D96DD1"/>
    <w:rsid w:val="00DA70E8"/>
    <w:rsid w:val="00DB21F7"/>
    <w:rsid w:val="00DB6EE4"/>
    <w:rsid w:val="00DC614F"/>
    <w:rsid w:val="00DC757D"/>
    <w:rsid w:val="00DD02EA"/>
    <w:rsid w:val="00DD5968"/>
    <w:rsid w:val="00DE12BF"/>
    <w:rsid w:val="00DE743C"/>
    <w:rsid w:val="00DF7E90"/>
    <w:rsid w:val="00E02EAE"/>
    <w:rsid w:val="00E05E4A"/>
    <w:rsid w:val="00E11811"/>
    <w:rsid w:val="00E228F1"/>
    <w:rsid w:val="00E321F2"/>
    <w:rsid w:val="00E660E2"/>
    <w:rsid w:val="00E760EF"/>
    <w:rsid w:val="00E76811"/>
    <w:rsid w:val="00EA1DCD"/>
    <w:rsid w:val="00EA44AE"/>
    <w:rsid w:val="00EA4585"/>
    <w:rsid w:val="00EA534D"/>
    <w:rsid w:val="00EC449E"/>
    <w:rsid w:val="00EC49D6"/>
    <w:rsid w:val="00ED06EA"/>
    <w:rsid w:val="00F00524"/>
    <w:rsid w:val="00F059C6"/>
    <w:rsid w:val="00F14EC4"/>
    <w:rsid w:val="00F23E7B"/>
    <w:rsid w:val="00F30346"/>
    <w:rsid w:val="00F35096"/>
    <w:rsid w:val="00F36A18"/>
    <w:rsid w:val="00F40BB9"/>
    <w:rsid w:val="00F5688C"/>
    <w:rsid w:val="00F61E05"/>
    <w:rsid w:val="00F6248E"/>
    <w:rsid w:val="00F64E2D"/>
    <w:rsid w:val="00F65D29"/>
    <w:rsid w:val="00F72C6E"/>
    <w:rsid w:val="00F75213"/>
    <w:rsid w:val="00F76B73"/>
    <w:rsid w:val="00F776D7"/>
    <w:rsid w:val="00F77A74"/>
    <w:rsid w:val="00F83FB1"/>
    <w:rsid w:val="00F84582"/>
    <w:rsid w:val="00F86CDA"/>
    <w:rsid w:val="00F87BA9"/>
    <w:rsid w:val="00F93F72"/>
    <w:rsid w:val="00FA4EBD"/>
    <w:rsid w:val="00FA5683"/>
    <w:rsid w:val="00FA74F0"/>
    <w:rsid w:val="00FC01B5"/>
    <w:rsid w:val="00FC1187"/>
    <w:rsid w:val="00FC4661"/>
    <w:rsid w:val="00FC66DF"/>
    <w:rsid w:val="00FD32A7"/>
    <w:rsid w:val="00FF11A4"/>
    <w:rsid w:val="00FF5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B1F21"/>
  <w15:chartTrackingRefBased/>
  <w15:docId w15:val="{E734E61F-7ABE-487A-8C3F-44DAFF83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Lohit Hindi"/>
        <w:color w:val="000000"/>
        <w:kern w:val="2"/>
        <w:sz w:val="18"/>
        <w:szCs w:val="18"/>
        <w:lang w:val="nl-NL"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87B7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87B79"/>
    <w:rPr>
      <w:sz w:val="20"/>
      <w:szCs w:val="20"/>
    </w:rPr>
  </w:style>
  <w:style w:type="character" w:styleId="Voetnootmarkering">
    <w:name w:val="footnote reference"/>
    <w:basedOn w:val="Standaardalinea-lettertype"/>
    <w:uiPriority w:val="99"/>
    <w:semiHidden/>
    <w:unhideWhenUsed/>
    <w:rsid w:val="00B87B79"/>
    <w:rPr>
      <w:vertAlign w:val="superscript"/>
    </w:rPr>
  </w:style>
  <w:style w:type="character" w:styleId="Verwijzingopmerking">
    <w:name w:val="annotation reference"/>
    <w:basedOn w:val="Standaardalinea-lettertype"/>
    <w:uiPriority w:val="99"/>
    <w:semiHidden/>
    <w:unhideWhenUsed/>
    <w:rsid w:val="002860E9"/>
    <w:rPr>
      <w:sz w:val="16"/>
      <w:szCs w:val="16"/>
    </w:rPr>
  </w:style>
  <w:style w:type="paragraph" w:styleId="Tekstopmerking">
    <w:name w:val="annotation text"/>
    <w:basedOn w:val="Standaard"/>
    <w:link w:val="TekstopmerkingChar"/>
    <w:uiPriority w:val="99"/>
    <w:unhideWhenUsed/>
    <w:rsid w:val="002860E9"/>
    <w:pPr>
      <w:spacing w:after="160" w:line="240" w:lineRule="auto"/>
    </w:pPr>
    <w:rPr>
      <w:rFonts w:asciiTheme="minorHAnsi" w:hAnsiTheme="minorHAnsi" w:cstheme="minorBidi"/>
      <w:color w:val="auto"/>
      <w:kern w:val="0"/>
      <w:sz w:val="20"/>
      <w:szCs w:val="20"/>
      <w14:ligatures w14:val="none"/>
    </w:rPr>
  </w:style>
  <w:style w:type="character" w:customStyle="1" w:styleId="TekstopmerkingChar">
    <w:name w:val="Tekst opmerking Char"/>
    <w:basedOn w:val="Standaardalinea-lettertype"/>
    <w:link w:val="Tekstopmerking"/>
    <w:uiPriority w:val="99"/>
    <w:rsid w:val="002860E9"/>
    <w:rPr>
      <w:rFonts w:asciiTheme="minorHAnsi" w:hAnsiTheme="minorHAnsi" w:cstheme="minorBidi"/>
      <w:color w:val="auto"/>
      <w:kern w:val="0"/>
      <w:sz w:val="20"/>
      <w:szCs w:val="20"/>
      <w14:ligatures w14:val="none"/>
    </w:rPr>
  </w:style>
  <w:style w:type="paragraph" w:styleId="Revisie">
    <w:name w:val="Revision"/>
    <w:hidden/>
    <w:uiPriority w:val="99"/>
    <w:semiHidden/>
    <w:rsid w:val="002860E9"/>
    <w:pPr>
      <w:spacing w:line="240" w:lineRule="auto"/>
    </w:pPr>
  </w:style>
  <w:style w:type="paragraph" w:styleId="Onderwerpvanopmerking">
    <w:name w:val="annotation subject"/>
    <w:basedOn w:val="Tekstopmerking"/>
    <w:next w:val="Tekstopmerking"/>
    <w:link w:val="OnderwerpvanopmerkingChar"/>
    <w:uiPriority w:val="99"/>
    <w:semiHidden/>
    <w:unhideWhenUsed/>
    <w:rsid w:val="003B53D7"/>
    <w:pPr>
      <w:spacing w:after="0"/>
    </w:pPr>
    <w:rPr>
      <w:rFonts w:ascii="Verdana" w:hAnsi="Verdana" w:cs="Lohit Hindi"/>
      <w:b/>
      <w:bCs/>
      <w:color w:val="000000"/>
      <w:kern w:val="2"/>
      <w14:ligatures w14:val="standardContextual"/>
    </w:rPr>
  </w:style>
  <w:style w:type="character" w:customStyle="1" w:styleId="OnderwerpvanopmerkingChar">
    <w:name w:val="Onderwerp van opmerking Char"/>
    <w:basedOn w:val="TekstopmerkingChar"/>
    <w:link w:val="Onderwerpvanopmerking"/>
    <w:uiPriority w:val="99"/>
    <w:semiHidden/>
    <w:rsid w:val="003B53D7"/>
    <w:rPr>
      <w:rFonts w:asciiTheme="minorHAnsi" w:hAnsiTheme="minorHAnsi" w:cstheme="minorBidi"/>
      <w:b/>
      <w:bCs/>
      <w:color w:val="auto"/>
      <w:kern w:val="0"/>
      <w:sz w:val="20"/>
      <w:szCs w:val="20"/>
      <w14:ligatures w14:val="none"/>
    </w:rPr>
  </w:style>
  <w:style w:type="paragraph" w:styleId="Lijstalinea">
    <w:name w:val="List Paragraph"/>
    <w:basedOn w:val="Standaard"/>
    <w:uiPriority w:val="34"/>
    <w:qFormat/>
    <w:rsid w:val="00BE36E2"/>
    <w:pPr>
      <w:spacing w:after="160" w:line="259" w:lineRule="auto"/>
      <w:ind w:left="720"/>
      <w:contextualSpacing/>
    </w:pPr>
    <w:rPr>
      <w:rFonts w:cstheme="minorBidi"/>
      <w:color w:val="auto"/>
      <w:szCs w:val="22"/>
      <w:lang w:val="en-US"/>
    </w:rPr>
  </w:style>
  <w:style w:type="table" w:styleId="Tabelraster">
    <w:name w:val="Table Grid"/>
    <w:basedOn w:val="Standaardtabel"/>
    <w:uiPriority w:val="39"/>
    <w:rsid w:val="00761D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Bijschrift"/>
    <w:link w:val="TabelChar"/>
    <w:qFormat/>
    <w:rsid w:val="00761D3C"/>
    <w:pPr>
      <w:keepNext/>
      <w:spacing w:after="0"/>
    </w:pPr>
    <w:rPr>
      <w:i w:val="0"/>
      <w:color w:val="auto"/>
      <w:sz w:val="16"/>
    </w:rPr>
  </w:style>
  <w:style w:type="character" w:customStyle="1" w:styleId="TabelChar">
    <w:name w:val="Tabel Char"/>
    <w:basedOn w:val="Standaardalinea-lettertype"/>
    <w:link w:val="Tabel"/>
    <w:rsid w:val="00761D3C"/>
    <w:rPr>
      <w:iCs/>
      <w:color w:val="auto"/>
      <w:sz w:val="16"/>
    </w:rPr>
  </w:style>
  <w:style w:type="paragraph" w:styleId="Bijschrift">
    <w:name w:val="caption"/>
    <w:basedOn w:val="Standaard"/>
    <w:next w:val="Standaard"/>
    <w:uiPriority w:val="35"/>
    <w:semiHidden/>
    <w:unhideWhenUsed/>
    <w:qFormat/>
    <w:rsid w:val="00761D3C"/>
    <w:pPr>
      <w:spacing w:after="200" w:line="240" w:lineRule="auto"/>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0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chart" Target="charts/chart1.xml" Id="rId9"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Marginale druk eenpersoonshuishouden (€800 p/mnd)</a:t>
            </a:r>
            <a:endParaRPr lang="nl-NL"/>
          </a:p>
        </c:rich>
      </c:tx>
      <c:layout>
        <c:manualLayout>
          <c:xMode val="edge"/>
          <c:yMode val="edge"/>
          <c:x val="0.18778478457507361"/>
          <c:y val="1.8181818181818181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lineChart>
        <c:grouping val="standard"/>
        <c:varyColors val="0"/>
        <c:ser>
          <c:idx val="0"/>
          <c:order val="0"/>
          <c:tx>
            <c:strRef>
              <c:f>'referentie lijn 2024'!$AD$28</c:f>
              <c:strCache>
                <c:ptCount val="1"/>
                <c:pt idx="0">
                  <c:v>Huidige kwadratische afbouw</c:v>
                </c:pt>
              </c:strCache>
            </c:strRef>
          </c:tx>
          <c:spPr>
            <a:ln w="28575" cap="rnd">
              <a:solidFill>
                <a:schemeClr val="accent1"/>
              </a:solidFill>
              <a:round/>
            </a:ln>
            <a:effectLst/>
          </c:spPr>
          <c:marker>
            <c:symbol val="none"/>
          </c:marker>
          <c:cat>
            <c:numRef>
              <c:f>'referentie lijn 2024'!$AC$29:$AC$99</c:f>
              <c:numCache>
                <c:formatCode>_ "€"\ * #,##0_ ;_ "€"\ * \-#,##0_ ;_ "€"\ * "-"??_ ;_ @_ </c:formatCode>
                <c:ptCount val="71"/>
                <c:pt idx="0">
                  <c:v>15000</c:v>
                </c:pt>
                <c:pt idx="1">
                  <c:v>15500</c:v>
                </c:pt>
                <c:pt idx="2">
                  <c:v>16000</c:v>
                </c:pt>
                <c:pt idx="3">
                  <c:v>16500</c:v>
                </c:pt>
                <c:pt idx="4">
                  <c:v>17000</c:v>
                </c:pt>
                <c:pt idx="5">
                  <c:v>17500</c:v>
                </c:pt>
                <c:pt idx="6">
                  <c:v>18000</c:v>
                </c:pt>
                <c:pt idx="7">
                  <c:v>18500</c:v>
                </c:pt>
                <c:pt idx="8">
                  <c:v>19000</c:v>
                </c:pt>
                <c:pt idx="9">
                  <c:v>19500</c:v>
                </c:pt>
                <c:pt idx="10">
                  <c:v>20000</c:v>
                </c:pt>
                <c:pt idx="11">
                  <c:v>20500</c:v>
                </c:pt>
                <c:pt idx="12">
                  <c:v>21000</c:v>
                </c:pt>
                <c:pt idx="13">
                  <c:v>21500</c:v>
                </c:pt>
                <c:pt idx="14">
                  <c:v>22000</c:v>
                </c:pt>
                <c:pt idx="15">
                  <c:v>22500</c:v>
                </c:pt>
                <c:pt idx="16">
                  <c:v>23000</c:v>
                </c:pt>
                <c:pt idx="17">
                  <c:v>23500</c:v>
                </c:pt>
                <c:pt idx="18">
                  <c:v>24000</c:v>
                </c:pt>
                <c:pt idx="19">
                  <c:v>24500</c:v>
                </c:pt>
                <c:pt idx="20">
                  <c:v>25000</c:v>
                </c:pt>
                <c:pt idx="21">
                  <c:v>25500</c:v>
                </c:pt>
                <c:pt idx="22">
                  <c:v>26000</c:v>
                </c:pt>
                <c:pt idx="23">
                  <c:v>26500</c:v>
                </c:pt>
                <c:pt idx="24">
                  <c:v>27000</c:v>
                </c:pt>
                <c:pt idx="25">
                  <c:v>27500</c:v>
                </c:pt>
                <c:pt idx="26">
                  <c:v>28000</c:v>
                </c:pt>
                <c:pt idx="27">
                  <c:v>28500</c:v>
                </c:pt>
                <c:pt idx="28">
                  <c:v>29000</c:v>
                </c:pt>
                <c:pt idx="29">
                  <c:v>29500</c:v>
                </c:pt>
                <c:pt idx="30">
                  <c:v>30000</c:v>
                </c:pt>
                <c:pt idx="31">
                  <c:v>30500</c:v>
                </c:pt>
                <c:pt idx="32">
                  <c:v>31000</c:v>
                </c:pt>
                <c:pt idx="33">
                  <c:v>31500</c:v>
                </c:pt>
                <c:pt idx="34">
                  <c:v>32000</c:v>
                </c:pt>
                <c:pt idx="35">
                  <c:v>32500</c:v>
                </c:pt>
                <c:pt idx="36">
                  <c:v>33000</c:v>
                </c:pt>
                <c:pt idx="37">
                  <c:v>33500</c:v>
                </c:pt>
                <c:pt idx="38">
                  <c:v>34000</c:v>
                </c:pt>
                <c:pt idx="39">
                  <c:v>34500</c:v>
                </c:pt>
                <c:pt idx="40">
                  <c:v>35000</c:v>
                </c:pt>
                <c:pt idx="41">
                  <c:v>35500</c:v>
                </c:pt>
                <c:pt idx="42">
                  <c:v>36000</c:v>
                </c:pt>
                <c:pt idx="43">
                  <c:v>36500</c:v>
                </c:pt>
                <c:pt idx="44">
                  <c:v>37000</c:v>
                </c:pt>
                <c:pt idx="45">
                  <c:v>37500</c:v>
                </c:pt>
                <c:pt idx="46">
                  <c:v>38000</c:v>
                </c:pt>
                <c:pt idx="47">
                  <c:v>38500</c:v>
                </c:pt>
                <c:pt idx="48">
                  <c:v>39000</c:v>
                </c:pt>
                <c:pt idx="49">
                  <c:v>39500</c:v>
                </c:pt>
                <c:pt idx="50">
                  <c:v>40000</c:v>
                </c:pt>
                <c:pt idx="51">
                  <c:v>40500</c:v>
                </c:pt>
                <c:pt idx="52">
                  <c:v>41000</c:v>
                </c:pt>
                <c:pt idx="53">
                  <c:v>41500</c:v>
                </c:pt>
                <c:pt idx="54">
                  <c:v>42000</c:v>
                </c:pt>
                <c:pt idx="55">
                  <c:v>42500</c:v>
                </c:pt>
                <c:pt idx="56">
                  <c:v>43000</c:v>
                </c:pt>
                <c:pt idx="57">
                  <c:v>43500</c:v>
                </c:pt>
                <c:pt idx="58">
                  <c:v>44000</c:v>
                </c:pt>
                <c:pt idx="59">
                  <c:v>44500</c:v>
                </c:pt>
                <c:pt idx="60">
                  <c:v>45000</c:v>
                </c:pt>
                <c:pt idx="61">
                  <c:v>45500</c:v>
                </c:pt>
                <c:pt idx="62">
                  <c:v>46000</c:v>
                </c:pt>
                <c:pt idx="63">
                  <c:v>46500</c:v>
                </c:pt>
                <c:pt idx="64">
                  <c:v>47000</c:v>
                </c:pt>
                <c:pt idx="65">
                  <c:v>47500</c:v>
                </c:pt>
                <c:pt idx="66">
                  <c:v>48000</c:v>
                </c:pt>
                <c:pt idx="67">
                  <c:v>48500</c:v>
                </c:pt>
                <c:pt idx="68">
                  <c:v>49000</c:v>
                </c:pt>
                <c:pt idx="69">
                  <c:v>49500</c:v>
                </c:pt>
                <c:pt idx="70">
                  <c:v>50000</c:v>
                </c:pt>
              </c:numCache>
            </c:numRef>
          </c:cat>
          <c:val>
            <c:numRef>
              <c:f>'referentie lijn 2024'!$AD$29:$AD$99</c:f>
              <c:numCache>
                <c:formatCode>0%</c:formatCode>
                <c:ptCount val="71"/>
                <c:pt idx="1">
                  <c:v>0</c:v>
                </c:pt>
                <c:pt idx="2">
                  <c:v>0</c:v>
                </c:pt>
                <c:pt idx="3">
                  <c:v>0</c:v>
                </c:pt>
                <c:pt idx="4">
                  <c:v>0</c:v>
                </c:pt>
                <c:pt idx="5">
                  <c:v>0</c:v>
                </c:pt>
                <c:pt idx="6">
                  <c:v>0</c:v>
                </c:pt>
                <c:pt idx="7">
                  <c:v>0</c:v>
                </c:pt>
                <c:pt idx="8">
                  <c:v>0</c:v>
                </c:pt>
                <c:pt idx="9">
                  <c:v>0</c:v>
                </c:pt>
                <c:pt idx="10">
                  <c:v>0</c:v>
                </c:pt>
                <c:pt idx="11">
                  <c:v>0</c:v>
                </c:pt>
                <c:pt idx="12">
                  <c:v>0.14134835191200137</c:v>
                </c:pt>
                <c:pt idx="13">
                  <c:v>0.23954061123600015</c:v>
                </c:pt>
                <c:pt idx="14">
                  <c:v>0.24450105123599999</c:v>
                </c:pt>
                <c:pt idx="15">
                  <c:v>0.24946149123599981</c:v>
                </c:pt>
                <c:pt idx="16">
                  <c:v>0.25442193123599965</c:v>
                </c:pt>
                <c:pt idx="17">
                  <c:v>0.2593823712359995</c:v>
                </c:pt>
                <c:pt idx="18">
                  <c:v>0.26434281123599934</c:v>
                </c:pt>
                <c:pt idx="19">
                  <c:v>0.26930325123600052</c:v>
                </c:pt>
                <c:pt idx="20">
                  <c:v>0.27426369123600036</c:v>
                </c:pt>
                <c:pt idx="21">
                  <c:v>0.27922413123600021</c:v>
                </c:pt>
                <c:pt idx="22">
                  <c:v>0.28418457123600005</c:v>
                </c:pt>
                <c:pt idx="23">
                  <c:v>0.28914501123599984</c:v>
                </c:pt>
                <c:pt idx="24">
                  <c:v>0.29410545123599968</c:v>
                </c:pt>
                <c:pt idx="25">
                  <c:v>0.29906589123599953</c:v>
                </c:pt>
                <c:pt idx="26">
                  <c:v>0.30402633123600209</c:v>
                </c:pt>
                <c:pt idx="27">
                  <c:v>0.30898677123599921</c:v>
                </c:pt>
                <c:pt idx="28">
                  <c:v>0.31394721123599906</c:v>
                </c:pt>
                <c:pt idx="29">
                  <c:v>0.31890765123600162</c:v>
                </c:pt>
                <c:pt idx="30">
                  <c:v>0.32386809123599869</c:v>
                </c:pt>
                <c:pt idx="31">
                  <c:v>0.32882853123599853</c:v>
                </c:pt>
                <c:pt idx="32">
                  <c:v>0.3337889712360011</c:v>
                </c:pt>
                <c:pt idx="33">
                  <c:v>0.33874941123600094</c:v>
                </c:pt>
                <c:pt idx="34">
                  <c:v>0.27909164754959942</c:v>
                </c:pt>
                <c:pt idx="35">
                  <c:v>0.22663568930340014</c:v>
                </c:pt>
                <c:pt idx="36">
                  <c:v>0.22985997530340069</c:v>
                </c:pt>
                <c:pt idx="37">
                  <c:v>0.2330842613033999</c:v>
                </c:pt>
                <c:pt idx="38">
                  <c:v>0.23630854730339981</c:v>
                </c:pt>
                <c:pt idx="39">
                  <c:v>0.23953283330340039</c:v>
                </c:pt>
                <c:pt idx="40">
                  <c:v>0.2427571193033996</c:v>
                </c:pt>
                <c:pt idx="41">
                  <c:v>0.24598140530339982</c:v>
                </c:pt>
                <c:pt idx="42">
                  <c:v>0.24920569130339973</c:v>
                </c:pt>
                <c:pt idx="43">
                  <c:v>0.25242997730340133</c:v>
                </c:pt>
                <c:pt idx="44">
                  <c:v>0.2556542633033978</c:v>
                </c:pt>
                <c:pt idx="45">
                  <c:v>0.25887854930339904</c:v>
                </c:pt>
                <c:pt idx="46">
                  <c:v>0.26210283530340117</c:v>
                </c:pt>
                <c:pt idx="47">
                  <c:v>0.16502423501040087</c:v>
                </c:pt>
                <c:pt idx="48">
                  <c:v>0.16526240449440047</c:v>
                </c:pt>
                <c:pt idx="49">
                  <c:v>0.16724658049439939</c:v>
                </c:pt>
                <c:pt idx="50">
                  <c:v>0.16923075649440034</c:v>
                </c:pt>
                <c:pt idx="51">
                  <c:v>0.17121493249440028</c:v>
                </c:pt>
                <c:pt idx="52">
                  <c:v>0.1731991084943991</c:v>
                </c:pt>
                <c:pt idx="53">
                  <c:v>0.17518328449440126</c:v>
                </c:pt>
                <c:pt idx="54">
                  <c:v>0.17716746049440013</c:v>
                </c:pt>
                <c:pt idx="55">
                  <c:v>7.6882854470399623E-2</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mooth val="0"/>
          <c:extLst>
            <c:ext xmlns:c16="http://schemas.microsoft.com/office/drawing/2014/chart" uri="{C3380CC4-5D6E-409C-BE32-E72D297353CC}">
              <c16:uniqueId val="{00000000-E5D6-4C9A-A22D-F9C088192FA8}"/>
            </c:ext>
          </c:extLst>
        </c:ser>
        <c:ser>
          <c:idx val="3"/>
          <c:order val="1"/>
          <c:tx>
            <c:strRef>
              <c:f>'referentie lijn 2024'!$AG$28</c:f>
              <c:strCache>
                <c:ptCount val="1"/>
                <c:pt idx="0">
                  <c:v>Lineaire afbouw</c:v>
                </c:pt>
              </c:strCache>
            </c:strRef>
          </c:tx>
          <c:spPr>
            <a:ln w="28575" cap="rnd">
              <a:solidFill>
                <a:schemeClr val="accent4"/>
              </a:solidFill>
              <a:round/>
            </a:ln>
            <a:effectLst/>
          </c:spPr>
          <c:marker>
            <c:symbol val="none"/>
          </c:marker>
          <c:cat>
            <c:numRef>
              <c:f>'referentie lijn 2024'!$AC$29:$AC$99</c:f>
              <c:numCache>
                <c:formatCode>_ "€"\ * #,##0_ ;_ "€"\ * \-#,##0_ ;_ "€"\ * "-"??_ ;_ @_ </c:formatCode>
                <c:ptCount val="71"/>
                <c:pt idx="0">
                  <c:v>15000</c:v>
                </c:pt>
                <c:pt idx="1">
                  <c:v>15500</c:v>
                </c:pt>
                <c:pt idx="2">
                  <c:v>16000</c:v>
                </c:pt>
                <c:pt idx="3">
                  <c:v>16500</c:v>
                </c:pt>
                <c:pt idx="4">
                  <c:v>17000</c:v>
                </c:pt>
                <c:pt idx="5">
                  <c:v>17500</c:v>
                </c:pt>
                <c:pt idx="6">
                  <c:v>18000</c:v>
                </c:pt>
                <c:pt idx="7">
                  <c:v>18500</c:v>
                </c:pt>
                <c:pt idx="8">
                  <c:v>19000</c:v>
                </c:pt>
                <c:pt idx="9">
                  <c:v>19500</c:v>
                </c:pt>
                <c:pt idx="10">
                  <c:v>20000</c:v>
                </c:pt>
                <c:pt idx="11">
                  <c:v>20500</c:v>
                </c:pt>
                <c:pt idx="12">
                  <c:v>21000</c:v>
                </c:pt>
                <c:pt idx="13">
                  <c:v>21500</c:v>
                </c:pt>
                <c:pt idx="14">
                  <c:v>22000</c:v>
                </c:pt>
                <c:pt idx="15">
                  <c:v>22500</c:v>
                </c:pt>
                <c:pt idx="16">
                  <c:v>23000</c:v>
                </c:pt>
                <c:pt idx="17">
                  <c:v>23500</c:v>
                </c:pt>
                <c:pt idx="18">
                  <c:v>24000</c:v>
                </c:pt>
                <c:pt idx="19">
                  <c:v>24500</c:v>
                </c:pt>
                <c:pt idx="20">
                  <c:v>25000</c:v>
                </c:pt>
                <c:pt idx="21">
                  <c:v>25500</c:v>
                </c:pt>
                <c:pt idx="22">
                  <c:v>26000</c:v>
                </c:pt>
                <c:pt idx="23">
                  <c:v>26500</c:v>
                </c:pt>
                <c:pt idx="24">
                  <c:v>27000</c:v>
                </c:pt>
                <c:pt idx="25">
                  <c:v>27500</c:v>
                </c:pt>
                <c:pt idx="26">
                  <c:v>28000</c:v>
                </c:pt>
                <c:pt idx="27">
                  <c:v>28500</c:v>
                </c:pt>
                <c:pt idx="28">
                  <c:v>29000</c:v>
                </c:pt>
                <c:pt idx="29">
                  <c:v>29500</c:v>
                </c:pt>
                <c:pt idx="30">
                  <c:v>30000</c:v>
                </c:pt>
                <c:pt idx="31">
                  <c:v>30500</c:v>
                </c:pt>
                <c:pt idx="32">
                  <c:v>31000</c:v>
                </c:pt>
                <c:pt idx="33">
                  <c:v>31500</c:v>
                </c:pt>
                <c:pt idx="34">
                  <c:v>32000</c:v>
                </c:pt>
                <c:pt idx="35">
                  <c:v>32500</c:v>
                </c:pt>
                <c:pt idx="36">
                  <c:v>33000</c:v>
                </c:pt>
                <c:pt idx="37">
                  <c:v>33500</c:v>
                </c:pt>
                <c:pt idx="38">
                  <c:v>34000</c:v>
                </c:pt>
                <c:pt idx="39">
                  <c:v>34500</c:v>
                </c:pt>
                <c:pt idx="40">
                  <c:v>35000</c:v>
                </c:pt>
                <c:pt idx="41">
                  <c:v>35500</c:v>
                </c:pt>
                <c:pt idx="42">
                  <c:v>36000</c:v>
                </c:pt>
                <c:pt idx="43">
                  <c:v>36500</c:v>
                </c:pt>
                <c:pt idx="44">
                  <c:v>37000</c:v>
                </c:pt>
                <c:pt idx="45">
                  <c:v>37500</c:v>
                </c:pt>
                <c:pt idx="46">
                  <c:v>38000</c:v>
                </c:pt>
                <c:pt idx="47">
                  <c:v>38500</c:v>
                </c:pt>
                <c:pt idx="48">
                  <c:v>39000</c:v>
                </c:pt>
                <c:pt idx="49">
                  <c:v>39500</c:v>
                </c:pt>
                <c:pt idx="50">
                  <c:v>40000</c:v>
                </c:pt>
                <c:pt idx="51">
                  <c:v>40500</c:v>
                </c:pt>
                <c:pt idx="52">
                  <c:v>41000</c:v>
                </c:pt>
                <c:pt idx="53">
                  <c:v>41500</c:v>
                </c:pt>
                <c:pt idx="54">
                  <c:v>42000</c:v>
                </c:pt>
                <c:pt idx="55">
                  <c:v>42500</c:v>
                </c:pt>
                <c:pt idx="56">
                  <c:v>43000</c:v>
                </c:pt>
                <c:pt idx="57">
                  <c:v>43500</c:v>
                </c:pt>
                <c:pt idx="58">
                  <c:v>44000</c:v>
                </c:pt>
                <c:pt idx="59">
                  <c:v>44500</c:v>
                </c:pt>
                <c:pt idx="60">
                  <c:v>45000</c:v>
                </c:pt>
                <c:pt idx="61">
                  <c:v>45500</c:v>
                </c:pt>
                <c:pt idx="62">
                  <c:v>46000</c:v>
                </c:pt>
                <c:pt idx="63">
                  <c:v>46500</c:v>
                </c:pt>
                <c:pt idx="64">
                  <c:v>47000</c:v>
                </c:pt>
                <c:pt idx="65">
                  <c:v>47500</c:v>
                </c:pt>
                <c:pt idx="66">
                  <c:v>48000</c:v>
                </c:pt>
                <c:pt idx="67">
                  <c:v>48500</c:v>
                </c:pt>
                <c:pt idx="68">
                  <c:v>49000</c:v>
                </c:pt>
                <c:pt idx="69">
                  <c:v>49500</c:v>
                </c:pt>
                <c:pt idx="70">
                  <c:v>50000</c:v>
                </c:pt>
              </c:numCache>
            </c:numRef>
          </c:cat>
          <c:val>
            <c:numRef>
              <c:f>'referentie lijn 2024'!$AG$29:$AG$99</c:f>
              <c:numCache>
                <c:formatCode>0%</c:formatCode>
                <c:ptCount val="71"/>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0.2569320168624008</c:v>
                </c:pt>
                <c:pt idx="16">
                  <c:v>0.27045475459199908</c:v>
                </c:pt>
                <c:pt idx="17">
                  <c:v>0.27045475459199908</c:v>
                </c:pt>
                <c:pt idx="18">
                  <c:v>0.27045475459200047</c:v>
                </c:pt>
                <c:pt idx="19">
                  <c:v>0.27045475459200047</c:v>
                </c:pt>
                <c:pt idx="20">
                  <c:v>0.27045475459200047</c:v>
                </c:pt>
                <c:pt idx="21">
                  <c:v>0.27045475459200047</c:v>
                </c:pt>
                <c:pt idx="22">
                  <c:v>0.27045475459199769</c:v>
                </c:pt>
                <c:pt idx="23">
                  <c:v>0.27045475459200047</c:v>
                </c:pt>
                <c:pt idx="24">
                  <c:v>0.27045475459200047</c:v>
                </c:pt>
                <c:pt idx="25">
                  <c:v>0.27045475459200047</c:v>
                </c:pt>
                <c:pt idx="26">
                  <c:v>0.27045475459200047</c:v>
                </c:pt>
                <c:pt idx="27">
                  <c:v>0.27045475459200047</c:v>
                </c:pt>
                <c:pt idx="28">
                  <c:v>0.27045475459199769</c:v>
                </c:pt>
                <c:pt idx="29">
                  <c:v>0.27045475459200047</c:v>
                </c:pt>
                <c:pt idx="30">
                  <c:v>0.27045475459200047</c:v>
                </c:pt>
                <c:pt idx="31">
                  <c:v>0.27045475459200047</c:v>
                </c:pt>
                <c:pt idx="32">
                  <c:v>0.27045475459200047</c:v>
                </c:pt>
                <c:pt idx="33">
                  <c:v>0.27045475459200047</c:v>
                </c:pt>
                <c:pt idx="34">
                  <c:v>0.27045475459199769</c:v>
                </c:pt>
                <c:pt idx="35">
                  <c:v>0.27045475459200047</c:v>
                </c:pt>
                <c:pt idx="36">
                  <c:v>0.27045475459200047</c:v>
                </c:pt>
                <c:pt idx="37">
                  <c:v>0.27045475459200047</c:v>
                </c:pt>
                <c:pt idx="38">
                  <c:v>0.27045475459200047</c:v>
                </c:pt>
                <c:pt idx="39">
                  <c:v>0.27045475459199769</c:v>
                </c:pt>
                <c:pt idx="40">
                  <c:v>0.27045475459200047</c:v>
                </c:pt>
                <c:pt idx="41">
                  <c:v>0.27045475459200047</c:v>
                </c:pt>
                <c:pt idx="42">
                  <c:v>0.27045475459200047</c:v>
                </c:pt>
                <c:pt idx="43">
                  <c:v>0.27045475459200047</c:v>
                </c:pt>
                <c:pt idx="44">
                  <c:v>0.27045475459200047</c:v>
                </c:pt>
                <c:pt idx="45">
                  <c:v>0.27045475459199769</c:v>
                </c:pt>
                <c:pt idx="46">
                  <c:v>0.27045475459200047</c:v>
                </c:pt>
                <c:pt idx="47">
                  <c:v>0.27045475459200047</c:v>
                </c:pt>
                <c:pt idx="48">
                  <c:v>0.27045475459200047</c:v>
                </c:pt>
                <c:pt idx="49">
                  <c:v>0.27045475459200047</c:v>
                </c:pt>
                <c:pt idx="50">
                  <c:v>0.27045475459200047</c:v>
                </c:pt>
                <c:pt idx="51">
                  <c:v>0.27045475459199769</c:v>
                </c:pt>
                <c:pt idx="52">
                  <c:v>0.27045475459200047</c:v>
                </c:pt>
                <c:pt idx="53">
                  <c:v>0.27045475459200047</c:v>
                </c:pt>
                <c:pt idx="54">
                  <c:v>0.27045475459200047</c:v>
                </c:pt>
                <c:pt idx="55">
                  <c:v>0.10434055404960237</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mooth val="0"/>
          <c:extLst>
            <c:ext xmlns:c16="http://schemas.microsoft.com/office/drawing/2014/chart" uri="{C3380CC4-5D6E-409C-BE32-E72D297353CC}">
              <c16:uniqueId val="{00000001-E5D6-4C9A-A22D-F9C088192FA8}"/>
            </c:ext>
          </c:extLst>
        </c:ser>
        <c:dLbls>
          <c:showLegendKey val="0"/>
          <c:showVal val="0"/>
          <c:showCatName val="0"/>
          <c:showSerName val="0"/>
          <c:showPercent val="0"/>
          <c:showBubbleSize val="0"/>
        </c:dLbls>
        <c:smooth val="0"/>
        <c:axId val="1985379072"/>
        <c:axId val="1493687216"/>
      </c:lineChart>
      <c:catAx>
        <c:axId val="1985379072"/>
        <c:scaling>
          <c:orientation val="minMax"/>
        </c:scaling>
        <c:delete val="0"/>
        <c:axPos val="b"/>
        <c:numFmt formatCode="_ &quot;€&quot;\ * #,##0_ ;_ &quot;€&quot;\ * \-#,##0_ ;_ &quot;€&quot;\ * &quot;-&quot;??_ ;_ @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93687216"/>
        <c:crosses val="autoZero"/>
        <c:auto val="1"/>
        <c:lblAlgn val="ctr"/>
        <c:lblOffset val="100"/>
        <c:tickLblSkip val="10"/>
        <c:noMultiLvlLbl val="0"/>
      </c:catAx>
      <c:valAx>
        <c:axId val="1493687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8537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13</ap:Pages>
  <ap:Words>5651</ap:Words>
  <ap:Characters>31081</ap:Characters>
  <ap:DocSecurity>0</ap:DocSecurity>
  <ap:Lines>259</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2024-08-23T14:52:00.0000000Z</lastPrinted>
  <dcterms:created xsi:type="dcterms:W3CDTF">2024-09-17T14:25:00.0000000Z</dcterms:created>
  <dcterms:modified xsi:type="dcterms:W3CDTF">2024-09-17T14:25:00.0000000Z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2024-09-12T16:10:31Z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d5384e94-a4aa-48d6-8cc7-60574030622b</vt:lpwstr>
  </property>
  <property fmtid="{D5CDD505-2E9C-101B-9397-08002B2CF9AE}" pid="8" name="MSIP_Label_b2aa6e22-2c82-48c6-bf24-1790f4b9c128_ContentBits">
    <vt:lpwstr>0</vt:lpwstr>
  </property>
</Properties>
</file>