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B61411" w:rsidRDefault="00340ECA" w14:paraId="5D91D5EC" w14:textId="77777777">
      <w:pPr>
        <w:rPr>
          <w:vertAlign w:val="subscript"/>
        </w:rPr>
      </w:pPr>
    </w:p>
    <w:p w:rsidRPr="009A6475" w:rsidR="00721AE1" w:rsidP="00B61411" w:rsidRDefault="003922BD" w14:paraId="32F375A9" w14:textId="00B4EC0B">
      <w:r w:rsidRPr="009A6475">
        <w:t xml:space="preserve">Geachte </w:t>
      </w:r>
      <w:r w:rsidR="00B61411">
        <w:t>V</w:t>
      </w:r>
      <w:r w:rsidRPr="009A6475">
        <w:t>oorzitter,</w:t>
      </w:r>
    </w:p>
    <w:p w:rsidRPr="009A6475" w:rsidR="00B6154F" w:rsidP="00B61411" w:rsidRDefault="00B6154F" w14:paraId="697A106E" w14:textId="77777777">
      <w:pPr>
        <w:tabs>
          <w:tab w:val="left" w:pos="1396"/>
        </w:tabs>
      </w:pPr>
    </w:p>
    <w:p w:rsidRPr="009A6475" w:rsidR="003922BD" w:rsidP="00B61411" w:rsidRDefault="003922BD" w14:paraId="19272EB8" w14:textId="6BBF8EEA">
      <w:pPr>
        <w:rPr>
          <w:szCs w:val="18"/>
        </w:rPr>
      </w:pPr>
      <w:r w:rsidRPr="009A6475">
        <w:rPr>
          <w:szCs w:val="18"/>
        </w:rPr>
        <w:t>Jaarlijks informeer ik uw Kamer op Prinsjesdag over de afdrachtvermindering voor Speur- en Ontwikkelingswerk, beter bekend als de WBSO. Ik doe dat mede namens de staatssecretaris van Financiën – Fiscaliteit en Belastingdienst</w:t>
      </w:r>
      <w:r w:rsidR="00E7525E">
        <w:rPr>
          <w:szCs w:val="18"/>
        </w:rPr>
        <w:t>, omdat de WBSO een fiscale regeling is.</w:t>
      </w:r>
      <w:r w:rsidRPr="009A6475">
        <w:rPr>
          <w:szCs w:val="18"/>
        </w:rPr>
        <w:t xml:space="preserve"> In deze brief </w:t>
      </w:r>
      <w:r w:rsidRPr="009A6475" w:rsidR="005F6CFE">
        <w:rPr>
          <w:szCs w:val="18"/>
        </w:rPr>
        <w:t xml:space="preserve">blik </w:t>
      </w:r>
      <w:r w:rsidRPr="009A6475">
        <w:rPr>
          <w:szCs w:val="18"/>
        </w:rPr>
        <w:t xml:space="preserve">ik </w:t>
      </w:r>
      <w:r w:rsidRPr="009A6475" w:rsidR="005F6CFE">
        <w:rPr>
          <w:szCs w:val="18"/>
        </w:rPr>
        <w:t xml:space="preserve">eerst terug op </w:t>
      </w:r>
      <w:r w:rsidRPr="009A6475">
        <w:rPr>
          <w:szCs w:val="18"/>
        </w:rPr>
        <w:t>de WBSO in 202</w:t>
      </w:r>
      <w:r w:rsidRPr="009A6475" w:rsidR="005F6CFE">
        <w:rPr>
          <w:szCs w:val="18"/>
        </w:rPr>
        <w:t>3</w:t>
      </w:r>
      <w:r w:rsidRPr="009A6475">
        <w:rPr>
          <w:szCs w:val="18"/>
        </w:rPr>
        <w:t>. Het jaarverslag van de WBSO (de Focus) over 202</w:t>
      </w:r>
      <w:r w:rsidRPr="009A6475" w:rsidR="005F6CFE">
        <w:rPr>
          <w:szCs w:val="18"/>
        </w:rPr>
        <w:t>3</w:t>
      </w:r>
      <w:r w:rsidRPr="009A6475">
        <w:rPr>
          <w:szCs w:val="18"/>
        </w:rPr>
        <w:t xml:space="preserve"> stuur ik </w:t>
      </w:r>
      <w:r w:rsidRPr="009A6475" w:rsidR="005F6CFE">
        <w:rPr>
          <w:szCs w:val="18"/>
        </w:rPr>
        <w:t xml:space="preserve">als bijlage </w:t>
      </w:r>
      <w:r w:rsidRPr="009A6475">
        <w:rPr>
          <w:szCs w:val="18"/>
        </w:rPr>
        <w:t>mee met deze brief. Ook ga ik in op de omvang van het WBSO-budget en de parameters</w:t>
      </w:r>
      <w:r w:rsidR="00826E45">
        <w:rPr>
          <w:szCs w:val="18"/>
        </w:rPr>
        <w:t xml:space="preserve"> (afdrachtspercentages)</w:t>
      </w:r>
      <w:r w:rsidRPr="009A6475">
        <w:rPr>
          <w:szCs w:val="18"/>
        </w:rPr>
        <w:t xml:space="preserve"> van de regeling voor 202</w:t>
      </w:r>
      <w:r w:rsidRPr="009A6475" w:rsidR="005F6CFE">
        <w:rPr>
          <w:szCs w:val="18"/>
        </w:rPr>
        <w:t>5</w:t>
      </w:r>
      <w:r w:rsidRPr="009A6475">
        <w:rPr>
          <w:szCs w:val="18"/>
        </w:rPr>
        <w:t xml:space="preserve">. </w:t>
      </w:r>
      <w:r w:rsidR="00CC0438">
        <w:rPr>
          <w:szCs w:val="18"/>
        </w:rPr>
        <w:t>Vervolgens</w:t>
      </w:r>
      <w:r w:rsidRPr="009A6475" w:rsidR="005F6CFE">
        <w:rPr>
          <w:szCs w:val="18"/>
        </w:rPr>
        <w:t xml:space="preserve"> sta ik stil bij de uitbreiding van de delegatiebepaling van de Wet </w:t>
      </w:r>
      <w:r w:rsidRPr="008C19BA" w:rsidR="00830EAD">
        <w:rPr>
          <w:szCs w:val="18"/>
        </w:rPr>
        <w:t>vermindering afdracht loonbelasting en premie voor de volksverzekeringen</w:t>
      </w:r>
      <w:r w:rsidR="00830EAD">
        <w:rPr>
          <w:szCs w:val="18"/>
        </w:rPr>
        <w:t xml:space="preserve"> </w:t>
      </w:r>
      <w:r w:rsidRPr="009A6475" w:rsidR="005F6CFE">
        <w:rPr>
          <w:szCs w:val="18"/>
        </w:rPr>
        <w:t xml:space="preserve">(WVA) die voorzien wordt vanaf 2025. </w:t>
      </w:r>
      <w:r w:rsidRPr="009A6475">
        <w:rPr>
          <w:szCs w:val="18"/>
        </w:rPr>
        <w:t xml:space="preserve">Ik sluit af met </w:t>
      </w:r>
      <w:r w:rsidRPr="009A6475" w:rsidR="005F6CFE">
        <w:rPr>
          <w:szCs w:val="18"/>
        </w:rPr>
        <w:t xml:space="preserve">de evaluatie van de WBSO die </w:t>
      </w:r>
      <w:r w:rsidR="00880A9A">
        <w:rPr>
          <w:szCs w:val="18"/>
        </w:rPr>
        <w:t>momenteel loopt</w:t>
      </w:r>
      <w:r w:rsidRPr="009A6475">
        <w:rPr>
          <w:szCs w:val="18"/>
        </w:rPr>
        <w:t xml:space="preserve">. </w:t>
      </w:r>
    </w:p>
    <w:p w:rsidRPr="009A6475" w:rsidR="00D22441" w:rsidP="00B61411" w:rsidRDefault="00D22441" w14:paraId="388E5DF0" w14:textId="77777777"/>
    <w:p w:rsidRPr="004C7776" w:rsidR="005F6CFE" w:rsidP="00B61411" w:rsidRDefault="007E0C22" w14:paraId="6DB18AB3" w14:textId="49092F11">
      <w:r w:rsidRPr="008C19BA">
        <w:rPr>
          <w:szCs w:val="18"/>
        </w:rPr>
        <w:t xml:space="preserve">De </w:t>
      </w:r>
      <w:r w:rsidR="00830EAD">
        <w:rPr>
          <w:szCs w:val="18"/>
        </w:rPr>
        <w:t xml:space="preserve">WBSO </w:t>
      </w:r>
      <w:r w:rsidRPr="008C19BA">
        <w:rPr>
          <w:szCs w:val="18"/>
        </w:rPr>
        <w:t xml:space="preserve">heeft als doel om </w:t>
      </w:r>
      <w:r w:rsidR="00826E45">
        <w:rPr>
          <w:szCs w:val="18"/>
        </w:rPr>
        <w:t xml:space="preserve">innovatie, </w:t>
      </w:r>
      <w:r w:rsidRPr="008C19BA">
        <w:rPr>
          <w:szCs w:val="18"/>
        </w:rPr>
        <w:t>speur- en ontwikkelingswerk</w:t>
      </w:r>
      <w:r w:rsidR="00830EAD">
        <w:rPr>
          <w:szCs w:val="18"/>
        </w:rPr>
        <w:t xml:space="preserve"> (S&amp;O)</w:t>
      </w:r>
      <w:r w:rsidR="00826E45">
        <w:rPr>
          <w:szCs w:val="18"/>
        </w:rPr>
        <w:t>,</w:t>
      </w:r>
      <w:r w:rsidRPr="008C19BA">
        <w:rPr>
          <w:szCs w:val="18"/>
        </w:rPr>
        <w:t xml:space="preserve"> </w:t>
      </w:r>
      <w:r w:rsidR="00826E45">
        <w:rPr>
          <w:szCs w:val="18"/>
        </w:rPr>
        <w:t>bij bedrijven</w:t>
      </w:r>
      <w:r w:rsidRPr="008C19BA">
        <w:rPr>
          <w:szCs w:val="18"/>
        </w:rPr>
        <w:t xml:space="preserve"> te bevorderen. Het gaat daarbij om systematisch georganiseerde werkzaamheden, gericht op technisch-wetenschappelijk onderzoek of de ontwikkeling van technisch nieuwe</w:t>
      </w:r>
      <w:r w:rsidR="00F928D2">
        <w:rPr>
          <w:szCs w:val="18"/>
        </w:rPr>
        <w:t xml:space="preserve"> software of</w:t>
      </w:r>
      <w:r w:rsidRPr="008C19BA">
        <w:rPr>
          <w:szCs w:val="18"/>
        </w:rPr>
        <w:t xml:space="preserve"> </w:t>
      </w:r>
      <w:r w:rsidR="00D472D3">
        <w:rPr>
          <w:szCs w:val="18"/>
        </w:rPr>
        <w:t xml:space="preserve">fysieke </w:t>
      </w:r>
      <w:r w:rsidRPr="008C19BA">
        <w:rPr>
          <w:szCs w:val="18"/>
        </w:rPr>
        <w:t>producten</w:t>
      </w:r>
      <w:r w:rsidR="003F264D">
        <w:rPr>
          <w:szCs w:val="18"/>
        </w:rPr>
        <w:t xml:space="preserve"> en </w:t>
      </w:r>
      <w:r w:rsidRPr="008C19BA">
        <w:rPr>
          <w:szCs w:val="18"/>
        </w:rPr>
        <w:t xml:space="preserve">productieprocessen. </w:t>
      </w:r>
      <w:r w:rsidR="00830EAD">
        <w:rPr>
          <w:szCs w:val="18"/>
        </w:rPr>
        <w:t xml:space="preserve">S&amp;O </w:t>
      </w:r>
      <w:r w:rsidR="00054A2E">
        <w:rPr>
          <w:szCs w:val="18"/>
        </w:rPr>
        <w:t>is een vorm van</w:t>
      </w:r>
      <w:r w:rsidR="00830EAD">
        <w:rPr>
          <w:szCs w:val="18"/>
        </w:rPr>
        <w:t xml:space="preserve"> research </w:t>
      </w:r>
      <w:r w:rsidR="00D472D3">
        <w:rPr>
          <w:szCs w:val="18"/>
        </w:rPr>
        <w:t xml:space="preserve">&amp; </w:t>
      </w:r>
      <w:r w:rsidR="00830EAD">
        <w:rPr>
          <w:szCs w:val="18"/>
        </w:rPr>
        <w:t xml:space="preserve">development, maar betreft een specificering van werkzaamheden </w:t>
      </w:r>
      <w:r w:rsidR="00054A2E">
        <w:rPr>
          <w:szCs w:val="18"/>
        </w:rPr>
        <w:t xml:space="preserve">daarbinnen </w:t>
      </w:r>
      <w:r w:rsidR="00AF306E">
        <w:rPr>
          <w:szCs w:val="18"/>
        </w:rPr>
        <w:t>die in aanmerking komen voor afdrachtvermindering in het kader van de WBSO</w:t>
      </w:r>
      <w:r w:rsidR="00830EAD">
        <w:rPr>
          <w:szCs w:val="18"/>
        </w:rPr>
        <w:t xml:space="preserve">. </w:t>
      </w:r>
      <w:r w:rsidRPr="008C19BA">
        <w:rPr>
          <w:szCs w:val="18"/>
        </w:rPr>
        <w:t xml:space="preserve">Bedrijven kunnen de kosten van </w:t>
      </w:r>
      <w:r w:rsidR="00AF306E">
        <w:rPr>
          <w:szCs w:val="18"/>
        </w:rPr>
        <w:t xml:space="preserve">hun </w:t>
      </w:r>
      <w:r w:rsidRPr="008C19BA">
        <w:rPr>
          <w:szCs w:val="18"/>
        </w:rPr>
        <w:t xml:space="preserve">S&amp;O verlagen doordat zij een deel van die kosten in mindering mogen brengen op de af te dragen </w:t>
      </w:r>
      <w:r w:rsidR="00EE6B7A">
        <w:rPr>
          <w:szCs w:val="18"/>
        </w:rPr>
        <w:t>(</w:t>
      </w:r>
      <w:r w:rsidR="00D472D3">
        <w:rPr>
          <w:szCs w:val="18"/>
        </w:rPr>
        <w:t>loon</w:t>
      </w:r>
      <w:r w:rsidR="00EE6B7A">
        <w:rPr>
          <w:szCs w:val="18"/>
        </w:rPr>
        <w:t>)</w:t>
      </w:r>
      <w:r w:rsidRPr="008C19BA">
        <w:rPr>
          <w:szCs w:val="18"/>
        </w:rPr>
        <w:t xml:space="preserve">belasting. Dit betreft niet alleen de loonkosten, </w:t>
      </w:r>
      <w:r w:rsidRPr="00D472D3" w:rsidR="00D472D3">
        <w:rPr>
          <w:szCs w:val="18"/>
        </w:rPr>
        <w:t>maar ook kosten en investeringen die nodig zijn voor het uitvoeren van de werkzaamheden binnen de S&amp;O-projecten</w:t>
      </w:r>
      <w:r w:rsidRPr="008C19BA">
        <w:rPr>
          <w:szCs w:val="18"/>
        </w:rPr>
        <w:t>.</w:t>
      </w:r>
    </w:p>
    <w:p w:rsidRPr="009A6475" w:rsidR="006D2C7B" w:rsidP="00B61411" w:rsidRDefault="006D2C7B" w14:paraId="697008A1" w14:textId="66816E1A"/>
    <w:p w:rsidRPr="009A6475" w:rsidR="00292EB2" w:rsidP="00B61411" w:rsidRDefault="003922BD" w14:paraId="48B69142" w14:textId="672AECCE">
      <w:pPr>
        <w:rPr>
          <w:b/>
          <w:bCs/>
        </w:rPr>
      </w:pPr>
      <w:r w:rsidRPr="009A6475">
        <w:rPr>
          <w:b/>
          <w:bCs/>
        </w:rPr>
        <w:t>Jaarverslag WBSO 2023 – De Focus</w:t>
      </w:r>
    </w:p>
    <w:p w:rsidRPr="009A6475" w:rsidR="00D22441" w:rsidP="00B61411" w:rsidRDefault="00D22441" w14:paraId="1EEF7F59" w14:textId="73CB6B57">
      <w:pPr>
        <w:tabs>
          <w:tab w:val="left" w:pos="5450"/>
        </w:tabs>
      </w:pPr>
    </w:p>
    <w:p w:rsidR="00826E45" w:rsidP="00B61411" w:rsidRDefault="00AF306E" w14:paraId="1A8CBEE5" w14:textId="6BECB0D6">
      <w:r>
        <w:t xml:space="preserve">Ieder jaar brengt RVO een jaarverslag uit met daarin een overzicht van het WBSO-gebruik, genaamd de Focus. In 2023 hebben </w:t>
      </w:r>
      <w:r w:rsidR="00A95C51">
        <w:t xml:space="preserve">wederom </w:t>
      </w:r>
      <w:r>
        <w:t>meer dan 19</w:t>
      </w:r>
      <w:r w:rsidR="00B61411">
        <w:t> </w:t>
      </w:r>
      <w:r>
        <w:t>duizend bedrijven gebruik gemaakt van de WBSO.</w:t>
      </w:r>
      <w:r w:rsidR="00E22EE7">
        <w:t xml:space="preserve"> Het aantal starters daarbinnen is </w:t>
      </w:r>
      <w:r w:rsidR="00DD1374">
        <w:t>ruim</w:t>
      </w:r>
      <w:r w:rsidR="00D472D3">
        <w:t xml:space="preserve"> </w:t>
      </w:r>
      <w:r w:rsidR="00E22EE7">
        <w:t>2.1</w:t>
      </w:r>
      <w:r w:rsidR="00AC4098">
        <w:t>5</w:t>
      </w:r>
      <w:r w:rsidR="00E22EE7">
        <w:t>0</w:t>
      </w:r>
      <w:r w:rsidR="00826E45">
        <w:t xml:space="preserve">, </w:t>
      </w:r>
      <w:r w:rsidR="00912C97">
        <w:t>wat</w:t>
      </w:r>
      <w:r w:rsidR="00826E45">
        <w:t xml:space="preserve"> een lichte daling</w:t>
      </w:r>
      <w:r w:rsidR="00AA17A8">
        <w:t xml:space="preserve"> </w:t>
      </w:r>
      <w:r w:rsidR="00A94160">
        <w:t xml:space="preserve">is </w:t>
      </w:r>
      <w:r w:rsidR="00826E45">
        <w:t>t</w:t>
      </w:r>
      <w:r w:rsidR="00E22EE7">
        <w:t xml:space="preserve">en opzichte van het jaar daarvoor, toen dit nog iets meer dan 2.400 bedrijven waren. </w:t>
      </w:r>
      <w:r>
        <w:t xml:space="preserve">97% </w:t>
      </w:r>
      <w:r w:rsidR="00826E45">
        <w:t xml:space="preserve">van alle gebruikers </w:t>
      </w:r>
      <w:r w:rsidR="00E22EE7">
        <w:t xml:space="preserve">betrof </w:t>
      </w:r>
      <w:r>
        <w:t>mkb</w:t>
      </w:r>
      <w:r w:rsidR="00E22EE7">
        <w:t>, wat al voor langere tijd een stabiel percentage is</w:t>
      </w:r>
      <w:r>
        <w:t xml:space="preserve">. Het totaal aan toegekende </w:t>
      </w:r>
      <w:r w:rsidR="00A51968">
        <w:t>loon</w:t>
      </w:r>
      <w:r>
        <w:t xml:space="preserve">kosten </w:t>
      </w:r>
      <w:r w:rsidR="00A51968">
        <w:t xml:space="preserve">en kosten/uitgaven </w:t>
      </w:r>
      <w:r>
        <w:t xml:space="preserve">telt op tot € 8,7 miljard. </w:t>
      </w:r>
      <w:r w:rsidR="00A51968">
        <w:t xml:space="preserve">Hiermee zet </w:t>
      </w:r>
      <w:r w:rsidR="00F63A7C">
        <w:t>een</w:t>
      </w:r>
      <w:r w:rsidR="00A51968">
        <w:t xml:space="preserve"> </w:t>
      </w:r>
      <w:r w:rsidR="00E82DA1">
        <w:t xml:space="preserve">stijging </w:t>
      </w:r>
      <w:r w:rsidR="00A51968">
        <w:t>van eerdere jaren door</w:t>
      </w:r>
      <w:r w:rsidR="00E82DA1">
        <w:t>,</w:t>
      </w:r>
      <w:r w:rsidR="00A51968">
        <w:t xml:space="preserve"> nu</w:t>
      </w:r>
      <w:r w:rsidR="00E82DA1">
        <w:t xml:space="preserve"> met name in de loonkosten </w:t>
      </w:r>
      <w:r w:rsidR="00E82DA1">
        <w:lastRenderedPageBreak/>
        <w:t>(6%</w:t>
      </w:r>
      <w:r w:rsidR="00A51968">
        <w:t xml:space="preserve"> toename</w:t>
      </w:r>
      <w:r w:rsidR="00E82DA1">
        <w:t>).</w:t>
      </w:r>
      <w:r w:rsidR="00922CEF">
        <w:t xml:space="preserve"> </w:t>
      </w:r>
      <w:r w:rsidR="00830191">
        <w:t xml:space="preserve">De toegekende kosten resulteerden in € 1,8 miljard toegekende afdrachtvermindering. </w:t>
      </w:r>
      <w:r>
        <w:t xml:space="preserve">€ 1,4 miljard </w:t>
      </w:r>
      <w:r w:rsidR="00F63A7C">
        <w:t>daarvan</w:t>
      </w:r>
      <w:r w:rsidR="00E22EE7">
        <w:t xml:space="preserve"> </w:t>
      </w:r>
      <w:r>
        <w:t>werd daadwerkelijk verzilverd</w:t>
      </w:r>
      <w:r w:rsidR="00826E45">
        <w:t xml:space="preserve"> in de belastingaangifte</w:t>
      </w:r>
      <w:r w:rsidR="00240345">
        <w:t>s</w:t>
      </w:r>
      <w:r>
        <w:t xml:space="preserve">. </w:t>
      </w:r>
      <w:r w:rsidR="00E22EE7">
        <w:t>In de Focus is een uitgebreid overzicht beschikbaar</w:t>
      </w:r>
      <w:r w:rsidR="00E82DA1">
        <w:t xml:space="preserve"> met nadere toelichting</w:t>
      </w:r>
      <w:r w:rsidR="00E22EE7">
        <w:t xml:space="preserve">, </w:t>
      </w:r>
      <w:r w:rsidR="004B429A">
        <w:t>en</w:t>
      </w:r>
      <w:r w:rsidR="00E82DA1">
        <w:t xml:space="preserve"> </w:t>
      </w:r>
      <w:r w:rsidR="00F63A7C">
        <w:t xml:space="preserve">is </w:t>
      </w:r>
      <w:r w:rsidR="00E22EE7">
        <w:t xml:space="preserve">ook </w:t>
      </w:r>
      <w:r w:rsidR="00F63A7C">
        <w:t xml:space="preserve">meer informatie te vinden over </w:t>
      </w:r>
      <w:r w:rsidR="00E22EE7">
        <w:t>bijvoorbeeld</w:t>
      </w:r>
      <w:r w:rsidR="00C94A7C">
        <w:t xml:space="preserve"> </w:t>
      </w:r>
      <w:r w:rsidR="00E22EE7">
        <w:t>inhoudelijke trends en regionale spreiding.</w:t>
      </w:r>
    </w:p>
    <w:p w:rsidR="00BE68F7" w:rsidP="00B61411" w:rsidRDefault="00BE68F7" w14:paraId="411B2FCD" w14:textId="77777777"/>
    <w:tbl>
      <w:tblPr>
        <w:tblStyle w:val="Tabelraster"/>
        <w:tblW w:w="0" w:type="auto"/>
        <w:tblLook w:val="04A0" w:firstRow="1" w:lastRow="0" w:firstColumn="1" w:lastColumn="0" w:noHBand="0" w:noVBand="1"/>
      </w:tblPr>
      <w:tblGrid>
        <w:gridCol w:w="7519"/>
      </w:tblGrid>
      <w:tr w:rsidR="00BE68F7" w:rsidTr="00BE68F7" w14:paraId="64BE28AB" w14:textId="77777777">
        <w:tc>
          <w:tcPr>
            <w:tcW w:w="7519" w:type="dxa"/>
          </w:tcPr>
          <w:p w:rsidRPr="000304E0" w:rsidR="00BE68F7" w:rsidP="00B61411" w:rsidRDefault="000304E0" w14:paraId="2C55BBC2" w14:textId="4B672773">
            <w:pPr>
              <w:rPr>
                <w:b/>
                <w:bCs/>
                <w:i/>
                <w:iCs/>
                <w:szCs w:val="18"/>
              </w:rPr>
            </w:pPr>
            <w:r w:rsidRPr="000304E0">
              <w:rPr>
                <w:b/>
                <w:bCs/>
                <w:i/>
                <w:iCs/>
                <w:szCs w:val="18"/>
              </w:rPr>
              <w:t>Voorbeelden uit de praktijk</w:t>
            </w:r>
          </w:p>
          <w:p w:rsidR="00BE68F7" w:rsidP="00B61411" w:rsidRDefault="00BE68F7" w14:paraId="42549E1B" w14:textId="0F8F0549">
            <w:pPr>
              <w:rPr>
                <w:szCs w:val="18"/>
              </w:rPr>
            </w:pPr>
            <w:r w:rsidRPr="00B27A5E">
              <w:rPr>
                <w:szCs w:val="18"/>
              </w:rPr>
              <w:t xml:space="preserve">In de </w:t>
            </w:r>
            <w:r w:rsidR="000304E0">
              <w:rPr>
                <w:szCs w:val="18"/>
              </w:rPr>
              <w:t>F</w:t>
            </w:r>
            <w:r w:rsidRPr="00B27A5E">
              <w:rPr>
                <w:szCs w:val="18"/>
              </w:rPr>
              <w:t xml:space="preserve">ocus worden </w:t>
            </w:r>
            <w:r w:rsidR="0013005C">
              <w:rPr>
                <w:szCs w:val="18"/>
              </w:rPr>
              <w:t>acht</w:t>
            </w:r>
            <w:r w:rsidR="00B27A5E">
              <w:rPr>
                <w:szCs w:val="18"/>
              </w:rPr>
              <w:t xml:space="preserve"> </w:t>
            </w:r>
            <w:r w:rsidRPr="00B27A5E">
              <w:rPr>
                <w:szCs w:val="18"/>
              </w:rPr>
              <w:t>voorbeeldprojecten uitgelicht</w:t>
            </w:r>
            <w:r w:rsidRPr="00B27A5E" w:rsidR="00B27A5E">
              <w:rPr>
                <w:szCs w:val="18"/>
              </w:rPr>
              <w:t xml:space="preserve">. </w:t>
            </w:r>
            <w:r w:rsidR="00453E6B">
              <w:rPr>
                <w:szCs w:val="18"/>
              </w:rPr>
              <w:t xml:space="preserve">Hieronder zijn twee </w:t>
            </w:r>
            <w:r w:rsidR="0013005C">
              <w:rPr>
                <w:szCs w:val="18"/>
              </w:rPr>
              <w:t xml:space="preserve">van deze </w:t>
            </w:r>
            <w:r w:rsidR="00453E6B">
              <w:rPr>
                <w:szCs w:val="18"/>
              </w:rPr>
              <w:t xml:space="preserve">voorbeelden opgenomen om een idee te geven van het type projecten dat </w:t>
            </w:r>
            <w:r w:rsidR="00297C27">
              <w:rPr>
                <w:szCs w:val="18"/>
              </w:rPr>
              <w:t xml:space="preserve">met de WBSO </w:t>
            </w:r>
            <w:r w:rsidR="00453E6B">
              <w:rPr>
                <w:szCs w:val="18"/>
              </w:rPr>
              <w:t>ondersteund wordt.</w:t>
            </w:r>
          </w:p>
          <w:p w:rsidR="005604EB" w:rsidP="00B61411" w:rsidRDefault="005604EB" w14:paraId="3EAE9D17" w14:textId="1E7ADCD9">
            <w:pPr>
              <w:rPr>
                <w:szCs w:val="17"/>
              </w:rPr>
            </w:pPr>
            <w:r w:rsidRPr="005604EB">
              <w:rPr>
                <w:b/>
                <w:bCs/>
                <w:szCs w:val="17"/>
              </w:rPr>
              <w:t>Innovatie van aarde tot in de ruimte</w:t>
            </w:r>
            <w:r>
              <w:rPr>
                <w:szCs w:val="17"/>
              </w:rPr>
              <w:t xml:space="preserve"> – </w:t>
            </w:r>
            <w:r w:rsidRPr="005604EB">
              <w:rPr>
                <w:szCs w:val="17"/>
              </w:rPr>
              <w:t>Het</w:t>
            </w:r>
            <w:r>
              <w:rPr>
                <w:szCs w:val="17"/>
              </w:rPr>
              <w:t xml:space="preserve"> </w:t>
            </w:r>
            <w:r w:rsidRPr="005604EB">
              <w:rPr>
                <w:szCs w:val="17"/>
              </w:rPr>
              <w:t>Nederlandse bedrijf cosine ontwikkelt technische oplossingen voor meetproblemen. Want er is veel wat het blote oog niet kan zien. Van de exacte versheid van vis tot röntgenstraling uit de ruimte, waarmee je de geheimen van het heelal kan ontrafelen. In 2023 vierde cosine hun 25-jarige jubileum en daarbij alle successen waar de WBSO aan heeft bijgedragen. Bijvoorbeeld de spiegels die ze de komende jaren ontwikkelen en produceren voor ATHENA: de grootste ruimtetelescoop van de Europese Ruimtevaartorganisatie (ESA).</w:t>
            </w:r>
          </w:p>
          <w:p w:rsidRPr="00BE68F7" w:rsidR="000304E0" w:rsidP="00B61411" w:rsidRDefault="000304E0" w14:paraId="57FECAFD" w14:textId="01B4EB7C">
            <w:pPr>
              <w:rPr>
                <w:sz w:val="17"/>
                <w:szCs w:val="17"/>
              </w:rPr>
            </w:pPr>
            <w:r w:rsidRPr="000304E0">
              <w:rPr>
                <w:b/>
                <w:bCs/>
                <w:szCs w:val="17"/>
              </w:rPr>
              <w:t>Warmtetransport en -opslag met zout</w:t>
            </w:r>
            <w:r w:rsidRPr="000304E0">
              <w:rPr>
                <w:szCs w:val="17"/>
              </w:rPr>
              <w:t xml:space="preserve"> </w:t>
            </w:r>
            <w:r>
              <w:rPr>
                <w:szCs w:val="17"/>
              </w:rPr>
              <w:t xml:space="preserve">– </w:t>
            </w:r>
            <w:r w:rsidRPr="000304E0">
              <w:rPr>
                <w:szCs w:val="17"/>
              </w:rPr>
              <w:t>Slimme</w:t>
            </w:r>
            <w:r>
              <w:rPr>
                <w:szCs w:val="17"/>
              </w:rPr>
              <w:t xml:space="preserve"> </w:t>
            </w:r>
            <w:r w:rsidRPr="000304E0">
              <w:rPr>
                <w:szCs w:val="17"/>
              </w:rPr>
              <w:t xml:space="preserve">energiesystemen voor het transporteren en opslaan van energie zijn cruciaal om de wereldwijde industrie fossielvrij te krijgen. Daarom ontwikkelt Brabetech systemen voor warmteopslag en -overdracht. Deze slaan hernieuwbare energie kortstondig op in gesmolten zout, om die vervolgens terug te leveren aan ‘hoge temperatuur industriële warmtegebruikers’ zoals </w:t>
            </w:r>
            <w:r>
              <w:rPr>
                <w:szCs w:val="17"/>
              </w:rPr>
              <w:t>v</w:t>
            </w:r>
            <w:r w:rsidRPr="000304E0">
              <w:rPr>
                <w:szCs w:val="17"/>
              </w:rPr>
              <w:t>oedingsmiddelenfabrikanten, chemiebedrijven en de recycling-industrie.</w:t>
            </w:r>
            <w:r w:rsidR="00ED0D91">
              <w:rPr>
                <w:szCs w:val="17"/>
              </w:rPr>
              <w:t xml:space="preserve"> </w:t>
            </w:r>
            <w:r w:rsidRPr="00ED0D91" w:rsidR="00ED0D91">
              <w:rPr>
                <w:szCs w:val="17"/>
              </w:rPr>
              <w:t xml:space="preserve">Zo willen </w:t>
            </w:r>
            <w:r w:rsidR="00ED0D91">
              <w:rPr>
                <w:szCs w:val="17"/>
              </w:rPr>
              <w:t xml:space="preserve">de oprichters </w:t>
            </w:r>
            <w:r w:rsidRPr="00ED0D91" w:rsidR="00ED0D91">
              <w:rPr>
                <w:szCs w:val="17"/>
              </w:rPr>
              <w:t>bijdragen aan een toekomst waarin industriële processen volledig draaien op de opwekking, gebruik en opslag van 100% hernieuwbare energie.</w:t>
            </w:r>
          </w:p>
        </w:tc>
      </w:tr>
    </w:tbl>
    <w:p w:rsidRPr="009A6475" w:rsidR="00E42248" w:rsidP="00B61411" w:rsidRDefault="00E42248" w14:paraId="15DA1212" w14:textId="77777777"/>
    <w:p w:rsidRPr="009A6475" w:rsidR="00D22441" w:rsidP="00B61411" w:rsidRDefault="003922BD" w14:paraId="2FF80E04" w14:textId="75DD583D">
      <w:pPr>
        <w:rPr>
          <w:b/>
          <w:bCs/>
        </w:rPr>
      </w:pPr>
      <w:r w:rsidRPr="009A6475">
        <w:rPr>
          <w:b/>
          <w:bCs/>
        </w:rPr>
        <w:t>Budget 2025 en parameters</w:t>
      </w:r>
    </w:p>
    <w:p w:rsidRPr="009A6475" w:rsidR="00D22441" w:rsidP="00B61411" w:rsidRDefault="00D22441" w14:paraId="5A3E713D" w14:textId="77777777"/>
    <w:p w:rsidR="009A6475" w:rsidP="00B61411" w:rsidRDefault="003137C9" w14:paraId="486B6AF8" w14:textId="34B8E136">
      <w:pPr>
        <w:rPr>
          <w:szCs w:val="18"/>
        </w:rPr>
      </w:pPr>
      <w:r w:rsidRPr="009A6475">
        <w:rPr>
          <w:szCs w:val="18"/>
        </w:rPr>
        <w:t>De WBSO heeft een budgetsystematiek waarbij het uitgangspunt een basisbedrag is (</w:t>
      </w:r>
      <w:r w:rsidR="00DD1374">
        <w:rPr>
          <w:szCs w:val="18"/>
        </w:rPr>
        <w:t>voor 2025</w:t>
      </w:r>
      <w:r w:rsidRPr="009A6475">
        <w:rPr>
          <w:szCs w:val="18"/>
        </w:rPr>
        <w:t xml:space="preserve"> € </w:t>
      </w:r>
      <w:r w:rsidR="00281848">
        <w:rPr>
          <w:szCs w:val="18"/>
        </w:rPr>
        <w:t>1.390</w:t>
      </w:r>
      <w:r w:rsidRPr="009A6475">
        <w:rPr>
          <w:szCs w:val="18"/>
        </w:rPr>
        <w:t xml:space="preserve"> miljoen), dat wordt vermeerderd op basis van de indexatiesystematiek</w:t>
      </w:r>
      <w:r w:rsidRPr="009A6475">
        <w:rPr>
          <w:rStyle w:val="Voetnootmarkering"/>
          <w:szCs w:val="18"/>
        </w:rPr>
        <w:footnoteReference w:id="1"/>
      </w:r>
      <w:r w:rsidRPr="009A6475">
        <w:rPr>
          <w:szCs w:val="18"/>
        </w:rPr>
        <w:t xml:space="preserve"> en </w:t>
      </w:r>
      <w:r w:rsidRPr="009A6475" w:rsidR="00F41920">
        <w:rPr>
          <w:szCs w:val="18"/>
        </w:rPr>
        <w:t xml:space="preserve">waar </w:t>
      </w:r>
      <w:r w:rsidRPr="009A6475">
        <w:rPr>
          <w:szCs w:val="18"/>
        </w:rPr>
        <w:t xml:space="preserve">het tekort of overschot van twee jaar geleden bij komt of af gaat (t-2 systematiek). </w:t>
      </w:r>
      <w:r w:rsidRPr="009A6475" w:rsidR="00F41920">
        <w:rPr>
          <w:szCs w:val="18"/>
        </w:rPr>
        <w:t xml:space="preserve">In 2023 is hiernaast een structureel extra bedrag toegezegd van € 56 miljoen per jaar vanaf 2025. </w:t>
      </w:r>
      <w:r w:rsidRPr="009A6475">
        <w:rPr>
          <w:szCs w:val="18"/>
        </w:rPr>
        <w:t>De indexatie voor 202</w:t>
      </w:r>
      <w:r w:rsidR="00D644BA">
        <w:rPr>
          <w:szCs w:val="18"/>
        </w:rPr>
        <w:t>5</w:t>
      </w:r>
      <w:r w:rsidRPr="009A6475">
        <w:rPr>
          <w:szCs w:val="18"/>
        </w:rPr>
        <w:t xml:space="preserve"> </w:t>
      </w:r>
      <w:r w:rsidRPr="00B50F8A">
        <w:rPr>
          <w:szCs w:val="18"/>
        </w:rPr>
        <w:t>bedraagt €</w:t>
      </w:r>
      <w:r w:rsidRPr="00B50F8A" w:rsidR="00251C17">
        <w:rPr>
          <w:szCs w:val="18"/>
        </w:rPr>
        <w:t xml:space="preserve"> </w:t>
      </w:r>
      <w:r w:rsidRPr="00B50F8A" w:rsidR="00281848">
        <w:rPr>
          <w:szCs w:val="18"/>
        </w:rPr>
        <w:t>68</w:t>
      </w:r>
      <w:r w:rsidRPr="00B50F8A" w:rsidR="00F41920">
        <w:rPr>
          <w:szCs w:val="18"/>
        </w:rPr>
        <w:t xml:space="preserve"> </w:t>
      </w:r>
      <w:r w:rsidRPr="00B50F8A" w:rsidR="00251C17">
        <w:rPr>
          <w:szCs w:val="18"/>
        </w:rPr>
        <w:t>miljoen</w:t>
      </w:r>
      <w:r w:rsidRPr="00B50F8A">
        <w:rPr>
          <w:szCs w:val="18"/>
        </w:rPr>
        <w:t>. In 202</w:t>
      </w:r>
      <w:r w:rsidRPr="00B50F8A" w:rsidR="00F41920">
        <w:rPr>
          <w:szCs w:val="18"/>
        </w:rPr>
        <w:t>3</w:t>
      </w:r>
      <w:r w:rsidRPr="00B50F8A">
        <w:rPr>
          <w:szCs w:val="18"/>
        </w:rPr>
        <w:t xml:space="preserve"> was er </w:t>
      </w:r>
      <w:r w:rsidRPr="00B50F8A" w:rsidR="00281848">
        <w:rPr>
          <w:szCs w:val="18"/>
        </w:rPr>
        <w:t xml:space="preserve">eveneens </w:t>
      </w:r>
      <w:r w:rsidRPr="00B50F8A">
        <w:rPr>
          <w:szCs w:val="18"/>
        </w:rPr>
        <w:t>een overschot van €</w:t>
      </w:r>
      <w:r w:rsidRPr="00B50F8A" w:rsidR="00F41920">
        <w:rPr>
          <w:szCs w:val="18"/>
        </w:rPr>
        <w:t xml:space="preserve"> </w:t>
      </w:r>
      <w:r w:rsidRPr="00B50F8A" w:rsidR="00281848">
        <w:rPr>
          <w:szCs w:val="18"/>
        </w:rPr>
        <w:t>68</w:t>
      </w:r>
      <w:r w:rsidRPr="00B50F8A" w:rsidR="00F41920">
        <w:rPr>
          <w:szCs w:val="18"/>
        </w:rPr>
        <w:t xml:space="preserve"> </w:t>
      </w:r>
      <w:r w:rsidRPr="00B50F8A">
        <w:rPr>
          <w:szCs w:val="18"/>
        </w:rPr>
        <w:t xml:space="preserve">miljoen. </w:t>
      </w:r>
      <w:r w:rsidRPr="00B50F8A" w:rsidR="00F41920">
        <w:rPr>
          <w:szCs w:val="18"/>
        </w:rPr>
        <w:t>Plus de structurele</w:t>
      </w:r>
      <w:r w:rsidRPr="009A6475" w:rsidR="00F41920">
        <w:rPr>
          <w:szCs w:val="18"/>
        </w:rPr>
        <w:t xml:space="preserve"> extra toezegging </w:t>
      </w:r>
      <w:r w:rsidR="00AB1D39">
        <w:rPr>
          <w:szCs w:val="18"/>
        </w:rPr>
        <w:t>komt</w:t>
      </w:r>
      <w:r w:rsidRPr="009A6475">
        <w:rPr>
          <w:szCs w:val="18"/>
        </w:rPr>
        <w:t xml:space="preserve"> het beschikbare budget voor 202</w:t>
      </w:r>
      <w:r w:rsidR="00D644BA">
        <w:rPr>
          <w:szCs w:val="18"/>
        </w:rPr>
        <w:t>5</w:t>
      </w:r>
      <w:r w:rsidR="003F264D">
        <w:rPr>
          <w:szCs w:val="18"/>
        </w:rPr>
        <w:t xml:space="preserve"> daarmee</w:t>
      </w:r>
      <w:r w:rsidRPr="009A6475">
        <w:rPr>
          <w:szCs w:val="18"/>
        </w:rPr>
        <w:t xml:space="preserve"> </w:t>
      </w:r>
      <w:r w:rsidR="00AB1D39">
        <w:rPr>
          <w:szCs w:val="18"/>
        </w:rPr>
        <w:t xml:space="preserve">op </w:t>
      </w:r>
      <w:r w:rsidRPr="00B50F8A">
        <w:rPr>
          <w:szCs w:val="18"/>
        </w:rPr>
        <w:t xml:space="preserve">€ </w:t>
      </w:r>
      <w:r w:rsidRPr="00B50F8A" w:rsidR="00281848">
        <w:rPr>
          <w:szCs w:val="18"/>
        </w:rPr>
        <w:t>1.582</w:t>
      </w:r>
      <w:r w:rsidRPr="009A6475" w:rsidR="00251C17">
        <w:rPr>
          <w:szCs w:val="18"/>
        </w:rPr>
        <w:t xml:space="preserve"> </w:t>
      </w:r>
      <w:r w:rsidRPr="009A6475">
        <w:rPr>
          <w:szCs w:val="18"/>
        </w:rPr>
        <w:t>miljoen.</w:t>
      </w:r>
    </w:p>
    <w:p w:rsidR="009A6475" w:rsidP="00B61411" w:rsidRDefault="009A6475" w14:paraId="0ED9B1ED" w14:textId="10624C23">
      <w:pPr>
        <w:tabs>
          <w:tab w:val="left" w:pos="6347"/>
          <w:tab w:val="right" w:pos="7529"/>
        </w:tabs>
        <w:rPr>
          <w:szCs w:val="18"/>
        </w:rPr>
      </w:pPr>
    </w:p>
    <w:p w:rsidRPr="009A6475" w:rsidR="00F41920" w:rsidP="00B61411" w:rsidRDefault="003F264D" w14:paraId="6BF5F0DD" w14:textId="15F86C7A">
      <w:r>
        <w:rPr>
          <w:szCs w:val="18"/>
        </w:rPr>
        <w:t>Hoewel dit budget het uitgangspunt voor de regeling vormt</w:t>
      </w:r>
      <w:r w:rsidRPr="009A6475" w:rsidR="009A6475">
        <w:rPr>
          <w:szCs w:val="18"/>
        </w:rPr>
        <w:t>,</w:t>
      </w:r>
      <w:r>
        <w:rPr>
          <w:szCs w:val="18"/>
        </w:rPr>
        <w:t xml:space="preserve"> zit</w:t>
      </w:r>
      <w:r w:rsidRPr="009A6475">
        <w:rPr>
          <w:szCs w:val="18"/>
        </w:rPr>
        <w:t xml:space="preserve"> </w:t>
      </w:r>
      <w:r>
        <w:rPr>
          <w:szCs w:val="18"/>
        </w:rPr>
        <w:t xml:space="preserve">er </w:t>
      </w:r>
      <w:r w:rsidRPr="009A6475">
        <w:rPr>
          <w:szCs w:val="18"/>
        </w:rPr>
        <w:t>geen stop op het aantal of de hoogte van de aanvragen die ingediend kunnen worden.</w:t>
      </w:r>
      <w:r w:rsidRPr="009A6475" w:rsidR="009A6475">
        <w:rPr>
          <w:szCs w:val="18"/>
        </w:rPr>
        <w:t xml:space="preserve"> </w:t>
      </w:r>
      <w:r>
        <w:rPr>
          <w:szCs w:val="18"/>
        </w:rPr>
        <w:t xml:space="preserve">Dit </w:t>
      </w:r>
      <w:r w:rsidRPr="009A6475" w:rsidR="009A6475">
        <w:rPr>
          <w:szCs w:val="18"/>
        </w:rPr>
        <w:t xml:space="preserve">betekent dat het budget en het verwachte gebruik op elkaar afgestemd moeten worden. </w:t>
      </w:r>
      <w:r w:rsidR="009A6475">
        <w:rPr>
          <w:szCs w:val="18"/>
        </w:rPr>
        <w:t>Om het budget en het verwachte gebruik van de WBSO op elkaar aan te laten sluiten, kunnen de parameters (</w:t>
      </w:r>
      <w:r w:rsidR="00826E45">
        <w:rPr>
          <w:szCs w:val="18"/>
        </w:rPr>
        <w:t>afdrachtspercentages</w:t>
      </w:r>
      <w:r w:rsidR="00830191">
        <w:rPr>
          <w:szCs w:val="18"/>
        </w:rPr>
        <w:t xml:space="preserve"> die gelden voor de eerste en tweede schijf</w:t>
      </w:r>
      <w:r w:rsidR="009A6475">
        <w:rPr>
          <w:szCs w:val="18"/>
        </w:rPr>
        <w:t xml:space="preserve">) worden aangepast. </w:t>
      </w:r>
      <w:r w:rsidRPr="009A6475" w:rsidR="00F41920">
        <w:t xml:space="preserve">Dankzij de indexatie van het basisbudget en het extra toegezegde budget vanaf 2025, wordt er het komende jaar geen tekort in budget voorzien. De parameters van de WBSO zullen het komende jaar dan ook </w:t>
      </w:r>
      <w:r w:rsidR="00826E45">
        <w:t>stabiel</w:t>
      </w:r>
      <w:r w:rsidRPr="009A6475" w:rsidR="00F41920">
        <w:t xml:space="preserve"> blijven</w:t>
      </w:r>
      <w:r w:rsidR="009A6475">
        <w:t xml:space="preserve">, zoals </w:t>
      </w:r>
      <w:r w:rsidR="00AF306E">
        <w:t>weergegeven in de onderstaande tabel</w:t>
      </w:r>
      <w:r w:rsidRPr="009A6475" w:rsidR="00F41920">
        <w:t>.</w:t>
      </w:r>
    </w:p>
    <w:p w:rsidRPr="009A6475" w:rsidR="009A6475" w:rsidP="00B61411" w:rsidRDefault="009A6475" w14:paraId="03B8A0CE" w14:textId="77777777"/>
    <w:tbl>
      <w:tblPr>
        <w:tblStyle w:val="Tabelraster"/>
        <w:tblW w:w="7519" w:type="dxa"/>
        <w:tblInd w:w="-5" w:type="dxa"/>
        <w:tblLook w:val="04A0" w:firstRow="1" w:lastRow="0" w:firstColumn="1" w:lastColumn="0" w:noHBand="0" w:noVBand="1"/>
      </w:tblPr>
      <w:tblGrid>
        <w:gridCol w:w="3261"/>
        <w:gridCol w:w="2129"/>
        <w:gridCol w:w="2129"/>
      </w:tblGrid>
      <w:tr w:rsidRPr="009A6475" w:rsidR="005F6CFE" w:rsidTr="00A42B02" w14:paraId="59875200" w14:textId="77777777">
        <w:tc>
          <w:tcPr>
            <w:tcW w:w="7519" w:type="dxa"/>
            <w:gridSpan w:val="3"/>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32935742" w14:textId="77777777">
            <w:pPr>
              <w:keepNext/>
              <w:keepLines/>
              <w:rPr>
                <w:b/>
                <w:szCs w:val="18"/>
              </w:rPr>
            </w:pPr>
            <w:r w:rsidRPr="009A6475">
              <w:rPr>
                <w:b/>
                <w:szCs w:val="18"/>
              </w:rPr>
              <w:t>Parameters WBSO</w:t>
            </w:r>
          </w:p>
        </w:tc>
      </w:tr>
      <w:tr w:rsidRPr="009A6475" w:rsidR="005F6CFE" w:rsidTr="00A42B02" w14:paraId="608787FF" w14:textId="77777777">
        <w:tc>
          <w:tcPr>
            <w:tcW w:w="3261"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37619E5F" w14:textId="77777777">
            <w:pPr>
              <w:keepNext/>
              <w:keepLines/>
              <w:rPr>
                <w:szCs w:val="18"/>
              </w:rPr>
            </w:pPr>
          </w:p>
        </w:tc>
        <w:tc>
          <w:tcPr>
            <w:tcW w:w="2129"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37056A38" w14:textId="285B0D73">
            <w:pPr>
              <w:keepNext/>
              <w:keepLines/>
              <w:rPr>
                <w:b/>
                <w:bCs/>
                <w:szCs w:val="18"/>
              </w:rPr>
            </w:pPr>
            <w:r w:rsidRPr="009A6475">
              <w:rPr>
                <w:b/>
                <w:bCs/>
                <w:szCs w:val="18"/>
              </w:rPr>
              <w:t>2024</w:t>
            </w:r>
          </w:p>
        </w:tc>
        <w:tc>
          <w:tcPr>
            <w:tcW w:w="2129"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65C8B9A9" w14:textId="1E6BC044">
            <w:pPr>
              <w:keepNext/>
              <w:keepLines/>
              <w:rPr>
                <w:b/>
                <w:bCs/>
                <w:szCs w:val="18"/>
              </w:rPr>
            </w:pPr>
            <w:r w:rsidRPr="009A6475">
              <w:rPr>
                <w:b/>
                <w:bCs/>
                <w:szCs w:val="18"/>
              </w:rPr>
              <w:t>2025</w:t>
            </w:r>
          </w:p>
        </w:tc>
      </w:tr>
      <w:tr w:rsidRPr="009A6475" w:rsidR="005F6CFE" w:rsidTr="00A42B02" w14:paraId="7989A7A7" w14:textId="77777777">
        <w:tc>
          <w:tcPr>
            <w:tcW w:w="3261"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4A79284A" w14:textId="77777777">
            <w:pPr>
              <w:keepNext/>
              <w:keepLines/>
              <w:rPr>
                <w:szCs w:val="18"/>
              </w:rPr>
            </w:pPr>
            <w:r w:rsidRPr="009A6475">
              <w:rPr>
                <w:szCs w:val="18"/>
              </w:rPr>
              <w:t>Tarief eerste schijf</w:t>
            </w:r>
          </w:p>
        </w:tc>
        <w:tc>
          <w:tcPr>
            <w:tcW w:w="2129"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250B72E1" w14:textId="77777777">
            <w:pPr>
              <w:keepNext/>
              <w:keepLines/>
              <w:rPr>
                <w:szCs w:val="18"/>
              </w:rPr>
            </w:pPr>
            <w:r w:rsidRPr="009A6475">
              <w:rPr>
                <w:szCs w:val="18"/>
              </w:rPr>
              <w:t>32%</w:t>
            </w:r>
          </w:p>
        </w:tc>
        <w:tc>
          <w:tcPr>
            <w:tcW w:w="2129"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4342ECF7" w14:textId="77777777">
            <w:pPr>
              <w:keepNext/>
              <w:keepLines/>
              <w:rPr>
                <w:szCs w:val="18"/>
              </w:rPr>
            </w:pPr>
            <w:r w:rsidRPr="009A6475">
              <w:rPr>
                <w:szCs w:val="18"/>
              </w:rPr>
              <w:t>32%</w:t>
            </w:r>
          </w:p>
        </w:tc>
      </w:tr>
      <w:tr w:rsidRPr="009A6475" w:rsidR="005F6CFE" w:rsidTr="00A42B02" w14:paraId="1C5F6A0C" w14:textId="77777777">
        <w:tc>
          <w:tcPr>
            <w:tcW w:w="3261"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30F1AF66" w14:textId="77777777">
            <w:pPr>
              <w:keepNext/>
              <w:keepLines/>
              <w:rPr>
                <w:szCs w:val="18"/>
              </w:rPr>
            </w:pPr>
            <w:r w:rsidRPr="009A6475">
              <w:rPr>
                <w:szCs w:val="18"/>
              </w:rPr>
              <w:t>Tarief eerste schijf starters</w:t>
            </w:r>
          </w:p>
        </w:tc>
        <w:tc>
          <w:tcPr>
            <w:tcW w:w="2129"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42E2AE1A" w14:textId="77777777">
            <w:pPr>
              <w:keepNext/>
              <w:keepLines/>
              <w:rPr>
                <w:szCs w:val="18"/>
              </w:rPr>
            </w:pPr>
            <w:r w:rsidRPr="009A6475">
              <w:rPr>
                <w:szCs w:val="18"/>
              </w:rPr>
              <w:t>40%</w:t>
            </w:r>
          </w:p>
        </w:tc>
        <w:tc>
          <w:tcPr>
            <w:tcW w:w="2129"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0D3DF151" w14:textId="77777777">
            <w:pPr>
              <w:keepNext/>
              <w:keepLines/>
              <w:rPr>
                <w:szCs w:val="18"/>
              </w:rPr>
            </w:pPr>
            <w:r w:rsidRPr="009A6475">
              <w:rPr>
                <w:szCs w:val="18"/>
              </w:rPr>
              <w:t>40%</w:t>
            </w:r>
          </w:p>
        </w:tc>
      </w:tr>
      <w:tr w:rsidRPr="009A6475" w:rsidR="005F6CFE" w:rsidTr="00A42B02" w14:paraId="634BCB8B" w14:textId="77777777">
        <w:tc>
          <w:tcPr>
            <w:tcW w:w="3261"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13741BFD" w14:textId="77777777">
            <w:pPr>
              <w:keepNext/>
              <w:keepLines/>
              <w:rPr>
                <w:szCs w:val="18"/>
              </w:rPr>
            </w:pPr>
            <w:r w:rsidRPr="009A6475">
              <w:rPr>
                <w:szCs w:val="18"/>
              </w:rPr>
              <w:t>Grens eerste schijf</w:t>
            </w:r>
          </w:p>
        </w:tc>
        <w:tc>
          <w:tcPr>
            <w:tcW w:w="2129"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68627347" w14:textId="77777777">
            <w:pPr>
              <w:keepNext/>
              <w:keepLines/>
              <w:rPr>
                <w:szCs w:val="18"/>
              </w:rPr>
            </w:pPr>
            <w:r w:rsidRPr="009A6475">
              <w:rPr>
                <w:szCs w:val="18"/>
              </w:rPr>
              <w:t>€350.000 S&amp;O-grondslag</w:t>
            </w:r>
          </w:p>
        </w:tc>
        <w:tc>
          <w:tcPr>
            <w:tcW w:w="2129"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23ED57BE" w14:textId="77777777">
            <w:pPr>
              <w:keepNext/>
              <w:keepLines/>
              <w:rPr>
                <w:szCs w:val="18"/>
              </w:rPr>
            </w:pPr>
            <w:r w:rsidRPr="009A6475">
              <w:rPr>
                <w:szCs w:val="18"/>
              </w:rPr>
              <w:t>€350.000 S&amp;O-grondslag</w:t>
            </w:r>
          </w:p>
        </w:tc>
      </w:tr>
      <w:tr w:rsidRPr="009A6475" w:rsidR="005F6CFE" w:rsidTr="00A42B02" w14:paraId="4466FBFF" w14:textId="77777777">
        <w:tc>
          <w:tcPr>
            <w:tcW w:w="3261"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6DCC8430" w14:textId="77777777">
            <w:pPr>
              <w:keepNext/>
              <w:keepLines/>
              <w:rPr>
                <w:szCs w:val="18"/>
              </w:rPr>
            </w:pPr>
            <w:r w:rsidRPr="009A6475">
              <w:rPr>
                <w:szCs w:val="18"/>
              </w:rPr>
              <w:t>Tarief tweede schijf</w:t>
            </w:r>
          </w:p>
        </w:tc>
        <w:tc>
          <w:tcPr>
            <w:tcW w:w="2129" w:type="dxa"/>
            <w:tcBorders>
              <w:top w:val="single" w:color="auto" w:sz="4" w:space="0"/>
              <w:left w:val="single" w:color="auto" w:sz="4" w:space="0"/>
              <w:bottom w:val="single" w:color="auto" w:sz="4" w:space="0"/>
              <w:right w:val="single" w:color="auto" w:sz="4" w:space="0"/>
            </w:tcBorders>
            <w:hideMark/>
          </w:tcPr>
          <w:p w:rsidRPr="009A6475" w:rsidR="005F6CFE" w:rsidP="00B61411" w:rsidRDefault="005F6CFE" w14:paraId="59F80678" w14:textId="77777777">
            <w:pPr>
              <w:keepNext/>
              <w:keepLines/>
              <w:rPr>
                <w:szCs w:val="18"/>
              </w:rPr>
            </w:pPr>
            <w:r w:rsidRPr="009A6475">
              <w:rPr>
                <w:szCs w:val="18"/>
              </w:rPr>
              <w:t>16%</w:t>
            </w:r>
          </w:p>
        </w:tc>
        <w:tc>
          <w:tcPr>
            <w:tcW w:w="2129" w:type="dxa"/>
            <w:tcBorders>
              <w:top w:val="single" w:color="auto" w:sz="4" w:space="0"/>
              <w:left w:val="single" w:color="auto" w:sz="4" w:space="0"/>
              <w:bottom w:val="single" w:color="auto" w:sz="4" w:space="0"/>
              <w:right w:val="single" w:color="auto" w:sz="4" w:space="0"/>
            </w:tcBorders>
          </w:tcPr>
          <w:p w:rsidRPr="009A6475" w:rsidR="005F6CFE" w:rsidP="00B61411" w:rsidRDefault="005F6CFE" w14:paraId="1B1D0C21" w14:textId="77777777">
            <w:pPr>
              <w:keepNext/>
              <w:keepLines/>
              <w:rPr>
                <w:szCs w:val="18"/>
              </w:rPr>
            </w:pPr>
            <w:r w:rsidRPr="009A6475">
              <w:rPr>
                <w:szCs w:val="18"/>
              </w:rPr>
              <w:t>16%</w:t>
            </w:r>
          </w:p>
        </w:tc>
      </w:tr>
    </w:tbl>
    <w:p w:rsidRPr="009A6475" w:rsidR="005F6CFE" w:rsidP="00B61411" w:rsidRDefault="005F6CFE" w14:paraId="13E7F8DC" w14:textId="29384C6A">
      <w:pPr>
        <w:tabs>
          <w:tab w:val="left" w:pos="4752"/>
        </w:tabs>
      </w:pPr>
    </w:p>
    <w:p w:rsidRPr="009A6475" w:rsidR="00D22441" w:rsidP="00B61411" w:rsidRDefault="003922BD" w14:paraId="288B1D6F" w14:textId="32A71B84">
      <w:pPr>
        <w:keepNext/>
        <w:keepLines/>
        <w:rPr>
          <w:b/>
          <w:bCs/>
        </w:rPr>
      </w:pPr>
      <w:r w:rsidRPr="009A6475">
        <w:rPr>
          <w:b/>
          <w:bCs/>
        </w:rPr>
        <w:t>Uitbreiding delegatiebepaling WVA</w:t>
      </w:r>
    </w:p>
    <w:p w:rsidR="003922BD" w:rsidP="00B61411" w:rsidRDefault="003922BD" w14:paraId="4E18574A" w14:textId="47D270D4"/>
    <w:p w:rsidRPr="009A6475" w:rsidR="00E378AD" w:rsidP="00B61411" w:rsidRDefault="007E0C22" w14:paraId="7D2D7708" w14:textId="431AFC7C">
      <w:r w:rsidRPr="008C19BA">
        <w:rPr>
          <w:szCs w:val="18"/>
        </w:rPr>
        <w:t xml:space="preserve">De minister van Economische Zaken (EZ) heeft op grond van de WVA diverse bevoegdheden in het kader van de toepassing en uitvoering van de </w:t>
      </w:r>
      <w:r>
        <w:rPr>
          <w:szCs w:val="18"/>
        </w:rPr>
        <w:t>WBSO</w:t>
      </w:r>
      <w:r w:rsidRPr="008C19BA">
        <w:rPr>
          <w:szCs w:val="18"/>
        </w:rPr>
        <w:t>.</w:t>
      </w:r>
      <w:r>
        <w:rPr>
          <w:szCs w:val="18"/>
        </w:rPr>
        <w:t xml:space="preserve"> </w:t>
      </w:r>
      <w:r w:rsidR="007271FE">
        <w:rPr>
          <w:szCs w:val="18"/>
        </w:rPr>
        <w:t>Sinds 1996 is een delegatiebepaling van kracht waarmee de tarieven</w:t>
      </w:r>
      <w:r w:rsidR="00D03A65">
        <w:rPr>
          <w:szCs w:val="18"/>
        </w:rPr>
        <w:t xml:space="preserve"> voor de verschillende schijven</w:t>
      </w:r>
      <w:r w:rsidR="007271FE">
        <w:rPr>
          <w:szCs w:val="18"/>
        </w:rPr>
        <w:t xml:space="preserve"> binnen de WBSO </w:t>
      </w:r>
      <w:r w:rsidR="00E87660">
        <w:rPr>
          <w:szCs w:val="18"/>
        </w:rPr>
        <w:t>per ministeri</w:t>
      </w:r>
      <w:r w:rsidR="00DF1248">
        <w:rPr>
          <w:szCs w:val="18"/>
        </w:rPr>
        <w:t>ë</w:t>
      </w:r>
      <w:r w:rsidR="00E87660">
        <w:rPr>
          <w:szCs w:val="18"/>
        </w:rPr>
        <w:t>le regeling aangepast kunnen worden. Zonder deze bepaling zou dit middels een wijziging van WVA moeten gebeuren. Om nog flexi</w:t>
      </w:r>
      <w:r w:rsidR="00A53335">
        <w:rPr>
          <w:szCs w:val="18"/>
        </w:rPr>
        <w:t>b</w:t>
      </w:r>
      <w:r w:rsidR="00E87660">
        <w:rPr>
          <w:szCs w:val="18"/>
        </w:rPr>
        <w:t>eler te zijn en effectief in het afstemmen van het budget op het verwachte gebruik van de WBSO, wordt ook een delegatiebepaling van kracht voor het ophogen of verlagen van de schijfgrens</w:t>
      </w:r>
      <w:r w:rsidR="00D03A65">
        <w:rPr>
          <w:szCs w:val="18"/>
        </w:rPr>
        <w:t xml:space="preserve"> (</w:t>
      </w:r>
      <w:r w:rsidR="00912C97">
        <w:rPr>
          <w:szCs w:val="18"/>
        </w:rPr>
        <w:t xml:space="preserve">nu </w:t>
      </w:r>
      <w:r w:rsidR="00D03A65">
        <w:rPr>
          <w:szCs w:val="18"/>
        </w:rPr>
        <w:t>€ 350.000)</w:t>
      </w:r>
      <w:r w:rsidR="00E87660">
        <w:rPr>
          <w:szCs w:val="18"/>
        </w:rPr>
        <w:t xml:space="preserve">. </w:t>
      </w:r>
      <w:r w:rsidR="00D03A65">
        <w:rPr>
          <w:szCs w:val="18"/>
        </w:rPr>
        <w:t>Op dit moment</w:t>
      </w:r>
      <w:r w:rsidR="002A4607">
        <w:rPr>
          <w:szCs w:val="18"/>
        </w:rPr>
        <w:t xml:space="preserve"> zou hiervoor ook een wetswijziging nodig zijn</w:t>
      </w:r>
      <w:r w:rsidR="00877C3A">
        <w:rPr>
          <w:szCs w:val="18"/>
        </w:rPr>
        <w:t xml:space="preserve">, </w:t>
      </w:r>
      <w:r w:rsidR="00CC4A77">
        <w:rPr>
          <w:szCs w:val="18"/>
        </w:rPr>
        <w:t>gepaard met</w:t>
      </w:r>
      <w:r w:rsidR="005604EB">
        <w:rPr>
          <w:szCs w:val="18"/>
        </w:rPr>
        <w:t xml:space="preserve"> </w:t>
      </w:r>
      <w:r w:rsidR="00877C3A">
        <w:rPr>
          <w:szCs w:val="18"/>
        </w:rPr>
        <w:t xml:space="preserve">een </w:t>
      </w:r>
      <w:r w:rsidR="00385310">
        <w:rPr>
          <w:szCs w:val="18"/>
        </w:rPr>
        <w:t>lange doorlooptijd</w:t>
      </w:r>
      <w:r w:rsidR="00877C3A">
        <w:rPr>
          <w:szCs w:val="18"/>
        </w:rPr>
        <w:t>.</w:t>
      </w:r>
      <w:r w:rsidR="0005165F">
        <w:rPr>
          <w:szCs w:val="18"/>
        </w:rPr>
        <w:t xml:space="preserve"> Met de</w:t>
      </w:r>
      <w:r w:rsidR="003941B9">
        <w:rPr>
          <w:szCs w:val="18"/>
        </w:rPr>
        <w:t>ze</w:t>
      </w:r>
      <w:r w:rsidR="0005165F">
        <w:rPr>
          <w:szCs w:val="18"/>
        </w:rPr>
        <w:t xml:space="preserve"> uitbreiding kan ook de schijfgrens per ministeriële regeling aangepast worden.</w:t>
      </w:r>
      <w:r w:rsidR="00877C3A">
        <w:rPr>
          <w:szCs w:val="18"/>
        </w:rPr>
        <w:t xml:space="preserve"> </w:t>
      </w:r>
      <w:r w:rsidR="00D03A65">
        <w:rPr>
          <w:szCs w:val="18"/>
        </w:rPr>
        <w:t>De wijziging is opgenomen in de Fiscale verzamelwet 2025 die</w:t>
      </w:r>
      <w:r w:rsidR="00385310">
        <w:rPr>
          <w:szCs w:val="18"/>
        </w:rPr>
        <w:t xml:space="preserve"> naar verwachting</w:t>
      </w:r>
      <w:r w:rsidR="00D03A65">
        <w:rPr>
          <w:szCs w:val="18"/>
        </w:rPr>
        <w:t xml:space="preserve"> op 1 januari van 2025 van kracht wordt.</w:t>
      </w:r>
      <w:r w:rsidR="007F0E53">
        <w:rPr>
          <w:szCs w:val="18"/>
        </w:rPr>
        <w:t xml:space="preserve"> </w:t>
      </w:r>
    </w:p>
    <w:p w:rsidR="00A657E5" w:rsidP="00B61411" w:rsidRDefault="00A657E5" w14:paraId="5F7C384F" w14:textId="77777777"/>
    <w:p w:rsidRPr="009A6475" w:rsidR="003922BD" w:rsidP="00B61411" w:rsidRDefault="003922BD" w14:paraId="58088558" w14:textId="4A8EB32A">
      <w:pPr>
        <w:rPr>
          <w:b/>
          <w:bCs/>
        </w:rPr>
      </w:pPr>
      <w:r w:rsidRPr="009A6475">
        <w:rPr>
          <w:b/>
          <w:bCs/>
        </w:rPr>
        <w:t>Evaluatie WBSO</w:t>
      </w:r>
    </w:p>
    <w:p w:rsidRPr="009A6475" w:rsidR="00D22441" w:rsidP="00B61411" w:rsidRDefault="00D22441" w14:paraId="7BF4F0DB" w14:textId="77777777"/>
    <w:p w:rsidRPr="009A6475" w:rsidR="00D22441" w:rsidP="00B61411" w:rsidRDefault="00E378AD" w14:paraId="7EC8F0F9" w14:textId="6B194CA3">
      <w:r w:rsidRPr="009A6475">
        <w:t xml:space="preserve">Conform </w:t>
      </w:r>
      <w:r w:rsidR="00040BAD">
        <w:t xml:space="preserve">de Regeling periodiek evaluatieonderzoek </w:t>
      </w:r>
      <w:r w:rsidRPr="009A6475">
        <w:t xml:space="preserve">wordt de WBSO </w:t>
      </w:r>
      <w:r w:rsidR="00040BAD">
        <w:t>om de 5 tot 7</w:t>
      </w:r>
      <w:r w:rsidR="00B61411">
        <w:t> </w:t>
      </w:r>
      <w:r w:rsidR="00040BAD">
        <w:t xml:space="preserve">jaar </w:t>
      </w:r>
      <w:r w:rsidRPr="009A6475">
        <w:t>ge</w:t>
      </w:r>
      <w:r w:rsidR="00040BAD">
        <w:t>ë</w:t>
      </w:r>
      <w:r w:rsidRPr="009A6475">
        <w:t>valueerd. De laatste evaluatie is van 2019</w:t>
      </w:r>
      <w:r w:rsidR="00FF352A">
        <w:t>.</w:t>
      </w:r>
      <w:r w:rsidR="003E5F87">
        <w:rPr>
          <w:rStyle w:val="Voetnootmarkering"/>
        </w:rPr>
        <w:footnoteReference w:id="2"/>
      </w:r>
      <w:r w:rsidRPr="009A6475">
        <w:t xml:space="preserve"> </w:t>
      </w:r>
      <w:r w:rsidR="00FF352A">
        <w:t>I</w:t>
      </w:r>
      <w:r w:rsidRPr="009A6475">
        <w:t xml:space="preserve">n 2024 </w:t>
      </w:r>
      <w:r w:rsidR="00880A9A">
        <w:t>is de</w:t>
      </w:r>
      <w:r w:rsidRPr="009A6475">
        <w:t xml:space="preserve"> nieuwe evaluatie </w:t>
      </w:r>
      <w:r w:rsidR="00880A9A">
        <w:t>gestart</w:t>
      </w:r>
      <w:r w:rsidRPr="009A6475">
        <w:t xml:space="preserve">. Naar verwachting wordt de evaluatie aan het </w:t>
      </w:r>
      <w:r w:rsidR="00880A9A">
        <w:t>begin</w:t>
      </w:r>
      <w:r w:rsidRPr="009A6475" w:rsidR="00880A9A">
        <w:t xml:space="preserve"> </w:t>
      </w:r>
      <w:r w:rsidRPr="009A6475">
        <w:t xml:space="preserve">van </w:t>
      </w:r>
      <w:r w:rsidR="00880A9A">
        <w:t xml:space="preserve">volgend </w:t>
      </w:r>
      <w:r w:rsidRPr="009A6475">
        <w:t>jaar</w:t>
      </w:r>
      <w:r w:rsidR="00880A9A">
        <w:t xml:space="preserve"> (Q1)</w:t>
      </w:r>
      <w:r w:rsidRPr="009A6475">
        <w:t xml:space="preserve"> </w:t>
      </w:r>
      <w:r w:rsidR="00BE026A">
        <w:t>afgerond</w:t>
      </w:r>
      <w:r w:rsidRPr="009A6475">
        <w:t>.</w:t>
      </w:r>
      <w:r w:rsidR="00040BAD">
        <w:t xml:space="preserve"> </w:t>
      </w:r>
    </w:p>
    <w:p w:rsidR="00F41920" w:rsidP="00B61411" w:rsidRDefault="00F41920" w14:paraId="7D53C619" w14:textId="77777777"/>
    <w:p w:rsidR="00912C97" w:rsidP="00B61411" w:rsidRDefault="00912C97" w14:paraId="53449952" w14:textId="15300818">
      <w:pPr>
        <w:tabs>
          <w:tab w:val="left" w:pos="5815"/>
        </w:tabs>
      </w:pPr>
    </w:p>
    <w:p w:rsidRPr="009A6475" w:rsidR="00912C97" w:rsidP="00B61411" w:rsidRDefault="00912C97" w14:paraId="52374384" w14:textId="77777777"/>
    <w:p w:rsidR="00A657E5" w:rsidP="00B61411" w:rsidRDefault="00A657E5" w14:paraId="654B28C8" w14:textId="77777777">
      <w:pPr>
        <w:tabs>
          <w:tab w:val="left" w:pos="1628"/>
        </w:tabs>
      </w:pPr>
    </w:p>
    <w:p w:rsidR="00C51A4A" w:rsidP="00B61411" w:rsidRDefault="00C51A4A" w14:paraId="32FD8E52" w14:textId="77777777">
      <w:pPr>
        <w:tabs>
          <w:tab w:val="left" w:pos="1628"/>
        </w:tabs>
      </w:pPr>
    </w:p>
    <w:p w:rsidRPr="009A6475" w:rsidR="00C90702" w:rsidP="00B61411" w:rsidRDefault="002A4607" w14:paraId="2F00D11A" w14:textId="77777777">
      <w:pPr>
        <w:rPr>
          <w:szCs w:val="18"/>
        </w:rPr>
      </w:pPr>
      <w:r w:rsidRPr="009A6475">
        <w:rPr>
          <w:szCs w:val="18"/>
        </w:rPr>
        <w:t>Dirk Beljaarts</w:t>
      </w:r>
    </w:p>
    <w:p w:rsidR="00664678" w:rsidP="00B61411" w:rsidRDefault="002A4607" w14:paraId="5D69DED6" w14:textId="14DF3F8F">
      <w:r w:rsidRPr="009A6475">
        <w:t>Minister van Economische Zaken</w:t>
      </w:r>
    </w:p>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94848" w14:textId="77777777" w:rsidR="003814E2" w:rsidRDefault="003814E2">
      <w:r>
        <w:separator/>
      </w:r>
    </w:p>
    <w:p w14:paraId="5266E8EB" w14:textId="77777777" w:rsidR="003814E2" w:rsidRDefault="003814E2"/>
  </w:endnote>
  <w:endnote w:type="continuationSeparator" w:id="0">
    <w:p w14:paraId="619584C1" w14:textId="77777777" w:rsidR="003814E2" w:rsidRDefault="003814E2">
      <w:r>
        <w:continuationSeparator/>
      </w:r>
    </w:p>
    <w:p w14:paraId="4012C7BD" w14:textId="77777777" w:rsidR="003814E2" w:rsidRDefault="00381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C2E64" w14:textId="77777777" w:rsidR="00F61424" w:rsidRDefault="00F614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FB28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E5A09" w14:paraId="2EE13A2E" w14:textId="77777777" w:rsidTr="00CA6A25">
      <w:trPr>
        <w:trHeight w:hRule="exact" w:val="240"/>
      </w:trPr>
      <w:tc>
        <w:tcPr>
          <w:tcW w:w="7601" w:type="dxa"/>
          <w:shd w:val="clear" w:color="auto" w:fill="auto"/>
        </w:tcPr>
        <w:p w14:paraId="7691587B" w14:textId="77777777" w:rsidR="00527BD4" w:rsidRDefault="00527BD4" w:rsidP="003F1F6B">
          <w:pPr>
            <w:pStyle w:val="Huisstijl-Rubricering"/>
          </w:pPr>
        </w:p>
      </w:tc>
      <w:tc>
        <w:tcPr>
          <w:tcW w:w="2156" w:type="dxa"/>
        </w:tcPr>
        <w:p w14:paraId="40FC6CA8" w14:textId="71A8E0ED" w:rsidR="00527BD4" w:rsidRPr="00645414" w:rsidRDefault="002A460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D54C5D">
            <w:t>3</w:t>
          </w:r>
          <w:r w:rsidR="00721AE1">
            <w:fldChar w:fldCharType="end"/>
          </w:r>
        </w:p>
      </w:tc>
    </w:tr>
  </w:tbl>
  <w:p w14:paraId="1181C5B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5A09" w14:paraId="22BDB3A9" w14:textId="77777777" w:rsidTr="00CA6A25">
      <w:trPr>
        <w:trHeight w:hRule="exact" w:val="240"/>
      </w:trPr>
      <w:tc>
        <w:tcPr>
          <w:tcW w:w="7601" w:type="dxa"/>
          <w:shd w:val="clear" w:color="auto" w:fill="auto"/>
        </w:tcPr>
        <w:p w14:paraId="1C5F378F" w14:textId="77777777" w:rsidR="00527BD4" w:rsidRDefault="00527BD4" w:rsidP="008C356D">
          <w:pPr>
            <w:pStyle w:val="Huisstijl-Rubricering"/>
          </w:pPr>
        </w:p>
      </w:tc>
      <w:tc>
        <w:tcPr>
          <w:tcW w:w="2170" w:type="dxa"/>
        </w:tcPr>
        <w:p w14:paraId="0BE31C34" w14:textId="6C9C250B" w:rsidR="00527BD4" w:rsidRPr="00ED539E" w:rsidRDefault="002A460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3814E2">
            <w:t>1</w:t>
          </w:r>
          <w:r w:rsidR="003779BE">
            <w:fldChar w:fldCharType="end"/>
          </w:r>
        </w:p>
      </w:tc>
    </w:tr>
  </w:tbl>
  <w:p w14:paraId="62A219C8" w14:textId="77777777" w:rsidR="00527BD4" w:rsidRPr="00BC3B53" w:rsidRDefault="00527BD4" w:rsidP="008C356D">
    <w:pPr>
      <w:pStyle w:val="Voettekst"/>
      <w:spacing w:line="240" w:lineRule="auto"/>
      <w:rPr>
        <w:sz w:val="2"/>
        <w:szCs w:val="2"/>
      </w:rPr>
    </w:pPr>
  </w:p>
  <w:p w14:paraId="7FC4011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6C8B" w14:textId="77777777" w:rsidR="003814E2" w:rsidRDefault="003814E2">
      <w:r>
        <w:separator/>
      </w:r>
    </w:p>
    <w:p w14:paraId="0A76F906" w14:textId="77777777" w:rsidR="003814E2" w:rsidRDefault="003814E2"/>
  </w:footnote>
  <w:footnote w:type="continuationSeparator" w:id="0">
    <w:p w14:paraId="4A471AF8" w14:textId="77777777" w:rsidR="003814E2" w:rsidRDefault="003814E2">
      <w:r>
        <w:continuationSeparator/>
      </w:r>
    </w:p>
    <w:p w14:paraId="24E26706" w14:textId="77777777" w:rsidR="003814E2" w:rsidRDefault="003814E2"/>
  </w:footnote>
  <w:footnote w:id="1">
    <w:p w14:paraId="23FE993E" w14:textId="77777777" w:rsidR="003137C9" w:rsidRPr="00107831" w:rsidRDefault="003137C9" w:rsidP="003137C9">
      <w:pPr>
        <w:pStyle w:val="Voetnoottekst"/>
      </w:pPr>
      <w:r w:rsidRPr="00107831">
        <w:rPr>
          <w:rStyle w:val="Voetnootmarkering"/>
        </w:rPr>
        <w:footnoteRef/>
      </w:r>
      <w:r w:rsidRPr="00107831">
        <w:t xml:space="preserve"> Kamerbrief Indexatiesystematiek WBSO, 21 december 2022. </w:t>
      </w:r>
    </w:p>
  </w:footnote>
  <w:footnote w:id="2">
    <w:p w14:paraId="1498C4B6" w14:textId="3D71002D" w:rsidR="003E5F87" w:rsidRDefault="003E5F87">
      <w:pPr>
        <w:pStyle w:val="Voetnoottekst"/>
      </w:pPr>
      <w:r>
        <w:rPr>
          <w:rStyle w:val="Voetnootmarkering"/>
        </w:rPr>
        <w:footnoteRef/>
      </w:r>
      <w:r>
        <w:t xml:space="preserve"> </w:t>
      </w:r>
      <w:r w:rsidR="00342A47" w:rsidRPr="00342A47">
        <w:t>Dialogic, APE en UNU-MERIT (2019), Evaluatie WBSO 2011-2017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CA40" w14:textId="77777777" w:rsidR="00F61424" w:rsidRDefault="00F614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E5A09" w14:paraId="1F627FF1" w14:textId="77777777" w:rsidTr="00A50CF6">
      <w:tc>
        <w:tcPr>
          <w:tcW w:w="2156" w:type="dxa"/>
          <w:shd w:val="clear" w:color="auto" w:fill="auto"/>
        </w:tcPr>
        <w:p w14:paraId="16BB02AE" w14:textId="77777777" w:rsidR="00527BD4" w:rsidRPr="005819CE" w:rsidRDefault="002A4607" w:rsidP="00A50CF6">
          <w:pPr>
            <w:pStyle w:val="Huisstijl-Adres"/>
            <w:rPr>
              <w:b/>
            </w:rPr>
          </w:pPr>
          <w:r>
            <w:rPr>
              <w:b/>
            </w:rPr>
            <w:t>Directoraat-generaal Bedrijfsleven &amp; Innovatie</w:t>
          </w:r>
          <w:r w:rsidRPr="005819CE">
            <w:rPr>
              <w:b/>
            </w:rPr>
            <w:br/>
          </w:r>
        </w:p>
      </w:tc>
    </w:tr>
    <w:tr w:rsidR="007E5A09" w14:paraId="57BD6427" w14:textId="77777777" w:rsidTr="00A50CF6">
      <w:trPr>
        <w:trHeight w:hRule="exact" w:val="200"/>
      </w:trPr>
      <w:tc>
        <w:tcPr>
          <w:tcW w:w="2156" w:type="dxa"/>
          <w:shd w:val="clear" w:color="auto" w:fill="auto"/>
        </w:tcPr>
        <w:p w14:paraId="20D2F2E8" w14:textId="77777777" w:rsidR="00527BD4" w:rsidRPr="005819CE" w:rsidRDefault="00527BD4" w:rsidP="00A50CF6"/>
      </w:tc>
    </w:tr>
    <w:tr w:rsidR="007E5A09" w14:paraId="11A117E4" w14:textId="77777777" w:rsidTr="00502512">
      <w:trPr>
        <w:trHeight w:hRule="exact" w:val="774"/>
      </w:trPr>
      <w:tc>
        <w:tcPr>
          <w:tcW w:w="2156" w:type="dxa"/>
          <w:shd w:val="clear" w:color="auto" w:fill="auto"/>
        </w:tcPr>
        <w:p w14:paraId="17B81D03" w14:textId="77777777" w:rsidR="00527BD4" w:rsidRDefault="002A4607" w:rsidP="003A5290">
          <w:pPr>
            <w:pStyle w:val="Huisstijl-Kopje"/>
          </w:pPr>
          <w:r>
            <w:t>Ons kenmerk</w:t>
          </w:r>
        </w:p>
        <w:p w14:paraId="0D3DC4B3" w14:textId="79AC7675" w:rsidR="00502512" w:rsidRPr="00502512" w:rsidRDefault="002A4607"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A94160">
                <w:rPr>
                  <w:b w:val="0"/>
                </w:rPr>
                <w:t>86876940</w:t>
              </w:r>
              <w:r w:rsidR="00721AE1">
                <w:rPr>
                  <w:b w:val="0"/>
                </w:rPr>
                <w:fldChar w:fldCharType="end"/>
              </w:r>
            </w:sdtContent>
          </w:sdt>
        </w:p>
        <w:p w14:paraId="15AFBAE1" w14:textId="77777777" w:rsidR="00527BD4" w:rsidRPr="005819CE" w:rsidRDefault="00527BD4" w:rsidP="00361A56">
          <w:pPr>
            <w:pStyle w:val="Huisstijl-Kopje"/>
          </w:pPr>
        </w:p>
      </w:tc>
    </w:tr>
  </w:tbl>
  <w:p w14:paraId="6C1E4A9C" w14:textId="77777777" w:rsidR="00527BD4" w:rsidRDefault="00527BD4" w:rsidP="008C356D">
    <w:pPr>
      <w:pStyle w:val="Koptekst"/>
      <w:rPr>
        <w:rFonts w:cs="Verdana-Bold"/>
        <w:b/>
        <w:bCs/>
        <w:smallCaps/>
        <w:szCs w:val="18"/>
      </w:rPr>
    </w:pPr>
  </w:p>
  <w:p w14:paraId="61213922" w14:textId="77777777" w:rsidR="00527BD4" w:rsidRDefault="00527BD4" w:rsidP="008C356D"/>
  <w:p w14:paraId="5299ADEF" w14:textId="77777777" w:rsidR="00527BD4" w:rsidRPr="00740712" w:rsidRDefault="00527BD4" w:rsidP="008C356D"/>
  <w:p w14:paraId="6CB288D5" w14:textId="77777777" w:rsidR="00527BD4" w:rsidRPr="00217880" w:rsidRDefault="00527BD4" w:rsidP="008C356D">
    <w:pPr>
      <w:spacing w:line="0" w:lineRule="atLeast"/>
      <w:rPr>
        <w:sz w:val="2"/>
        <w:szCs w:val="2"/>
      </w:rPr>
    </w:pPr>
  </w:p>
  <w:p w14:paraId="18383982" w14:textId="77777777" w:rsidR="00527BD4" w:rsidRDefault="00527BD4" w:rsidP="004F44C2">
    <w:pPr>
      <w:pStyle w:val="Koptekst"/>
      <w:rPr>
        <w:rFonts w:cs="Verdana-Bold"/>
        <w:b/>
        <w:bCs/>
        <w:smallCaps/>
        <w:szCs w:val="18"/>
      </w:rPr>
    </w:pPr>
  </w:p>
  <w:p w14:paraId="4002F9E2" w14:textId="77777777" w:rsidR="00527BD4" w:rsidRDefault="00527BD4" w:rsidP="004F44C2"/>
  <w:p w14:paraId="4D391BC8" w14:textId="77777777" w:rsidR="00527BD4" w:rsidRPr="00740712" w:rsidRDefault="00527BD4" w:rsidP="004F44C2"/>
  <w:p w14:paraId="22EBA8D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E5A09" w14:paraId="729BAE1A" w14:textId="77777777" w:rsidTr="00751A6A">
      <w:trPr>
        <w:trHeight w:val="2636"/>
      </w:trPr>
      <w:tc>
        <w:tcPr>
          <w:tcW w:w="737" w:type="dxa"/>
          <w:shd w:val="clear" w:color="auto" w:fill="auto"/>
        </w:tcPr>
        <w:p w14:paraId="500A6A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AA208F4" w14:textId="77777777" w:rsidR="00527BD4" w:rsidRDefault="002A460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B7C1E6E" wp14:editId="33A81E9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53E504E" w14:textId="77777777" w:rsidR="007269E3" w:rsidRDefault="007269E3" w:rsidP="00651CEE">
          <w:pPr>
            <w:framePr w:w="6340" w:h="2750" w:hRule="exact" w:hSpace="180" w:wrap="around" w:vAnchor="page" w:hAnchor="text" w:x="3873" w:y="-140"/>
            <w:spacing w:line="240" w:lineRule="auto"/>
          </w:pPr>
        </w:p>
      </w:tc>
    </w:tr>
  </w:tbl>
  <w:p w14:paraId="59731FB1" w14:textId="77777777" w:rsidR="00527BD4" w:rsidRDefault="00527BD4" w:rsidP="00D0609E">
    <w:pPr>
      <w:framePr w:w="6340" w:h="2750" w:hRule="exact" w:hSpace="180" w:wrap="around" w:vAnchor="page" w:hAnchor="text" w:x="3873" w:y="-140"/>
    </w:pPr>
  </w:p>
  <w:p w14:paraId="3093BA1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5A09" w14:paraId="3F196C5A" w14:textId="77777777" w:rsidTr="00A50CF6">
      <w:tc>
        <w:tcPr>
          <w:tcW w:w="2160" w:type="dxa"/>
          <w:shd w:val="clear" w:color="auto" w:fill="auto"/>
        </w:tcPr>
        <w:p w14:paraId="2E56062D" w14:textId="77777777" w:rsidR="00527BD4" w:rsidRPr="005819CE" w:rsidRDefault="002A4607" w:rsidP="00A50CF6">
          <w:pPr>
            <w:pStyle w:val="Huisstijl-Adres"/>
            <w:rPr>
              <w:b/>
            </w:rPr>
          </w:pPr>
          <w:r>
            <w:rPr>
              <w:b/>
            </w:rPr>
            <w:t>Directoraat-generaal Bedrijfsleven &amp; Innovatie</w:t>
          </w:r>
          <w:r w:rsidRPr="005819CE">
            <w:rPr>
              <w:b/>
            </w:rPr>
            <w:br/>
          </w:r>
        </w:p>
        <w:p w14:paraId="3537CAAF" w14:textId="77777777" w:rsidR="00527BD4" w:rsidRPr="00BE5ED9" w:rsidRDefault="002A4607" w:rsidP="00A50CF6">
          <w:pPr>
            <w:pStyle w:val="Huisstijl-Adres"/>
          </w:pPr>
          <w:r>
            <w:rPr>
              <w:b/>
            </w:rPr>
            <w:t>Bezoekadres</w:t>
          </w:r>
          <w:r>
            <w:rPr>
              <w:b/>
            </w:rPr>
            <w:br/>
          </w:r>
          <w:r>
            <w:t>Bezuidenhoutseweg 73</w:t>
          </w:r>
          <w:r w:rsidRPr="005819CE">
            <w:br/>
          </w:r>
          <w:r>
            <w:t>2594 AC Den Haag</w:t>
          </w:r>
        </w:p>
        <w:p w14:paraId="3867695A" w14:textId="77777777" w:rsidR="00EF495B" w:rsidRDefault="002A4607" w:rsidP="0098788A">
          <w:pPr>
            <w:pStyle w:val="Huisstijl-Adres"/>
          </w:pPr>
          <w:r>
            <w:rPr>
              <w:b/>
            </w:rPr>
            <w:t>Postadres</w:t>
          </w:r>
          <w:r>
            <w:rPr>
              <w:b/>
            </w:rPr>
            <w:br/>
          </w:r>
          <w:r>
            <w:t>Postbus 20401</w:t>
          </w:r>
          <w:r w:rsidRPr="005819CE">
            <w:br/>
            <w:t>2500 E</w:t>
          </w:r>
          <w:r>
            <w:t>K</w:t>
          </w:r>
          <w:r w:rsidRPr="005819CE">
            <w:t xml:space="preserve"> Den Haag</w:t>
          </w:r>
        </w:p>
        <w:p w14:paraId="72416A00" w14:textId="77777777" w:rsidR="00EF495B" w:rsidRPr="005B3814" w:rsidRDefault="002A4607" w:rsidP="0098788A">
          <w:pPr>
            <w:pStyle w:val="Huisstijl-Adres"/>
          </w:pPr>
          <w:r>
            <w:rPr>
              <w:b/>
            </w:rPr>
            <w:t>Overheidsidentificatienr</w:t>
          </w:r>
          <w:r>
            <w:rPr>
              <w:b/>
            </w:rPr>
            <w:br/>
          </w:r>
          <w:r w:rsidRPr="005B3814">
            <w:t>00000001003214369000</w:t>
          </w:r>
        </w:p>
        <w:p w14:paraId="74215DD3" w14:textId="7010C2DB" w:rsidR="00527BD4" w:rsidRPr="00D54C5D" w:rsidRDefault="002A460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E5A09" w14:paraId="3E5C7822" w14:textId="77777777" w:rsidTr="00D54C5D">
      <w:trPr>
        <w:trHeight w:hRule="exact" w:val="80"/>
      </w:trPr>
      <w:tc>
        <w:tcPr>
          <w:tcW w:w="2160" w:type="dxa"/>
          <w:shd w:val="clear" w:color="auto" w:fill="auto"/>
        </w:tcPr>
        <w:p w14:paraId="4D5E868C" w14:textId="77777777" w:rsidR="00527BD4" w:rsidRPr="005819CE" w:rsidRDefault="00527BD4" w:rsidP="00A50CF6"/>
      </w:tc>
    </w:tr>
    <w:tr w:rsidR="007E5A09" w14:paraId="30B9E4EF" w14:textId="77777777" w:rsidTr="00A50CF6">
      <w:tc>
        <w:tcPr>
          <w:tcW w:w="2160" w:type="dxa"/>
          <w:shd w:val="clear" w:color="auto" w:fill="auto"/>
        </w:tcPr>
        <w:p w14:paraId="7C7990EE" w14:textId="77777777" w:rsidR="000C0163" w:rsidRPr="005819CE" w:rsidRDefault="002A4607" w:rsidP="000C0163">
          <w:pPr>
            <w:pStyle w:val="Huisstijl-Kopje"/>
          </w:pPr>
          <w:r>
            <w:t>Ons kenmerk</w:t>
          </w:r>
          <w:r w:rsidRPr="005819CE">
            <w:t xml:space="preserve"> </w:t>
          </w:r>
        </w:p>
        <w:p w14:paraId="5EB9FFD5" w14:textId="10AC5D7E" w:rsidR="000C0163" w:rsidRPr="005819CE" w:rsidRDefault="002A4607" w:rsidP="000C0163">
          <w:pPr>
            <w:pStyle w:val="Huisstijl-Gegeven"/>
          </w:pPr>
          <w:r>
            <w:t>DGBI</w:t>
          </w:r>
          <w:r w:rsidR="00926AE2">
            <w:t xml:space="preserve"> / </w:t>
          </w:r>
          <w:r w:rsidR="00F61424">
            <w:rPr>
              <w:b/>
            </w:rPr>
            <w:t xml:space="preserve"> </w:t>
          </w:r>
          <w:sdt>
            <w:sdtPr>
              <w:rPr>
                <w:b/>
              </w:rPr>
              <w:alias w:val="documentId"/>
              <w:id w:val="-262545166"/>
              <w:placeholder>
                <w:docPart w:val="43FEC7EE496B4008BAAAA6C7B1485636"/>
              </w:placeholder>
            </w:sdtPr>
            <w:sdtEndPr/>
            <w:sdtContent>
              <w:fldSimple w:instr=" DOCPROPERTY  &quot;documentId&quot;  \* MERGEFORMAT ">
                <w:r w:rsidR="00F61424">
                  <w:t>86876940</w:t>
                </w:r>
              </w:fldSimple>
            </w:sdtContent>
          </w:sdt>
        </w:p>
        <w:p w14:paraId="71538EE9" w14:textId="77777777" w:rsidR="00527BD4" w:rsidRPr="005819CE" w:rsidRDefault="002A4607" w:rsidP="00A50CF6">
          <w:pPr>
            <w:pStyle w:val="Huisstijl-Kopje"/>
          </w:pPr>
          <w:r>
            <w:t>Bijlage(n)</w:t>
          </w:r>
        </w:p>
        <w:p w14:paraId="2D9E65F3" w14:textId="77777777" w:rsidR="00527BD4" w:rsidRPr="005819CE" w:rsidRDefault="002A4607" w:rsidP="00A50CF6">
          <w:pPr>
            <w:pStyle w:val="Huisstijl-Gegeven"/>
          </w:pPr>
          <w:r>
            <w:t>1</w:t>
          </w:r>
        </w:p>
      </w:tc>
    </w:tr>
  </w:tbl>
  <w:p w14:paraId="66906D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E5A09" w14:paraId="38A4C964" w14:textId="77777777" w:rsidTr="007610AA">
      <w:trPr>
        <w:trHeight w:val="400"/>
      </w:trPr>
      <w:tc>
        <w:tcPr>
          <w:tcW w:w="7520" w:type="dxa"/>
          <w:gridSpan w:val="2"/>
          <w:shd w:val="clear" w:color="auto" w:fill="auto"/>
        </w:tcPr>
        <w:p w14:paraId="4DC5CF0B" w14:textId="77777777" w:rsidR="00527BD4" w:rsidRPr="00BC3B53" w:rsidRDefault="002A4607" w:rsidP="00A50CF6">
          <w:pPr>
            <w:pStyle w:val="Huisstijl-Retouradres"/>
          </w:pPr>
          <w:r>
            <w:t>&gt; Retouradres Postbus 20401 2500 EK Den Haag</w:t>
          </w:r>
        </w:p>
      </w:tc>
    </w:tr>
    <w:tr w:rsidR="007E5A09" w14:paraId="2BA175FD" w14:textId="77777777" w:rsidTr="007610AA">
      <w:tc>
        <w:tcPr>
          <w:tcW w:w="7520" w:type="dxa"/>
          <w:gridSpan w:val="2"/>
          <w:shd w:val="clear" w:color="auto" w:fill="auto"/>
        </w:tcPr>
        <w:p w14:paraId="24CEC67D" w14:textId="77777777" w:rsidR="00527BD4" w:rsidRPr="00983E8F" w:rsidRDefault="00527BD4" w:rsidP="00A50CF6">
          <w:pPr>
            <w:pStyle w:val="Huisstijl-Rubricering"/>
          </w:pPr>
        </w:p>
      </w:tc>
    </w:tr>
    <w:tr w:rsidR="007E5A09" w14:paraId="439BA37A" w14:textId="77777777" w:rsidTr="007610AA">
      <w:trPr>
        <w:trHeight w:hRule="exact" w:val="2440"/>
      </w:trPr>
      <w:tc>
        <w:tcPr>
          <w:tcW w:w="7520" w:type="dxa"/>
          <w:gridSpan w:val="2"/>
          <w:shd w:val="clear" w:color="auto" w:fill="auto"/>
        </w:tcPr>
        <w:p w14:paraId="3F57D286" w14:textId="77777777" w:rsidR="003922BD" w:rsidRDefault="003922BD" w:rsidP="003922BD">
          <w:pPr>
            <w:pStyle w:val="Huisstijl-NAW"/>
          </w:pPr>
          <w:r>
            <w:t xml:space="preserve">De Voorzitter van de Tweede Kamer </w:t>
          </w:r>
        </w:p>
        <w:p w14:paraId="27343A18" w14:textId="77777777" w:rsidR="003922BD" w:rsidRDefault="003922BD" w:rsidP="003922BD">
          <w:pPr>
            <w:pStyle w:val="Huisstijl-NAW"/>
          </w:pPr>
          <w:r>
            <w:t>der Staten Generaal</w:t>
          </w:r>
        </w:p>
        <w:p w14:paraId="19A57546" w14:textId="77777777" w:rsidR="003922BD" w:rsidRDefault="003922BD" w:rsidP="003922BD">
          <w:pPr>
            <w:pStyle w:val="Huisstijl-NAW"/>
          </w:pPr>
          <w:r>
            <w:t>Prinses Irenestraat 6</w:t>
          </w:r>
        </w:p>
        <w:p w14:paraId="6C3836CF" w14:textId="55536531" w:rsidR="00527BD4" w:rsidRDefault="003922BD" w:rsidP="003922BD">
          <w:pPr>
            <w:pStyle w:val="Huisstijl-NAW"/>
          </w:pPr>
          <w:r>
            <w:t xml:space="preserve">2595 BD </w:t>
          </w:r>
          <w:r w:rsidR="00B61411">
            <w:t xml:space="preserve"> </w:t>
          </w:r>
          <w:r>
            <w:t xml:space="preserve">Den Haag </w:t>
          </w:r>
        </w:p>
      </w:tc>
    </w:tr>
    <w:tr w:rsidR="007E5A09" w14:paraId="2DCA4DA3" w14:textId="77777777" w:rsidTr="007610AA">
      <w:trPr>
        <w:trHeight w:hRule="exact" w:val="400"/>
      </w:trPr>
      <w:tc>
        <w:tcPr>
          <w:tcW w:w="7520" w:type="dxa"/>
          <w:gridSpan w:val="2"/>
          <w:shd w:val="clear" w:color="auto" w:fill="auto"/>
        </w:tcPr>
        <w:p w14:paraId="44DB57F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E5A09" w14:paraId="3FDA2244" w14:textId="77777777" w:rsidTr="007610AA">
      <w:trPr>
        <w:trHeight w:val="240"/>
      </w:trPr>
      <w:tc>
        <w:tcPr>
          <w:tcW w:w="900" w:type="dxa"/>
          <w:shd w:val="clear" w:color="auto" w:fill="auto"/>
        </w:tcPr>
        <w:p w14:paraId="451134D1" w14:textId="77777777" w:rsidR="00527BD4" w:rsidRPr="007709EF" w:rsidRDefault="002A4607" w:rsidP="00A50CF6">
          <w:pPr>
            <w:rPr>
              <w:szCs w:val="18"/>
            </w:rPr>
          </w:pPr>
          <w:r>
            <w:rPr>
              <w:szCs w:val="18"/>
            </w:rPr>
            <w:t>Datum</w:t>
          </w:r>
        </w:p>
      </w:tc>
      <w:tc>
        <w:tcPr>
          <w:tcW w:w="6620" w:type="dxa"/>
          <w:shd w:val="clear" w:color="auto" w:fill="auto"/>
        </w:tcPr>
        <w:p w14:paraId="4023FE28" w14:textId="78A582C4" w:rsidR="00527BD4" w:rsidRPr="00E41A72" w:rsidRDefault="00B61411" w:rsidP="00A50CF6">
          <w:r>
            <w:t>17 september 2024</w:t>
          </w:r>
        </w:p>
      </w:tc>
    </w:tr>
    <w:tr w:rsidR="007E5A09" w14:paraId="24F75600" w14:textId="77777777" w:rsidTr="007610AA">
      <w:trPr>
        <w:trHeight w:val="240"/>
      </w:trPr>
      <w:tc>
        <w:tcPr>
          <w:tcW w:w="900" w:type="dxa"/>
          <w:shd w:val="clear" w:color="auto" w:fill="auto"/>
        </w:tcPr>
        <w:p w14:paraId="2E616D76" w14:textId="77777777" w:rsidR="00527BD4" w:rsidRPr="007709EF" w:rsidRDefault="002A4607" w:rsidP="00A50CF6">
          <w:pPr>
            <w:rPr>
              <w:szCs w:val="18"/>
            </w:rPr>
          </w:pPr>
          <w:r>
            <w:rPr>
              <w:szCs w:val="18"/>
            </w:rPr>
            <w:t>Betreft</w:t>
          </w:r>
        </w:p>
      </w:tc>
      <w:tc>
        <w:tcPr>
          <w:tcW w:w="6620" w:type="dxa"/>
          <w:shd w:val="clear" w:color="auto" w:fill="auto"/>
        </w:tcPr>
        <w:p w14:paraId="6AB10AC7" w14:textId="77777777" w:rsidR="00527BD4" w:rsidRPr="007709EF" w:rsidRDefault="002A4607" w:rsidP="00A50CF6">
          <w:r>
            <w:t>WBSO in 2025</w:t>
          </w:r>
        </w:p>
      </w:tc>
    </w:tr>
  </w:tbl>
  <w:p w14:paraId="3FAB12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896D042">
      <w:start w:val="1"/>
      <w:numFmt w:val="bullet"/>
      <w:pStyle w:val="Lijstopsomteken"/>
      <w:lvlText w:val="•"/>
      <w:lvlJc w:val="left"/>
      <w:pPr>
        <w:tabs>
          <w:tab w:val="num" w:pos="227"/>
        </w:tabs>
        <w:ind w:left="227" w:hanging="227"/>
      </w:pPr>
      <w:rPr>
        <w:rFonts w:ascii="Verdana" w:hAnsi="Verdana" w:hint="default"/>
        <w:sz w:val="18"/>
        <w:szCs w:val="18"/>
      </w:rPr>
    </w:lvl>
    <w:lvl w:ilvl="1" w:tplc="26363014" w:tentative="1">
      <w:start w:val="1"/>
      <w:numFmt w:val="bullet"/>
      <w:lvlText w:val="o"/>
      <w:lvlJc w:val="left"/>
      <w:pPr>
        <w:tabs>
          <w:tab w:val="num" w:pos="1440"/>
        </w:tabs>
        <w:ind w:left="1440" w:hanging="360"/>
      </w:pPr>
      <w:rPr>
        <w:rFonts w:ascii="Courier New" w:hAnsi="Courier New" w:cs="Courier New" w:hint="default"/>
      </w:rPr>
    </w:lvl>
    <w:lvl w:ilvl="2" w:tplc="C72218C2" w:tentative="1">
      <w:start w:val="1"/>
      <w:numFmt w:val="bullet"/>
      <w:lvlText w:val=""/>
      <w:lvlJc w:val="left"/>
      <w:pPr>
        <w:tabs>
          <w:tab w:val="num" w:pos="2160"/>
        </w:tabs>
        <w:ind w:left="2160" w:hanging="360"/>
      </w:pPr>
      <w:rPr>
        <w:rFonts w:ascii="Wingdings" w:hAnsi="Wingdings" w:hint="default"/>
      </w:rPr>
    </w:lvl>
    <w:lvl w:ilvl="3" w:tplc="1D244112" w:tentative="1">
      <w:start w:val="1"/>
      <w:numFmt w:val="bullet"/>
      <w:lvlText w:val=""/>
      <w:lvlJc w:val="left"/>
      <w:pPr>
        <w:tabs>
          <w:tab w:val="num" w:pos="2880"/>
        </w:tabs>
        <w:ind w:left="2880" w:hanging="360"/>
      </w:pPr>
      <w:rPr>
        <w:rFonts w:ascii="Symbol" w:hAnsi="Symbol" w:hint="default"/>
      </w:rPr>
    </w:lvl>
    <w:lvl w:ilvl="4" w:tplc="C6C40332" w:tentative="1">
      <w:start w:val="1"/>
      <w:numFmt w:val="bullet"/>
      <w:lvlText w:val="o"/>
      <w:lvlJc w:val="left"/>
      <w:pPr>
        <w:tabs>
          <w:tab w:val="num" w:pos="3600"/>
        </w:tabs>
        <w:ind w:left="3600" w:hanging="360"/>
      </w:pPr>
      <w:rPr>
        <w:rFonts w:ascii="Courier New" w:hAnsi="Courier New" w:cs="Courier New" w:hint="default"/>
      </w:rPr>
    </w:lvl>
    <w:lvl w:ilvl="5" w:tplc="02086342" w:tentative="1">
      <w:start w:val="1"/>
      <w:numFmt w:val="bullet"/>
      <w:lvlText w:val=""/>
      <w:lvlJc w:val="left"/>
      <w:pPr>
        <w:tabs>
          <w:tab w:val="num" w:pos="4320"/>
        </w:tabs>
        <w:ind w:left="4320" w:hanging="360"/>
      </w:pPr>
      <w:rPr>
        <w:rFonts w:ascii="Wingdings" w:hAnsi="Wingdings" w:hint="default"/>
      </w:rPr>
    </w:lvl>
    <w:lvl w:ilvl="6" w:tplc="3C725878" w:tentative="1">
      <w:start w:val="1"/>
      <w:numFmt w:val="bullet"/>
      <w:lvlText w:val=""/>
      <w:lvlJc w:val="left"/>
      <w:pPr>
        <w:tabs>
          <w:tab w:val="num" w:pos="5040"/>
        </w:tabs>
        <w:ind w:left="5040" w:hanging="360"/>
      </w:pPr>
      <w:rPr>
        <w:rFonts w:ascii="Symbol" w:hAnsi="Symbol" w:hint="default"/>
      </w:rPr>
    </w:lvl>
    <w:lvl w:ilvl="7" w:tplc="632C2B4A" w:tentative="1">
      <w:start w:val="1"/>
      <w:numFmt w:val="bullet"/>
      <w:lvlText w:val="o"/>
      <w:lvlJc w:val="left"/>
      <w:pPr>
        <w:tabs>
          <w:tab w:val="num" w:pos="5760"/>
        </w:tabs>
        <w:ind w:left="5760" w:hanging="360"/>
      </w:pPr>
      <w:rPr>
        <w:rFonts w:ascii="Courier New" w:hAnsi="Courier New" w:cs="Courier New" w:hint="default"/>
      </w:rPr>
    </w:lvl>
    <w:lvl w:ilvl="8" w:tplc="3710C8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200236A">
      <w:start w:val="1"/>
      <w:numFmt w:val="bullet"/>
      <w:pStyle w:val="Lijstopsomteken2"/>
      <w:lvlText w:val="–"/>
      <w:lvlJc w:val="left"/>
      <w:pPr>
        <w:tabs>
          <w:tab w:val="num" w:pos="227"/>
        </w:tabs>
        <w:ind w:left="227" w:firstLine="0"/>
      </w:pPr>
      <w:rPr>
        <w:rFonts w:ascii="Verdana" w:hAnsi="Verdana" w:hint="default"/>
      </w:rPr>
    </w:lvl>
    <w:lvl w:ilvl="1" w:tplc="F70641D4" w:tentative="1">
      <w:start w:val="1"/>
      <w:numFmt w:val="bullet"/>
      <w:lvlText w:val="o"/>
      <w:lvlJc w:val="left"/>
      <w:pPr>
        <w:tabs>
          <w:tab w:val="num" w:pos="1440"/>
        </w:tabs>
        <w:ind w:left="1440" w:hanging="360"/>
      </w:pPr>
      <w:rPr>
        <w:rFonts w:ascii="Courier New" w:hAnsi="Courier New" w:cs="Courier New" w:hint="default"/>
      </w:rPr>
    </w:lvl>
    <w:lvl w:ilvl="2" w:tplc="F734285C" w:tentative="1">
      <w:start w:val="1"/>
      <w:numFmt w:val="bullet"/>
      <w:lvlText w:val=""/>
      <w:lvlJc w:val="left"/>
      <w:pPr>
        <w:tabs>
          <w:tab w:val="num" w:pos="2160"/>
        </w:tabs>
        <w:ind w:left="2160" w:hanging="360"/>
      </w:pPr>
      <w:rPr>
        <w:rFonts w:ascii="Wingdings" w:hAnsi="Wingdings" w:hint="default"/>
      </w:rPr>
    </w:lvl>
    <w:lvl w:ilvl="3" w:tplc="C7A80F1C" w:tentative="1">
      <w:start w:val="1"/>
      <w:numFmt w:val="bullet"/>
      <w:lvlText w:val=""/>
      <w:lvlJc w:val="left"/>
      <w:pPr>
        <w:tabs>
          <w:tab w:val="num" w:pos="2880"/>
        </w:tabs>
        <w:ind w:left="2880" w:hanging="360"/>
      </w:pPr>
      <w:rPr>
        <w:rFonts w:ascii="Symbol" w:hAnsi="Symbol" w:hint="default"/>
      </w:rPr>
    </w:lvl>
    <w:lvl w:ilvl="4" w:tplc="ED5A42CC" w:tentative="1">
      <w:start w:val="1"/>
      <w:numFmt w:val="bullet"/>
      <w:lvlText w:val="o"/>
      <w:lvlJc w:val="left"/>
      <w:pPr>
        <w:tabs>
          <w:tab w:val="num" w:pos="3600"/>
        </w:tabs>
        <w:ind w:left="3600" w:hanging="360"/>
      </w:pPr>
      <w:rPr>
        <w:rFonts w:ascii="Courier New" w:hAnsi="Courier New" w:cs="Courier New" w:hint="default"/>
      </w:rPr>
    </w:lvl>
    <w:lvl w:ilvl="5" w:tplc="20C6CEBC" w:tentative="1">
      <w:start w:val="1"/>
      <w:numFmt w:val="bullet"/>
      <w:lvlText w:val=""/>
      <w:lvlJc w:val="left"/>
      <w:pPr>
        <w:tabs>
          <w:tab w:val="num" w:pos="4320"/>
        </w:tabs>
        <w:ind w:left="4320" w:hanging="360"/>
      </w:pPr>
      <w:rPr>
        <w:rFonts w:ascii="Wingdings" w:hAnsi="Wingdings" w:hint="default"/>
      </w:rPr>
    </w:lvl>
    <w:lvl w:ilvl="6" w:tplc="A6DE1028" w:tentative="1">
      <w:start w:val="1"/>
      <w:numFmt w:val="bullet"/>
      <w:lvlText w:val=""/>
      <w:lvlJc w:val="left"/>
      <w:pPr>
        <w:tabs>
          <w:tab w:val="num" w:pos="5040"/>
        </w:tabs>
        <w:ind w:left="5040" w:hanging="360"/>
      </w:pPr>
      <w:rPr>
        <w:rFonts w:ascii="Symbol" w:hAnsi="Symbol" w:hint="default"/>
      </w:rPr>
    </w:lvl>
    <w:lvl w:ilvl="7" w:tplc="12A8F2E4" w:tentative="1">
      <w:start w:val="1"/>
      <w:numFmt w:val="bullet"/>
      <w:lvlText w:val="o"/>
      <w:lvlJc w:val="left"/>
      <w:pPr>
        <w:tabs>
          <w:tab w:val="num" w:pos="5760"/>
        </w:tabs>
        <w:ind w:left="5760" w:hanging="360"/>
      </w:pPr>
      <w:rPr>
        <w:rFonts w:ascii="Courier New" w:hAnsi="Courier New" w:cs="Courier New" w:hint="default"/>
      </w:rPr>
    </w:lvl>
    <w:lvl w:ilvl="8" w:tplc="D6AC30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458401">
    <w:abstractNumId w:val="10"/>
  </w:num>
  <w:num w:numId="2" w16cid:durableId="625041323">
    <w:abstractNumId w:val="7"/>
  </w:num>
  <w:num w:numId="3" w16cid:durableId="510068751">
    <w:abstractNumId w:val="6"/>
  </w:num>
  <w:num w:numId="4" w16cid:durableId="2047176931">
    <w:abstractNumId w:val="5"/>
  </w:num>
  <w:num w:numId="5" w16cid:durableId="465319952">
    <w:abstractNumId w:val="4"/>
  </w:num>
  <w:num w:numId="6" w16cid:durableId="452020315">
    <w:abstractNumId w:val="8"/>
  </w:num>
  <w:num w:numId="7" w16cid:durableId="645819723">
    <w:abstractNumId w:val="3"/>
  </w:num>
  <w:num w:numId="8" w16cid:durableId="1316228165">
    <w:abstractNumId w:val="2"/>
  </w:num>
  <w:num w:numId="9" w16cid:durableId="1820880248">
    <w:abstractNumId w:val="1"/>
  </w:num>
  <w:num w:numId="10" w16cid:durableId="809711128">
    <w:abstractNumId w:val="0"/>
  </w:num>
  <w:num w:numId="11" w16cid:durableId="1507868516">
    <w:abstractNumId w:val="9"/>
  </w:num>
  <w:num w:numId="12" w16cid:durableId="386689547">
    <w:abstractNumId w:val="11"/>
  </w:num>
  <w:num w:numId="13" w16cid:durableId="2063744611">
    <w:abstractNumId w:val="13"/>
  </w:num>
  <w:num w:numId="14" w16cid:durableId="149090441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04E0"/>
    <w:rsid w:val="00033CDD"/>
    <w:rsid w:val="00034A84"/>
    <w:rsid w:val="00035E67"/>
    <w:rsid w:val="000366F3"/>
    <w:rsid w:val="00040BAD"/>
    <w:rsid w:val="00042A5B"/>
    <w:rsid w:val="00043E6C"/>
    <w:rsid w:val="0005165F"/>
    <w:rsid w:val="00054A2E"/>
    <w:rsid w:val="0006024D"/>
    <w:rsid w:val="0006263A"/>
    <w:rsid w:val="00071F28"/>
    <w:rsid w:val="00074079"/>
    <w:rsid w:val="00092799"/>
    <w:rsid w:val="00092C5F"/>
    <w:rsid w:val="000947BE"/>
    <w:rsid w:val="00096680"/>
    <w:rsid w:val="000A0F36"/>
    <w:rsid w:val="000A174A"/>
    <w:rsid w:val="000A3E0A"/>
    <w:rsid w:val="000A4040"/>
    <w:rsid w:val="000A4AF0"/>
    <w:rsid w:val="000A65AC"/>
    <w:rsid w:val="000A7159"/>
    <w:rsid w:val="000B7281"/>
    <w:rsid w:val="000B7FAB"/>
    <w:rsid w:val="000C0163"/>
    <w:rsid w:val="000C1BA1"/>
    <w:rsid w:val="000C3EA9"/>
    <w:rsid w:val="000C690B"/>
    <w:rsid w:val="000D0225"/>
    <w:rsid w:val="000D0516"/>
    <w:rsid w:val="000E0E5E"/>
    <w:rsid w:val="000E7895"/>
    <w:rsid w:val="000F161D"/>
    <w:rsid w:val="000F3CAA"/>
    <w:rsid w:val="00102ABB"/>
    <w:rsid w:val="00121BF0"/>
    <w:rsid w:val="00123704"/>
    <w:rsid w:val="001267EE"/>
    <w:rsid w:val="001270C7"/>
    <w:rsid w:val="0013005C"/>
    <w:rsid w:val="00132540"/>
    <w:rsid w:val="00133F0F"/>
    <w:rsid w:val="0014786A"/>
    <w:rsid w:val="001516A4"/>
    <w:rsid w:val="00151E5F"/>
    <w:rsid w:val="00153E28"/>
    <w:rsid w:val="001569AB"/>
    <w:rsid w:val="001576DC"/>
    <w:rsid w:val="00157AD9"/>
    <w:rsid w:val="00164D63"/>
    <w:rsid w:val="0016725C"/>
    <w:rsid w:val="001726F3"/>
    <w:rsid w:val="00173C51"/>
    <w:rsid w:val="00174CC2"/>
    <w:rsid w:val="00176CC6"/>
    <w:rsid w:val="00181BE4"/>
    <w:rsid w:val="00185576"/>
    <w:rsid w:val="00185951"/>
    <w:rsid w:val="00196B8B"/>
    <w:rsid w:val="001A2BEA"/>
    <w:rsid w:val="001A6D93"/>
    <w:rsid w:val="001B1B0D"/>
    <w:rsid w:val="001C32EC"/>
    <w:rsid w:val="001C38BD"/>
    <w:rsid w:val="001C4D5A"/>
    <w:rsid w:val="001D3EC2"/>
    <w:rsid w:val="001E34C6"/>
    <w:rsid w:val="001E3665"/>
    <w:rsid w:val="001E5581"/>
    <w:rsid w:val="001F3C70"/>
    <w:rsid w:val="00200D88"/>
    <w:rsid w:val="00201F68"/>
    <w:rsid w:val="00203290"/>
    <w:rsid w:val="00206133"/>
    <w:rsid w:val="00210E04"/>
    <w:rsid w:val="00212F2A"/>
    <w:rsid w:val="00214F2B"/>
    <w:rsid w:val="00217880"/>
    <w:rsid w:val="00222D66"/>
    <w:rsid w:val="00224A8A"/>
    <w:rsid w:val="002309A8"/>
    <w:rsid w:val="002369BF"/>
    <w:rsid w:val="00236CFE"/>
    <w:rsid w:val="00240345"/>
    <w:rsid w:val="002428E3"/>
    <w:rsid w:val="00243031"/>
    <w:rsid w:val="00251C17"/>
    <w:rsid w:val="0025376A"/>
    <w:rsid w:val="00260BAF"/>
    <w:rsid w:val="00261C0E"/>
    <w:rsid w:val="002650F7"/>
    <w:rsid w:val="00273F3B"/>
    <w:rsid w:val="00274DB7"/>
    <w:rsid w:val="00275984"/>
    <w:rsid w:val="00276781"/>
    <w:rsid w:val="00280F74"/>
    <w:rsid w:val="00281848"/>
    <w:rsid w:val="002822CA"/>
    <w:rsid w:val="00286998"/>
    <w:rsid w:val="00291AB7"/>
    <w:rsid w:val="00292EB2"/>
    <w:rsid w:val="0029422B"/>
    <w:rsid w:val="00297C27"/>
    <w:rsid w:val="002A0938"/>
    <w:rsid w:val="002A4108"/>
    <w:rsid w:val="002A4607"/>
    <w:rsid w:val="002B153C"/>
    <w:rsid w:val="002B52FC"/>
    <w:rsid w:val="002C2830"/>
    <w:rsid w:val="002D001A"/>
    <w:rsid w:val="002D28E2"/>
    <w:rsid w:val="002D317B"/>
    <w:rsid w:val="002D3587"/>
    <w:rsid w:val="002D502D"/>
    <w:rsid w:val="002D6B22"/>
    <w:rsid w:val="002E0F69"/>
    <w:rsid w:val="002F5147"/>
    <w:rsid w:val="002F7ABD"/>
    <w:rsid w:val="00312597"/>
    <w:rsid w:val="003137C9"/>
    <w:rsid w:val="00327BA5"/>
    <w:rsid w:val="0033326F"/>
    <w:rsid w:val="00334154"/>
    <w:rsid w:val="003372C4"/>
    <w:rsid w:val="003401B9"/>
    <w:rsid w:val="00340ECA"/>
    <w:rsid w:val="00341FA0"/>
    <w:rsid w:val="00342A47"/>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14E2"/>
    <w:rsid w:val="00383DA1"/>
    <w:rsid w:val="00385310"/>
    <w:rsid w:val="00385F30"/>
    <w:rsid w:val="003922BD"/>
    <w:rsid w:val="00393696"/>
    <w:rsid w:val="00393963"/>
    <w:rsid w:val="003941B9"/>
    <w:rsid w:val="00395575"/>
    <w:rsid w:val="00395672"/>
    <w:rsid w:val="003A06C8"/>
    <w:rsid w:val="003A0D7C"/>
    <w:rsid w:val="003A5290"/>
    <w:rsid w:val="003B0155"/>
    <w:rsid w:val="003B08C9"/>
    <w:rsid w:val="003B7EE7"/>
    <w:rsid w:val="003C2CCB"/>
    <w:rsid w:val="003D1964"/>
    <w:rsid w:val="003D39EC"/>
    <w:rsid w:val="003D5DED"/>
    <w:rsid w:val="003E3DD5"/>
    <w:rsid w:val="003E5F87"/>
    <w:rsid w:val="003F07C6"/>
    <w:rsid w:val="003F1F6B"/>
    <w:rsid w:val="003F264D"/>
    <w:rsid w:val="003F32B5"/>
    <w:rsid w:val="003F3757"/>
    <w:rsid w:val="003F38BD"/>
    <w:rsid w:val="003F44B7"/>
    <w:rsid w:val="004008E9"/>
    <w:rsid w:val="00413D48"/>
    <w:rsid w:val="00435723"/>
    <w:rsid w:val="00441AC2"/>
    <w:rsid w:val="0044249B"/>
    <w:rsid w:val="0045023C"/>
    <w:rsid w:val="00451A5B"/>
    <w:rsid w:val="00452BCD"/>
    <w:rsid w:val="00452CEA"/>
    <w:rsid w:val="00453E6B"/>
    <w:rsid w:val="00465B52"/>
    <w:rsid w:val="0046708E"/>
    <w:rsid w:val="00472A65"/>
    <w:rsid w:val="00474463"/>
    <w:rsid w:val="00474B75"/>
    <w:rsid w:val="00483F0B"/>
    <w:rsid w:val="00484B4F"/>
    <w:rsid w:val="00496319"/>
    <w:rsid w:val="00497279"/>
    <w:rsid w:val="004A163B"/>
    <w:rsid w:val="004A670A"/>
    <w:rsid w:val="004B429A"/>
    <w:rsid w:val="004B5465"/>
    <w:rsid w:val="004B70F0"/>
    <w:rsid w:val="004C21A8"/>
    <w:rsid w:val="004C7776"/>
    <w:rsid w:val="004D505E"/>
    <w:rsid w:val="004D72CA"/>
    <w:rsid w:val="004E2242"/>
    <w:rsid w:val="004E505E"/>
    <w:rsid w:val="004F42FF"/>
    <w:rsid w:val="004F44C2"/>
    <w:rsid w:val="00502512"/>
    <w:rsid w:val="00503FD2"/>
    <w:rsid w:val="00505262"/>
    <w:rsid w:val="0050714F"/>
    <w:rsid w:val="00511787"/>
    <w:rsid w:val="00516022"/>
    <w:rsid w:val="005213E4"/>
    <w:rsid w:val="00521CEE"/>
    <w:rsid w:val="00524FB4"/>
    <w:rsid w:val="00527BD4"/>
    <w:rsid w:val="00533061"/>
    <w:rsid w:val="00537095"/>
    <w:rsid w:val="005403C8"/>
    <w:rsid w:val="005429DC"/>
    <w:rsid w:val="0054438D"/>
    <w:rsid w:val="005565F9"/>
    <w:rsid w:val="005604EB"/>
    <w:rsid w:val="00564C85"/>
    <w:rsid w:val="00572B59"/>
    <w:rsid w:val="00573041"/>
    <w:rsid w:val="00575B80"/>
    <w:rsid w:val="0057620F"/>
    <w:rsid w:val="005819CE"/>
    <w:rsid w:val="0058298D"/>
    <w:rsid w:val="00584C1A"/>
    <w:rsid w:val="00591E4A"/>
    <w:rsid w:val="00593C2B"/>
    <w:rsid w:val="00595231"/>
    <w:rsid w:val="00595937"/>
    <w:rsid w:val="00596166"/>
    <w:rsid w:val="00597F64"/>
    <w:rsid w:val="005A08A2"/>
    <w:rsid w:val="005A207F"/>
    <w:rsid w:val="005A2F35"/>
    <w:rsid w:val="005A2FA0"/>
    <w:rsid w:val="005A6819"/>
    <w:rsid w:val="005B3814"/>
    <w:rsid w:val="005B463E"/>
    <w:rsid w:val="005C34E1"/>
    <w:rsid w:val="005C3FE0"/>
    <w:rsid w:val="005C65B5"/>
    <w:rsid w:val="005C740C"/>
    <w:rsid w:val="005D625B"/>
    <w:rsid w:val="005F08FE"/>
    <w:rsid w:val="005F62D3"/>
    <w:rsid w:val="005F6CFE"/>
    <w:rsid w:val="005F6D11"/>
    <w:rsid w:val="00600CF0"/>
    <w:rsid w:val="006048F4"/>
    <w:rsid w:val="0060660A"/>
    <w:rsid w:val="00613B1D"/>
    <w:rsid w:val="00617A44"/>
    <w:rsid w:val="006202B6"/>
    <w:rsid w:val="00625CD0"/>
    <w:rsid w:val="0062627D"/>
    <w:rsid w:val="00627432"/>
    <w:rsid w:val="0063503B"/>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D2C7B"/>
    <w:rsid w:val="006E3546"/>
    <w:rsid w:val="006E3FA9"/>
    <w:rsid w:val="006E7D82"/>
    <w:rsid w:val="006F038F"/>
    <w:rsid w:val="006F0F93"/>
    <w:rsid w:val="006F31F2"/>
    <w:rsid w:val="006F7494"/>
    <w:rsid w:val="006F751F"/>
    <w:rsid w:val="00705433"/>
    <w:rsid w:val="00710117"/>
    <w:rsid w:val="00714DC5"/>
    <w:rsid w:val="00715237"/>
    <w:rsid w:val="00721AE1"/>
    <w:rsid w:val="007254A5"/>
    <w:rsid w:val="00725748"/>
    <w:rsid w:val="007269E3"/>
    <w:rsid w:val="007271FE"/>
    <w:rsid w:val="00732B28"/>
    <w:rsid w:val="00733984"/>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D178C"/>
    <w:rsid w:val="007E0C22"/>
    <w:rsid w:val="007E2B20"/>
    <w:rsid w:val="007E5A09"/>
    <w:rsid w:val="007F0E53"/>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24DFC"/>
    <w:rsid w:val="00826E45"/>
    <w:rsid w:val="00830191"/>
    <w:rsid w:val="00830EAD"/>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867"/>
    <w:rsid w:val="00872271"/>
    <w:rsid w:val="00877705"/>
    <w:rsid w:val="00877C3A"/>
    <w:rsid w:val="00880A9A"/>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1B45"/>
    <w:rsid w:val="008E49AD"/>
    <w:rsid w:val="008E698E"/>
    <w:rsid w:val="008F2584"/>
    <w:rsid w:val="008F3246"/>
    <w:rsid w:val="008F3C1B"/>
    <w:rsid w:val="008F508C"/>
    <w:rsid w:val="00901BE9"/>
    <w:rsid w:val="0090271B"/>
    <w:rsid w:val="00910642"/>
    <w:rsid w:val="00910DDF"/>
    <w:rsid w:val="00912C97"/>
    <w:rsid w:val="0091607E"/>
    <w:rsid w:val="00922290"/>
    <w:rsid w:val="00922CEF"/>
    <w:rsid w:val="00926AE2"/>
    <w:rsid w:val="009301FA"/>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A6475"/>
    <w:rsid w:val="009B0138"/>
    <w:rsid w:val="009B0FE9"/>
    <w:rsid w:val="009B173A"/>
    <w:rsid w:val="009C3F20"/>
    <w:rsid w:val="009C7CA1"/>
    <w:rsid w:val="009D043D"/>
    <w:rsid w:val="009E3C59"/>
    <w:rsid w:val="009F3259"/>
    <w:rsid w:val="00A037D5"/>
    <w:rsid w:val="00A056DE"/>
    <w:rsid w:val="00A100B7"/>
    <w:rsid w:val="00A128AD"/>
    <w:rsid w:val="00A16D7E"/>
    <w:rsid w:val="00A21E76"/>
    <w:rsid w:val="00A23BC8"/>
    <w:rsid w:val="00A245F8"/>
    <w:rsid w:val="00A25E6D"/>
    <w:rsid w:val="00A30E68"/>
    <w:rsid w:val="00A31933"/>
    <w:rsid w:val="00A329D2"/>
    <w:rsid w:val="00A34AA0"/>
    <w:rsid w:val="00A3715C"/>
    <w:rsid w:val="00A413B4"/>
    <w:rsid w:val="00A41FE2"/>
    <w:rsid w:val="00A46FEF"/>
    <w:rsid w:val="00A47948"/>
    <w:rsid w:val="00A50CF6"/>
    <w:rsid w:val="00A51968"/>
    <w:rsid w:val="00A53335"/>
    <w:rsid w:val="00A56946"/>
    <w:rsid w:val="00A60D34"/>
    <w:rsid w:val="00A6170E"/>
    <w:rsid w:val="00A63B8C"/>
    <w:rsid w:val="00A65654"/>
    <w:rsid w:val="00A657E5"/>
    <w:rsid w:val="00A715F8"/>
    <w:rsid w:val="00A727B5"/>
    <w:rsid w:val="00A77F6F"/>
    <w:rsid w:val="00A831FD"/>
    <w:rsid w:val="00A83352"/>
    <w:rsid w:val="00A850A2"/>
    <w:rsid w:val="00A91FA3"/>
    <w:rsid w:val="00A927D3"/>
    <w:rsid w:val="00A94160"/>
    <w:rsid w:val="00A95C51"/>
    <w:rsid w:val="00AA17A8"/>
    <w:rsid w:val="00AA7FC9"/>
    <w:rsid w:val="00AB1D39"/>
    <w:rsid w:val="00AB237D"/>
    <w:rsid w:val="00AB43F2"/>
    <w:rsid w:val="00AB5933"/>
    <w:rsid w:val="00AC4098"/>
    <w:rsid w:val="00AE013D"/>
    <w:rsid w:val="00AE11B7"/>
    <w:rsid w:val="00AE7F68"/>
    <w:rsid w:val="00AF2321"/>
    <w:rsid w:val="00AF306E"/>
    <w:rsid w:val="00AF52F6"/>
    <w:rsid w:val="00AF52FD"/>
    <w:rsid w:val="00AF54A8"/>
    <w:rsid w:val="00AF7237"/>
    <w:rsid w:val="00B0043A"/>
    <w:rsid w:val="00B0075A"/>
    <w:rsid w:val="00B00D75"/>
    <w:rsid w:val="00B05981"/>
    <w:rsid w:val="00B070CB"/>
    <w:rsid w:val="00B12456"/>
    <w:rsid w:val="00B145F0"/>
    <w:rsid w:val="00B259C8"/>
    <w:rsid w:val="00B26CCF"/>
    <w:rsid w:val="00B27A5E"/>
    <w:rsid w:val="00B30FC2"/>
    <w:rsid w:val="00B331A2"/>
    <w:rsid w:val="00B425F0"/>
    <w:rsid w:val="00B42DFA"/>
    <w:rsid w:val="00B50F8A"/>
    <w:rsid w:val="00B531DD"/>
    <w:rsid w:val="00B55014"/>
    <w:rsid w:val="00B61411"/>
    <w:rsid w:val="00B6154F"/>
    <w:rsid w:val="00B62232"/>
    <w:rsid w:val="00B70BF3"/>
    <w:rsid w:val="00B7191F"/>
    <w:rsid w:val="00B71DC2"/>
    <w:rsid w:val="00B849F5"/>
    <w:rsid w:val="00B91CFC"/>
    <w:rsid w:val="00B93893"/>
    <w:rsid w:val="00BA1397"/>
    <w:rsid w:val="00BA7E0A"/>
    <w:rsid w:val="00BC2C00"/>
    <w:rsid w:val="00BC3B53"/>
    <w:rsid w:val="00BC3B96"/>
    <w:rsid w:val="00BC4AE3"/>
    <w:rsid w:val="00BC5B28"/>
    <w:rsid w:val="00BD2370"/>
    <w:rsid w:val="00BD4128"/>
    <w:rsid w:val="00BE026A"/>
    <w:rsid w:val="00BE3F88"/>
    <w:rsid w:val="00BE4756"/>
    <w:rsid w:val="00BE5ED9"/>
    <w:rsid w:val="00BE68F7"/>
    <w:rsid w:val="00BE7B41"/>
    <w:rsid w:val="00C07718"/>
    <w:rsid w:val="00C15A91"/>
    <w:rsid w:val="00C206F1"/>
    <w:rsid w:val="00C217E1"/>
    <w:rsid w:val="00C219B1"/>
    <w:rsid w:val="00C4015B"/>
    <w:rsid w:val="00C40C60"/>
    <w:rsid w:val="00C43FE6"/>
    <w:rsid w:val="00C51A4A"/>
    <w:rsid w:val="00C5258E"/>
    <w:rsid w:val="00C530C9"/>
    <w:rsid w:val="00C56039"/>
    <w:rsid w:val="00C619A7"/>
    <w:rsid w:val="00C73D5F"/>
    <w:rsid w:val="00C82AFE"/>
    <w:rsid w:val="00C83DBC"/>
    <w:rsid w:val="00C90702"/>
    <w:rsid w:val="00C94A7C"/>
    <w:rsid w:val="00C973AB"/>
    <w:rsid w:val="00C97C80"/>
    <w:rsid w:val="00CA47D3"/>
    <w:rsid w:val="00CA6533"/>
    <w:rsid w:val="00CA6A25"/>
    <w:rsid w:val="00CA6A3F"/>
    <w:rsid w:val="00CA7C99"/>
    <w:rsid w:val="00CC0438"/>
    <w:rsid w:val="00CC4A77"/>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3A65"/>
    <w:rsid w:val="00D0609E"/>
    <w:rsid w:val="00D078E1"/>
    <w:rsid w:val="00D100E9"/>
    <w:rsid w:val="00D17942"/>
    <w:rsid w:val="00D21E4B"/>
    <w:rsid w:val="00D22441"/>
    <w:rsid w:val="00D23522"/>
    <w:rsid w:val="00D264D6"/>
    <w:rsid w:val="00D33BF0"/>
    <w:rsid w:val="00D33DE0"/>
    <w:rsid w:val="00D36447"/>
    <w:rsid w:val="00D472D3"/>
    <w:rsid w:val="00D516BE"/>
    <w:rsid w:val="00D51F13"/>
    <w:rsid w:val="00D5423B"/>
    <w:rsid w:val="00D54C5D"/>
    <w:rsid w:val="00D54E6A"/>
    <w:rsid w:val="00D54F4E"/>
    <w:rsid w:val="00D56E01"/>
    <w:rsid w:val="00D57A56"/>
    <w:rsid w:val="00D604B3"/>
    <w:rsid w:val="00D60BA4"/>
    <w:rsid w:val="00D62419"/>
    <w:rsid w:val="00D644BA"/>
    <w:rsid w:val="00D77870"/>
    <w:rsid w:val="00D80977"/>
    <w:rsid w:val="00D80CCE"/>
    <w:rsid w:val="00D86EEA"/>
    <w:rsid w:val="00D87113"/>
    <w:rsid w:val="00D87D03"/>
    <w:rsid w:val="00D9360B"/>
    <w:rsid w:val="00D95C88"/>
    <w:rsid w:val="00D97B2E"/>
    <w:rsid w:val="00DA241E"/>
    <w:rsid w:val="00DB09DB"/>
    <w:rsid w:val="00DB36FE"/>
    <w:rsid w:val="00DB533A"/>
    <w:rsid w:val="00DB60AE"/>
    <w:rsid w:val="00DB6307"/>
    <w:rsid w:val="00DD1374"/>
    <w:rsid w:val="00DD1DCD"/>
    <w:rsid w:val="00DD338F"/>
    <w:rsid w:val="00DD66F2"/>
    <w:rsid w:val="00DE3FE0"/>
    <w:rsid w:val="00DE578A"/>
    <w:rsid w:val="00DF1248"/>
    <w:rsid w:val="00DF2583"/>
    <w:rsid w:val="00DF54D9"/>
    <w:rsid w:val="00DF7283"/>
    <w:rsid w:val="00E01A59"/>
    <w:rsid w:val="00E10DC6"/>
    <w:rsid w:val="00E11857"/>
    <w:rsid w:val="00E11C24"/>
    <w:rsid w:val="00E11F8E"/>
    <w:rsid w:val="00E139AB"/>
    <w:rsid w:val="00E14525"/>
    <w:rsid w:val="00E15881"/>
    <w:rsid w:val="00E16A8F"/>
    <w:rsid w:val="00E21DE3"/>
    <w:rsid w:val="00E22EE7"/>
    <w:rsid w:val="00E273C5"/>
    <w:rsid w:val="00E307D1"/>
    <w:rsid w:val="00E3731D"/>
    <w:rsid w:val="00E378AD"/>
    <w:rsid w:val="00E41A72"/>
    <w:rsid w:val="00E42248"/>
    <w:rsid w:val="00E444BA"/>
    <w:rsid w:val="00E51469"/>
    <w:rsid w:val="00E634E3"/>
    <w:rsid w:val="00E717C4"/>
    <w:rsid w:val="00E7525E"/>
    <w:rsid w:val="00E77E18"/>
    <w:rsid w:val="00E77F89"/>
    <w:rsid w:val="00E80330"/>
    <w:rsid w:val="00E806C5"/>
    <w:rsid w:val="00E80E71"/>
    <w:rsid w:val="00E82DA1"/>
    <w:rsid w:val="00E850D3"/>
    <w:rsid w:val="00E853D6"/>
    <w:rsid w:val="00E87660"/>
    <w:rsid w:val="00E876B9"/>
    <w:rsid w:val="00EB0764"/>
    <w:rsid w:val="00EC0DFF"/>
    <w:rsid w:val="00EC237D"/>
    <w:rsid w:val="00EC2918"/>
    <w:rsid w:val="00EC4D0E"/>
    <w:rsid w:val="00EC4E2B"/>
    <w:rsid w:val="00ED072A"/>
    <w:rsid w:val="00ED0D91"/>
    <w:rsid w:val="00ED539E"/>
    <w:rsid w:val="00EE4A1F"/>
    <w:rsid w:val="00EE4C2D"/>
    <w:rsid w:val="00EE6B7A"/>
    <w:rsid w:val="00EF1B5A"/>
    <w:rsid w:val="00EF24FB"/>
    <w:rsid w:val="00EF2CCA"/>
    <w:rsid w:val="00EF495B"/>
    <w:rsid w:val="00EF60DC"/>
    <w:rsid w:val="00F00EC7"/>
    <w:rsid w:val="00F00F54"/>
    <w:rsid w:val="00F014F2"/>
    <w:rsid w:val="00F03963"/>
    <w:rsid w:val="00F11068"/>
    <w:rsid w:val="00F1256D"/>
    <w:rsid w:val="00F13A4E"/>
    <w:rsid w:val="00F14E37"/>
    <w:rsid w:val="00F172BB"/>
    <w:rsid w:val="00F17B10"/>
    <w:rsid w:val="00F21BEF"/>
    <w:rsid w:val="00F2315B"/>
    <w:rsid w:val="00F25FA2"/>
    <w:rsid w:val="00F34805"/>
    <w:rsid w:val="00F41920"/>
    <w:rsid w:val="00F41A6F"/>
    <w:rsid w:val="00F45A25"/>
    <w:rsid w:val="00F50F86"/>
    <w:rsid w:val="00F53F91"/>
    <w:rsid w:val="00F61424"/>
    <w:rsid w:val="00F61569"/>
    <w:rsid w:val="00F61A72"/>
    <w:rsid w:val="00F62B67"/>
    <w:rsid w:val="00F63A7C"/>
    <w:rsid w:val="00F66F13"/>
    <w:rsid w:val="00F74073"/>
    <w:rsid w:val="00F75603"/>
    <w:rsid w:val="00F76C59"/>
    <w:rsid w:val="00F845B4"/>
    <w:rsid w:val="00F8713B"/>
    <w:rsid w:val="00F91B27"/>
    <w:rsid w:val="00F927FE"/>
    <w:rsid w:val="00F928D2"/>
    <w:rsid w:val="00F93F9E"/>
    <w:rsid w:val="00FA2CD7"/>
    <w:rsid w:val="00FB06ED"/>
    <w:rsid w:val="00FC2311"/>
    <w:rsid w:val="00FC3165"/>
    <w:rsid w:val="00FC36AB"/>
    <w:rsid w:val="00FC4300"/>
    <w:rsid w:val="00FC7F66"/>
    <w:rsid w:val="00FD5776"/>
    <w:rsid w:val="00FE1CB6"/>
    <w:rsid w:val="00FE486B"/>
    <w:rsid w:val="00FE4F08"/>
    <w:rsid w:val="00FF192E"/>
    <w:rsid w:val="00FF352A"/>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F8879"/>
  <w15:docId w15:val="{C69DA93D-1238-4B52-837F-07C58455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137C9"/>
    <w:rPr>
      <w:vertAlign w:val="superscript"/>
    </w:rPr>
  </w:style>
  <w:style w:type="paragraph" w:styleId="Revisie">
    <w:name w:val="Revision"/>
    <w:hidden/>
    <w:uiPriority w:val="99"/>
    <w:semiHidden/>
    <w:rsid w:val="00826E45"/>
    <w:rPr>
      <w:rFonts w:ascii="Verdana" w:hAnsi="Verdana"/>
      <w:sz w:val="18"/>
      <w:szCs w:val="24"/>
      <w:lang w:val="nl-NL" w:eastAsia="nl-NL"/>
    </w:rPr>
  </w:style>
  <w:style w:type="character" w:styleId="Verwijzingopmerking">
    <w:name w:val="annotation reference"/>
    <w:basedOn w:val="Standaardalinea-lettertype"/>
    <w:semiHidden/>
    <w:unhideWhenUsed/>
    <w:rsid w:val="004C7776"/>
    <w:rPr>
      <w:sz w:val="16"/>
      <w:szCs w:val="16"/>
    </w:rPr>
  </w:style>
  <w:style w:type="paragraph" w:styleId="Tekstopmerking">
    <w:name w:val="annotation text"/>
    <w:basedOn w:val="Standaard"/>
    <w:link w:val="TekstopmerkingChar"/>
    <w:unhideWhenUsed/>
    <w:rsid w:val="004C7776"/>
    <w:pPr>
      <w:spacing w:line="240" w:lineRule="auto"/>
    </w:pPr>
    <w:rPr>
      <w:sz w:val="20"/>
      <w:szCs w:val="20"/>
    </w:rPr>
  </w:style>
  <w:style w:type="character" w:customStyle="1" w:styleId="TekstopmerkingChar">
    <w:name w:val="Tekst opmerking Char"/>
    <w:basedOn w:val="Standaardalinea-lettertype"/>
    <w:link w:val="Tekstopmerking"/>
    <w:rsid w:val="004C777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C7776"/>
    <w:rPr>
      <w:b/>
      <w:bCs/>
    </w:rPr>
  </w:style>
  <w:style w:type="character" w:customStyle="1" w:styleId="OnderwerpvanopmerkingChar">
    <w:name w:val="Onderwerp van opmerking Char"/>
    <w:basedOn w:val="TekstopmerkingChar"/>
    <w:link w:val="Onderwerpvanopmerking"/>
    <w:semiHidden/>
    <w:rsid w:val="004C777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360D4B">
          <w:r w:rsidRPr="001267EE">
            <w:rPr>
              <w:rStyle w:val="Tekstvantijdelijkeaanduiding"/>
            </w:rPr>
            <w:t>Klik of tik om tekst in te voeren.</w:t>
          </w:r>
        </w:p>
      </w:docPartBody>
    </w:docPart>
    <w:docPart>
      <w:docPartPr>
        <w:name w:val="43FEC7EE496B4008BAAAA6C7B1485636"/>
        <w:category>
          <w:name w:val="Algemeen"/>
          <w:gallery w:val="placeholder"/>
        </w:category>
        <w:types>
          <w:type w:val="bbPlcHdr"/>
        </w:types>
        <w:behaviors>
          <w:behavior w:val="content"/>
        </w:behaviors>
        <w:guid w:val="{99C538E8-CA5C-4B69-A18A-B72E500EB95A}"/>
      </w:docPartPr>
      <w:docPartBody>
        <w:p w:rsidR="00265B4E" w:rsidRDefault="00265B4E" w:rsidP="00265B4E">
          <w:pPr>
            <w:pStyle w:val="43FEC7EE496B4008BAAAA6C7B1485636"/>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2369BF"/>
    <w:rsid w:val="00265B4E"/>
    <w:rsid w:val="002D6B22"/>
    <w:rsid w:val="003457A0"/>
    <w:rsid w:val="00347572"/>
    <w:rsid w:val="00360D4B"/>
    <w:rsid w:val="00420849"/>
    <w:rsid w:val="004F5259"/>
    <w:rsid w:val="0054438D"/>
    <w:rsid w:val="005447D7"/>
    <w:rsid w:val="00564C85"/>
    <w:rsid w:val="00572B59"/>
    <w:rsid w:val="00595937"/>
    <w:rsid w:val="005A2FA0"/>
    <w:rsid w:val="0063503B"/>
    <w:rsid w:val="0068248B"/>
    <w:rsid w:val="007D178C"/>
    <w:rsid w:val="00A22FC5"/>
    <w:rsid w:val="00A320EB"/>
    <w:rsid w:val="00AB43F2"/>
    <w:rsid w:val="00BA4A80"/>
    <w:rsid w:val="00C56039"/>
    <w:rsid w:val="00C65489"/>
    <w:rsid w:val="00CE2A95"/>
    <w:rsid w:val="00E14525"/>
    <w:rsid w:val="00EB0764"/>
    <w:rsid w:val="00F91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65B4E"/>
    <w:rPr>
      <w:color w:val="808080"/>
    </w:rPr>
  </w:style>
  <w:style w:type="paragraph" w:customStyle="1" w:styleId="43FEC7EE496B4008BAAAA6C7B1485636">
    <w:name w:val="43FEC7EE496B4008BAAAA6C7B1485636"/>
    <w:rsid w:val="00265B4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1032</ap:Words>
  <ap:Characters>5681</ap:Characters>
  <ap:DocSecurity>0</ap:DocSecurity>
  <ap:Lines>47</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6700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2024-09-03T14:29:00.0000000Z</lastPrinted>
  <dcterms:created xsi:type="dcterms:W3CDTF">2024-09-12T13:18:00.0000000Z</dcterms:created>
  <dcterms:modified xsi:type="dcterms:W3CDTF">2024-09-17T13:01:00.0000000Z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klufts1</vt:lpwstr>
  </property>
  <property fmtid="{D5CDD505-2E9C-101B-9397-08002B2CF9AE}" pid="3" name="AUTHOR_ID">
    <vt:lpwstr>klufts1</vt:lpwstr>
  </property>
  <property fmtid="{D5CDD505-2E9C-101B-9397-08002B2CF9AE}" pid="4" name="A_ADRES">
    <vt:lpwstr>Tweede Kamer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WBSO in 2025</vt:lpwstr>
  </property>
  <property fmtid="{D5CDD505-2E9C-101B-9397-08002B2CF9AE}" pid="9" name="documentId">
    <vt:lpwstr>86876940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klufts1</vt:lpwstr>
  </property>
  <property fmtid="{D5CDD505-2E9C-101B-9397-08002B2CF9AE}" pid="16" name="MSIP_Label_b2aa6e22-2c82-48c6-bf24-1790f4b9c128_Enabled">
    <vt:lpwstr>true</vt:lpwstr>
  </property>
  <property fmtid="{D5CDD505-2E9C-101B-9397-08002B2CF9AE}" pid="17" name="MSIP_Label_b2aa6e22-2c82-48c6-bf24-1790f4b9c128_SetDate">
    <vt:lpwstr>2024-08-28T13:48:07Z</vt:lpwstr>
  </property>
  <property fmtid="{D5CDD505-2E9C-101B-9397-08002B2CF9AE}" pid="18" name="MSIP_Label_b2aa6e22-2c82-48c6-bf24-1790f4b9c128_Method">
    <vt:lpwstr>Standard</vt:lpwstr>
  </property>
  <property fmtid="{D5CDD505-2E9C-101B-9397-08002B2CF9AE}" pid="19" name="MSIP_Label_b2aa6e22-2c82-48c6-bf24-1790f4b9c128_Name">
    <vt:lpwstr>FIN-DGFZ-Rijksoverheid</vt:lpwstr>
  </property>
  <property fmtid="{D5CDD505-2E9C-101B-9397-08002B2CF9AE}" pid="20" name="MSIP_Label_b2aa6e22-2c82-48c6-bf24-1790f4b9c128_SiteId">
    <vt:lpwstr>84712536-f524-40a0-913b-5d25ba502732</vt:lpwstr>
  </property>
  <property fmtid="{D5CDD505-2E9C-101B-9397-08002B2CF9AE}" pid="21" name="MSIP_Label_b2aa6e22-2c82-48c6-bf24-1790f4b9c128_ActionId">
    <vt:lpwstr>567f818c-de59-4a82-b06a-9fa29512a3d6</vt:lpwstr>
  </property>
  <property fmtid="{D5CDD505-2E9C-101B-9397-08002B2CF9AE}" pid="22" name="MSIP_Label_b2aa6e22-2c82-48c6-bf24-1790f4b9c128_ContentBits">
    <vt:lpwstr>0</vt:lpwstr>
  </property>
</Properties>
</file>