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7CA" w:rsidP="00AE17CA" w:rsidRDefault="00E7165C" w14:paraId="0E859209" w14:textId="2864BD4D">
      <w:r w:rsidRPr="00E7165C">
        <w:rPr>
          <w:rFonts w:asciiTheme="majorHAnsi" w:hAnsiTheme="majorHAnsi" w:eastAsiaTheme="majorEastAsia" w:cstheme="majorBidi"/>
          <w:color w:val="2E74B5" w:themeColor="accent1" w:themeShade="BF"/>
          <w:sz w:val="26"/>
          <w:szCs w:val="26"/>
        </w:rPr>
        <w:t>Wijziging van de Algemene nabestaandenwet en de Participatiewet in verband met het in 2025, 2026 en 2027 niet afbouwen van de dubbele algemene heffingskorting in het referentieminimumloon</w:t>
      </w: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E2F3" w:themeFill="accent5" w:themeFillTint="33"/>
        <w:tblLayout w:type="fixed"/>
        <w:tblLook w:val="01E0" w:firstRow="1" w:lastRow="1" w:firstColumn="1" w:lastColumn="1" w:noHBand="0" w:noVBand="0"/>
      </w:tblPr>
      <w:tblGrid>
        <w:gridCol w:w="1725"/>
        <w:gridCol w:w="7179"/>
      </w:tblGrid>
      <w:tr w:rsidRPr="0032161D" w:rsidR="00AE17CA" w:rsidTr="00FD093F" w14:paraId="4936ED09" w14:textId="77777777">
        <w:trPr>
          <w:trHeight w:val="742"/>
        </w:trPr>
        <w:tc>
          <w:tcPr>
            <w:tcW w:w="8904"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32161D" w:rsidR="00AE17CA" w:rsidP="000F4A72" w:rsidRDefault="00AE17CA" w14:paraId="35400C55" w14:textId="77777777">
            <w:pPr>
              <w:pStyle w:val="TableParagraph"/>
              <w:rPr>
                <w:rFonts w:ascii="Verdana" w:hAnsi="Verdana" w:cstheme="minorHAnsi"/>
                <w:b/>
                <w:color w:val="FFFFFF"/>
                <w:sz w:val="16"/>
                <w:szCs w:val="16"/>
              </w:rPr>
            </w:pPr>
            <w:r w:rsidRPr="0032161D">
              <w:rPr>
                <w:rFonts w:ascii="Verdana" w:hAnsi="Verdana" w:cstheme="minorHAnsi"/>
                <w:b/>
                <w:color w:val="FFFFFF"/>
                <w:sz w:val="16"/>
                <w:szCs w:val="16"/>
              </w:rPr>
              <w:t>Beleidskeuzes uitgelegd</w:t>
            </w:r>
          </w:p>
          <w:p w:rsidRPr="0032161D" w:rsidR="00AE17CA" w:rsidP="000F4A72" w:rsidRDefault="00AE17CA" w14:paraId="7525E108" w14:textId="50C60571">
            <w:pPr>
              <w:pStyle w:val="TableParagraph"/>
              <w:rPr>
                <w:rFonts w:ascii="Verdana" w:hAnsi="Verdana" w:cstheme="minorHAnsi"/>
                <w:color w:val="FFFFFF" w:themeColor="background1"/>
                <w:sz w:val="16"/>
                <w:szCs w:val="16"/>
              </w:rPr>
            </w:pPr>
            <w:r w:rsidRPr="0032161D">
              <w:rPr>
                <w:rFonts w:ascii="Verdana" w:hAnsi="Verdana" w:cstheme="minorHAnsi"/>
                <w:i/>
                <w:color w:val="FFFFFF" w:themeColor="background1"/>
                <w:sz w:val="16"/>
                <w:szCs w:val="16"/>
              </w:rPr>
              <w:t>Onderbouwing doeltreffendheid, doelmatigheid en evaluatie (CW 3.1)</w:t>
            </w:r>
          </w:p>
        </w:tc>
      </w:tr>
      <w:tr w:rsidRPr="0032161D" w:rsidR="0032161D" w:rsidTr="0005230E" w14:paraId="291FBBD6" w14:textId="77777777">
        <w:trPr>
          <w:trHeight w:val="425"/>
        </w:trPr>
        <w:tc>
          <w:tcPr>
            <w:tcW w:w="1725" w:type="dxa"/>
            <w:tcBorders>
              <w:top w:val="single" w:color="FFFFFF" w:sz="4" w:space="0"/>
              <w:left w:val="nil"/>
              <w:bottom w:val="single" w:color="FFFFFF" w:sz="4" w:space="0"/>
              <w:right w:val="single" w:color="FFFFFF" w:sz="4" w:space="0"/>
            </w:tcBorders>
            <w:shd w:val="clear" w:color="auto" w:fill="C45911" w:themeFill="accent2" w:themeFillShade="BF"/>
          </w:tcPr>
          <w:p w:rsidRPr="0032161D" w:rsidR="00AE17CA" w:rsidP="0032161D" w:rsidRDefault="00AE17CA" w14:paraId="5B30594B" w14:textId="77777777">
            <w:pPr>
              <w:pStyle w:val="TableParagraph"/>
              <w:ind w:left="103"/>
              <w:rPr>
                <w:rFonts w:ascii="Verdana" w:hAnsi="Verdana" w:cstheme="minorHAnsi"/>
                <w:b/>
                <w:color w:val="FFFFFF"/>
                <w:sz w:val="16"/>
                <w:szCs w:val="16"/>
              </w:rPr>
            </w:pPr>
          </w:p>
          <w:p w:rsidRPr="0032161D" w:rsidR="00AE17CA" w:rsidP="0032161D" w:rsidRDefault="00AE17CA" w14:paraId="68DE8915" w14:textId="77777777">
            <w:pPr>
              <w:pStyle w:val="TableParagraph"/>
              <w:rPr>
                <w:rFonts w:ascii="Verdana" w:hAnsi="Verdana" w:cstheme="minorHAnsi"/>
                <w:b/>
                <w:sz w:val="16"/>
                <w:szCs w:val="16"/>
              </w:rPr>
            </w:pPr>
            <w:r w:rsidRPr="0032161D">
              <w:rPr>
                <w:rFonts w:ascii="Verdana" w:hAnsi="Verdana" w:cstheme="minorHAnsi"/>
                <w:b/>
                <w:color w:val="FFFFFF"/>
                <w:sz w:val="16"/>
                <w:szCs w:val="16"/>
              </w:rPr>
              <w:t xml:space="preserve">1. Doel(en) </w:t>
            </w:r>
          </w:p>
        </w:tc>
        <w:tc>
          <w:tcPr>
            <w:tcW w:w="7179" w:type="dxa"/>
            <w:tcBorders>
              <w:top w:val="single" w:color="FFFFFF" w:sz="4" w:space="0"/>
              <w:left w:val="single" w:color="FFFFFF" w:sz="4" w:space="0"/>
              <w:bottom w:val="single" w:color="FFFFFF" w:sz="4" w:space="0"/>
              <w:right w:val="nil"/>
            </w:tcBorders>
            <w:shd w:val="clear" w:color="auto" w:fill="D9E2F3" w:themeFill="accent5" w:themeFillTint="33"/>
            <w:hideMark/>
          </w:tcPr>
          <w:p w:rsidRPr="00F70FF1" w:rsidR="00486F9D" w:rsidP="00191926" w:rsidRDefault="00E7165C" w14:paraId="3C3DC79E" w14:textId="46F87D3A">
            <w:pPr>
              <w:rPr>
                <w:rFonts w:ascii="Verdana" w:hAnsi="Verdana" w:cstheme="minorHAnsi"/>
                <w:bCs/>
                <w:sz w:val="16"/>
                <w:szCs w:val="16"/>
              </w:rPr>
            </w:pPr>
            <w:r w:rsidRPr="00E7165C">
              <w:rPr>
                <w:rFonts w:ascii="Verdana" w:hAnsi="Verdana" w:cstheme="minorHAnsi"/>
                <w:bCs/>
                <w:sz w:val="16"/>
                <w:szCs w:val="16"/>
              </w:rPr>
              <w:t xml:space="preserve">Het kabinet wil </w:t>
            </w:r>
            <w:r w:rsidRPr="00E7165C" w:rsidR="005B1C6F">
              <w:rPr>
                <w:rFonts w:ascii="Verdana" w:hAnsi="Verdana" w:cstheme="minorHAnsi"/>
                <w:bCs/>
                <w:sz w:val="16"/>
                <w:szCs w:val="16"/>
              </w:rPr>
              <w:t xml:space="preserve">de komende jaren </w:t>
            </w:r>
            <w:r w:rsidRPr="00E7165C">
              <w:rPr>
                <w:rFonts w:ascii="Verdana" w:hAnsi="Verdana" w:cstheme="minorHAnsi"/>
                <w:bCs/>
                <w:sz w:val="16"/>
                <w:szCs w:val="16"/>
              </w:rPr>
              <w:t>de bestaanszekerheid in Nederland vergroten</w:t>
            </w:r>
            <w:r w:rsidR="005B1C6F">
              <w:rPr>
                <w:rFonts w:ascii="Verdana" w:hAnsi="Verdana" w:cstheme="minorHAnsi"/>
                <w:bCs/>
                <w:sz w:val="16"/>
                <w:szCs w:val="16"/>
              </w:rPr>
              <w:t xml:space="preserve"> en een toename van de armoede voorkomen</w:t>
            </w:r>
            <w:r w:rsidRPr="00E7165C">
              <w:rPr>
                <w:rFonts w:ascii="Verdana" w:hAnsi="Verdana" w:cstheme="minorHAnsi"/>
                <w:bCs/>
                <w:sz w:val="16"/>
                <w:szCs w:val="16"/>
              </w:rPr>
              <w:t xml:space="preserve">. De </w:t>
            </w:r>
            <w:r w:rsidR="00FA3907">
              <w:rPr>
                <w:rFonts w:ascii="Verdana" w:hAnsi="Verdana" w:cstheme="minorHAnsi"/>
                <w:bCs/>
                <w:sz w:val="16"/>
                <w:szCs w:val="16"/>
              </w:rPr>
              <w:t xml:space="preserve">voorgestelde </w:t>
            </w:r>
            <w:r w:rsidRPr="00E7165C">
              <w:rPr>
                <w:rFonts w:ascii="Verdana" w:hAnsi="Verdana" w:cstheme="minorHAnsi"/>
                <w:bCs/>
                <w:sz w:val="16"/>
                <w:szCs w:val="16"/>
              </w:rPr>
              <w:t xml:space="preserve">maatregel draagt </w:t>
            </w:r>
            <w:r w:rsidR="00FA3907">
              <w:rPr>
                <w:rFonts w:ascii="Verdana" w:hAnsi="Verdana" w:cstheme="minorHAnsi"/>
                <w:bCs/>
                <w:sz w:val="16"/>
                <w:szCs w:val="16"/>
              </w:rPr>
              <w:t>hieraan bij</w:t>
            </w:r>
            <w:r w:rsidRPr="00E7165C">
              <w:rPr>
                <w:rFonts w:ascii="Verdana" w:hAnsi="Verdana" w:cstheme="minorHAnsi"/>
                <w:bCs/>
                <w:sz w:val="16"/>
                <w:szCs w:val="16"/>
              </w:rPr>
              <w:t>.</w:t>
            </w:r>
          </w:p>
        </w:tc>
      </w:tr>
      <w:tr w:rsidRPr="0032161D" w:rsidR="0032161D" w:rsidTr="00F70FF1" w14:paraId="1F34B206" w14:textId="77777777">
        <w:trPr>
          <w:trHeight w:val="1982"/>
        </w:trPr>
        <w:tc>
          <w:tcPr>
            <w:tcW w:w="1725" w:type="dxa"/>
            <w:tcBorders>
              <w:top w:val="single" w:color="FFFFFF" w:sz="4" w:space="0"/>
              <w:left w:val="nil"/>
              <w:bottom w:val="single" w:color="FFFFFF" w:sz="4" w:space="0"/>
              <w:right w:val="single" w:color="FFFFFF" w:sz="4" w:space="0"/>
            </w:tcBorders>
            <w:shd w:val="clear" w:color="auto" w:fill="C45911" w:themeFill="accent2" w:themeFillShade="BF"/>
          </w:tcPr>
          <w:p w:rsidRPr="0032161D" w:rsidR="00AE17CA" w:rsidP="0032161D" w:rsidRDefault="00AE17CA" w14:paraId="4175C680" w14:textId="77777777">
            <w:pPr>
              <w:pStyle w:val="TableParagraph"/>
              <w:ind w:left="103" w:right="202"/>
              <w:rPr>
                <w:rFonts w:ascii="Verdana" w:hAnsi="Verdana" w:cstheme="minorHAnsi"/>
                <w:b/>
                <w:color w:val="FFFFFF"/>
                <w:sz w:val="16"/>
                <w:szCs w:val="16"/>
              </w:rPr>
            </w:pPr>
          </w:p>
          <w:p w:rsidRPr="0032161D" w:rsidR="00AE17CA" w:rsidP="0032161D" w:rsidRDefault="00AE17CA" w14:paraId="5E4CFA75" w14:textId="5B6AFC49">
            <w:pPr>
              <w:pStyle w:val="TableParagraph"/>
              <w:ind w:right="202"/>
              <w:rPr>
                <w:rFonts w:ascii="Verdana" w:hAnsi="Verdana" w:cstheme="minorHAnsi"/>
                <w:b/>
                <w:sz w:val="16"/>
                <w:szCs w:val="16"/>
              </w:rPr>
            </w:pPr>
            <w:r w:rsidRPr="0032161D">
              <w:rPr>
                <w:rFonts w:ascii="Verdana" w:hAnsi="Verdana" w:cstheme="minorHAnsi"/>
                <w:b/>
                <w:color w:val="FFFFFF"/>
                <w:sz w:val="16"/>
                <w:szCs w:val="16"/>
              </w:rPr>
              <w:t xml:space="preserve">2. </w:t>
            </w:r>
            <w:proofErr w:type="spellStart"/>
            <w:r w:rsidRPr="0032161D">
              <w:rPr>
                <w:rFonts w:ascii="Verdana" w:hAnsi="Verdana" w:cstheme="minorHAnsi"/>
                <w:b/>
                <w:color w:val="FFFFFF"/>
                <w:sz w:val="16"/>
                <w:szCs w:val="16"/>
              </w:rPr>
              <w:t>Beleids</w:t>
            </w:r>
            <w:r w:rsidR="0032161D">
              <w:rPr>
                <w:rFonts w:ascii="Verdana" w:hAnsi="Verdana" w:cstheme="minorHAnsi"/>
                <w:b/>
                <w:color w:val="FFFFFF"/>
                <w:sz w:val="16"/>
                <w:szCs w:val="16"/>
              </w:rPr>
              <w:t>-</w:t>
            </w:r>
            <w:r w:rsidRPr="0032161D">
              <w:rPr>
                <w:rFonts w:ascii="Verdana" w:hAnsi="Verdana" w:cstheme="minorHAnsi"/>
                <w:b/>
                <w:color w:val="FFFFFF"/>
                <w:sz w:val="16"/>
                <w:szCs w:val="16"/>
              </w:rPr>
              <w:t>instrument</w:t>
            </w:r>
            <w:proofErr w:type="spellEnd"/>
            <w:r w:rsidRPr="0032161D">
              <w:rPr>
                <w:rFonts w:ascii="Verdana" w:hAnsi="Verdana" w:cstheme="minorHAnsi"/>
                <w:b/>
                <w:color w:val="FFFFFF"/>
                <w:sz w:val="16"/>
                <w:szCs w:val="16"/>
              </w:rPr>
              <w:t>(en)</w:t>
            </w:r>
          </w:p>
        </w:tc>
        <w:tc>
          <w:tcPr>
            <w:tcW w:w="7179" w:type="dxa"/>
            <w:tcBorders>
              <w:top w:val="single" w:color="FFFFFF" w:sz="4" w:space="0"/>
              <w:left w:val="single" w:color="FFFFFF" w:sz="4" w:space="0"/>
              <w:bottom w:val="single" w:color="FFFFFF" w:sz="4" w:space="0"/>
              <w:right w:val="nil"/>
            </w:tcBorders>
            <w:shd w:val="clear" w:color="auto" w:fill="D9E2F3" w:themeFill="accent5" w:themeFillTint="33"/>
            <w:hideMark/>
          </w:tcPr>
          <w:p w:rsidRPr="00191926" w:rsidR="00E7165C" w:rsidP="00DC4B0B" w:rsidRDefault="00805DF8" w14:paraId="213C3E74" w14:textId="48479410">
            <w:pPr>
              <w:rPr>
                <w:rFonts w:ascii="Verdana" w:hAnsi="Verdana" w:cstheme="minorHAnsi"/>
                <w:bCs/>
                <w:sz w:val="16"/>
                <w:szCs w:val="16"/>
              </w:rPr>
            </w:pPr>
            <w:r w:rsidRPr="00805DF8">
              <w:rPr>
                <w:rFonts w:ascii="Verdana" w:hAnsi="Verdana" w:cstheme="minorHAnsi"/>
                <w:bCs/>
                <w:sz w:val="16"/>
                <w:szCs w:val="16"/>
              </w:rPr>
              <w:t>Het kabinet stelt voor om de afbouw van de dubbele algemene heffingskorting (AHK) in de berekening van het referentieminimumloon in 2025, 2026 en 2027 in te pauzeren. Hiermee wordt de beleidsmatige, stapsgewijze verlaging van uitkeringen op het sociaal minimum tijdelijk opgeschort.</w:t>
            </w:r>
            <w:r>
              <w:rPr>
                <w:rFonts w:ascii="Verdana" w:hAnsi="Verdana" w:cstheme="minorHAnsi"/>
                <w:bCs/>
                <w:sz w:val="16"/>
                <w:szCs w:val="16"/>
              </w:rPr>
              <w:t xml:space="preserve"> </w:t>
            </w:r>
            <w:r w:rsidRPr="00DC4B0B" w:rsidR="00DC4B0B">
              <w:rPr>
                <w:rFonts w:ascii="Verdana" w:hAnsi="Verdana" w:cstheme="minorHAnsi"/>
                <w:bCs/>
                <w:sz w:val="16"/>
                <w:szCs w:val="16"/>
              </w:rPr>
              <w:t>De dubbele algemene heffingskorting (AHK) refereert aan de systematiek waarmee de uitkeringshoogte wordt bepaald. Het percentage aan AHK dat wordt toegepast in de berekening van de uitkeringen uit het bruto minimumloon wordt sinds 2012 afgebouwd, van 200% naar 100%. Dit resulteert in lagere uitkeringen. Het wetsvoorstel regelt dat het percentage aan toegepaste AHK tot 2028 gelijk blijft aan het niveau van 1 juli 2024, namelijk 157,5%.</w:t>
            </w:r>
            <w:r w:rsidRPr="00936812" w:rsidR="00936812">
              <w:rPr>
                <w:rFonts w:ascii="Verdana" w:hAnsi="Verdana" w:cstheme="minorHAnsi"/>
                <w:bCs/>
                <w:sz w:val="16"/>
                <w:szCs w:val="16"/>
              </w:rPr>
              <w:t xml:space="preserve"> </w:t>
            </w:r>
            <w:r w:rsidRPr="00E7165C" w:rsidR="00E7165C">
              <w:rPr>
                <w:rFonts w:ascii="Verdana" w:hAnsi="Verdana" w:cstheme="minorHAnsi"/>
                <w:bCs/>
                <w:sz w:val="16"/>
                <w:szCs w:val="16"/>
              </w:rPr>
              <w:t>Als gevolg hiervan zullen de bijstand</w:t>
            </w:r>
            <w:r w:rsidR="00DC4B0B">
              <w:rPr>
                <w:rFonts w:ascii="Verdana" w:hAnsi="Verdana" w:cstheme="minorHAnsi"/>
                <w:bCs/>
                <w:sz w:val="16"/>
                <w:szCs w:val="16"/>
              </w:rPr>
              <w:t xml:space="preserve">, </w:t>
            </w:r>
            <w:r w:rsidRPr="00E7165C" w:rsidR="00E7165C">
              <w:rPr>
                <w:rFonts w:ascii="Verdana" w:hAnsi="Verdana" w:cstheme="minorHAnsi"/>
                <w:bCs/>
                <w:sz w:val="16"/>
                <w:szCs w:val="16"/>
              </w:rPr>
              <w:t xml:space="preserve">IOAW, IOAZ, </w:t>
            </w:r>
            <w:proofErr w:type="spellStart"/>
            <w:r w:rsidRPr="00E7165C" w:rsidR="00E7165C">
              <w:rPr>
                <w:rFonts w:ascii="Verdana" w:hAnsi="Verdana" w:cstheme="minorHAnsi"/>
                <w:bCs/>
                <w:sz w:val="16"/>
                <w:szCs w:val="16"/>
              </w:rPr>
              <w:t>Bbz</w:t>
            </w:r>
            <w:proofErr w:type="spellEnd"/>
            <w:r w:rsidRPr="00E7165C" w:rsidR="00E7165C">
              <w:rPr>
                <w:rFonts w:ascii="Verdana" w:hAnsi="Verdana" w:cstheme="minorHAnsi"/>
                <w:bCs/>
                <w:sz w:val="16"/>
                <w:szCs w:val="16"/>
              </w:rPr>
              <w:t>, AIO, de nabestaanden</w:t>
            </w:r>
            <w:r w:rsidR="005B1C6F">
              <w:rPr>
                <w:rFonts w:ascii="Verdana" w:hAnsi="Verdana" w:cstheme="minorHAnsi"/>
                <w:bCs/>
                <w:sz w:val="16"/>
                <w:szCs w:val="16"/>
              </w:rPr>
              <w:t>uitkeringen</w:t>
            </w:r>
            <w:r w:rsidRPr="00E7165C" w:rsidR="00E7165C">
              <w:rPr>
                <w:rFonts w:ascii="Verdana" w:hAnsi="Verdana" w:cstheme="minorHAnsi"/>
                <w:bCs/>
                <w:sz w:val="16"/>
                <w:szCs w:val="16"/>
              </w:rPr>
              <w:t xml:space="preserve"> en de toeslag tot aan het sociaal minimum voor alleenstaanden met een UWV-uitkering </w:t>
            </w:r>
            <w:r w:rsidR="00F90EDB">
              <w:rPr>
                <w:rFonts w:ascii="Verdana" w:hAnsi="Verdana" w:cstheme="minorHAnsi"/>
                <w:bCs/>
                <w:sz w:val="16"/>
                <w:szCs w:val="16"/>
              </w:rPr>
              <w:t xml:space="preserve">(Toeslagenwet) </w:t>
            </w:r>
            <w:r w:rsidRPr="00E7165C" w:rsidR="00E7165C">
              <w:rPr>
                <w:rFonts w:ascii="Verdana" w:hAnsi="Verdana" w:cstheme="minorHAnsi"/>
                <w:bCs/>
                <w:sz w:val="16"/>
                <w:szCs w:val="16"/>
              </w:rPr>
              <w:t>in de periode 2025-2038 hoger zijn.</w:t>
            </w:r>
            <w:r w:rsidR="00E7165C">
              <w:rPr>
                <w:rFonts w:ascii="Verdana" w:hAnsi="Verdana" w:cstheme="minorHAnsi"/>
                <w:bCs/>
                <w:sz w:val="16"/>
                <w:szCs w:val="16"/>
              </w:rPr>
              <w:t xml:space="preserve"> </w:t>
            </w:r>
            <w:r w:rsidRPr="00E7165C" w:rsidR="00E7165C">
              <w:rPr>
                <w:rFonts w:ascii="Verdana" w:hAnsi="Verdana" w:cstheme="minorHAnsi"/>
                <w:bCs/>
                <w:sz w:val="16"/>
                <w:szCs w:val="16"/>
              </w:rPr>
              <w:t xml:space="preserve">Vanaf 1 januari 2028 wordt de AHK per halfjaar met 2,5 procentpunt verlaagd totdat deze 100% van de AHK bedraagt. Daarmee is de volledige afbouw naar 100% voorzien per 1 januari 2039. </w:t>
            </w:r>
          </w:p>
        </w:tc>
      </w:tr>
      <w:tr w:rsidRPr="0032161D" w:rsidR="0032161D" w:rsidTr="00AE67D4" w14:paraId="11236251" w14:textId="77777777">
        <w:trPr>
          <w:trHeight w:val="2339"/>
        </w:trPr>
        <w:tc>
          <w:tcPr>
            <w:tcW w:w="1725"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32161D" w:rsidR="00AE17CA" w:rsidP="0032161D" w:rsidRDefault="00AE17CA" w14:paraId="439E4767" w14:textId="77777777">
            <w:pPr>
              <w:pStyle w:val="TableParagraph"/>
              <w:spacing w:before="144"/>
              <w:ind w:left="198" w:right="202"/>
              <w:rPr>
                <w:rFonts w:ascii="Verdana" w:hAnsi="Verdana" w:cstheme="minorHAnsi"/>
                <w:b/>
                <w:sz w:val="16"/>
                <w:szCs w:val="16"/>
              </w:rPr>
            </w:pPr>
            <w:r w:rsidRPr="0032161D">
              <w:rPr>
                <w:rFonts w:ascii="Verdana" w:hAnsi="Verdana" w:cstheme="minorHAnsi"/>
                <w:b/>
                <w:color w:val="FFFFFF"/>
                <w:sz w:val="16"/>
                <w:szCs w:val="16"/>
              </w:rPr>
              <w:t>3A. Financiële gevolgen voor het Rijk</w:t>
            </w:r>
          </w:p>
        </w:tc>
        <w:tc>
          <w:tcPr>
            <w:tcW w:w="7179" w:type="dxa"/>
            <w:tcBorders>
              <w:top w:val="single" w:color="FFFFFF" w:sz="4" w:space="0"/>
              <w:left w:val="single" w:color="FFFFFF" w:sz="4" w:space="0"/>
              <w:bottom w:val="single" w:color="FFFFFF" w:sz="4" w:space="0"/>
              <w:right w:val="nil"/>
            </w:tcBorders>
            <w:shd w:val="clear" w:color="auto" w:fill="D9E2F3" w:themeFill="accent5" w:themeFillTint="33"/>
            <w:hideMark/>
          </w:tcPr>
          <w:p w:rsidRPr="00405763" w:rsidR="00405763" w:rsidP="006C6A6A" w:rsidRDefault="00405763" w14:paraId="2EF78B0D" w14:textId="1DEEF795">
            <w:pPr>
              <w:rPr>
                <w:rFonts w:ascii="Verdana" w:hAnsi="Verdana"/>
                <w:sz w:val="16"/>
                <w:szCs w:val="16"/>
              </w:rPr>
            </w:pPr>
            <w:r w:rsidRPr="00405763">
              <w:rPr>
                <w:rFonts w:ascii="Verdana" w:hAnsi="Verdana"/>
                <w:bCs/>
                <w:sz w:val="16"/>
                <w:szCs w:val="16"/>
              </w:rPr>
              <w:t xml:space="preserve">De bevriezing van de afbouw van de dubbele AHK in het referentieminimumloon </w:t>
            </w:r>
            <w:r w:rsidR="00191926">
              <w:rPr>
                <w:rFonts w:ascii="Verdana" w:hAnsi="Verdana"/>
                <w:bCs/>
                <w:sz w:val="16"/>
                <w:szCs w:val="16"/>
              </w:rPr>
              <w:t xml:space="preserve">voor de sociale zekerheid </w:t>
            </w:r>
            <w:r w:rsidRPr="00405763">
              <w:rPr>
                <w:rFonts w:ascii="Verdana" w:hAnsi="Verdana"/>
                <w:bCs/>
                <w:sz w:val="16"/>
                <w:szCs w:val="16"/>
              </w:rPr>
              <w:t xml:space="preserve">leidt tot hogere uitkeringen en daarmee hogere uitkeringslasten voor de </w:t>
            </w:r>
            <w:r w:rsidR="00AE67D4">
              <w:rPr>
                <w:rFonts w:ascii="Verdana" w:hAnsi="Verdana"/>
                <w:bCs/>
                <w:sz w:val="16"/>
                <w:szCs w:val="16"/>
              </w:rPr>
              <w:t xml:space="preserve">bijstand (inclusief IOAW, IOAZ, </w:t>
            </w:r>
            <w:proofErr w:type="spellStart"/>
            <w:r w:rsidR="00AE67D4">
              <w:rPr>
                <w:rFonts w:ascii="Verdana" w:hAnsi="Verdana"/>
                <w:bCs/>
                <w:sz w:val="16"/>
                <w:szCs w:val="16"/>
              </w:rPr>
              <w:t>Bbz</w:t>
            </w:r>
            <w:proofErr w:type="spellEnd"/>
            <w:r w:rsidR="00AE67D4">
              <w:rPr>
                <w:rFonts w:ascii="Verdana" w:hAnsi="Verdana"/>
                <w:bCs/>
                <w:sz w:val="16"/>
                <w:szCs w:val="16"/>
              </w:rPr>
              <w:t>, AIO)</w:t>
            </w:r>
            <w:r w:rsidRPr="00405763">
              <w:rPr>
                <w:rFonts w:ascii="Verdana" w:hAnsi="Verdana"/>
                <w:bCs/>
                <w:sz w:val="16"/>
                <w:szCs w:val="16"/>
              </w:rPr>
              <w:t xml:space="preserve">, </w:t>
            </w:r>
            <w:r w:rsidR="00AE67D4">
              <w:rPr>
                <w:rFonts w:ascii="Verdana" w:hAnsi="Verdana"/>
                <w:bCs/>
                <w:sz w:val="16"/>
                <w:szCs w:val="16"/>
              </w:rPr>
              <w:t>Toeslagenwet</w:t>
            </w:r>
            <w:r w:rsidRPr="00405763">
              <w:rPr>
                <w:rFonts w:ascii="Verdana" w:hAnsi="Verdana"/>
                <w:bCs/>
                <w:sz w:val="16"/>
                <w:szCs w:val="16"/>
              </w:rPr>
              <w:t xml:space="preserve"> en de </w:t>
            </w:r>
            <w:proofErr w:type="spellStart"/>
            <w:r w:rsidRPr="00405763">
              <w:rPr>
                <w:rFonts w:ascii="Verdana" w:hAnsi="Verdana"/>
                <w:bCs/>
                <w:sz w:val="16"/>
                <w:szCs w:val="16"/>
              </w:rPr>
              <w:t>A</w:t>
            </w:r>
            <w:r w:rsidR="00191926">
              <w:rPr>
                <w:rFonts w:ascii="Verdana" w:hAnsi="Verdana"/>
                <w:bCs/>
                <w:sz w:val="16"/>
                <w:szCs w:val="16"/>
              </w:rPr>
              <w:t>nw</w:t>
            </w:r>
            <w:proofErr w:type="spellEnd"/>
            <w:r w:rsidR="00AE67D4">
              <w:rPr>
                <w:rFonts w:ascii="Verdana" w:hAnsi="Verdana"/>
                <w:bCs/>
                <w:sz w:val="16"/>
                <w:szCs w:val="16"/>
              </w:rPr>
              <w:t>-uitkeringen</w:t>
            </w:r>
            <w:r w:rsidRPr="00405763">
              <w:rPr>
                <w:rFonts w:ascii="Verdana" w:hAnsi="Verdana"/>
                <w:bCs/>
                <w:sz w:val="16"/>
                <w:szCs w:val="16"/>
              </w:rPr>
              <w:t>.</w:t>
            </w:r>
            <w:r w:rsidRPr="00405763">
              <w:rPr>
                <w:rFonts w:ascii="Verdana" w:hAnsi="Verdana"/>
                <w:sz w:val="16"/>
                <w:szCs w:val="16"/>
              </w:rPr>
              <w:t xml:space="preserve"> </w:t>
            </w:r>
            <w:r w:rsidRPr="00405763">
              <w:rPr>
                <w:rFonts w:ascii="Verdana" w:hAnsi="Verdana"/>
                <w:bCs/>
                <w:sz w:val="16"/>
                <w:szCs w:val="16"/>
              </w:rPr>
              <w:t xml:space="preserve">De maatregel zorgt ervoor dat de afbouw </w:t>
            </w:r>
            <w:r w:rsidR="00936812">
              <w:rPr>
                <w:rFonts w:ascii="Verdana" w:hAnsi="Verdana"/>
                <w:bCs/>
                <w:sz w:val="16"/>
                <w:szCs w:val="16"/>
              </w:rPr>
              <w:t>drie</w:t>
            </w:r>
            <w:r w:rsidRPr="00405763" w:rsidR="00936812">
              <w:rPr>
                <w:rFonts w:ascii="Verdana" w:hAnsi="Verdana"/>
                <w:bCs/>
                <w:sz w:val="16"/>
                <w:szCs w:val="16"/>
              </w:rPr>
              <w:t xml:space="preserve"> </w:t>
            </w:r>
            <w:r w:rsidRPr="00405763">
              <w:rPr>
                <w:rFonts w:ascii="Verdana" w:hAnsi="Verdana"/>
                <w:bCs/>
                <w:sz w:val="16"/>
                <w:szCs w:val="16"/>
              </w:rPr>
              <w:t>jaar later volledig is afgebouwd (in 203</w:t>
            </w:r>
            <w:r w:rsidR="00AE67D4">
              <w:rPr>
                <w:rFonts w:ascii="Verdana" w:hAnsi="Verdana"/>
                <w:bCs/>
                <w:sz w:val="16"/>
                <w:szCs w:val="16"/>
              </w:rPr>
              <w:t>9</w:t>
            </w:r>
            <w:r w:rsidRPr="00405763">
              <w:rPr>
                <w:rFonts w:ascii="Verdana" w:hAnsi="Verdana"/>
                <w:bCs/>
                <w:sz w:val="16"/>
                <w:szCs w:val="16"/>
              </w:rPr>
              <w:t xml:space="preserve"> in plaats van in 203</w:t>
            </w:r>
            <w:r w:rsidR="00AE67D4">
              <w:rPr>
                <w:rFonts w:ascii="Verdana" w:hAnsi="Verdana"/>
                <w:bCs/>
                <w:sz w:val="16"/>
                <w:szCs w:val="16"/>
              </w:rPr>
              <w:t>6</w:t>
            </w:r>
            <w:r w:rsidRPr="00405763">
              <w:rPr>
                <w:rFonts w:ascii="Verdana" w:hAnsi="Verdana"/>
                <w:bCs/>
                <w:sz w:val="16"/>
                <w:szCs w:val="16"/>
              </w:rPr>
              <w:t>) en leidt dan ook tot</w:t>
            </w:r>
            <w:r w:rsidR="00AE67D4">
              <w:rPr>
                <w:rFonts w:ascii="Verdana" w:hAnsi="Verdana"/>
                <w:bCs/>
                <w:sz w:val="16"/>
                <w:szCs w:val="16"/>
              </w:rPr>
              <w:t xml:space="preserve"> en met</w:t>
            </w:r>
            <w:r w:rsidRPr="00405763">
              <w:rPr>
                <w:rFonts w:ascii="Verdana" w:hAnsi="Verdana"/>
                <w:bCs/>
                <w:sz w:val="16"/>
                <w:szCs w:val="16"/>
              </w:rPr>
              <w:t xml:space="preserve"> 203</w:t>
            </w:r>
            <w:r w:rsidR="00AE67D4">
              <w:rPr>
                <w:rFonts w:ascii="Verdana" w:hAnsi="Verdana"/>
                <w:bCs/>
                <w:sz w:val="16"/>
                <w:szCs w:val="16"/>
              </w:rPr>
              <w:t>8</w:t>
            </w:r>
            <w:r w:rsidRPr="00405763">
              <w:rPr>
                <w:rFonts w:ascii="Verdana" w:hAnsi="Verdana"/>
                <w:bCs/>
                <w:sz w:val="16"/>
                <w:szCs w:val="16"/>
              </w:rPr>
              <w:t xml:space="preserve"> tot een intensivering. Er is geen structureel budgettair effect. Het cumulatieve bedrag binnen de begrotingshorizon (tot en met 202</w:t>
            </w:r>
            <w:r w:rsidR="00E7165C">
              <w:rPr>
                <w:rFonts w:ascii="Verdana" w:hAnsi="Verdana"/>
                <w:bCs/>
                <w:sz w:val="16"/>
                <w:szCs w:val="16"/>
              </w:rPr>
              <w:t>9</w:t>
            </w:r>
            <w:r w:rsidRPr="00405763">
              <w:rPr>
                <w:rFonts w:ascii="Verdana" w:hAnsi="Verdana"/>
                <w:bCs/>
                <w:sz w:val="16"/>
                <w:szCs w:val="16"/>
              </w:rPr>
              <w:t xml:space="preserve">) betreft </w:t>
            </w:r>
            <w:r w:rsidR="00191926">
              <w:rPr>
                <w:rFonts w:ascii="Verdana" w:hAnsi="Verdana"/>
                <w:bCs/>
                <w:sz w:val="16"/>
                <w:szCs w:val="16"/>
              </w:rPr>
              <w:t>€</w:t>
            </w:r>
            <w:r w:rsidR="00FB2E88">
              <w:rPr>
                <w:rFonts w:ascii="Verdana" w:hAnsi="Verdana"/>
                <w:bCs/>
                <w:sz w:val="16"/>
                <w:szCs w:val="16"/>
              </w:rPr>
              <w:t xml:space="preserve"> </w:t>
            </w:r>
            <w:r w:rsidRPr="00405763">
              <w:rPr>
                <w:rFonts w:ascii="Verdana" w:hAnsi="Verdana"/>
                <w:bCs/>
                <w:sz w:val="16"/>
                <w:szCs w:val="16"/>
              </w:rPr>
              <w:t>1,</w:t>
            </w:r>
            <w:r w:rsidR="00AE67D4">
              <w:rPr>
                <w:rFonts w:ascii="Verdana" w:hAnsi="Verdana"/>
                <w:bCs/>
                <w:sz w:val="16"/>
                <w:szCs w:val="16"/>
              </w:rPr>
              <w:t>038</w:t>
            </w:r>
            <w:r w:rsidRPr="00405763">
              <w:rPr>
                <w:rFonts w:ascii="Verdana" w:hAnsi="Verdana"/>
                <w:bCs/>
                <w:sz w:val="16"/>
                <w:szCs w:val="16"/>
              </w:rPr>
              <w:t xml:space="preserve"> miljard.</w:t>
            </w:r>
          </w:p>
          <w:p w:rsidRPr="00405763" w:rsidR="00405763" w:rsidP="006C6A6A" w:rsidRDefault="00405763" w14:paraId="76E87A73" w14:textId="77777777">
            <w:pPr>
              <w:rPr>
                <w:rFonts w:ascii="Verdana" w:hAnsi="Verdana"/>
                <w:sz w:val="16"/>
                <w:szCs w:val="16"/>
              </w:rPr>
            </w:pPr>
          </w:p>
          <w:p w:rsidRPr="00405763" w:rsidR="00405763" w:rsidP="006C6A6A" w:rsidRDefault="00405763" w14:paraId="2025B1B6" w14:textId="699E3F1F">
            <w:pPr>
              <w:rPr>
                <w:rFonts w:ascii="Verdana" w:hAnsi="Verdana"/>
                <w:sz w:val="16"/>
                <w:szCs w:val="16"/>
              </w:rPr>
            </w:pPr>
            <w:r w:rsidRPr="00405763">
              <w:rPr>
                <w:rFonts w:ascii="Verdana" w:hAnsi="Verdana"/>
                <w:sz w:val="16"/>
                <w:szCs w:val="16"/>
              </w:rPr>
              <w:t>Budgettair effect van de wetswijziging</w:t>
            </w:r>
          </w:p>
          <w:tbl>
            <w:tblPr>
              <w:tblW w:w="6914" w:type="dxa"/>
              <w:tblLayout w:type="fixed"/>
              <w:tblCellMar>
                <w:left w:w="0" w:type="dxa"/>
                <w:right w:w="0" w:type="dxa"/>
              </w:tblCellMar>
              <w:tblLook w:val="04A0" w:firstRow="1" w:lastRow="0" w:firstColumn="1" w:lastColumn="0" w:noHBand="0" w:noVBand="1"/>
            </w:tblPr>
            <w:tblGrid>
              <w:gridCol w:w="3107"/>
              <w:gridCol w:w="614"/>
              <w:gridCol w:w="614"/>
              <w:gridCol w:w="614"/>
              <w:gridCol w:w="614"/>
              <w:gridCol w:w="614"/>
              <w:gridCol w:w="737"/>
            </w:tblGrid>
            <w:tr w:rsidRPr="00405763" w:rsidR="00E7165C" w:rsidTr="00FD093F" w14:paraId="732E3EAA" w14:textId="77777777">
              <w:trPr>
                <w:trHeight w:val="228"/>
              </w:trPr>
              <w:tc>
                <w:tcPr>
                  <w:tcW w:w="2247" w:type="pct"/>
                  <w:tcBorders>
                    <w:top w:val="single" w:color="auto" w:sz="8" w:space="0"/>
                    <w:left w:val="single" w:color="auto" w:sz="8" w:space="0"/>
                    <w:right w:val="nil"/>
                  </w:tcBorders>
                  <w:shd w:val="clear" w:color="auto" w:fill="FFFFFF"/>
                  <w:noWrap/>
                  <w:tcMar>
                    <w:top w:w="0" w:type="dxa"/>
                    <w:left w:w="70" w:type="dxa"/>
                    <w:bottom w:w="0" w:type="dxa"/>
                    <w:right w:w="70" w:type="dxa"/>
                  </w:tcMar>
                  <w:vAlign w:val="center"/>
                  <w:hideMark/>
                </w:tcPr>
                <w:p w:rsidRPr="00405763" w:rsidR="00E7165C" w:rsidP="00FD093F" w:rsidRDefault="00E7165C" w14:paraId="464E59F2" w14:textId="2F24DE17">
                  <w:pPr>
                    <w:rPr>
                      <w:b/>
                      <w:bCs/>
                      <w:sz w:val="16"/>
                      <w:szCs w:val="16"/>
                    </w:rPr>
                  </w:pPr>
                  <w:r w:rsidRPr="00405763">
                    <w:rPr>
                      <w:b/>
                      <w:bCs/>
                      <w:sz w:val="16"/>
                      <w:szCs w:val="16"/>
                    </w:rPr>
                    <w:t>Prijzen 202</w:t>
                  </w:r>
                  <w:r>
                    <w:rPr>
                      <w:b/>
                      <w:bCs/>
                      <w:sz w:val="16"/>
                      <w:szCs w:val="16"/>
                    </w:rPr>
                    <w:t>4</w:t>
                  </w:r>
                  <w:r w:rsidRPr="00405763">
                    <w:rPr>
                      <w:b/>
                      <w:bCs/>
                      <w:sz w:val="16"/>
                      <w:szCs w:val="16"/>
                    </w:rPr>
                    <w:t xml:space="preserve"> (x € 1 mln.)</w:t>
                  </w:r>
                </w:p>
              </w:tc>
              <w:tc>
                <w:tcPr>
                  <w:tcW w:w="444" w:type="pct"/>
                  <w:tcBorders>
                    <w:top w:val="single" w:color="auto" w:sz="8" w:space="0"/>
                    <w:left w:val="nil"/>
                    <w:right w:val="nil"/>
                  </w:tcBorders>
                  <w:shd w:val="clear" w:color="auto" w:fill="FFFFFF"/>
                  <w:noWrap/>
                  <w:tcMar>
                    <w:top w:w="0" w:type="dxa"/>
                    <w:left w:w="70" w:type="dxa"/>
                    <w:bottom w:w="0" w:type="dxa"/>
                    <w:right w:w="70" w:type="dxa"/>
                  </w:tcMar>
                  <w:vAlign w:val="center"/>
                  <w:hideMark/>
                </w:tcPr>
                <w:p w:rsidRPr="00405763" w:rsidR="00E7165C" w:rsidP="00FD093F" w:rsidRDefault="00E7165C" w14:paraId="37463645" w14:textId="5CAC1A47">
                  <w:pPr>
                    <w:jc w:val="right"/>
                    <w:rPr>
                      <w:b/>
                      <w:bCs/>
                      <w:sz w:val="16"/>
                      <w:szCs w:val="16"/>
                    </w:rPr>
                  </w:pPr>
                  <w:r>
                    <w:rPr>
                      <w:b/>
                      <w:bCs/>
                      <w:sz w:val="16"/>
                      <w:szCs w:val="16"/>
                    </w:rPr>
                    <w:t>2025</w:t>
                  </w:r>
                </w:p>
              </w:tc>
              <w:tc>
                <w:tcPr>
                  <w:tcW w:w="444" w:type="pct"/>
                  <w:tcBorders>
                    <w:top w:val="single" w:color="auto" w:sz="8" w:space="0"/>
                    <w:left w:val="nil"/>
                    <w:right w:val="nil"/>
                  </w:tcBorders>
                  <w:shd w:val="clear" w:color="auto" w:fill="FFFFFF"/>
                  <w:noWrap/>
                  <w:tcMar>
                    <w:top w:w="0" w:type="dxa"/>
                    <w:left w:w="70" w:type="dxa"/>
                    <w:bottom w:w="0" w:type="dxa"/>
                    <w:right w:w="70" w:type="dxa"/>
                  </w:tcMar>
                  <w:vAlign w:val="center"/>
                  <w:hideMark/>
                </w:tcPr>
                <w:p w:rsidRPr="00405763" w:rsidR="00E7165C" w:rsidP="00FD093F" w:rsidRDefault="00E7165C" w14:paraId="1B9CCFA8" w14:textId="2B67DF2B">
                  <w:pPr>
                    <w:jc w:val="right"/>
                    <w:rPr>
                      <w:b/>
                      <w:bCs/>
                      <w:sz w:val="16"/>
                      <w:szCs w:val="16"/>
                    </w:rPr>
                  </w:pPr>
                  <w:r>
                    <w:rPr>
                      <w:b/>
                      <w:bCs/>
                      <w:sz w:val="16"/>
                      <w:szCs w:val="16"/>
                    </w:rPr>
                    <w:t>2026</w:t>
                  </w:r>
                </w:p>
              </w:tc>
              <w:tc>
                <w:tcPr>
                  <w:tcW w:w="444" w:type="pct"/>
                  <w:tcBorders>
                    <w:top w:val="single" w:color="auto" w:sz="8" w:space="0"/>
                    <w:left w:val="nil"/>
                    <w:right w:val="nil"/>
                  </w:tcBorders>
                  <w:shd w:val="clear" w:color="auto" w:fill="FFFFFF"/>
                  <w:noWrap/>
                  <w:tcMar>
                    <w:top w:w="0" w:type="dxa"/>
                    <w:left w:w="70" w:type="dxa"/>
                    <w:bottom w:w="0" w:type="dxa"/>
                    <w:right w:w="70" w:type="dxa"/>
                  </w:tcMar>
                  <w:vAlign w:val="center"/>
                  <w:hideMark/>
                </w:tcPr>
                <w:p w:rsidRPr="00405763" w:rsidR="00E7165C" w:rsidP="00FD093F" w:rsidRDefault="00E7165C" w14:paraId="69D72AA8" w14:textId="6E85EF50">
                  <w:pPr>
                    <w:jc w:val="right"/>
                    <w:rPr>
                      <w:b/>
                      <w:bCs/>
                      <w:sz w:val="16"/>
                      <w:szCs w:val="16"/>
                    </w:rPr>
                  </w:pPr>
                  <w:r>
                    <w:rPr>
                      <w:b/>
                      <w:bCs/>
                      <w:sz w:val="16"/>
                      <w:szCs w:val="16"/>
                    </w:rPr>
                    <w:t>2027</w:t>
                  </w:r>
                </w:p>
              </w:tc>
              <w:tc>
                <w:tcPr>
                  <w:tcW w:w="444" w:type="pct"/>
                  <w:tcBorders>
                    <w:top w:val="single" w:color="auto" w:sz="8" w:space="0"/>
                    <w:left w:val="nil"/>
                    <w:right w:val="nil"/>
                  </w:tcBorders>
                  <w:shd w:val="clear" w:color="auto" w:fill="FFFFFF"/>
                  <w:noWrap/>
                  <w:tcMar>
                    <w:top w:w="0" w:type="dxa"/>
                    <w:left w:w="70" w:type="dxa"/>
                    <w:bottom w:w="0" w:type="dxa"/>
                    <w:right w:w="70" w:type="dxa"/>
                  </w:tcMar>
                  <w:vAlign w:val="center"/>
                  <w:hideMark/>
                </w:tcPr>
                <w:p w:rsidRPr="00405763" w:rsidR="00E7165C" w:rsidP="00FD093F" w:rsidRDefault="00E7165C" w14:paraId="7E8C6BEF" w14:textId="1D6C6B0B">
                  <w:pPr>
                    <w:jc w:val="right"/>
                    <w:rPr>
                      <w:b/>
                      <w:bCs/>
                      <w:sz w:val="16"/>
                      <w:szCs w:val="16"/>
                    </w:rPr>
                  </w:pPr>
                  <w:r>
                    <w:rPr>
                      <w:b/>
                      <w:bCs/>
                      <w:sz w:val="16"/>
                      <w:szCs w:val="16"/>
                    </w:rPr>
                    <w:t>2028</w:t>
                  </w:r>
                </w:p>
              </w:tc>
              <w:tc>
                <w:tcPr>
                  <w:tcW w:w="444" w:type="pct"/>
                  <w:tcBorders>
                    <w:top w:val="single" w:color="auto" w:sz="8" w:space="0"/>
                    <w:left w:val="nil"/>
                    <w:right w:val="nil"/>
                  </w:tcBorders>
                  <w:shd w:val="clear" w:color="auto" w:fill="FFFFFF"/>
                  <w:noWrap/>
                  <w:tcMar>
                    <w:top w:w="0" w:type="dxa"/>
                    <w:left w:w="70" w:type="dxa"/>
                    <w:bottom w:w="0" w:type="dxa"/>
                    <w:right w:w="70" w:type="dxa"/>
                  </w:tcMar>
                  <w:vAlign w:val="center"/>
                </w:tcPr>
                <w:p w:rsidRPr="00405763" w:rsidR="00E7165C" w:rsidP="00FD093F" w:rsidRDefault="00E7165C" w14:paraId="6C15A828" w14:textId="635343C9">
                  <w:pPr>
                    <w:jc w:val="right"/>
                    <w:rPr>
                      <w:b/>
                      <w:bCs/>
                      <w:sz w:val="16"/>
                      <w:szCs w:val="16"/>
                    </w:rPr>
                  </w:pPr>
                  <w:r>
                    <w:rPr>
                      <w:b/>
                      <w:bCs/>
                      <w:sz w:val="16"/>
                      <w:szCs w:val="16"/>
                    </w:rPr>
                    <w:t>2029</w:t>
                  </w:r>
                </w:p>
              </w:tc>
              <w:tc>
                <w:tcPr>
                  <w:tcW w:w="533" w:type="pct"/>
                  <w:tcBorders>
                    <w:top w:val="single" w:color="auto" w:sz="8" w:space="0"/>
                    <w:left w:val="nil"/>
                    <w:right w:val="single" w:color="auto" w:sz="8" w:space="0"/>
                  </w:tcBorders>
                  <w:shd w:val="clear" w:color="auto" w:fill="FFFFFF"/>
                  <w:noWrap/>
                  <w:tcMar>
                    <w:top w:w="0" w:type="dxa"/>
                    <w:left w:w="70" w:type="dxa"/>
                    <w:bottom w:w="0" w:type="dxa"/>
                    <w:right w:w="70" w:type="dxa"/>
                  </w:tcMar>
                  <w:vAlign w:val="center"/>
                  <w:hideMark/>
                </w:tcPr>
                <w:p w:rsidRPr="00405763" w:rsidR="00E7165C" w:rsidP="00FD093F" w:rsidRDefault="00E7165C" w14:paraId="15E0FBF2" w14:textId="77777777">
                  <w:pPr>
                    <w:jc w:val="right"/>
                    <w:rPr>
                      <w:b/>
                      <w:bCs/>
                      <w:sz w:val="16"/>
                      <w:szCs w:val="16"/>
                    </w:rPr>
                  </w:pPr>
                  <w:proofErr w:type="spellStart"/>
                  <w:r w:rsidRPr="00405763">
                    <w:rPr>
                      <w:b/>
                      <w:bCs/>
                      <w:sz w:val="16"/>
                      <w:szCs w:val="16"/>
                    </w:rPr>
                    <w:t>Struc</w:t>
                  </w:r>
                  <w:proofErr w:type="spellEnd"/>
                  <w:r w:rsidRPr="00405763">
                    <w:rPr>
                      <w:b/>
                      <w:bCs/>
                      <w:sz w:val="16"/>
                      <w:szCs w:val="16"/>
                    </w:rPr>
                    <w:t>.</w:t>
                  </w:r>
                </w:p>
              </w:tc>
            </w:tr>
            <w:tr w:rsidRPr="00405763" w:rsidR="00E7165C" w:rsidTr="00FD093F" w14:paraId="37D7926C" w14:textId="77777777">
              <w:trPr>
                <w:trHeight w:val="235"/>
              </w:trPr>
              <w:tc>
                <w:tcPr>
                  <w:tcW w:w="2247" w:type="pct"/>
                  <w:tcBorders>
                    <w:top w:val="nil"/>
                    <w:left w:val="single" w:color="auto" w:sz="8" w:space="0"/>
                    <w:bottom w:val="single" w:color="auto" w:sz="4" w:space="0"/>
                    <w:right w:val="nil"/>
                  </w:tcBorders>
                  <w:shd w:val="clear" w:color="auto" w:fill="FFFFFF"/>
                  <w:noWrap/>
                  <w:tcMar>
                    <w:top w:w="0" w:type="dxa"/>
                    <w:left w:w="70" w:type="dxa"/>
                    <w:bottom w:w="0" w:type="dxa"/>
                    <w:right w:w="70" w:type="dxa"/>
                  </w:tcMar>
                  <w:vAlign w:val="center"/>
                  <w:hideMark/>
                </w:tcPr>
                <w:p w:rsidRPr="00405763" w:rsidR="00E7165C" w:rsidP="00FD093F" w:rsidRDefault="00E7165C" w14:paraId="5026F219" w14:textId="6E7CF980">
                  <w:pPr>
                    <w:rPr>
                      <w:sz w:val="16"/>
                      <w:szCs w:val="16"/>
                    </w:rPr>
                  </w:pPr>
                  <w:r>
                    <w:rPr>
                      <w:sz w:val="16"/>
                      <w:szCs w:val="16"/>
                    </w:rPr>
                    <w:t>Totaal</w:t>
                  </w:r>
                </w:p>
              </w:tc>
              <w:tc>
                <w:tcPr>
                  <w:tcW w:w="444" w:type="pct"/>
                  <w:tcBorders>
                    <w:bottom w:val="single" w:color="auto" w:sz="4" w:space="0"/>
                  </w:tcBorders>
                  <w:shd w:val="clear" w:color="auto" w:fill="FFFFFF"/>
                  <w:noWrap/>
                  <w:tcMar>
                    <w:top w:w="0" w:type="dxa"/>
                    <w:left w:w="70" w:type="dxa"/>
                    <w:bottom w:w="0" w:type="dxa"/>
                    <w:right w:w="70" w:type="dxa"/>
                  </w:tcMar>
                  <w:vAlign w:val="center"/>
                  <w:hideMark/>
                </w:tcPr>
                <w:p w:rsidRPr="00405763" w:rsidR="00E7165C" w:rsidP="00FD093F" w:rsidRDefault="00E7165C" w14:paraId="25195CFE" w14:textId="4845EB80">
                  <w:pPr>
                    <w:jc w:val="right"/>
                    <w:rPr>
                      <w:sz w:val="16"/>
                      <w:szCs w:val="16"/>
                    </w:rPr>
                  </w:pPr>
                  <w:r>
                    <w:rPr>
                      <w:sz w:val="16"/>
                      <w:szCs w:val="16"/>
                    </w:rPr>
                    <w:t>73</w:t>
                  </w:r>
                </w:p>
              </w:tc>
              <w:tc>
                <w:tcPr>
                  <w:tcW w:w="444" w:type="pct"/>
                  <w:tcBorders>
                    <w:bottom w:val="single" w:color="auto" w:sz="4" w:space="0"/>
                  </w:tcBorders>
                  <w:shd w:val="clear" w:color="auto" w:fill="FFFFFF"/>
                  <w:noWrap/>
                  <w:tcMar>
                    <w:top w:w="0" w:type="dxa"/>
                    <w:left w:w="70" w:type="dxa"/>
                    <w:bottom w:w="0" w:type="dxa"/>
                    <w:right w:w="70" w:type="dxa"/>
                  </w:tcMar>
                  <w:vAlign w:val="center"/>
                  <w:hideMark/>
                </w:tcPr>
                <w:p w:rsidRPr="00405763" w:rsidR="00E7165C" w:rsidP="00FD093F" w:rsidRDefault="00E7165C" w14:paraId="591149AD" w14:textId="6A6AF99A">
                  <w:pPr>
                    <w:jc w:val="right"/>
                    <w:rPr>
                      <w:sz w:val="16"/>
                      <w:szCs w:val="16"/>
                    </w:rPr>
                  </w:pPr>
                  <w:r>
                    <w:rPr>
                      <w:sz w:val="16"/>
                      <w:szCs w:val="16"/>
                    </w:rPr>
                    <w:t>168</w:t>
                  </w:r>
                </w:p>
              </w:tc>
              <w:tc>
                <w:tcPr>
                  <w:tcW w:w="444" w:type="pct"/>
                  <w:tcBorders>
                    <w:bottom w:val="single" w:color="auto" w:sz="4" w:space="0"/>
                  </w:tcBorders>
                  <w:shd w:val="clear" w:color="auto" w:fill="FFFFFF"/>
                  <w:noWrap/>
                  <w:tcMar>
                    <w:top w:w="0" w:type="dxa"/>
                    <w:left w:w="70" w:type="dxa"/>
                    <w:bottom w:w="0" w:type="dxa"/>
                    <w:right w:w="70" w:type="dxa"/>
                  </w:tcMar>
                  <w:vAlign w:val="center"/>
                  <w:hideMark/>
                </w:tcPr>
                <w:p w:rsidRPr="00405763" w:rsidR="00E7165C" w:rsidP="00FD093F" w:rsidRDefault="00E7165C" w14:paraId="0744492E" w14:textId="1DDEEC2C">
                  <w:pPr>
                    <w:jc w:val="right"/>
                    <w:rPr>
                      <w:sz w:val="16"/>
                      <w:szCs w:val="16"/>
                    </w:rPr>
                  </w:pPr>
                  <w:r>
                    <w:rPr>
                      <w:sz w:val="16"/>
                      <w:szCs w:val="16"/>
                    </w:rPr>
                    <w:t>265</w:t>
                  </w:r>
                </w:p>
              </w:tc>
              <w:tc>
                <w:tcPr>
                  <w:tcW w:w="444" w:type="pct"/>
                  <w:tcBorders>
                    <w:bottom w:val="single" w:color="auto" w:sz="4" w:space="0"/>
                  </w:tcBorders>
                  <w:shd w:val="clear" w:color="auto" w:fill="FFFFFF"/>
                  <w:noWrap/>
                  <w:tcMar>
                    <w:top w:w="0" w:type="dxa"/>
                    <w:left w:w="70" w:type="dxa"/>
                    <w:bottom w:w="0" w:type="dxa"/>
                    <w:right w:w="70" w:type="dxa"/>
                  </w:tcMar>
                  <w:vAlign w:val="center"/>
                  <w:hideMark/>
                </w:tcPr>
                <w:p w:rsidRPr="00405763" w:rsidR="00E7165C" w:rsidP="00FD093F" w:rsidRDefault="00E7165C" w14:paraId="61B824E7" w14:textId="6E2F2160">
                  <w:pPr>
                    <w:jc w:val="right"/>
                    <w:rPr>
                      <w:sz w:val="16"/>
                      <w:szCs w:val="16"/>
                    </w:rPr>
                  </w:pPr>
                  <w:r>
                    <w:rPr>
                      <w:sz w:val="16"/>
                      <w:szCs w:val="16"/>
                    </w:rPr>
                    <w:t>255</w:t>
                  </w:r>
                </w:p>
              </w:tc>
              <w:tc>
                <w:tcPr>
                  <w:tcW w:w="444" w:type="pct"/>
                  <w:tcBorders>
                    <w:bottom w:val="single" w:color="auto" w:sz="4" w:space="0"/>
                  </w:tcBorders>
                  <w:shd w:val="clear" w:color="auto" w:fill="FFFFFF"/>
                  <w:noWrap/>
                  <w:tcMar>
                    <w:top w:w="0" w:type="dxa"/>
                    <w:left w:w="70" w:type="dxa"/>
                    <w:bottom w:w="0" w:type="dxa"/>
                    <w:right w:w="70" w:type="dxa"/>
                  </w:tcMar>
                  <w:vAlign w:val="center"/>
                  <w:hideMark/>
                </w:tcPr>
                <w:p w:rsidRPr="00405763" w:rsidR="00E7165C" w:rsidP="00FD093F" w:rsidRDefault="00E7165C" w14:paraId="706C9EC9" w14:textId="71E4B314">
                  <w:pPr>
                    <w:jc w:val="right"/>
                    <w:rPr>
                      <w:sz w:val="16"/>
                      <w:szCs w:val="16"/>
                    </w:rPr>
                  </w:pPr>
                  <w:r>
                    <w:rPr>
                      <w:sz w:val="16"/>
                      <w:szCs w:val="16"/>
                    </w:rPr>
                    <w:t>277</w:t>
                  </w:r>
                </w:p>
              </w:tc>
              <w:tc>
                <w:tcPr>
                  <w:tcW w:w="533" w:type="pct"/>
                  <w:tcBorders>
                    <w:top w:val="nil"/>
                    <w:left w:val="nil"/>
                    <w:bottom w:val="single" w:color="auto" w:sz="4" w:space="0"/>
                    <w:right w:val="single" w:color="auto" w:sz="8" w:space="0"/>
                  </w:tcBorders>
                  <w:shd w:val="clear" w:color="auto" w:fill="FFFFFF"/>
                  <w:noWrap/>
                  <w:tcMar>
                    <w:top w:w="0" w:type="dxa"/>
                    <w:left w:w="70" w:type="dxa"/>
                    <w:bottom w:w="0" w:type="dxa"/>
                    <w:right w:w="70" w:type="dxa"/>
                  </w:tcMar>
                  <w:vAlign w:val="center"/>
                  <w:hideMark/>
                </w:tcPr>
                <w:p w:rsidRPr="00405763" w:rsidR="00E7165C" w:rsidP="00FD093F" w:rsidRDefault="00E7165C" w14:paraId="1214824E" w14:textId="77777777">
                  <w:pPr>
                    <w:jc w:val="right"/>
                    <w:rPr>
                      <w:sz w:val="16"/>
                      <w:szCs w:val="16"/>
                    </w:rPr>
                  </w:pPr>
                  <w:r w:rsidRPr="00405763">
                    <w:rPr>
                      <w:sz w:val="16"/>
                      <w:szCs w:val="16"/>
                    </w:rPr>
                    <w:t>0</w:t>
                  </w:r>
                </w:p>
              </w:tc>
            </w:tr>
          </w:tbl>
          <w:p w:rsidRPr="00486F9D" w:rsidR="00486F9D" w:rsidP="00E7165C" w:rsidRDefault="00486F9D" w14:paraId="2A260F3D" w14:textId="297BCB3E">
            <w:pPr>
              <w:rPr>
                <w:rFonts w:ascii="Verdana" w:hAnsi="Verdana"/>
                <w:sz w:val="16"/>
                <w:szCs w:val="16"/>
              </w:rPr>
            </w:pPr>
          </w:p>
        </w:tc>
      </w:tr>
      <w:tr w:rsidRPr="0032161D" w:rsidR="0032161D" w:rsidTr="005B1C6F" w14:paraId="1D38D2EC" w14:textId="77777777">
        <w:trPr>
          <w:trHeight w:val="2074"/>
        </w:trPr>
        <w:tc>
          <w:tcPr>
            <w:tcW w:w="1725"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32161D" w:rsidR="00AE17CA" w:rsidP="0032161D" w:rsidRDefault="00AE17CA" w14:paraId="157F7806" w14:textId="14E0D026">
            <w:pPr>
              <w:pStyle w:val="TableParagraph"/>
              <w:spacing w:before="146"/>
              <w:ind w:left="198" w:right="202"/>
              <w:rPr>
                <w:rFonts w:ascii="Verdana" w:hAnsi="Verdana" w:cstheme="minorHAnsi"/>
                <w:b/>
                <w:sz w:val="16"/>
                <w:szCs w:val="16"/>
              </w:rPr>
            </w:pPr>
            <w:r w:rsidRPr="0032161D">
              <w:rPr>
                <w:rFonts w:ascii="Verdana" w:hAnsi="Verdana" w:cstheme="minorHAnsi"/>
                <w:b/>
                <w:color w:val="FFFFFF"/>
                <w:sz w:val="16"/>
                <w:szCs w:val="16"/>
              </w:rPr>
              <w:t xml:space="preserve">3B. Financiële gevolgen voor </w:t>
            </w:r>
            <w:proofErr w:type="spellStart"/>
            <w:r w:rsidRPr="0032161D">
              <w:rPr>
                <w:rFonts w:ascii="Verdana" w:hAnsi="Verdana" w:cstheme="minorHAnsi"/>
                <w:b/>
                <w:color w:val="FFFFFF"/>
                <w:sz w:val="16"/>
                <w:szCs w:val="16"/>
              </w:rPr>
              <w:t>maat</w:t>
            </w:r>
            <w:r w:rsidR="0010657B">
              <w:rPr>
                <w:rFonts w:ascii="Verdana" w:hAnsi="Verdana" w:cstheme="minorHAnsi"/>
                <w:b/>
                <w:color w:val="FFFFFF"/>
                <w:sz w:val="16"/>
                <w:szCs w:val="16"/>
              </w:rPr>
              <w:t>-</w:t>
            </w:r>
            <w:r w:rsidRPr="0032161D">
              <w:rPr>
                <w:rFonts w:ascii="Verdana" w:hAnsi="Verdana" w:cstheme="minorHAnsi"/>
                <w:b/>
                <w:color w:val="FFFFFF"/>
                <w:sz w:val="16"/>
                <w:szCs w:val="16"/>
              </w:rPr>
              <w:t>schappelijke</w:t>
            </w:r>
            <w:proofErr w:type="spellEnd"/>
            <w:r w:rsidRPr="0032161D">
              <w:rPr>
                <w:rFonts w:ascii="Verdana" w:hAnsi="Verdana" w:cstheme="minorHAnsi"/>
                <w:b/>
                <w:color w:val="FFFFFF"/>
                <w:sz w:val="16"/>
                <w:szCs w:val="16"/>
              </w:rPr>
              <w:t xml:space="preserve"> sectoren </w:t>
            </w:r>
          </w:p>
        </w:tc>
        <w:tc>
          <w:tcPr>
            <w:tcW w:w="7179" w:type="dxa"/>
            <w:tcBorders>
              <w:top w:val="single" w:color="FFFFFF" w:sz="4" w:space="0"/>
              <w:left w:val="single" w:color="FFFFFF" w:sz="4" w:space="0"/>
              <w:bottom w:val="single" w:color="FFFFFF" w:sz="4" w:space="0"/>
              <w:right w:val="nil"/>
            </w:tcBorders>
            <w:shd w:val="clear" w:color="auto" w:fill="D9E2F3" w:themeFill="accent5" w:themeFillTint="33"/>
            <w:hideMark/>
          </w:tcPr>
          <w:p w:rsidR="00AE17CA" w:rsidP="006C6A6A" w:rsidRDefault="00405763" w14:paraId="6D95AB5F" w14:textId="73504D9A">
            <w:pPr>
              <w:rPr>
                <w:rFonts w:ascii="Verdana" w:hAnsi="Verdana"/>
                <w:sz w:val="16"/>
                <w:szCs w:val="16"/>
              </w:rPr>
            </w:pPr>
            <w:r w:rsidRPr="00405763">
              <w:rPr>
                <w:rFonts w:ascii="Verdana" w:hAnsi="Verdana"/>
                <w:sz w:val="16"/>
                <w:szCs w:val="16"/>
              </w:rPr>
              <w:t xml:space="preserve">De bevriezing van de afbouw van de dubbele AHK </w:t>
            </w:r>
            <w:r w:rsidR="005B1C6F">
              <w:rPr>
                <w:rFonts w:ascii="Verdana" w:hAnsi="Verdana"/>
                <w:sz w:val="16"/>
                <w:szCs w:val="16"/>
              </w:rPr>
              <w:t>heeft</w:t>
            </w:r>
            <w:r w:rsidRPr="00405763">
              <w:rPr>
                <w:rFonts w:ascii="Verdana" w:hAnsi="Verdana"/>
                <w:sz w:val="16"/>
                <w:szCs w:val="16"/>
              </w:rPr>
              <w:t xml:space="preserve"> </w:t>
            </w:r>
            <w:r w:rsidR="005B1C6F">
              <w:rPr>
                <w:rFonts w:ascii="Verdana" w:hAnsi="Verdana"/>
                <w:sz w:val="16"/>
                <w:szCs w:val="16"/>
              </w:rPr>
              <w:t xml:space="preserve">voor 2025-2038 </w:t>
            </w:r>
            <w:r w:rsidRPr="00405763">
              <w:rPr>
                <w:rFonts w:ascii="Verdana" w:hAnsi="Verdana"/>
                <w:sz w:val="16"/>
                <w:szCs w:val="16"/>
              </w:rPr>
              <w:t xml:space="preserve">een positief inkomenseffect voor </w:t>
            </w:r>
            <w:r w:rsidR="00E7165C">
              <w:rPr>
                <w:rFonts w:ascii="Verdana" w:hAnsi="Verdana"/>
                <w:sz w:val="16"/>
                <w:szCs w:val="16"/>
              </w:rPr>
              <w:t>huishoudens met een uitkering op het sociaal minimum</w:t>
            </w:r>
            <w:r w:rsidRPr="00405763">
              <w:rPr>
                <w:rFonts w:ascii="Verdana" w:hAnsi="Verdana"/>
                <w:sz w:val="16"/>
                <w:szCs w:val="16"/>
              </w:rPr>
              <w:t xml:space="preserve">. Omdat de afbouw van de dubbele AHK in de bijstand </w:t>
            </w:r>
            <w:r w:rsidR="00F5507A">
              <w:rPr>
                <w:rFonts w:ascii="Verdana" w:hAnsi="Verdana"/>
                <w:sz w:val="16"/>
                <w:szCs w:val="16"/>
              </w:rPr>
              <w:t>per 2028</w:t>
            </w:r>
            <w:r w:rsidRPr="00405763">
              <w:rPr>
                <w:rFonts w:ascii="Verdana" w:hAnsi="Verdana"/>
                <w:sz w:val="16"/>
                <w:szCs w:val="16"/>
              </w:rPr>
              <w:t xml:space="preserve"> wordt hervat, is er structureel (vanaf 203</w:t>
            </w:r>
            <w:r w:rsidR="00AE67D4">
              <w:rPr>
                <w:rFonts w:ascii="Verdana" w:hAnsi="Verdana"/>
                <w:sz w:val="16"/>
                <w:szCs w:val="16"/>
              </w:rPr>
              <w:t>9</w:t>
            </w:r>
            <w:r w:rsidRPr="00405763">
              <w:rPr>
                <w:rFonts w:ascii="Verdana" w:hAnsi="Verdana"/>
                <w:sz w:val="16"/>
                <w:szCs w:val="16"/>
              </w:rPr>
              <w:t>) geen sprake van een hoger uitkeringsniveau in de hierboven genoemde uitkeringen dan zonder deze wetswijziging het geval zou zijn geweest.</w:t>
            </w:r>
          </w:p>
          <w:p w:rsidRPr="00191926" w:rsidR="00486F9D" w:rsidP="006C6A6A" w:rsidRDefault="00902B86" w14:paraId="28D53FB9" w14:textId="11B1AB97">
            <w:pPr>
              <w:rPr>
                <w:rFonts w:ascii="Verdana" w:hAnsi="Verdana"/>
                <w:sz w:val="16"/>
                <w:szCs w:val="16"/>
              </w:rPr>
            </w:pPr>
            <w:r w:rsidRPr="00902B86">
              <w:rPr>
                <w:rFonts w:ascii="Verdana" w:hAnsi="Verdana"/>
                <w:sz w:val="16"/>
                <w:szCs w:val="16"/>
              </w:rPr>
              <w:t xml:space="preserve">De voorgestelde maatregel verlengt de duur van de alleenverdienersproblematiek </w:t>
            </w:r>
            <w:r>
              <w:rPr>
                <w:rFonts w:ascii="Verdana" w:hAnsi="Verdana" w:cstheme="minorHAnsi"/>
                <w:bCs/>
                <w:sz w:val="16"/>
                <w:szCs w:val="16"/>
              </w:rPr>
              <w:t>(waarin huishoudens door samenloop van fiscaliteit, sociale zekerheid en toeslagen minder kunnen besteden dan een paar in de bijstand)</w:t>
            </w:r>
            <w:r w:rsidRPr="00574B79">
              <w:rPr>
                <w:rFonts w:ascii="Verdana" w:hAnsi="Verdana" w:cstheme="minorHAnsi"/>
                <w:bCs/>
                <w:sz w:val="16"/>
                <w:szCs w:val="16"/>
              </w:rPr>
              <w:t xml:space="preserve"> </w:t>
            </w:r>
            <w:r w:rsidRPr="00902B86">
              <w:rPr>
                <w:rFonts w:ascii="Verdana" w:hAnsi="Verdana"/>
                <w:sz w:val="16"/>
                <w:szCs w:val="16"/>
              </w:rPr>
              <w:t>met drie jaar, tot en met 2038</w:t>
            </w:r>
            <w:r w:rsidR="005B1C6F">
              <w:rPr>
                <w:rFonts w:ascii="Verdana" w:hAnsi="Verdana"/>
                <w:sz w:val="16"/>
                <w:szCs w:val="16"/>
              </w:rPr>
              <w:t xml:space="preserve">. </w:t>
            </w:r>
            <w:r w:rsidRPr="00902B86">
              <w:rPr>
                <w:rFonts w:ascii="Verdana" w:hAnsi="Verdana"/>
                <w:sz w:val="16"/>
                <w:szCs w:val="16"/>
              </w:rPr>
              <w:t>Ook het aantal betrokken huishoudens neemt in beperkte mate</w:t>
            </w:r>
            <w:r w:rsidR="005B1C6F">
              <w:rPr>
                <w:rFonts w:ascii="Verdana" w:hAnsi="Verdana"/>
                <w:sz w:val="16"/>
                <w:szCs w:val="16"/>
              </w:rPr>
              <w:t xml:space="preserve"> toe</w:t>
            </w:r>
            <w:r w:rsidRPr="00902B86">
              <w:rPr>
                <w:rFonts w:ascii="Verdana" w:hAnsi="Verdana"/>
                <w:sz w:val="16"/>
                <w:szCs w:val="16"/>
              </w:rPr>
              <w:t xml:space="preserve">. </w:t>
            </w:r>
          </w:p>
          <w:p w:rsidRPr="00405763" w:rsidR="00AE17CA" w:rsidP="006C6A6A" w:rsidRDefault="00AE17CA" w14:paraId="21DC586B" w14:textId="77777777">
            <w:pPr>
              <w:rPr>
                <w:rFonts w:ascii="Verdana" w:hAnsi="Verdana" w:cstheme="minorHAnsi"/>
                <w:bCs/>
                <w:color w:val="FF0000"/>
                <w:sz w:val="16"/>
                <w:szCs w:val="16"/>
              </w:rPr>
            </w:pPr>
          </w:p>
        </w:tc>
      </w:tr>
      <w:tr w:rsidRPr="0032161D" w:rsidR="0032161D" w:rsidTr="005B1C6F" w14:paraId="48291C11" w14:textId="77777777">
        <w:trPr>
          <w:trHeight w:val="1848"/>
        </w:trPr>
        <w:tc>
          <w:tcPr>
            <w:tcW w:w="1725"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32161D" w:rsidR="00AE17CA" w:rsidP="0032161D" w:rsidRDefault="00AE17CA" w14:paraId="2800573E" w14:textId="494F858D">
            <w:pPr>
              <w:pStyle w:val="TableParagraph"/>
              <w:spacing w:before="141"/>
              <w:ind w:right="202"/>
              <w:rPr>
                <w:rFonts w:ascii="Verdana" w:hAnsi="Verdana" w:cstheme="minorHAnsi"/>
                <w:b/>
                <w:sz w:val="16"/>
                <w:szCs w:val="16"/>
              </w:rPr>
            </w:pPr>
            <w:r w:rsidRPr="0032161D">
              <w:rPr>
                <w:rFonts w:ascii="Verdana" w:hAnsi="Verdana" w:cstheme="minorHAnsi"/>
                <w:b/>
                <w:color w:val="FFFFFF"/>
                <w:sz w:val="16"/>
                <w:szCs w:val="16"/>
              </w:rPr>
              <w:t>4. Nagestreef</w:t>
            </w:r>
            <w:r w:rsidR="0032161D">
              <w:rPr>
                <w:rFonts w:ascii="Verdana" w:hAnsi="Verdana" w:cstheme="minorHAnsi"/>
                <w:b/>
                <w:color w:val="FFFFFF"/>
                <w:sz w:val="16"/>
                <w:szCs w:val="16"/>
              </w:rPr>
              <w:t>de</w:t>
            </w:r>
            <w:r w:rsidRPr="0032161D">
              <w:rPr>
                <w:rFonts w:ascii="Verdana" w:hAnsi="Verdana" w:cstheme="minorHAnsi"/>
                <w:b/>
                <w:color w:val="FFFFFF"/>
                <w:sz w:val="16"/>
                <w:szCs w:val="16"/>
              </w:rPr>
              <w:t xml:space="preserve"> doeltreffendheid</w:t>
            </w:r>
          </w:p>
        </w:tc>
        <w:tc>
          <w:tcPr>
            <w:tcW w:w="7179" w:type="dxa"/>
            <w:tcBorders>
              <w:top w:val="single" w:color="FFFFFF" w:sz="4" w:space="0"/>
              <w:left w:val="single" w:color="FFFFFF" w:sz="4" w:space="0"/>
              <w:bottom w:val="single" w:color="FFFFFF" w:sz="4" w:space="0"/>
              <w:right w:val="nil"/>
            </w:tcBorders>
            <w:shd w:val="clear" w:color="auto" w:fill="D9E2F3" w:themeFill="accent5" w:themeFillTint="33"/>
            <w:hideMark/>
          </w:tcPr>
          <w:p w:rsidR="00AE17CA" w:rsidP="006C6A6A" w:rsidRDefault="00F70FF1" w14:paraId="6F663167" w14:textId="5FD232AD">
            <w:pPr>
              <w:rPr>
                <w:rFonts w:ascii="Verdana" w:hAnsi="Verdana" w:cstheme="minorHAnsi"/>
                <w:bCs/>
                <w:sz w:val="16"/>
                <w:szCs w:val="16"/>
              </w:rPr>
            </w:pPr>
            <w:r w:rsidRPr="00F70FF1">
              <w:rPr>
                <w:rFonts w:ascii="Verdana" w:hAnsi="Verdana" w:cstheme="minorHAnsi"/>
                <w:bCs/>
                <w:sz w:val="16"/>
                <w:szCs w:val="16"/>
              </w:rPr>
              <w:t>De maatrege</w:t>
            </w:r>
            <w:r>
              <w:rPr>
                <w:rFonts w:ascii="Verdana" w:hAnsi="Verdana" w:cstheme="minorHAnsi"/>
                <w:bCs/>
                <w:sz w:val="16"/>
                <w:szCs w:val="16"/>
              </w:rPr>
              <w:t>l</w:t>
            </w:r>
            <w:r w:rsidRPr="00F70FF1">
              <w:rPr>
                <w:rFonts w:ascii="Verdana" w:hAnsi="Verdana" w:cstheme="minorHAnsi"/>
                <w:bCs/>
                <w:sz w:val="16"/>
                <w:szCs w:val="16"/>
              </w:rPr>
              <w:t xml:space="preserve"> ma</w:t>
            </w:r>
            <w:r>
              <w:rPr>
                <w:rFonts w:ascii="Verdana" w:hAnsi="Verdana" w:cstheme="minorHAnsi"/>
                <w:bCs/>
                <w:sz w:val="16"/>
                <w:szCs w:val="16"/>
              </w:rPr>
              <w:t>akt</w:t>
            </w:r>
            <w:r w:rsidRPr="00F70FF1">
              <w:rPr>
                <w:rFonts w:ascii="Verdana" w:hAnsi="Verdana" w:cstheme="minorHAnsi"/>
                <w:bCs/>
                <w:sz w:val="16"/>
                <w:szCs w:val="16"/>
              </w:rPr>
              <w:t xml:space="preserve"> deel uit van een breder pakket aan koopkrachtmaatregelen. </w:t>
            </w:r>
            <w:r w:rsidR="00E7165C">
              <w:rPr>
                <w:rFonts w:ascii="Verdana" w:hAnsi="Verdana" w:cstheme="minorHAnsi"/>
                <w:bCs/>
                <w:sz w:val="16"/>
                <w:szCs w:val="16"/>
              </w:rPr>
              <w:t>De</w:t>
            </w:r>
            <w:r w:rsidRPr="00405763" w:rsidR="00405763">
              <w:rPr>
                <w:rFonts w:ascii="Verdana" w:hAnsi="Verdana" w:cstheme="minorHAnsi"/>
                <w:bCs/>
                <w:sz w:val="16"/>
                <w:szCs w:val="16"/>
              </w:rPr>
              <w:t xml:space="preserve"> bevriez</w:t>
            </w:r>
            <w:r w:rsidR="00E7165C">
              <w:rPr>
                <w:rFonts w:ascii="Verdana" w:hAnsi="Verdana" w:cstheme="minorHAnsi"/>
                <w:bCs/>
                <w:sz w:val="16"/>
                <w:szCs w:val="16"/>
              </w:rPr>
              <w:t>ing</w:t>
            </w:r>
            <w:r w:rsidRPr="00405763" w:rsidR="00405763">
              <w:rPr>
                <w:rFonts w:ascii="Verdana" w:hAnsi="Verdana" w:cstheme="minorHAnsi"/>
                <w:bCs/>
                <w:sz w:val="16"/>
                <w:szCs w:val="16"/>
              </w:rPr>
              <w:t xml:space="preserve"> van de dubbele AHK </w:t>
            </w:r>
            <w:r w:rsidR="00FF6462">
              <w:rPr>
                <w:rFonts w:ascii="Verdana" w:hAnsi="Verdana" w:cstheme="minorHAnsi"/>
                <w:bCs/>
                <w:sz w:val="16"/>
                <w:szCs w:val="16"/>
              </w:rPr>
              <w:t xml:space="preserve">voorkomt dat </w:t>
            </w:r>
            <w:r w:rsidR="00AE67D4">
              <w:rPr>
                <w:rFonts w:ascii="Verdana" w:hAnsi="Verdana" w:cstheme="minorHAnsi"/>
                <w:bCs/>
                <w:sz w:val="16"/>
                <w:szCs w:val="16"/>
              </w:rPr>
              <w:t xml:space="preserve">op </w:t>
            </w:r>
            <w:r w:rsidR="00FF6462">
              <w:rPr>
                <w:rFonts w:ascii="Verdana" w:hAnsi="Verdana" w:cstheme="minorHAnsi"/>
                <w:bCs/>
                <w:sz w:val="16"/>
                <w:szCs w:val="16"/>
              </w:rPr>
              <w:t xml:space="preserve">bovengenoemde uitkeringen </w:t>
            </w:r>
            <w:r w:rsidR="00AE67D4">
              <w:rPr>
                <w:rFonts w:ascii="Verdana" w:hAnsi="Verdana" w:cstheme="minorHAnsi"/>
                <w:bCs/>
                <w:sz w:val="16"/>
                <w:szCs w:val="16"/>
              </w:rPr>
              <w:t>in 2025, 2026 en 2027 halfjaarlijks een verlaging wordt toegepast</w:t>
            </w:r>
            <w:r w:rsidR="00FF6462">
              <w:rPr>
                <w:rFonts w:ascii="Verdana" w:hAnsi="Verdana" w:cstheme="minorHAnsi"/>
                <w:bCs/>
                <w:sz w:val="16"/>
                <w:szCs w:val="16"/>
              </w:rPr>
              <w:t xml:space="preserve">. Dit </w:t>
            </w:r>
            <w:r w:rsidRPr="00405763" w:rsidR="00405763">
              <w:rPr>
                <w:rFonts w:ascii="Verdana" w:hAnsi="Verdana" w:cstheme="minorHAnsi"/>
                <w:bCs/>
                <w:sz w:val="16"/>
                <w:szCs w:val="16"/>
              </w:rPr>
              <w:t>zorgt voor een hoger uitkeringsniveau per 1 januari 202</w:t>
            </w:r>
            <w:r w:rsidR="00AE67D4">
              <w:rPr>
                <w:rFonts w:ascii="Verdana" w:hAnsi="Verdana" w:cstheme="minorHAnsi"/>
                <w:bCs/>
                <w:sz w:val="16"/>
                <w:szCs w:val="16"/>
              </w:rPr>
              <w:t>5</w:t>
            </w:r>
            <w:r w:rsidRPr="00405763" w:rsidR="00405763">
              <w:rPr>
                <w:rFonts w:ascii="Verdana" w:hAnsi="Verdana" w:cstheme="minorHAnsi"/>
                <w:bCs/>
                <w:sz w:val="16"/>
                <w:szCs w:val="16"/>
              </w:rPr>
              <w:t xml:space="preserve"> </w:t>
            </w:r>
            <w:r w:rsidR="00A22EBC">
              <w:rPr>
                <w:rFonts w:ascii="Verdana" w:hAnsi="Verdana" w:cstheme="minorHAnsi"/>
                <w:bCs/>
                <w:sz w:val="16"/>
                <w:szCs w:val="16"/>
              </w:rPr>
              <w:t>voor</w:t>
            </w:r>
            <w:r w:rsidRPr="00405763" w:rsidR="00405763">
              <w:rPr>
                <w:rFonts w:ascii="Verdana" w:hAnsi="Verdana" w:cstheme="minorHAnsi"/>
                <w:bCs/>
                <w:sz w:val="16"/>
                <w:szCs w:val="16"/>
              </w:rPr>
              <w:t xml:space="preserve"> de</w:t>
            </w:r>
            <w:r w:rsidR="00FF6462">
              <w:rPr>
                <w:rFonts w:ascii="Verdana" w:hAnsi="Verdana" w:cstheme="minorHAnsi"/>
                <w:bCs/>
                <w:sz w:val="16"/>
                <w:szCs w:val="16"/>
              </w:rPr>
              <w:t xml:space="preserve">ze </w:t>
            </w:r>
            <w:r w:rsidRPr="00405763" w:rsidR="00405763">
              <w:rPr>
                <w:rFonts w:ascii="Verdana" w:hAnsi="Verdana" w:cstheme="minorHAnsi"/>
                <w:bCs/>
                <w:sz w:val="16"/>
                <w:szCs w:val="16"/>
              </w:rPr>
              <w:t xml:space="preserve">uitkeringen </w:t>
            </w:r>
            <w:r w:rsidR="00936812">
              <w:rPr>
                <w:rFonts w:ascii="Verdana" w:hAnsi="Verdana" w:cstheme="minorHAnsi"/>
                <w:bCs/>
                <w:sz w:val="16"/>
                <w:szCs w:val="16"/>
              </w:rPr>
              <w:t xml:space="preserve">(t.o.v. de situatie met ongewijzigd beleid) </w:t>
            </w:r>
            <w:r w:rsidRPr="00405763" w:rsidR="00405763">
              <w:rPr>
                <w:rFonts w:ascii="Verdana" w:hAnsi="Verdana" w:cstheme="minorHAnsi"/>
                <w:bCs/>
                <w:sz w:val="16"/>
                <w:szCs w:val="16"/>
              </w:rPr>
              <w:t>en verlaagt daarmee het aandeel personen en kinderen in armoede per 1 januari 202</w:t>
            </w:r>
            <w:r w:rsidR="00AE67D4">
              <w:rPr>
                <w:rFonts w:ascii="Verdana" w:hAnsi="Verdana" w:cstheme="minorHAnsi"/>
                <w:bCs/>
                <w:sz w:val="16"/>
                <w:szCs w:val="16"/>
              </w:rPr>
              <w:t>5</w:t>
            </w:r>
            <w:r w:rsidRPr="00405763" w:rsidR="00405763">
              <w:rPr>
                <w:rFonts w:ascii="Verdana" w:hAnsi="Verdana" w:cstheme="minorHAnsi"/>
                <w:bCs/>
                <w:sz w:val="16"/>
                <w:szCs w:val="16"/>
              </w:rPr>
              <w:t>.</w:t>
            </w:r>
            <w:r w:rsidR="00FF6462">
              <w:rPr>
                <w:rFonts w:ascii="Verdana" w:hAnsi="Verdana" w:cstheme="minorHAnsi"/>
                <w:bCs/>
                <w:sz w:val="16"/>
                <w:szCs w:val="16"/>
              </w:rPr>
              <w:t xml:space="preserve"> </w:t>
            </w:r>
            <w:r w:rsidR="00D36CD0">
              <w:rPr>
                <w:rFonts w:ascii="Verdana" w:hAnsi="Verdana" w:cstheme="minorHAnsi"/>
                <w:bCs/>
                <w:sz w:val="16"/>
                <w:szCs w:val="16"/>
              </w:rPr>
              <w:t>De omvang van het effect loopt</w:t>
            </w:r>
            <w:r w:rsidR="00AE67D4">
              <w:rPr>
                <w:rFonts w:ascii="Verdana" w:hAnsi="Verdana" w:cstheme="minorHAnsi"/>
                <w:bCs/>
                <w:sz w:val="16"/>
                <w:szCs w:val="16"/>
              </w:rPr>
              <w:t xml:space="preserve"> op tot en met 2027</w:t>
            </w:r>
            <w:r w:rsidR="00D36CD0">
              <w:rPr>
                <w:rFonts w:ascii="Verdana" w:hAnsi="Verdana" w:cstheme="minorHAnsi"/>
                <w:bCs/>
                <w:sz w:val="16"/>
                <w:szCs w:val="16"/>
              </w:rPr>
              <w:t xml:space="preserve"> en de effecten houden aan tot 2038</w:t>
            </w:r>
            <w:r w:rsidR="00AE67D4">
              <w:rPr>
                <w:rFonts w:ascii="Verdana" w:hAnsi="Verdana" w:cstheme="minorHAnsi"/>
                <w:bCs/>
                <w:sz w:val="16"/>
                <w:szCs w:val="16"/>
              </w:rPr>
              <w:t>.</w:t>
            </w:r>
          </w:p>
          <w:p w:rsidRPr="00405763" w:rsidR="00914F57" w:rsidP="00401FE1" w:rsidRDefault="00914F57" w14:paraId="301F9F25" w14:textId="767D1DE8">
            <w:pPr>
              <w:rPr>
                <w:rFonts w:ascii="Verdana" w:hAnsi="Verdana" w:cstheme="minorHAnsi"/>
                <w:bCs/>
                <w:sz w:val="16"/>
                <w:szCs w:val="16"/>
              </w:rPr>
            </w:pPr>
          </w:p>
        </w:tc>
      </w:tr>
      <w:tr w:rsidRPr="0032161D" w:rsidR="0032161D" w:rsidTr="00BC6C3E" w14:paraId="4DBFC813" w14:textId="77777777">
        <w:trPr>
          <w:trHeight w:val="840"/>
        </w:trPr>
        <w:tc>
          <w:tcPr>
            <w:tcW w:w="1725" w:type="dxa"/>
            <w:tcBorders>
              <w:top w:val="single" w:color="FFFFFF" w:sz="4" w:space="0"/>
              <w:left w:val="nil"/>
              <w:bottom w:val="single" w:color="FFFFFF" w:sz="4" w:space="0"/>
              <w:right w:val="single" w:color="FFFFFF" w:sz="4" w:space="0"/>
            </w:tcBorders>
            <w:shd w:val="clear" w:color="auto" w:fill="C45911" w:themeFill="accent2" w:themeFillShade="BF"/>
          </w:tcPr>
          <w:p w:rsidRPr="0032161D" w:rsidR="00AE17CA" w:rsidP="0032161D" w:rsidRDefault="00AE17CA" w14:paraId="6C2698E8" w14:textId="77777777">
            <w:pPr>
              <w:pStyle w:val="TableParagraph"/>
              <w:ind w:right="202"/>
              <w:rPr>
                <w:rFonts w:ascii="Verdana" w:hAnsi="Verdana" w:cstheme="minorHAnsi"/>
                <w:i/>
                <w:sz w:val="16"/>
                <w:szCs w:val="16"/>
              </w:rPr>
            </w:pPr>
          </w:p>
          <w:p w:rsidRPr="0032161D" w:rsidR="00AE17CA" w:rsidP="0032161D" w:rsidRDefault="00AE17CA" w14:paraId="1FC4E93B" w14:textId="77777777">
            <w:pPr>
              <w:pStyle w:val="TableParagraph"/>
              <w:ind w:right="202"/>
              <w:rPr>
                <w:rFonts w:ascii="Verdana" w:hAnsi="Verdana" w:cstheme="minorHAnsi"/>
                <w:b/>
                <w:sz w:val="16"/>
                <w:szCs w:val="16"/>
              </w:rPr>
            </w:pPr>
            <w:r w:rsidRPr="0032161D">
              <w:rPr>
                <w:rFonts w:ascii="Verdana" w:hAnsi="Verdana" w:cstheme="minorHAnsi"/>
                <w:b/>
                <w:color w:val="FFFFFF"/>
                <w:sz w:val="16"/>
                <w:szCs w:val="16"/>
              </w:rPr>
              <w:t>5. Nagestreefde doelmatigheid</w:t>
            </w:r>
          </w:p>
        </w:tc>
        <w:tc>
          <w:tcPr>
            <w:tcW w:w="7179" w:type="dxa"/>
            <w:tcBorders>
              <w:top w:val="single" w:color="FFFFFF" w:sz="4" w:space="0"/>
              <w:left w:val="single" w:color="FFFFFF" w:sz="4" w:space="0"/>
              <w:bottom w:val="single" w:color="FFFFFF" w:sz="4" w:space="0"/>
              <w:right w:val="nil"/>
            </w:tcBorders>
            <w:shd w:val="clear" w:color="auto" w:fill="D9E2F3" w:themeFill="accent5" w:themeFillTint="33"/>
            <w:hideMark/>
          </w:tcPr>
          <w:p w:rsidR="00FF6462" w:rsidP="00841F30" w:rsidRDefault="0034637B" w14:paraId="659C7AD1" w14:textId="09F442E9">
            <w:pPr>
              <w:rPr>
                <w:rFonts w:ascii="Verdana" w:hAnsi="Verdana"/>
                <w:sz w:val="16"/>
                <w:szCs w:val="16"/>
              </w:rPr>
            </w:pPr>
            <w:r>
              <w:rPr>
                <w:rFonts w:ascii="Verdana" w:hAnsi="Verdana"/>
                <w:sz w:val="16"/>
                <w:szCs w:val="16"/>
              </w:rPr>
              <w:t xml:space="preserve">De maatregel werkt alleen door in de bovengenoemde uitkeringen. De inkomenseffecten komen daarmee alleen terecht bij de beoogde doelgroep van uitkeringsgerechtigden. </w:t>
            </w:r>
            <w:r w:rsidRPr="00401FE1" w:rsidR="00401FE1">
              <w:rPr>
                <w:rFonts w:ascii="Verdana" w:hAnsi="Verdana"/>
                <w:sz w:val="16"/>
                <w:szCs w:val="16"/>
              </w:rPr>
              <w:t>Daarmee betreft dit een gerichte verhoging van het sociaal minimum.</w:t>
            </w:r>
          </w:p>
          <w:p w:rsidR="006C6A6A" w:rsidP="00841F30" w:rsidRDefault="00FF6462" w14:paraId="15CF8700" w14:textId="77777777">
            <w:pPr>
              <w:rPr>
                <w:rFonts w:ascii="Verdana" w:hAnsi="Verdana" w:cstheme="minorHAnsi"/>
                <w:bCs/>
                <w:sz w:val="16"/>
                <w:szCs w:val="16"/>
              </w:rPr>
            </w:pPr>
            <w:r>
              <w:rPr>
                <w:rFonts w:ascii="Verdana" w:hAnsi="Verdana" w:cstheme="minorHAnsi"/>
                <w:bCs/>
                <w:sz w:val="16"/>
                <w:szCs w:val="16"/>
              </w:rPr>
              <w:t>D</w:t>
            </w:r>
            <w:r w:rsidRPr="00574B79" w:rsidR="006C6A6A">
              <w:rPr>
                <w:rFonts w:ascii="Verdana" w:hAnsi="Verdana" w:cstheme="minorHAnsi"/>
                <w:bCs/>
                <w:sz w:val="16"/>
                <w:szCs w:val="16"/>
              </w:rPr>
              <w:t xml:space="preserve">e uitvoeringskosten van de maatregel </w:t>
            </w:r>
            <w:r>
              <w:rPr>
                <w:rFonts w:ascii="Verdana" w:hAnsi="Verdana" w:cstheme="minorHAnsi"/>
                <w:bCs/>
                <w:sz w:val="16"/>
                <w:szCs w:val="16"/>
              </w:rPr>
              <w:t xml:space="preserve">zijn </w:t>
            </w:r>
            <w:r w:rsidRPr="00574B79" w:rsidR="006C6A6A">
              <w:rPr>
                <w:rFonts w:ascii="Verdana" w:hAnsi="Verdana" w:cstheme="minorHAnsi"/>
                <w:bCs/>
                <w:sz w:val="16"/>
                <w:szCs w:val="16"/>
              </w:rPr>
              <w:t xml:space="preserve">nihil, omdat de enige consequentie is dat bij de reguliere, halfjaarlijkse wijziging van de normbedragen andere normbedragen in de systemen </w:t>
            </w:r>
            <w:r>
              <w:rPr>
                <w:rFonts w:ascii="Verdana" w:hAnsi="Verdana" w:cstheme="minorHAnsi"/>
                <w:bCs/>
                <w:sz w:val="16"/>
                <w:szCs w:val="16"/>
              </w:rPr>
              <w:t xml:space="preserve">van de betrokken uitkeringsverstrekkers </w:t>
            </w:r>
            <w:r w:rsidRPr="00574B79" w:rsidR="006C6A6A">
              <w:rPr>
                <w:rFonts w:ascii="Verdana" w:hAnsi="Verdana" w:cstheme="minorHAnsi"/>
                <w:bCs/>
                <w:sz w:val="16"/>
                <w:szCs w:val="16"/>
              </w:rPr>
              <w:t>verwerkt dienen te worden</w:t>
            </w:r>
            <w:r w:rsidR="00841F30">
              <w:rPr>
                <w:rFonts w:ascii="Verdana" w:hAnsi="Verdana" w:cstheme="minorHAnsi"/>
                <w:bCs/>
                <w:sz w:val="16"/>
                <w:szCs w:val="16"/>
              </w:rPr>
              <w:t>.</w:t>
            </w:r>
          </w:p>
          <w:p w:rsidRPr="00191926" w:rsidR="00486F9D" w:rsidP="00841F30" w:rsidRDefault="00486F9D" w14:paraId="6034341B" w14:textId="3AD19861">
            <w:pPr>
              <w:rPr>
                <w:rFonts w:ascii="Verdana" w:hAnsi="Verdana" w:cstheme="minorHAnsi"/>
                <w:bCs/>
                <w:sz w:val="16"/>
                <w:szCs w:val="16"/>
              </w:rPr>
            </w:pPr>
          </w:p>
        </w:tc>
      </w:tr>
      <w:tr w:rsidRPr="0032161D" w:rsidR="0032161D" w:rsidTr="00902B86" w14:paraId="74700EA5" w14:textId="77777777">
        <w:trPr>
          <w:trHeight w:val="828"/>
        </w:trPr>
        <w:tc>
          <w:tcPr>
            <w:tcW w:w="1725" w:type="dxa"/>
            <w:tcBorders>
              <w:top w:val="single" w:color="FFFFFF" w:sz="4" w:space="0"/>
              <w:left w:val="nil"/>
              <w:bottom w:val="single" w:color="FFFFFF" w:sz="4" w:space="0"/>
              <w:right w:val="single" w:color="FFFFFF" w:sz="4" w:space="0"/>
            </w:tcBorders>
            <w:shd w:val="clear" w:color="auto" w:fill="C45911" w:themeFill="accent2" w:themeFillShade="BF"/>
          </w:tcPr>
          <w:p w:rsidRPr="0032161D" w:rsidR="00AE17CA" w:rsidP="0032161D" w:rsidRDefault="00AE17CA" w14:paraId="516B59B1" w14:textId="77777777">
            <w:pPr>
              <w:pStyle w:val="TableParagraph"/>
              <w:ind w:left="103" w:right="202"/>
              <w:rPr>
                <w:rFonts w:ascii="Verdana" w:hAnsi="Verdana" w:cstheme="minorHAnsi"/>
                <w:b/>
                <w:color w:val="FFFFFF"/>
                <w:sz w:val="16"/>
                <w:szCs w:val="16"/>
              </w:rPr>
            </w:pPr>
          </w:p>
          <w:p w:rsidRPr="0032161D" w:rsidR="00AE17CA" w:rsidP="0032161D" w:rsidRDefault="00AE17CA" w14:paraId="1E5CBE82" w14:textId="642430A4">
            <w:pPr>
              <w:pStyle w:val="TableParagraph"/>
              <w:ind w:right="202"/>
              <w:rPr>
                <w:rFonts w:ascii="Verdana" w:hAnsi="Verdana" w:cstheme="minorHAnsi"/>
                <w:sz w:val="16"/>
                <w:szCs w:val="16"/>
              </w:rPr>
            </w:pPr>
            <w:r w:rsidRPr="0032161D">
              <w:rPr>
                <w:rFonts w:ascii="Verdana" w:hAnsi="Verdana" w:cstheme="minorHAnsi"/>
                <w:b/>
                <w:color w:val="FFFFFF"/>
                <w:sz w:val="16"/>
                <w:szCs w:val="16"/>
              </w:rPr>
              <w:t>6. Evaluatie</w:t>
            </w:r>
            <w:r w:rsidR="0032161D">
              <w:rPr>
                <w:rFonts w:ascii="Verdana" w:hAnsi="Verdana" w:cstheme="minorHAnsi"/>
                <w:b/>
                <w:color w:val="FFFFFF"/>
                <w:sz w:val="16"/>
                <w:szCs w:val="16"/>
              </w:rPr>
              <w:t>-</w:t>
            </w:r>
            <w:r w:rsidRPr="0032161D">
              <w:rPr>
                <w:rFonts w:ascii="Verdana" w:hAnsi="Verdana" w:cstheme="minorHAnsi"/>
                <w:b/>
                <w:color w:val="FFFFFF"/>
                <w:sz w:val="16"/>
                <w:szCs w:val="16"/>
              </w:rPr>
              <w:t>paragraaf</w:t>
            </w:r>
          </w:p>
        </w:tc>
        <w:tc>
          <w:tcPr>
            <w:tcW w:w="7179" w:type="dxa"/>
            <w:tcBorders>
              <w:top w:val="single" w:color="FFFFFF" w:sz="4" w:space="0"/>
              <w:left w:val="single" w:color="FFFFFF" w:sz="4" w:space="0"/>
              <w:bottom w:val="single" w:color="FFFFFF" w:sz="4" w:space="0"/>
              <w:right w:val="nil"/>
            </w:tcBorders>
            <w:shd w:val="clear" w:color="auto" w:fill="D9E2F3" w:themeFill="accent5" w:themeFillTint="33"/>
            <w:hideMark/>
          </w:tcPr>
          <w:p w:rsidRPr="005E3341" w:rsidR="00AE17CA" w:rsidP="006C6A6A" w:rsidRDefault="00AE17CA" w14:paraId="50980E79" w14:textId="7B0AE1A2">
            <w:pPr>
              <w:rPr>
                <w:rFonts w:ascii="Verdana" w:hAnsi="Verdana" w:cstheme="minorHAnsi"/>
                <w:bCs/>
                <w:sz w:val="16"/>
                <w:szCs w:val="16"/>
              </w:rPr>
            </w:pPr>
            <w:r w:rsidRPr="005E3341">
              <w:rPr>
                <w:rFonts w:ascii="Verdana" w:hAnsi="Verdana" w:cstheme="minorHAnsi"/>
                <w:bCs/>
                <w:sz w:val="16"/>
                <w:szCs w:val="16"/>
              </w:rPr>
              <w:t xml:space="preserve">Het </w:t>
            </w:r>
            <w:proofErr w:type="spellStart"/>
            <w:r w:rsidRPr="005E3341">
              <w:rPr>
                <w:rFonts w:ascii="Verdana" w:hAnsi="Verdana" w:cstheme="minorHAnsi"/>
                <w:bCs/>
                <w:sz w:val="16"/>
                <w:szCs w:val="16"/>
              </w:rPr>
              <w:t>afbouwpad</w:t>
            </w:r>
            <w:proofErr w:type="spellEnd"/>
            <w:r w:rsidRPr="005E3341">
              <w:rPr>
                <w:rFonts w:ascii="Verdana" w:hAnsi="Verdana" w:cstheme="minorHAnsi"/>
                <w:bCs/>
                <w:sz w:val="16"/>
                <w:szCs w:val="16"/>
              </w:rPr>
              <w:t xml:space="preserve"> van de dubbele algemene heffingskorting in het referentieminimumloon </w:t>
            </w:r>
            <w:r w:rsidRPr="00E7165C" w:rsidR="00E7165C">
              <w:rPr>
                <w:rFonts w:ascii="Verdana" w:hAnsi="Verdana" w:cstheme="minorHAnsi"/>
                <w:bCs/>
                <w:sz w:val="16"/>
                <w:szCs w:val="16"/>
              </w:rPr>
              <w:t>loopt mee in de periodieke rapportages in het kader van artikel 2 (Bijstand, Participatiewet en Toeslagenwet) en artikel 9 (Nabestaanden) van de begroting van het Ministerie van Sociale Zaken en Werkgelegenheid.</w:t>
            </w:r>
          </w:p>
        </w:tc>
      </w:tr>
    </w:tbl>
    <w:p w:rsidRPr="0032161D" w:rsidR="00B06701" w:rsidRDefault="00B06701" w14:paraId="6432F6CB" w14:textId="77777777">
      <w:pPr>
        <w:rPr>
          <w:sz w:val="16"/>
          <w:szCs w:val="16"/>
        </w:rPr>
      </w:pPr>
    </w:p>
    <w:sectPr w:rsidRPr="0032161D" w:rsidR="00B06701"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19B7" w14:textId="77777777" w:rsidR="00B82CDB" w:rsidRDefault="00B82CDB" w:rsidP="00405763">
      <w:r>
        <w:separator/>
      </w:r>
    </w:p>
  </w:endnote>
  <w:endnote w:type="continuationSeparator" w:id="0">
    <w:p w14:paraId="24E93B04" w14:textId="77777777" w:rsidR="00B82CDB" w:rsidRDefault="00B82CDB" w:rsidP="0040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F74A" w14:textId="77777777" w:rsidR="000E5ADF" w:rsidRDefault="000E5A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89E0" w14:textId="77777777" w:rsidR="000E5ADF" w:rsidRDefault="000E5A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81F9" w14:textId="77777777" w:rsidR="000E5ADF" w:rsidRDefault="000E5A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FE4F" w14:textId="77777777" w:rsidR="00B82CDB" w:rsidRDefault="00B82CDB" w:rsidP="00405763">
      <w:r>
        <w:separator/>
      </w:r>
    </w:p>
  </w:footnote>
  <w:footnote w:type="continuationSeparator" w:id="0">
    <w:p w14:paraId="32D3B117" w14:textId="77777777" w:rsidR="00B82CDB" w:rsidRDefault="00B82CDB" w:rsidP="0040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30F9" w14:textId="77777777" w:rsidR="000E5ADF" w:rsidRDefault="000E5A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7F47" w14:textId="77777777" w:rsidR="000E5ADF" w:rsidRDefault="000E5A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CA73" w14:textId="77777777" w:rsidR="000E5ADF" w:rsidRDefault="000E5A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85"/>
    <w:rsid w:val="0005230E"/>
    <w:rsid w:val="000B668A"/>
    <w:rsid w:val="000E5ADF"/>
    <w:rsid w:val="0010657B"/>
    <w:rsid w:val="00165243"/>
    <w:rsid w:val="00191926"/>
    <w:rsid w:val="001E6A24"/>
    <w:rsid w:val="002D47DD"/>
    <w:rsid w:val="0032161D"/>
    <w:rsid w:val="00323E85"/>
    <w:rsid w:val="00330704"/>
    <w:rsid w:val="0034637B"/>
    <w:rsid w:val="00381773"/>
    <w:rsid w:val="003C52D4"/>
    <w:rsid w:val="00401FE1"/>
    <w:rsid w:val="00405763"/>
    <w:rsid w:val="00457560"/>
    <w:rsid w:val="00486F9D"/>
    <w:rsid w:val="00574B79"/>
    <w:rsid w:val="005B1C6F"/>
    <w:rsid w:val="005E3341"/>
    <w:rsid w:val="00636C2A"/>
    <w:rsid w:val="00642EEA"/>
    <w:rsid w:val="006B5545"/>
    <w:rsid w:val="006C0AD8"/>
    <w:rsid w:val="006C6A6A"/>
    <w:rsid w:val="0072380E"/>
    <w:rsid w:val="00760031"/>
    <w:rsid w:val="00805DF8"/>
    <w:rsid w:val="00814CDC"/>
    <w:rsid w:val="00841F30"/>
    <w:rsid w:val="008A6C71"/>
    <w:rsid w:val="008B310D"/>
    <w:rsid w:val="008B3483"/>
    <w:rsid w:val="00902B86"/>
    <w:rsid w:val="00914F57"/>
    <w:rsid w:val="00936812"/>
    <w:rsid w:val="00A22EBC"/>
    <w:rsid w:val="00AE17CA"/>
    <w:rsid w:val="00AE67D4"/>
    <w:rsid w:val="00B06701"/>
    <w:rsid w:val="00B13294"/>
    <w:rsid w:val="00B171BB"/>
    <w:rsid w:val="00B20F39"/>
    <w:rsid w:val="00B61F83"/>
    <w:rsid w:val="00B82CDB"/>
    <w:rsid w:val="00BC6C3E"/>
    <w:rsid w:val="00BD7BBF"/>
    <w:rsid w:val="00C15183"/>
    <w:rsid w:val="00C46108"/>
    <w:rsid w:val="00D14D10"/>
    <w:rsid w:val="00D36CD0"/>
    <w:rsid w:val="00D46F51"/>
    <w:rsid w:val="00DC4B0B"/>
    <w:rsid w:val="00E310EA"/>
    <w:rsid w:val="00E7165C"/>
    <w:rsid w:val="00EB40C5"/>
    <w:rsid w:val="00EC2870"/>
    <w:rsid w:val="00F50D17"/>
    <w:rsid w:val="00F5507A"/>
    <w:rsid w:val="00F6109C"/>
    <w:rsid w:val="00F70FF1"/>
    <w:rsid w:val="00F90EDB"/>
    <w:rsid w:val="00FA3907"/>
    <w:rsid w:val="00FB2E88"/>
    <w:rsid w:val="00FD093F"/>
    <w:rsid w:val="00FF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3C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7CA"/>
    <w:pPr>
      <w:spacing w:after="0" w:line="240" w:lineRule="auto"/>
    </w:pPr>
    <w:rPr>
      <w:rFonts w:cs="Times New Roman"/>
      <w:sz w:val="20"/>
      <w:szCs w:val="20"/>
      <w:lang w:val="nl-NL"/>
    </w:rPr>
  </w:style>
  <w:style w:type="paragraph" w:styleId="Kop2">
    <w:name w:val="heading 2"/>
    <w:basedOn w:val="Standaard"/>
    <w:next w:val="Standaard"/>
    <w:link w:val="Kop2Char"/>
    <w:uiPriority w:val="9"/>
    <w:unhideWhenUsed/>
    <w:qFormat/>
    <w:rsid w:val="00AE17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E17CA"/>
    <w:rPr>
      <w:rFonts w:asciiTheme="majorHAnsi" w:eastAsiaTheme="majorEastAsia" w:hAnsiTheme="majorHAnsi" w:cstheme="majorBidi"/>
      <w:color w:val="2E74B5" w:themeColor="accent1" w:themeShade="BF"/>
      <w:sz w:val="26"/>
      <w:szCs w:val="26"/>
      <w:lang w:val="nl-NL"/>
    </w:rPr>
  </w:style>
  <w:style w:type="paragraph" w:customStyle="1" w:styleId="TableParagraph">
    <w:name w:val="Table Paragraph"/>
    <w:basedOn w:val="Standaard"/>
    <w:uiPriority w:val="1"/>
    <w:qFormat/>
    <w:rsid w:val="00AE17CA"/>
    <w:pPr>
      <w:widowControl w:val="0"/>
      <w:autoSpaceDE w:val="0"/>
      <w:autoSpaceDN w:val="0"/>
    </w:pPr>
    <w:rPr>
      <w:rFonts w:eastAsia="Verdana" w:cs="Verdana"/>
      <w:sz w:val="22"/>
      <w:szCs w:val="22"/>
    </w:rPr>
  </w:style>
  <w:style w:type="table" w:customStyle="1" w:styleId="TableNormal">
    <w:name w:val="Table Normal"/>
    <w:uiPriority w:val="2"/>
    <w:semiHidden/>
    <w:qFormat/>
    <w:rsid w:val="00AE17CA"/>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405763"/>
    <w:pPr>
      <w:autoSpaceDN w:val="0"/>
    </w:pPr>
    <w:rPr>
      <w:rFonts w:eastAsia="DejaVu Sans" w:cs="Lohit Hindi"/>
      <w:color w:val="000000"/>
      <w:lang w:eastAsia="nl-NL"/>
    </w:rPr>
  </w:style>
  <w:style w:type="character" w:customStyle="1" w:styleId="VoetnoottekstChar">
    <w:name w:val="Voetnoottekst Char"/>
    <w:basedOn w:val="Standaardalinea-lettertype"/>
    <w:link w:val="Voetnoottekst"/>
    <w:uiPriority w:val="99"/>
    <w:semiHidden/>
    <w:rsid w:val="00405763"/>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405763"/>
    <w:rPr>
      <w:vertAlign w:val="superscript"/>
    </w:rPr>
  </w:style>
  <w:style w:type="paragraph" w:styleId="Revisie">
    <w:name w:val="Revision"/>
    <w:hidden/>
    <w:uiPriority w:val="99"/>
    <w:semiHidden/>
    <w:rsid w:val="00191926"/>
    <w:pPr>
      <w:spacing w:after="0" w:line="240" w:lineRule="auto"/>
    </w:pPr>
    <w:rPr>
      <w:rFonts w:cs="Times New Roman"/>
      <w:sz w:val="20"/>
      <w:szCs w:val="20"/>
      <w:lang w:val="nl-NL"/>
    </w:rPr>
  </w:style>
  <w:style w:type="character" w:styleId="Verwijzingopmerking">
    <w:name w:val="annotation reference"/>
    <w:basedOn w:val="Standaardalinea-lettertype"/>
    <w:uiPriority w:val="99"/>
    <w:semiHidden/>
    <w:unhideWhenUsed/>
    <w:rsid w:val="00C15183"/>
    <w:rPr>
      <w:sz w:val="16"/>
      <w:szCs w:val="16"/>
    </w:rPr>
  </w:style>
  <w:style w:type="paragraph" w:styleId="Tekstopmerking">
    <w:name w:val="annotation text"/>
    <w:basedOn w:val="Standaard"/>
    <w:link w:val="TekstopmerkingChar"/>
    <w:uiPriority w:val="99"/>
    <w:unhideWhenUsed/>
    <w:rsid w:val="00C15183"/>
  </w:style>
  <w:style w:type="character" w:customStyle="1" w:styleId="TekstopmerkingChar">
    <w:name w:val="Tekst opmerking Char"/>
    <w:basedOn w:val="Standaardalinea-lettertype"/>
    <w:link w:val="Tekstopmerking"/>
    <w:uiPriority w:val="99"/>
    <w:rsid w:val="00C15183"/>
    <w:rPr>
      <w:rFonts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15183"/>
    <w:rPr>
      <w:b/>
      <w:bCs/>
    </w:rPr>
  </w:style>
  <w:style w:type="character" w:customStyle="1" w:styleId="OnderwerpvanopmerkingChar">
    <w:name w:val="Onderwerp van opmerking Char"/>
    <w:basedOn w:val="TekstopmerkingChar"/>
    <w:link w:val="Onderwerpvanopmerking"/>
    <w:uiPriority w:val="99"/>
    <w:semiHidden/>
    <w:rsid w:val="00C15183"/>
    <w:rPr>
      <w:rFonts w:cs="Times New Roman"/>
      <w:b/>
      <w:bCs/>
      <w:sz w:val="20"/>
      <w:szCs w:val="20"/>
      <w:lang w:val="nl-NL"/>
    </w:rPr>
  </w:style>
  <w:style w:type="paragraph" w:styleId="Koptekst">
    <w:name w:val="header"/>
    <w:basedOn w:val="Standaard"/>
    <w:link w:val="KoptekstChar"/>
    <w:uiPriority w:val="99"/>
    <w:unhideWhenUsed/>
    <w:rsid w:val="000E5ADF"/>
    <w:pPr>
      <w:tabs>
        <w:tab w:val="center" w:pos="4536"/>
        <w:tab w:val="right" w:pos="9072"/>
      </w:tabs>
    </w:pPr>
  </w:style>
  <w:style w:type="character" w:customStyle="1" w:styleId="KoptekstChar">
    <w:name w:val="Koptekst Char"/>
    <w:basedOn w:val="Standaardalinea-lettertype"/>
    <w:link w:val="Koptekst"/>
    <w:uiPriority w:val="99"/>
    <w:rsid w:val="000E5ADF"/>
    <w:rPr>
      <w:rFonts w:cs="Times New Roman"/>
      <w:sz w:val="20"/>
      <w:szCs w:val="20"/>
      <w:lang w:val="nl-NL"/>
    </w:rPr>
  </w:style>
  <w:style w:type="paragraph" w:styleId="Voettekst">
    <w:name w:val="footer"/>
    <w:basedOn w:val="Standaard"/>
    <w:link w:val="VoettekstChar"/>
    <w:uiPriority w:val="99"/>
    <w:unhideWhenUsed/>
    <w:rsid w:val="000E5ADF"/>
    <w:pPr>
      <w:tabs>
        <w:tab w:val="center" w:pos="4536"/>
        <w:tab w:val="right" w:pos="9072"/>
      </w:tabs>
    </w:pPr>
  </w:style>
  <w:style w:type="character" w:customStyle="1" w:styleId="VoettekstChar">
    <w:name w:val="Voettekst Char"/>
    <w:basedOn w:val="Standaardalinea-lettertype"/>
    <w:link w:val="Voettekst"/>
    <w:uiPriority w:val="99"/>
    <w:rsid w:val="000E5ADF"/>
    <w:rPr>
      <w:rFonts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615">
      <w:bodyDiv w:val="1"/>
      <w:marLeft w:val="0"/>
      <w:marRight w:val="0"/>
      <w:marTop w:val="0"/>
      <w:marBottom w:val="0"/>
      <w:divBdr>
        <w:top w:val="none" w:sz="0" w:space="0" w:color="auto"/>
        <w:left w:val="none" w:sz="0" w:space="0" w:color="auto"/>
        <w:bottom w:val="none" w:sz="0" w:space="0" w:color="auto"/>
        <w:right w:val="none" w:sz="0" w:space="0" w:color="auto"/>
      </w:divBdr>
    </w:div>
    <w:div w:id="136386814">
      <w:bodyDiv w:val="1"/>
      <w:marLeft w:val="0"/>
      <w:marRight w:val="0"/>
      <w:marTop w:val="0"/>
      <w:marBottom w:val="0"/>
      <w:divBdr>
        <w:top w:val="none" w:sz="0" w:space="0" w:color="auto"/>
        <w:left w:val="none" w:sz="0" w:space="0" w:color="auto"/>
        <w:bottom w:val="none" w:sz="0" w:space="0" w:color="auto"/>
        <w:right w:val="none" w:sz="0" w:space="0" w:color="auto"/>
      </w:divBdr>
    </w:div>
    <w:div w:id="879167319">
      <w:bodyDiv w:val="1"/>
      <w:marLeft w:val="0"/>
      <w:marRight w:val="0"/>
      <w:marTop w:val="0"/>
      <w:marBottom w:val="0"/>
      <w:divBdr>
        <w:top w:val="none" w:sz="0" w:space="0" w:color="auto"/>
        <w:left w:val="none" w:sz="0" w:space="0" w:color="auto"/>
        <w:bottom w:val="none" w:sz="0" w:space="0" w:color="auto"/>
        <w:right w:val="none" w:sz="0" w:space="0" w:color="auto"/>
      </w:divBdr>
    </w:div>
    <w:div w:id="19432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691</ap:Words>
  <ap:Characters>3806</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2024-09-12T16:29:00.0000000Z</dcterms:created>
  <dcterms:modified xsi:type="dcterms:W3CDTF">2024-09-12T16:29:00.0000000Z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2024-09-12T16:28:48Z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99870a63-efd7-46da-bf0d-a3841cdd99dd</vt:lpwstr>
  </property>
  <property fmtid="{D5CDD505-2E9C-101B-9397-08002B2CF9AE}" pid="8" name="MSIP_Label_b2aa6e22-2c82-48c6-bf24-1790f4b9c128_ContentBits">
    <vt:lpwstr>0</vt:lpwstr>
  </property>
</Properties>
</file>