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6="http://schemas.microsoft.com/office/drawing/2014/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62DDC" w:rsidR="00847A62" w:rsidP="00847A62" w:rsidRDefault="00847A62" w14:paraId="29BE371A" w14:textId="77777777">
      <w:pPr>
        <w:rPr>
          <w:b/>
          <w:bCs/>
        </w:rPr>
      </w:pPr>
      <w:r w:rsidRPr="00E62DDC">
        <w:rPr>
          <w:b/>
          <w:bCs/>
        </w:rPr>
        <w:t>MEMORIE VAN TOELICHTING</w:t>
      </w:r>
    </w:p>
    <w:p w:rsidR="00847A62" w:rsidP="00847A62" w:rsidRDefault="00847A62" w14:paraId="0154B485" w14:textId="77777777"/>
    <w:p w:rsidRPr="00E62DDC" w:rsidR="00847A62" w:rsidP="00847A62" w:rsidRDefault="00847A62" w14:paraId="299DFE27" w14:textId="77777777">
      <w:pPr>
        <w:rPr>
          <w:b/>
          <w:bCs/>
        </w:rPr>
      </w:pPr>
      <w:r w:rsidRPr="00E62DDC">
        <w:rPr>
          <w:b/>
          <w:bCs/>
        </w:rPr>
        <w:t>I</w:t>
      </w:r>
      <w:r>
        <w:rPr>
          <w:b/>
          <w:bCs/>
        </w:rPr>
        <w:t>.</w:t>
      </w:r>
      <w:r w:rsidRPr="00E62DDC">
        <w:rPr>
          <w:b/>
          <w:bCs/>
        </w:rPr>
        <w:t xml:space="preserve"> ALGEMEEN DEEL</w:t>
      </w:r>
    </w:p>
    <w:p w:rsidR="00847A62" w:rsidP="00847A62" w:rsidRDefault="00847A62" w14:paraId="2D2BDB9D" w14:textId="77777777"/>
    <w:p w:rsidRPr="0059156B" w:rsidR="00847A62" w:rsidP="00847A62" w:rsidRDefault="00847A62" w14:paraId="0694D2EB" w14:textId="77777777">
      <w:pPr>
        <w:rPr>
          <w:b/>
          <w:bCs/>
        </w:rPr>
      </w:pPr>
      <w:r w:rsidRPr="0059156B">
        <w:rPr>
          <w:b/>
          <w:bCs/>
        </w:rPr>
        <w:t>1. Inleiding</w:t>
      </w:r>
    </w:p>
    <w:p w:rsidR="00847A62" w:rsidP="00847A62" w:rsidRDefault="00847A62" w14:paraId="166C3809" w14:textId="77777777"/>
    <w:p w:rsidR="00847A62" w:rsidP="00847A62" w:rsidRDefault="00847A62" w14:paraId="50AE6502" w14:textId="77777777">
      <w:r>
        <w:t>De regering wil de koopkracht van huishoudens op het sociaal minimum tijdens de huidige kabinetsperiode ondersteunen. Daarvoor wordt de stapsgewijze verlaging van een aantal uitkeringen op het sociaal minimum de komende drie jaar (2025, 2026 en 2027) gepauzeerd. Als gevolg hiervan zullen deze uitkeringen tot en met eind 2038 hoger zijn dan zonder dit voorstel het geval is. Dit betreft de bijstand, de uitkeringen voor nabestaanden en de toeslag</w:t>
      </w:r>
      <w:r w:rsidRPr="00783A5A">
        <w:t xml:space="preserve"> </w:t>
      </w:r>
      <w:r>
        <w:t>tot aan het sociaal minimum voor alleenstaanden met een UWV-uitkering. De regering geeft hiermee uitvoering aan een afspraak in het hoofdlijnenakkoord.</w:t>
      </w:r>
      <w:r>
        <w:rPr>
          <w:rStyle w:val="Voetnootmarkering"/>
        </w:rPr>
        <w:footnoteReference w:id="1"/>
      </w:r>
      <w:r>
        <w:t xml:space="preserve"> Deze verhoging van de minimumuitkeringen is een van de maatregelen in het hoofdlijnenakkoord om de financiële bestaanszekerheid van mensen met een laag inkomen te verbeteren. De hogere uitkeringen dragen ook bij aan het doel uit het hoofdlijnenakkoord om de (kinder-)armoedecijfers niet uit te laten komen boven het referentiejaar 2024. </w:t>
      </w:r>
    </w:p>
    <w:p w:rsidR="00847A62" w:rsidP="00847A62" w:rsidRDefault="00847A62" w14:paraId="4D65D49B" w14:textId="77777777"/>
    <w:p w:rsidR="00847A62" w:rsidP="00847A62" w:rsidRDefault="00847A62" w14:paraId="569A1C6B" w14:textId="77777777">
      <w:r>
        <w:t xml:space="preserve">Om de stapsgewijze verlaging van de uitkeringen te pauzeren wordt de dubbele algemene heffingskorting (hierna: AHK) in het referentieminimumloon tot 1 januari 2028 vastgezet op de stand van 1 juli 2024. Dit wetsvoorstel wijzigt hiervoor de Algemene nabestaandenwet en de Participatiewet. </w:t>
      </w:r>
    </w:p>
    <w:p w:rsidR="00847A62" w:rsidP="00847A62" w:rsidRDefault="00847A62" w14:paraId="7141141A" w14:textId="77777777"/>
    <w:p w:rsidRPr="0059156B" w:rsidR="00847A62" w:rsidP="00847A62" w:rsidRDefault="00847A62" w14:paraId="68AD247A" w14:textId="77777777">
      <w:pPr>
        <w:rPr>
          <w:b/>
          <w:bCs/>
        </w:rPr>
      </w:pPr>
      <w:r w:rsidRPr="0059156B">
        <w:rPr>
          <w:b/>
          <w:bCs/>
        </w:rPr>
        <w:t>2. Hoofdlijnen van het voorstel</w:t>
      </w:r>
    </w:p>
    <w:p w:rsidR="00847A62" w:rsidP="00847A62" w:rsidRDefault="00847A62" w14:paraId="555D400D" w14:textId="77777777"/>
    <w:p w:rsidR="00847A62" w:rsidP="00847A62" w:rsidRDefault="00847A62" w14:paraId="756F037E" w14:textId="77777777">
      <w:pPr>
        <w:rPr>
          <w:i/>
          <w:iCs/>
        </w:rPr>
      </w:pPr>
      <w:r>
        <w:rPr>
          <w:i/>
          <w:iCs/>
        </w:rPr>
        <w:t>2.1 Doelstelling</w:t>
      </w:r>
    </w:p>
    <w:p w:rsidR="00847A62" w:rsidP="00847A62" w:rsidRDefault="00847A62" w14:paraId="3EE5F1A2" w14:textId="77777777"/>
    <w:p w:rsidR="00847A62" w:rsidP="00847A62" w:rsidRDefault="00847A62" w14:paraId="1673AD3E" w14:textId="77777777">
      <w:r w:rsidRPr="001E7290">
        <w:t xml:space="preserve">Zorg dragen voor bestaanszekerheid is </w:t>
      </w:r>
      <w:r>
        <w:t>een g</w:t>
      </w:r>
      <w:r w:rsidRPr="001E7290">
        <w:t>rondwet</w:t>
      </w:r>
      <w:r>
        <w:t xml:space="preserve">telijk </w:t>
      </w:r>
      <w:r w:rsidRPr="001E7290">
        <w:t>taak van de overheid.</w:t>
      </w:r>
      <w:r w:rsidRPr="00191A54">
        <w:t xml:space="preserve"> </w:t>
      </w:r>
      <w:r w:rsidRPr="008937F0">
        <w:t xml:space="preserve">Als mensen niet </w:t>
      </w:r>
      <w:r>
        <w:t xml:space="preserve">zelf </w:t>
      </w:r>
      <w:r w:rsidRPr="008937F0">
        <w:t>in hun bestaan kunnen voorzien</w:t>
      </w:r>
      <w:r>
        <w:t>,</w:t>
      </w:r>
      <w:r w:rsidRPr="008937F0">
        <w:t xml:space="preserve"> biedt de overheid </w:t>
      </w:r>
      <w:r>
        <w:t>hen</w:t>
      </w:r>
      <w:r w:rsidRPr="008937F0">
        <w:t xml:space="preserve"> inkomensondersteuning</w:t>
      </w:r>
      <w:r>
        <w:t>.</w:t>
      </w:r>
      <w:r w:rsidRPr="008937F0">
        <w:t xml:space="preserve"> </w:t>
      </w:r>
      <w:r>
        <w:t xml:space="preserve">Daarbij geldt het sociaal minimum als ondergrens. Verschillende uitkeringen garanderen een inkomen op deze ondergrens, waaronder de bijstand en de nabestaandenuitkering. Maar de bestaanszekerheid van mensen die moeten leven op het sociaal minimum staat onder druk. </w:t>
      </w:r>
      <w:r>
        <w:rPr>
          <w:rFonts w:eastAsiaTheme="minorEastAsia" w:cstheme="minorHAnsi"/>
        </w:rPr>
        <w:t>Veel huishoudens met een uitkering op het sociaal minimum leven in armoede of met een hoog risico daarop.</w:t>
      </w:r>
      <w:r>
        <w:rPr>
          <w:rStyle w:val="Voetnootmarkering"/>
          <w:rFonts w:eastAsiaTheme="minorEastAsia" w:cstheme="minorHAnsi"/>
        </w:rPr>
        <w:footnoteReference w:id="2"/>
      </w:r>
      <w:r>
        <w:rPr>
          <w:rFonts w:eastAsiaTheme="minorEastAsia" w:cstheme="minorHAnsi"/>
        </w:rPr>
        <w:t xml:space="preserve"> D</w:t>
      </w:r>
      <w:r w:rsidRPr="00D34073">
        <w:t>e Commissie sociaal minimum concludeer</w:t>
      </w:r>
      <w:r>
        <w:t>de in haar eerste rapport dat het sociaal minimum voor veel typen huishoudens niet toereikend is.</w:t>
      </w:r>
      <w:r>
        <w:rPr>
          <w:rStyle w:val="Voetnootmarkering"/>
        </w:rPr>
        <w:footnoteReference w:id="3"/>
      </w:r>
      <w:r w:rsidRPr="00913AE9">
        <w:rPr>
          <w:rFonts w:eastAsiaTheme="minorEastAsia" w:cstheme="minorHAnsi"/>
        </w:rPr>
        <w:t xml:space="preserve"> </w:t>
      </w:r>
      <w:r>
        <w:rPr>
          <w:rFonts w:eastAsiaTheme="minorEastAsia" w:cstheme="minorHAnsi"/>
        </w:rPr>
        <w:t>O</w:t>
      </w:r>
      <w:r>
        <w:t>nder ongewijzigd beleid zullen de uitkeringen op het sociaal minimum ieder halfjaar verder worden verlaagd door de afbouw van de dubbele AHK in het referentieminimumloon.</w:t>
      </w:r>
      <w:r w:rsidRPr="00913AE9">
        <w:t xml:space="preserve"> </w:t>
      </w:r>
    </w:p>
    <w:p w:rsidR="00847A62" w:rsidP="00847A62" w:rsidRDefault="00847A62" w14:paraId="6EC9F1BF" w14:textId="77777777"/>
    <w:p w:rsidR="00847A62" w:rsidP="00847A62" w:rsidRDefault="00847A62" w14:paraId="544C1E80" w14:textId="77777777">
      <w:r>
        <w:t>De regering</w:t>
      </w:r>
      <w:r w:rsidRPr="001E7290">
        <w:t xml:space="preserve"> wil de bestaanszekerheid in Nederland de komende jaren </w:t>
      </w:r>
      <w:r>
        <w:t>vergroten</w:t>
      </w:r>
      <w:r w:rsidRPr="001E7290">
        <w:t xml:space="preserve">. </w:t>
      </w:r>
      <w:r>
        <w:t xml:space="preserve">Daarnaast </w:t>
      </w:r>
      <w:r w:rsidRPr="00E935AB">
        <w:t xml:space="preserve">streeft </w:t>
      </w:r>
      <w:r>
        <w:t xml:space="preserve">de regering </w:t>
      </w:r>
      <w:r w:rsidRPr="00E935AB">
        <w:t>ernaar om de (kinder-)armoedecijfers niet uit te laten komen boven het referentiejaar 2024</w:t>
      </w:r>
      <w:r>
        <w:t xml:space="preserve"> en de gevolgen van armoede te beperken</w:t>
      </w:r>
      <w:r w:rsidRPr="00E935AB">
        <w:t>.</w:t>
      </w:r>
      <w:r>
        <w:rPr>
          <w:rStyle w:val="Voetnootmarkering"/>
        </w:rPr>
        <w:footnoteReference w:id="4"/>
      </w:r>
      <w:r>
        <w:t xml:space="preserve"> </w:t>
      </w:r>
      <w:r w:rsidRPr="00E935AB">
        <w:t xml:space="preserve"> </w:t>
      </w:r>
    </w:p>
    <w:p w:rsidR="00847A62" w:rsidP="00847A62" w:rsidRDefault="00847A62" w14:paraId="073B06EB" w14:textId="77777777">
      <w:r>
        <w:rPr>
          <w:rFonts w:eastAsiaTheme="minorEastAsia" w:cstheme="minorHAnsi"/>
        </w:rPr>
        <w:t xml:space="preserve">Daarom wordt </w:t>
      </w:r>
      <w:r w:rsidRPr="00513F9B">
        <w:rPr>
          <w:rFonts w:eastAsiaTheme="minorEastAsia" w:cstheme="minorHAnsi"/>
        </w:rPr>
        <w:t xml:space="preserve">een impuls </w:t>
      </w:r>
      <w:r>
        <w:rPr>
          <w:rFonts w:eastAsiaTheme="minorEastAsia" w:cstheme="minorHAnsi"/>
        </w:rPr>
        <w:t xml:space="preserve">gegeven </w:t>
      </w:r>
      <w:r w:rsidRPr="00513F9B">
        <w:rPr>
          <w:rFonts w:eastAsiaTheme="minorEastAsia" w:cstheme="minorHAnsi"/>
        </w:rPr>
        <w:t>aan de koopkracht</w:t>
      </w:r>
      <w:r>
        <w:rPr>
          <w:rFonts w:eastAsiaTheme="minorEastAsia" w:cstheme="minorHAnsi"/>
        </w:rPr>
        <w:t xml:space="preserve">, onder meer voor huishoudens met een uitkering op het sociaal minimum. Inkomensondersteunende maatregelen, zoals </w:t>
      </w:r>
      <w:r>
        <w:rPr>
          <w:rFonts w:eastAsiaTheme="minorEastAsia" w:cstheme="minorHAnsi"/>
        </w:rPr>
        <w:lastRenderedPageBreak/>
        <w:t xml:space="preserve">opnieuw structurele verhoging van de huurtoeslag en het </w:t>
      </w:r>
      <w:proofErr w:type="spellStart"/>
      <w:r>
        <w:rPr>
          <w:rFonts w:eastAsiaTheme="minorEastAsia" w:cstheme="minorHAnsi"/>
        </w:rPr>
        <w:t>kindgebonden</w:t>
      </w:r>
      <w:proofErr w:type="spellEnd"/>
      <w:r>
        <w:rPr>
          <w:rFonts w:eastAsiaTheme="minorEastAsia" w:cstheme="minorHAnsi"/>
        </w:rPr>
        <w:t xml:space="preserve"> budget</w:t>
      </w:r>
      <w:r>
        <w:rPr>
          <w:rStyle w:val="Voetnootmarkering"/>
          <w:rFonts w:eastAsiaTheme="minorEastAsia" w:cstheme="minorHAnsi"/>
        </w:rPr>
        <w:footnoteReference w:id="5"/>
      </w:r>
      <w:r>
        <w:rPr>
          <w:rFonts w:eastAsiaTheme="minorEastAsia" w:cstheme="minorHAnsi"/>
        </w:rPr>
        <w:t xml:space="preserve">, zorgen ervoor dat het besteedbare inkomen van deze huishoudens ook structureel verder wordt verhoogd. Daarnaast zet de regering in op een brede aanpak armoede en schulden, op vergroting van de inkomenszekerheid door vereenvoudiging van het stelsel en een knelpuntenaanpak. </w:t>
      </w:r>
      <w:r>
        <w:t>Als onderdeel van dit bredere pakket aan maatregelen stelt de regering voor om de afbouw van de dubbele AHK in het referentieminimumloon voor drie jaar te pauzeren. De regering kiest zo voor de meest gerichte maatregel die beschikbaar is om de koopkracht van huishoudens op het sociaal minimum te ondersteunen.</w:t>
      </w:r>
    </w:p>
    <w:p w:rsidR="00847A62" w:rsidP="00847A62" w:rsidRDefault="00847A62" w14:paraId="7E8526DB" w14:textId="77777777"/>
    <w:p w:rsidRPr="001D515A" w:rsidR="00847A62" w:rsidP="00847A62" w:rsidRDefault="00847A62" w14:paraId="55309652" w14:textId="77777777">
      <w:pPr>
        <w:rPr>
          <w:i/>
          <w:iCs/>
        </w:rPr>
      </w:pPr>
      <w:r>
        <w:rPr>
          <w:i/>
          <w:iCs/>
        </w:rPr>
        <w:t xml:space="preserve">2.2 Aanpassing </w:t>
      </w:r>
      <w:proofErr w:type="spellStart"/>
      <w:r>
        <w:rPr>
          <w:i/>
          <w:iCs/>
        </w:rPr>
        <w:t>afbouwpad</w:t>
      </w:r>
      <w:proofErr w:type="spellEnd"/>
      <w:r>
        <w:rPr>
          <w:i/>
          <w:iCs/>
        </w:rPr>
        <w:t xml:space="preserve"> dubbele algemene heffingskorting</w:t>
      </w:r>
    </w:p>
    <w:p w:rsidR="00847A62" w:rsidP="00847A62" w:rsidRDefault="00847A62" w14:paraId="44039DE2" w14:textId="77777777">
      <w:pPr>
        <w:rPr>
          <w:rFonts w:eastAsia="Verdana" w:cs="Verdana"/>
        </w:rPr>
      </w:pPr>
    </w:p>
    <w:p w:rsidR="00847A62" w:rsidP="00847A62" w:rsidRDefault="00847A62" w14:paraId="59CCB5A0" w14:textId="77777777">
      <w:r>
        <w:rPr>
          <w:rFonts w:eastAsia="Verdana" w:cs="Verdana"/>
        </w:rPr>
        <w:t xml:space="preserve">De regering stelt voor om het </w:t>
      </w:r>
      <w:proofErr w:type="spellStart"/>
      <w:r>
        <w:rPr>
          <w:rFonts w:eastAsia="Verdana" w:cs="Verdana"/>
        </w:rPr>
        <w:t>afbouwpad</w:t>
      </w:r>
      <w:proofErr w:type="spellEnd"/>
      <w:r>
        <w:rPr>
          <w:rFonts w:eastAsia="Verdana" w:cs="Verdana"/>
        </w:rPr>
        <w:t xml:space="preserve"> van de dubbele algemene heffingskorting (AHK) in het referentieminimumloon aan te passen. De afbouw</w:t>
      </w:r>
      <w:r w:rsidRPr="0059156B">
        <w:rPr>
          <w:rFonts w:eastAsia="Verdana" w:cs="Verdana"/>
        </w:rPr>
        <w:t xml:space="preserve"> </w:t>
      </w:r>
      <w:r>
        <w:rPr>
          <w:rFonts w:eastAsia="Verdana" w:cs="Verdana"/>
        </w:rPr>
        <w:t xml:space="preserve">wordt gepauzeerd </w:t>
      </w:r>
      <w:r w:rsidRPr="0059156B">
        <w:rPr>
          <w:rFonts w:eastAsia="Verdana" w:cs="Verdana"/>
        </w:rPr>
        <w:t xml:space="preserve">in </w:t>
      </w:r>
      <w:r>
        <w:rPr>
          <w:rFonts w:eastAsia="Verdana" w:cs="Verdana"/>
        </w:rPr>
        <w:t>2025, 2026 en 2027</w:t>
      </w:r>
      <w:r w:rsidRPr="0059156B">
        <w:rPr>
          <w:rFonts w:eastAsia="Verdana" w:cs="Verdana"/>
        </w:rPr>
        <w:t xml:space="preserve">. In lijn met de stand van de afbouw </w:t>
      </w:r>
      <w:r>
        <w:rPr>
          <w:rFonts w:eastAsia="Verdana" w:cs="Verdana"/>
        </w:rPr>
        <w:t>per 1 juli 2024</w:t>
      </w:r>
      <w:r w:rsidRPr="0059156B">
        <w:rPr>
          <w:rFonts w:eastAsia="Verdana" w:cs="Verdana"/>
        </w:rPr>
        <w:t xml:space="preserve">, zal bij de </w:t>
      </w:r>
      <w:r>
        <w:rPr>
          <w:rFonts w:eastAsia="Verdana" w:cs="Verdana"/>
        </w:rPr>
        <w:t xml:space="preserve">halfjaarlijkse </w:t>
      </w:r>
      <w:r w:rsidRPr="0059156B">
        <w:rPr>
          <w:rFonts w:eastAsia="Verdana" w:cs="Verdana"/>
        </w:rPr>
        <w:t xml:space="preserve">berekening van het referentieminimumloon </w:t>
      </w:r>
      <w:r>
        <w:rPr>
          <w:rFonts w:eastAsia="Verdana" w:cs="Verdana"/>
        </w:rPr>
        <w:t>van</w:t>
      </w:r>
      <w:r w:rsidRPr="0059156B">
        <w:rPr>
          <w:rFonts w:eastAsia="Verdana" w:cs="Verdana"/>
        </w:rPr>
        <w:t xml:space="preserve"> 1 januari 202</w:t>
      </w:r>
      <w:r>
        <w:rPr>
          <w:rFonts w:eastAsia="Verdana" w:cs="Verdana"/>
        </w:rPr>
        <w:t>5</w:t>
      </w:r>
      <w:r w:rsidRPr="0059156B">
        <w:rPr>
          <w:rFonts w:eastAsia="Verdana" w:cs="Verdana"/>
        </w:rPr>
        <w:t xml:space="preserve"> </w:t>
      </w:r>
      <w:r>
        <w:rPr>
          <w:rFonts w:eastAsia="Verdana" w:cs="Verdana"/>
        </w:rPr>
        <w:t xml:space="preserve">tot </w:t>
      </w:r>
      <w:r w:rsidRPr="0059156B">
        <w:rPr>
          <w:rFonts w:eastAsia="Verdana" w:cs="Verdana"/>
        </w:rPr>
        <w:t xml:space="preserve">en </w:t>
      </w:r>
      <w:r>
        <w:rPr>
          <w:rFonts w:eastAsia="Verdana" w:cs="Verdana"/>
        </w:rPr>
        <w:t xml:space="preserve">met </w:t>
      </w:r>
      <w:r w:rsidRPr="0059156B">
        <w:rPr>
          <w:rFonts w:eastAsia="Verdana" w:cs="Verdana"/>
        </w:rPr>
        <w:t>1 juli 202</w:t>
      </w:r>
      <w:r>
        <w:rPr>
          <w:rFonts w:eastAsia="Verdana" w:cs="Verdana"/>
        </w:rPr>
        <w:t>7</w:t>
      </w:r>
      <w:r w:rsidRPr="0059156B">
        <w:rPr>
          <w:rFonts w:eastAsia="Verdana" w:cs="Verdana"/>
        </w:rPr>
        <w:t xml:space="preserve"> rekening worden gehouden met 157</w:t>
      </w:r>
      <w:r>
        <w:rPr>
          <w:rFonts w:eastAsia="Verdana" w:cs="Verdana"/>
        </w:rPr>
        <w:t>,</w:t>
      </w:r>
      <w:r w:rsidRPr="0059156B">
        <w:rPr>
          <w:rFonts w:eastAsia="Verdana" w:cs="Verdana"/>
        </w:rPr>
        <w:t>5</w:t>
      </w:r>
      <w:r>
        <w:rPr>
          <w:rFonts w:eastAsia="Verdana" w:cs="Verdana"/>
        </w:rPr>
        <w:t>%</w:t>
      </w:r>
      <w:r w:rsidRPr="0059156B">
        <w:rPr>
          <w:rFonts w:eastAsia="Verdana" w:cs="Verdana"/>
        </w:rPr>
        <w:t xml:space="preserve"> </w:t>
      </w:r>
      <w:r>
        <w:rPr>
          <w:rFonts w:eastAsia="Verdana" w:cs="Verdana"/>
        </w:rPr>
        <w:t xml:space="preserve">van </w:t>
      </w:r>
      <w:r w:rsidRPr="0059156B">
        <w:rPr>
          <w:rFonts w:eastAsia="Verdana" w:cs="Verdana"/>
        </w:rPr>
        <w:t xml:space="preserve">de </w:t>
      </w:r>
      <w:r>
        <w:rPr>
          <w:rFonts w:eastAsia="Verdana" w:cs="Verdana"/>
        </w:rPr>
        <w:t xml:space="preserve">van toepassing zijnde </w:t>
      </w:r>
      <w:r w:rsidRPr="0059156B">
        <w:rPr>
          <w:rFonts w:eastAsia="Verdana" w:cs="Verdana"/>
        </w:rPr>
        <w:t xml:space="preserve">AHK. </w:t>
      </w:r>
      <w:r>
        <w:rPr>
          <w:rFonts w:eastAsia="Verdana" w:cs="Verdana"/>
        </w:rPr>
        <w:t>Met ingang van</w:t>
      </w:r>
      <w:r w:rsidRPr="0059156B">
        <w:rPr>
          <w:rFonts w:eastAsia="Verdana" w:cs="Verdana"/>
        </w:rPr>
        <w:t xml:space="preserve"> 1 januari 202</w:t>
      </w:r>
      <w:r>
        <w:rPr>
          <w:rFonts w:eastAsia="Verdana" w:cs="Verdana"/>
        </w:rPr>
        <w:t>8</w:t>
      </w:r>
      <w:r w:rsidRPr="0059156B">
        <w:rPr>
          <w:rFonts w:eastAsia="Verdana" w:cs="Verdana"/>
        </w:rPr>
        <w:t xml:space="preserve"> wordt </w:t>
      </w:r>
      <w:r>
        <w:rPr>
          <w:rFonts w:eastAsia="Verdana" w:cs="Verdana"/>
        </w:rPr>
        <w:t>dit percentage</w:t>
      </w:r>
      <w:r w:rsidRPr="0059156B">
        <w:rPr>
          <w:rFonts w:eastAsia="Verdana" w:cs="Verdana"/>
        </w:rPr>
        <w:t xml:space="preserve"> per halfjaar met 2,5 procentpunt verlaagd totdat deze </w:t>
      </w:r>
      <w:r>
        <w:rPr>
          <w:rFonts w:eastAsia="Verdana" w:cs="Verdana"/>
        </w:rPr>
        <w:t>100%</w:t>
      </w:r>
      <w:r w:rsidRPr="0059156B">
        <w:rPr>
          <w:rFonts w:eastAsia="Verdana" w:cs="Verdana"/>
        </w:rPr>
        <w:t xml:space="preserve"> bedraagt. Daarmee is de volledige afbouw naar 100%</w:t>
      </w:r>
      <w:r w:rsidRPr="00B3622F">
        <w:rPr>
          <w:rFonts w:eastAsia="Verdana" w:cs="Verdana"/>
        </w:rPr>
        <w:t xml:space="preserve"> </w:t>
      </w:r>
      <w:r>
        <w:rPr>
          <w:rFonts w:eastAsia="Verdana" w:cs="Verdana"/>
        </w:rPr>
        <w:t>van de toepassing zijnde</w:t>
      </w:r>
      <w:r w:rsidRPr="0059156B">
        <w:rPr>
          <w:rFonts w:eastAsia="Verdana" w:cs="Verdana"/>
        </w:rPr>
        <w:t xml:space="preserve"> AHK voorzien per 1 januari 203</w:t>
      </w:r>
      <w:r>
        <w:rPr>
          <w:rFonts w:eastAsia="Verdana" w:cs="Verdana"/>
        </w:rPr>
        <w:t>9</w:t>
      </w:r>
      <w:r w:rsidRPr="0059156B">
        <w:rPr>
          <w:rFonts w:eastAsia="Verdana" w:cs="Verdana"/>
        </w:rPr>
        <w:t>.</w:t>
      </w:r>
    </w:p>
    <w:p w:rsidR="00847A62" w:rsidP="00847A62" w:rsidRDefault="00847A62" w14:paraId="1D60A2C1" w14:textId="77777777"/>
    <w:p w:rsidR="00847A62" w:rsidP="00847A62" w:rsidRDefault="00847A62" w14:paraId="1F50819C" w14:textId="77777777">
      <w:r>
        <w:rPr>
          <w:rFonts w:eastAsia="Verdana" w:cs="Verdana"/>
        </w:rPr>
        <w:t>Dit verhoogt tijdelijk de normbedragen (ten opzichte van een situatie zonder deze maatregel) van de volgende uitkeringen:</w:t>
      </w:r>
    </w:p>
    <w:p w:rsidRPr="000B7260" w:rsidR="00847A62" w:rsidP="00847A62" w:rsidRDefault="00847A62" w14:paraId="6E88F9B0" w14:textId="77777777">
      <w:pPr>
        <w:pStyle w:val="Lijstalinea"/>
        <w:numPr>
          <w:ilvl w:val="0"/>
          <w:numId w:val="1"/>
        </w:numPr>
        <w:rPr>
          <w:lang w:val="nl-NL"/>
        </w:rPr>
      </w:pPr>
      <w:r>
        <w:rPr>
          <w:rFonts w:eastAsia="Verdana" w:cs="Verdana"/>
          <w:lang w:val="nl-NL"/>
        </w:rPr>
        <w:t>d</w:t>
      </w:r>
      <w:r w:rsidRPr="000B7260">
        <w:rPr>
          <w:rFonts w:eastAsia="Verdana" w:cs="Verdana"/>
          <w:lang w:val="nl-NL"/>
        </w:rPr>
        <w:t xml:space="preserve">e nabestaandenuitkering en de </w:t>
      </w:r>
      <w:proofErr w:type="spellStart"/>
      <w:r w:rsidRPr="000B7260">
        <w:rPr>
          <w:rFonts w:eastAsia="Verdana" w:cs="Verdana"/>
          <w:lang w:val="nl-NL"/>
        </w:rPr>
        <w:t>wezenuitkering</w:t>
      </w:r>
      <w:proofErr w:type="spellEnd"/>
      <w:r w:rsidRPr="000B7260">
        <w:rPr>
          <w:rFonts w:eastAsia="Verdana" w:cs="Verdana"/>
          <w:lang w:val="nl-NL"/>
        </w:rPr>
        <w:t xml:space="preserve"> op grond van de Algemene nabestaandenwet</w:t>
      </w:r>
      <w:r>
        <w:rPr>
          <w:rFonts w:eastAsia="Verdana" w:cs="Verdana"/>
          <w:lang w:val="nl-NL"/>
        </w:rPr>
        <w:t xml:space="preserve"> (</w:t>
      </w:r>
      <w:proofErr w:type="spellStart"/>
      <w:r>
        <w:rPr>
          <w:rFonts w:eastAsia="Verdana" w:cs="Verdana"/>
          <w:lang w:val="nl-NL"/>
        </w:rPr>
        <w:t>Anw</w:t>
      </w:r>
      <w:proofErr w:type="spellEnd"/>
      <w:r>
        <w:rPr>
          <w:rFonts w:eastAsia="Verdana" w:cs="Verdana"/>
          <w:lang w:val="nl-NL"/>
        </w:rPr>
        <w:t>)</w:t>
      </w:r>
      <w:r w:rsidRPr="000B7260">
        <w:rPr>
          <w:rFonts w:eastAsia="Verdana" w:cs="Verdana"/>
          <w:lang w:val="nl-NL"/>
        </w:rPr>
        <w:t>,</w:t>
      </w:r>
    </w:p>
    <w:p w:rsidRPr="000B7260" w:rsidR="00847A62" w:rsidP="00847A62" w:rsidRDefault="00847A62" w14:paraId="17DFC1BC" w14:textId="77777777">
      <w:pPr>
        <w:pStyle w:val="Lijstalinea"/>
        <w:numPr>
          <w:ilvl w:val="0"/>
          <w:numId w:val="1"/>
        </w:numPr>
        <w:rPr>
          <w:lang w:val="nl-NL"/>
        </w:rPr>
      </w:pPr>
      <w:r>
        <w:rPr>
          <w:rFonts w:eastAsia="Verdana" w:cs="Verdana"/>
          <w:lang w:val="nl-NL"/>
        </w:rPr>
        <w:t>d</w:t>
      </w:r>
      <w:r w:rsidRPr="000B7260">
        <w:rPr>
          <w:rFonts w:eastAsia="Verdana" w:cs="Verdana"/>
          <w:lang w:val="nl-NL"/>
        </w:rPr>
        <w:t>e bijstand</w:t>
      </w:r>
      <w:r>
        <w:rPr>
          <w:rFonts w:eastAsia="Verdana" w:cs="Verdana"/>
          <w:lang w:val="nl-NL"/>
        </w:rPr>
        <w:t>suitkering</w:t>
      </w:r>
      <w:r w:rsidRPr="000B7260">
        <w:rPr>
          <w:rFonts w:eastAsia="Verdana" w:cs="Verdana"/>
          <w:lang w:val="nl-NL"/>
        </w:rPr>
        <w:t xml:space="preserve"> op grond van de Participatiewet</w:t>
      </w:r>
      <w:r>
        <w:rPr>
          <w:rFonts w:eastAsia="Verdana" w:cs="Verdana"/>
          <w:lang w:val="nl-NL"/>
        </w:rPr>
        <w:t>,</w:t>
      </w:r>
    </w:p>
    <w:p w:rsidRPr="000B7260" w:rsidR="00847A62" w:rsidP="00847A62" w:rsidRDefault="00847A62" w14:paraId="7E18193E" w14:textId="77777777">
      <w:pPr>
        <w:pStyle w:val="Lijstalinea"/>
        <w:numPr>
          <w:ilvl w:val="0"/>
          <w:numId w:val="1"/>
        </w:numPr>
        <w:rPr>
          <w:lang w:val="nl-NL"/>
        </w:rPr>
      </w:pPr>
      <w:r>
        <w:rPr>
          <w:rFonts w:eastAsia="Verdana" w:cs="Verdana"/>
          <w:lang w:val="nl-NL"/>
        </w:rPr>
        <w:t>de bijstandsuitkering voor zelfstandig ondernemers op grond van het Besluit bijstandverlening zelfstandigen 2004,</w:t>
      </w:r>
    </w:p>
    <w:p w:rsidRPr="000B7260" w:rsidR="00847A62" w:rsidP="00847A62" w:rsidRDefault="00847A62" w14:paraId="7D8D5874" w14:textId="77777777">
      <w:pPr>
        <w:pStyle w:val="Lijstalinea"/>
        <w:numPr>
          <w:ilvl w:val="0"/>
          <w:numId w:val="1"/>
        </w:numPr>
        <w:rPr>
          <w:lang w:val="nl-NL"/>
        </w:rPr>
      </w:pPr>
      <w:r>
        <w:rPr>
          <w:rFonts w:eastAsia="Verdana" w:cs="Verdana"/>
          <w:lang w:val="nl-NL"/>
        </w:rPr>
        <w:t>d</w:t>
      </w:r>
      <w:r w:rsidRPr="000B7260">
        <w:rPr>
          <w:rFonts w:eastAsia="Verdana" w:cs="Verdana"/>
          <w:lang w:val="nl-NL"/>
        </w:rPr>
        <w:t xml:space="preserve">e </w:t>
      </w:r>
      <w:r>
        <w:rPr>
          <w:rFonts w:eastAsia="Verdana" w:cs="Verdana"/>
          <w:lang w:val="nl-NL"/>
        </w:rPr>
        <w:t xml:space="preserve">uitkering </w:t>
      </w:r>
      <w:r w:rsidRPr="000B7260">
        <w:rPr>
          <w:rFonts w:eastAsia="Verdana" w:cs="Verdana"/>
          <w:lang w:val="nl-NL"/>
        </w:rPr>
        <w:t>Aanvullende Inkomensondersteuning Ouderen (AIO) op grond van de Participatiewet,</w:t>
      </w:r>
    </w:p>
    <w:p w:rsidRPr="000B7260" w:rsidR="00847A62" w:rsidP="00847A62" w:rsidRDefault="00847A62" w14:paraId="328760F0" w14:textId="77777777">
      <w:pPr>
        <w:pStyle w:val="Lijstalinea"/>
        <w:numPr>
          <w:ilvl w:val="0"/>
          <w:numId w:val="1"/>
        </w:numPr>
        <w:rPr>
          <w:lang w:val="nl-NL"/>
        </w:rPr>
      </w:pPr>
      <w:r>
        <w:rPr>
          <w:rFonts w:eastAsia="Verdana" w:cs="Verdana"/>
          <w:lang w:val="nl-NL"/>
        </w:rPr>
        <w:t xml:space="preserve">de overbruggingsuitkering (OBR) op grond van de </w:t>
      </w:r>
      <w:r w:rsidRPr="000B7260">
        <w:rPr>
          <w:rFonts w:eastAsia="Verdana" w:cs="Verdana"/>
          <w:lang w:val="nl-NL"/>
        </w:rPr>
        <w:t>Tijdelijke regeling overbruggingsuitkering AOW</w:t>
      </w:r>
      <w:r>
        <w:rPr>
          <w:rFonts w:eastAsia="Verdana" w:cs="Verdana"/>
          <w:lang w:val="nl-NL"/>
        </w:rPr>
        <w:t>,</w:t>
      </w:r>
    </w:p>
    <w:p w:rsidRPr="000B7260" w:rsidR="00847A62" w:rsidP="00847A62" w:rsidRDefault="00847A62" w14:paraId="0E9EA857" w14:textId="77777777">
      <w:pPr>
        <w:pStyle w:val="Lijstalinea"/>
        <w:numPr>
          <w:ilvl w:val="0"/>
          <w:numId w:val="1"/>
        </w:numPr>
        <w:rPr>
          <w:lang w:val="nl-NL"/>
        </w:rPr>
      </w:pPr>
      <w:r>
        <w:rPr>
          <w:rFonts w:eastAsia="Verdana" w:cs="Verdana"/>
          <w:lang w:val="nl-NL"/>
        </w:rPr>
        <w:t>d</w:t>
      </w:r>
      <w:r w:rsidRPr="000B7260">
        <w:rPr>
          <w:rFonts w:eastAsia="Verdana" w:cs="Verdana"/>
          <w:lang w:val="nl-NL"/>
        </w:rPr>
        <w:t>e uitkering op grond van de Wet inkomensvoorziening oudere en gedeeltelijk arbeidsongeschikte werkloze werknemers (IOAW)</w:t>
      </w:r>
      <w:r>
        <w:rPr>
          <w:rFonts w:eastAsia="Verdana" w:cs="Verdana"/>
          <w:lang w:val="nl-NL"/>
        </w:rPr>
        <w:t>,</w:t>
      </w:r>
    </w:p>
    <w:p w:rsidRPr="000B7260" w:rsidR="00847A62" w:rsidP="00847A62" w:rsidRDefault="00847A62" w14:paraId="77ACBA37" w14:textId="77777777">
      <w:pPr>
        <w:pStyle w:val="Lijstalinea"/>
        <w:numPr>
          <w:ilvl w:val="0"/>
          <w:numId w:val="1"/>
        </w:numPr>
        <w:rPr>
          <w:lang w:val="nl-NL"/>
        </w:rPr>
      </w:pPr>
      <w:r>
        <w:rPr>
          <w:rFonts w:eastAsia="Verdana" w:cs="Verdana"/>
          <w:lang w:val="nl-NL"/>
        </w:rPr>
        <w:t>d</w:t>
      </w:r>
      <w:r w:rsidRPr="000B7260">
        <w:rPr>
          <w:rFonts w:eastAsia="Verdana" w:cs="Verdana"/>
          <w:lang w:val="nl-NL"/>
        </w:rPr>
        <w:t xml:space="preserve">e uitkering </w:t>
      </w:r>
      <w:r>
        <w:rPr>
          <w:rFonts w:eastAsia="Verdana" w:cs="Verdana"/>
          <w:lang w:val="nl-NL"/>
        </w:rPr>
        <w:t xml:space="preserve">op grond van de </w:t>
      </w:r>
      <w:r w:rsidRPr="000B7260">
        <w:rPr>
          <w:rFonts w:eastAsia="Verdana" w:cs="Verdana"/>
          <w:lang w:val="nl-NL"/>
        </w:rPr>
        <w:t>Wet inkomensvoorziening oudere en gedeeltelijk arbeidsongeschikte gewezen zelfstandigen (IOAZ)</w:t>
      </w:r>
      <w:r>
        <w:rPr>
          <w:rFonts w:eastAsia="Verdana" w:cs="Verdana"/>
          <w:lang w:val="nl-NL"/>
        </w:rPr>
        <w:t>,</w:t>
      </w:r>
    </w:p>
    <w:p w:rsidRPr="008940DA" w:rsidR="00847A62" w:rsidP="00847A62" w:rsidRDefault="00847A62" w14:paraId="3870BB0E" w14:textId="77777777">
      <w:pPr>
        <w:pStyle w:val="Lijstalinea"/>
        <w:numPr>
          <w:ilvl w:val="0"/>
          <w:numId w:val="1"/>
        </w:numPr>
        <w:rPr>
          <w:lang w:val="nl-NL"/>
        </w:rPr>
      </w:pPr>
      <w:r>
        <w:rPr>
          <w:rFonts w:eastAsia="Verdana" w:cs="Verdana"/>
          <w:lang w:val="nl-NL"/>
        </w:rPr>
        <w:t>d</w:t>
      </w:r>
      <w:r w:rsidRPr="00BA61B4">
        <w:rPr>
          <w:rFonts w:eastAsia="Verdana" w:cs="Verdana"/>
          <w:lang w:val="nl-NL"/>
        </w:rPr>
        <w:t xml:space="preserve">e toeslag tot aan het sociaal minimum voor alleenstaanden met een </w:t>
      </w:r>
      <w:r>
        <w:rPr>
          <w:rFonts w:eastAsia="Verdana" w:cs="Verdana"/>
          <w:lang w:val="nl-NL"/>
        </w:rPr>
        <w:t>loondervingsuitkering (WW, WIA/WAO, Wajong, IOW, ZW),</w:t>
      </w:r>
      <w:r w:rsidRPr="00BA61B4">
        <w:rPr>
          <w:rFonts w:eastAsia="Verdana" w:cs="Verdana"/>
          <w:lang w:val="nl-NL"/>
        </w:rPr>
        <w:t xml:space="preserve"> op grond</w:t>
      </w:r>
      <w:r>
        <w:rPr>
          <w:rFonts w:eastAsia="Verdana" w:cs="Verdana"/>
          <w:lang w:val="nl-NL"/>
        </w:rPr>
        <w:t xml:space="preserve"> van de</w:t>
      </w:r>
      <w:r w:rsidRPr="00BA61B4">
        <w:rPr>
          <w:rFonts w:eastAsia="Verdana" w:cs="Verdana"/>
          <w:lang w:val="nl-NL"/>
        </w:rPr>
        <w:t xml:space="preserve"> Toeslagenwet (TW). </w:t>
      </w:r>
    </w:p>
    <w:p w:rsidRPr="00DD5C6C" w:rsidR="00847A62" w:rsidP="00847A62" w:rsidRDefault="00847A62" w14:paraId="57C4D14A" w14:textId="77777777">
      <w:pPr>
        <w:rPr>
          <w:rFonts w:eastAsia="Verdana" w:cs="Verdana"/>
          <w:i/>
          <w:iCs/>
        </w:rPr>
      </w:pPr>
      <w:r w:rsidRPr="00DD5C6C">
        <w:rPr>
          <w:rFonts w:eastAsia="Verdana" w:cs="Verdana"/>
          <w:i/>
          <w:iCs/>
        </w:rPr>
        <w:t>2.</w:t>
      </w:r>
      <w:r>
        <w:rPr>
          <w:rFonts w:eastAsia="Verdana" w:cs="Verdana"/>
          <w:i/>
          <w:iCs/>
        </w:rPr>
        <w:t>3</w:t>
      </w:r>
      <w:r w:rsidRPr="00DD5C6C">
        <w:rPr>
          <w:rFonts w:eastAsia="Verdana" w:cs="Verdana"/>
          <w:i/>
          <w:iCs/>
        </w:rPr>
        <w:t xml:space="preserve"> Achtergrond bij </w:t>
      </w:r>
      <w:r>
        <w:rPr>
          <w:rFonts w:eastAsia="Verdana" w:cs="Verdana"/>
          <w:i/>
          <w:iCs/>
        </w:rPr>
        <w:t>het wets</w:t>
      </w:r>
      <w:r w:rsidRPr="00DD5C6C">
        <w:rPr>
          <w:rFonts w:eastAsia="Verdana" w:cs="Verdana"/>
          <w:i/>
          <w:iCs/>
        </w:rPr>
        <w:t>voorstel</w:t>
      </w:r>
    </w:p>
    <w:p w:rsidR="00847A62" w:rsidP="00847A62" w:rsidRDefault="00847A62" w14:paraId="349DEF7B" w14:textId="77777777">
      <w:pPr>
        <w:rPr>
          <w:rFonts w:eastAsia="Verdana" w:cs="Verdana"/>
        </w:rPr>
      </w:pPr>
    </w:p>
    <w:p w:rsidR="00847A62" w:rsidP="00847A62" w:rsidRDefault="00847A62" w14:paraId="29F9153B" w14:textId="77777777">
      <w:pPr>
        <w:rPr>
          <w:rFonts w:eastAsia="Verdana" w:cs="Verdana"/>
        </w:rPr>
      </w:pPr>
      <w:r w:rsidRPr="0059156B">
        <w:rPr>
          <w:rFonts w:eastAsia="Verdana" w:cs="Verdana"/>
        </w:rPr>
        <w:t xml:space="preserve">De algemene heffingskorting (AHK) is een korting op de inkomstenbelasting en premie volksverzekeringen die wordt berekend voor een belastingplichtige die de pensioengerechtigde leeftijd nog niet heeft bereikt. </w:t>
      </w:r>
      <w:r>
        <w:rPr>
          <w:rFonts w:eastAsia="Verdana" w:cs="Verdana"/>
        </w:rPr>
        <w:t xml:space="preserve">De AHK wordt toegepast bij de berekening van de uitkeringsnormen voor de </w:t>
      </w:r>
      <w:proofErr w:type="spellStart"/>
      <w:r>
        <w:rPr>
          <w:rFonts w:eastAsia="Verdana" w:cs="Verdana"/>
        </w:rPr>
        <w:t>Anw</w:t>
      </w:r>
      <w:proofErr w:type="spellEnd"/>
      <w:r>
        <w:rPr>
          <w:rFonts w:eastAsia="Verdana" w:cs="Verdana"/>
        </w:rPr>
        <w:t xml:space="preserve"> en de Participatiewet. </w:t>
      </w:r>
    </w:p>
    <w:p w:rsidR="00847A62" w:rsidP="00847A62" w:rsidRDefault="00847A62" w14:paraId="53B04037" w14:textId="77777777">
      <w:pPr>
        <w:rPr>
          <w:rFonts w:eastAsia="Verdana" w:cs="Verdana"/>
        </w:rPr>
      </w:pPr>
      <w:r>
        <w:rPr>
          <w:rFonts w:eastAsia="Verdana" w:cs="Verdana"/>
        </w:rPr>
        <w:t>Deze uitkeringsnormen bepalen het sociaal minimum. Zij worden afgeleid van het referentieminimumloon.</w:t>
      </w:r>
      <w:r>
        <w:rPr>
          <w:rStyle w:val="Voetnootmarkering"/>
          <w:rFonts w:eastAsia="Verdana" w:cs="Verdana"/>
        </w:rPr>
        <w:footnoteReference w:id="6"/>
      </w:r>
      <w:r>
        <w:rPr>
          <w:rFonts w:eastAsia="Verdana" w:cs="Verdana"/>
        </w:rPr>
        <w:t xml:space="preserve"> </w:t>
      </w:r>
    </w:p>
    <w:p w:rsidR="00847A62" w:rsidP="00847A62" w:rsidRDefault="00847A62" w14:paraId="2B9C5845" w14:textId="77777777">
      <w:pPr>
        <w:rPr>
          <w:rFonts w:eastAsia="Verdana" w:cs="Verdana"/>
        </w:rPr>
      </w:pPr>
      <w:r>
        <w:rPr>
          <w:rFonts w:eastAsia="Verdana" w:cs="Verdana"/>
        </w:rPr>
        <w:lastRenderedPageBreak/>
        <w:t>Het referentieminimumloon is het netto minimummaandloon waarbij alleen rekening wordt gehouden met de algemene heffingskorting en niet met de arbeidskorting.</w:t>
      </w:r>
      <w:r>
        <w:rPr>
          <w:rStyle w:val="Voetnootmarkering"/>
          <w:rFonts w:eastAsia="Verdana" w:cs="Verdana"/>
        </w:rPr>
        <w:footnoteReference w:id="7"/>
      </w:r>
      <w:r>
        <w:rPr>
          <w:rFonts w:eastAsia="Verdana" w:cs="Verdana"/>
        </w:rPr>
        <w:t xml:space="preserve"> </w:t>
      </w:r>
    </w:p>
    <w:p w:rsidR="00847A62" w:rsidP="00847A62" w:rsidRDefault="00847A62" w14:paraId="27F32430" w14:textId="77777777">
      <w:pPr>
        <w:rPr>
          <w:rFonts w:eastAsia="Verdana" w:cs="Verdana"/>
        </w:rPr>
      </w:pPr>
    </w:p>
    <w:p w:rsidR="00847A62" w:rsidP="00847A62" w:rsidRDefault="00847A62" w14:paraId="35C0061A" w14:textId="77777777">
      <w:pPr>
        <w:rPr>
          <w:rFonts w:eastAsia="Verdana" w:cs="Verdana"/>
        </w:rPr>
      </w:pPr>
      <w:r>
        <w:rPr>
          <w:rFonts w:eastAsia="Verdana" w:cs="Verdana"/>
        </w:rPr>
        <w:t>T</w:t>
      </w:r>
      <w:r w:rsidRPr="0059156B">
        <w:rPr>
          <w:rFonts w:eastAsia="Verdana" w:cs="Verdana"/>
        </w:rPr>
        <w:t xml:space="preserve">ot 2012 </w:t>
      </w:r>
      <w:r>
        <w:rPr>
          <w:rFonts w:eastAsia="Verdana" w:cs="Verdana"/>
        </w:rPr>
        <w:t xml:space="preserve">werd </w:t>
      </w:r>
      <w:r w:rsidRPr="0059156B">
        <w:rPr>
          <w:rFonts w:eastAsia="Verdana" w:cs="Verdana"/>
        </w:rPr>
        <w:t xml:space="preserve">tweemaal de AHK toegepast bij de berekening van het referentieminimumloon. </w:t>
      </w:r>
      <w:r>
        <w:rPr>
          <w:rFonts w:eastAsia="Verdana" w:cs="Verdana"/>
        </w:rPr>
        <w:t xml:space="preserve">Zo werden </w:t>
      </w:r>
      <w:r w:rsidRPr="0059156B">
        <w:rPr>
          <w:rFonts w:eastAsia="Verdana" w:cs="Verdana"/>
        </w:rPr>
        <w:t>partners met een bijstandsuitkering</w:t>
      </w:r>
      <w:r>
        <w:rPr>
          <w:rFonts w:eastAsia="Verdana" w:cs="Verdana"/>
        </w:rPr>
        <w:t xml:space="preserve"> fiscaal gezien vergelijkbaar behandeld </w:t>
      </w:r>
      <w:r w:rsidRPr="0059156B">
        <w:rPr>
          <w:rFonts w:eastAsia="Verdana" w:cs="Verdana"/>
        </w:rPr>
        <w:t>ten opzichte van partners met inkomen uit werk</w:t>
      </w:r>
      <w:r>
        <w:rPr>
          <w:rFonts w:eastAsia="Verdana" w:cs="Verdana"/>
        </w:rPr>
        <w:t>.</w:t>
      </w:r>
      <w:r w:rsidRPr="0059156B">
        <w:rPr>
          <w:rFonts w:eastAsia="Verdana" w:cs="Verdana"/>
        </w:rPr>
        <w:t xml:space="preserve"> </w:t>
      </w:r>
      <w:r>
        <w:rPr>
          <w:rFonts w:eastAsia="Verdana" w:cs="Verdana"/>
        </w:rPr>
        <w:t>Een</w:t>
      </w:r>
      <w:r w:rsidRPr="0059156B">
        <w:rPr>
          <w:rFonts w:eastAsia="Verdana" w:cs="Verdana"/>
        </w:rPr>
        <w:t xml:space="preserve"> partner zonder inkomen of met een te laag inkomen om de volledige AHK te kunnen </w:t>
      </w:r>
      <w:r>
        <w:rPr>
          <w:rFonts w:eastAsia="Verdana" w:cs="Verdana"/>
        </w:rPr>
        <w:t>benutten, kon tot 2009</w:t>
      </w:r>
      <w:r w:rsidRPr="0059156B">
        <w:rPr>
          <w:rFonts w:eastAsia="Verdana" w:cs="Verdana"/>
        </w:rPr>
        <w:t xml:space="preserve"> de AHK toch volledig verzilveren als belastingteruggave, voor zover de meestverdienende partner genoeg inkomstenbelasting verschuldigd was. Deze fiscale regeling heet de algemene heffingskorting voor de minstverdienende partner, vaak </w:t>
      </w:r>
      <w:r>
        <w:rPr>
          <w:rFonts w:eastAsia="Verdana" w:cs="Verdana"/>
        </w:rPr>
        <w:t xml:space="preserve">– hoewel </w:t>
      </w:r>
      <w:r w:rsidRPr="0059156B">
        <w:rPr>
          <w:rFonts w:eastAsia="Verdana" w:cs="Verdana"/>
        </w:rPr>
        <w:t>technisch onjuist</w:t>
      </w:r>
      <w:r>
        <w:rPr>
          <w:rFonts w:eastAsia="Verdana" w:cs="Verdana"/>
        </w:rPr>
        <w:t xml:space="preserve"> -</w:t>
      </w:r>
      <w:r w:rsidRPr="0059156B">
        <w:rPr>
          <w:rFonts w:eastAsia="Verdana" w:cs="Verdana"/>
        </w:rPr>
        <w:t xml:space="preserve"> aangeduid als de overdraagba</w:t>
      </w:r>
      <w:r>
        <w:rPr>
          <w:rFonts w:eastAsia="Verdana" w:cs="Verdana"/>
        </w:rPr>
        <w:t>re</w:t>
      </w:r>
      <w:r w:rsidRPr="0059156B">
        <w:rPr>
          <w:rFonts w:eastAsia="Verdana" w:cs="Verdana"/>
        </w:rPr>
        <w:t xml:space="preserve"> AHK.</w:t>
      </w:r>
      <w:r>
        <w:rPr>
          <w:rFonts w:eastAsia="Verdana" w:cs="Verdana"/>
        </w:rPr>
        <w:t xml:space="preserve"> Aangezien h</w:t>
      </w:r>
      <w:r w:rsidRPr="0059156B">
        <w:rPr>
          <w:rFonts w:eastAsia="Verdana" w:cs="Verdana"/>
        </w:rPr>
        <w:t>et oorspronkelijke uitgangspunt bij het bepalen van het referentieminimumloon de kostwinnerssituatie</w:t>
      </w:r>
      <w:r>
        <w:rPr>
          <w:rFonts w:eastAsia="Verdana" w:cs="Verdana"/>
        </w:rPr>
        <w:t xml:space="preserve"> was, </w:t>
      </w:r>
      <w:r w:rsidRPr="0059156B">
        <w:rPr>
          <w:rFonts w:eastAsia="Verdana" w:cs="Verdana"/>
        </w:rPr>
        <w:t xml:space="preserve"> diende rekening te worden gehouden met de heffingskorting van </w:t>
      </w:r>
      <w:r>
        <w:rPr>
          <w:rFonts w:eastAsia="Verdana" w:cs="Verdana"/>
        </w:rPr>
        <w:t xml:space="preserve">beide </w:t>
      </w:r>
      <w:r w:rsidRPr="0059156B">
        <w:rPr>
          <w:rFonts w:eastAsia="Verdana" w:cs="Verdana"/>
        </w:rPr>
        <w:t>partner</w:t>
      </w:r>
      <w:r>
        <w:rPr>
          <w:rFonts w:eastAsia="Verdana" w:cs="Verdana"/>
        </w:rPr>
        <w:t>s</w:t>
      </w:r>
      <w:r w:rsidRPr="0059156B">
        <w:rPr>
          <w:rFonts w:eastAsia="Verdana" w:cs="Verdana"/>
        </w:rPr>
        <w:t>.</w:t>
      </w:r>
      <w:r>
        <w:rPr>
          <w:rFonts w:eastAsia="Verdana" w:cs="Verdana"/>
        </w:rPr>
        <w:t xml:space="preserve"> </w:t>
      </w:r>
    </w:p>
    <w:p w:rsidR="00847A62" w:rsidP="00847A62" w:rsidRDefault="00847A62" w14:paraId="22B6E3EC" w14:textId="77777777">
      <w:pPr>
        <w:rPr>
          <w:rFonts w:eastAsia="Verdana" w:cs="Verdana"/>
        </w:rPr>
      </w:pPr>
    </w:p>
    <w:p w:rsidR="00847A62" w:rsidP="00847A62" w:rsidRDefault="00847A62" w14:paraId="5D528B5B" w14:textId="77777777">
      <w:r w:rsidRPr="0059156B">
        <w:rPr>
          <w:rFonts w:eastAsia="Verdana" w:cs="Verdana"/>
        </w:rPr>
        <w:t>Vanaf januari 2012 wordt</w:t>
      </w:r>
      <w:r w:rsidRPr="000F7F71">
        <w:rPr>
          <w:rFonts w:eastAsia="Verdana" w:cs="Verdana"/>
        </w:rPr>
        <w:t xml:space="preserve"> </w:t>
      </w:r>
      <w:r w:rsidRPr="0059156B">
        <w:rPr>
          <w:rFonts w:eastAsia="Verdana" w:cs="Verdana"/>
        </w:rPr>
        <w:t>de dubbele AHK in de berekening van het referentieminimumloon af</w:t>
      </w:r>
      <w:r>
        <w:rPr>
          <w:rFonts w:eastAsia="Verdana" w:cs="Verdana"/>
        </w:rPr>
        <w:t xml:space="preserve">gebouwd </w:t>
      </w:r>
      <w:r w:rsidRPr="0059156B">
        <w:rPr>
          <w:rFonts w:eastAsia="Verdana" w:cs="Verdana"/>
        </w:rPr>
        <w:t>tot eenmaal de AHK.</w:t>
      </w:r>
      <w:r>
        <w:rPr>
          <w:rStyle w:val="Voetnootmarkering"/>
          <w:rFonts w:eastAsia="Verdana" w:cs="Verdana"/>
        </w:rPr>
        <w:footnoteReference w:id="8"/>
      </w:r>
      <w:r w:rsidRPr="0059156B">
        <w:rPr>
          <w:rFonts w:eastAsia="Verdana" w:cs="Verdana"/>
        </w:rPr>
        <w:t xml:space="preserve"> </w:t>
      </w:r>
      <w:r>
        <w:rPr>
          <w:rFonts w:eastAsia="Verdana" w:cs="Verdana"/>
        </w:rPr>
        <w:t xml:space="preserve">De aanleiding voor de afbouw van de dubbele AHK in het referentieminimumloon was een fiscale maatregel voor werkenden. </w:t>
      </w:r>
      <w:r w:rsidRPr="0059156B">
        <w:rPr>
          <w:rFonts w:eastAsia="Verdana" w:cs="Verdana"/>
        </w:rPr>
        <w:t xml:space="preserve">De AHK </w:t>
      </w:r>
      <w:r>
        <w:rPr>
          <w:rFonts w:eastAsia="Verdana" w:cs="Verdana"/>
        </w:rPr>
        <w:t>voor</w:t>
      </w:r>
      <w:r w:rsidRPr="0059156B">
        <w:rPr>
          <w:rFonts w:eastAsia="Verdana" w:cs="Verdana"/>
        </w:rPr>
        <w:t xml:space="preserve"> de minstverdienende partner is in de fiscaliteit voor werkenden (geboren na 1962) sinds 2009 afgebouwd. </w:t>
      </w:r>
      <w:r w:rsidRPr="007A5E20">
        <w:rPr>
          <w:rFonts w:eastAsia="Verdana" w:cs="Verdana"/>
        </w:rPr>
        <w:t xml:space="preserve">De reden daarvoor was het stimuleren van arbeidsparticipatie en het verbeteren van de overheidsfinanciën. </w:t>
      </w:r>
      <w:r w:rsidRPr="0059156B">
        <w:rPr>
          <w:rFonts w:eastAsia="Verdana" w:cs="Verdana"/>
        </w:rPr>
        <w:t xml:space="preserve">Per 1 januari 2023 is deze afbouw voltooid. </w:t>
      </w:r>
      <w:r>
        <w:rPr>
          <w:rFonts w:eastAsia="Verdana" w:cs="Verdana"/>
        </w:rPr>
        <w:t xml:space="preserve">Met deze afbouw werd beoogd om de arbeidsparticipatie van de minstverdienende partner te stimuleren. In 2011 werd geconstateerd dat, wanneer de </w:t>
      </w:r>
      <w:r w:rsidRPr="0059156B">
        <w:rPr>
          <w:rFonts w:eastAsia="Verdana" w:cs="Verdana"/>
        </w:rPr>
        <w:t xml:space="preserve">AHK </w:t>
      </w:r>
      <w:r>
        <w:rPr>
          <w:rFonts w:eastAsia="Verdana" w:cs="Verdana"/>
        </w:rPr>
        <w:t>voor</w:t>
      </w:r>
      <w:r w:rsidRPr="0059156B">
        <w:rPr>
          <w:rFonts w:eastAsia="Verdana" w:cs="Verdana"/>
        </w:rPr>
        <w:t xml:space="preserve"> de minstverdienende partner</w:t>
      </w:r>
      <w:r>
        <w:rPr>
          <w:rFonts w:eastAsia="Verdana" w:cs="Verdana"/>
        </w:rPr>
        <w:t xml:space="preserve"> volledig was afgebouwd, het voor een paar met bijstand niet meer zou lonen als een van hen voltijd zou gaan werken tegen het minimumloon. Om deze onwenselijke situatie te voorkomen, werd besloten om ook voor uitkeringsgerechtigden de dubbele AHK af te bouwen. Hiermee zouden de uitkeringen dalen en werken blijven lonen. Omdat deze overweging niet van toepassing was op AOW-gerechtigden, is d</w:t>
      </w:r>
      <w:r>
        <w:t xml:space="preserve">e AOW destijds uitgezonderd van deze afbouw. De voorgestelde maatregel verhoogt dan ook niet de AOW-uitkering. </w:t>
      </w:r>
    </w:p>
    <w:p w:rsidR="00847A62" w:rsidP="00847A62" w:rsidRDefault="00847A62" w14:paraId="42B90BDC" w14:textId="77777777"/>
    <w:p w:rsidR="00847A62" w:rsidP="00847A62" w:rsidRDefault="00847A62" w14:paraId="5008BCAE" w14:textId="77777777">
      <w:pPr>
        <w:rPr>
          <w:rFonts w:eastAsia="Verdana" w:cs="Verdana"/>
        </w:rPr>
      </w:pPr>
      <w:r w:rsidRPr="00A043DF">
        <w:t xml:space="preserve">De afbouw </w:t>
      </w:r>
      <w:r>
        <w:t xml:space="preserve">van dubbele AHK in </w:t>
      </w:r>
      <w:r w:rsidRPr="0059156B">
        <w:rPr>
          <w:rFonts w:eastAsia="Verdana" w:cs="Verdana"/>
        </w:rPr>
        <w:t xml:space="preserve">het referentieminimumloon </w:t>
      </w:r>
      <w:r w:rsidRPr="00A043DF">
        <w:t xml:space="preserve">volgt een </w:t>
      </w:r>
      <w:r>
        <w:t>ander</w:t>
      </w:r>
      <w:r w:rsidRPr="00A043DF">
        <w:t xml:space="preserve"> tijdpad</w:t>
      </w:r>
      <w:r>
        <w:t xml:space="preserve"> dan die van de </w:t>
      </w:r>
      <w:r w:rsidRPr="0059156B">
        <w:rPr>
          <w:rFonts w:eastAsia="Verdana" w:cs="Verdana"/>
        </w:rPr>
        <w:t xml:space="preserve">AHK </w:t>
      </w:r>
      <w:r>
        <w:rPr>
          <w:rFonts w:eastAsia="Verdana" w:cs="Verdana"/>
        </w:rPr>
        <w:t>voor</w:t>
      </w:r>
      <w:r w:rsidRPr="0059156B">
        <w:rPr>
          <w:rFonts w:eastAsia="Verdana" w:cs="Verdana"/>
        </w:rPr>
        <w:t xml:space="preserve"> de minstverdienende partner</w:t>
      </w:r>
      <w:r>
        <w:rPr>
          <w:rFonts w:eastAsia="Verdana" w:cs="Verdana"/>
        </w:rPr>
        <w:t xml:space="preserve">. </w:t>
      </w:r>
      <w:r w:rsidRPr="0059156B">
        <w:rPr>
          <w:rFonts w:eastAsia="Verdana" w:cs="Verdana"/>
        </w:rPr>
        <w:t>De afbouw zou eerst plaatsvinden in 20 jaar</w:t>
      </w:r>
      <w:r>
        <w:rPr>
          <w:rFonts w:eastAsia="Verdana" w:cs="Verdana"/>
        </w:rPr>
        <w:t>,</w:t>
      </w:r>
      <w:r w:rsidRPr="0059156B">
        <w:rPr>
          <w:rFonts w:eastAsia="Verdana" w:cs="Verdana"/>
        </w:rPr>
        <w:t xml:space="preserve"> met halfjaarlijkse stappen van 2,5 procentpunt. Vanaf 2014 werd deze afbouw in de meeste jaren </w:t>
      </w:r>
      <w:r>
        <w:rPr>
          <w:rFonts w:eastAsia="Verdana" w:cs="Verdana"/>
        </w:rPr>
        <w:t>aangepast</w:t>
      </w:r>
      <w:r w:rsidRPr="0059156B">
        <w:rPr>
          <w:rFonts w:eastAsia="Verdana" w:cs="Verdana"/>
        </w:rPr>
        <w:t xml:space="preserve">. Vanwege afspraken in het regeerakkoord van het kabinet-Rutte II werd de halfjaarlijkse afbouw van 2014 tot en met 2017 gehalveerd tot 1,25 procentpunt. In het kader van de koopkrachtbesluitvorming voor 2018 is besloten om dezelfde temporisering van 1,25 procentpunt ook in 2018 toe te passen. Vanwege afspraken in het regeerakkoord van het kabinet Rutte III bedroeg de halfjaarlijkse afbouw van 2019 tot en met 2021 1,875 procentpunt. </w:t>
      </w:r>
    </w:p>
    <w:p w:rsidR="00847A62" w:rsidP="00847A62" w:rsidRDefault="00847A62" w14:paraId="7A3B3D2B" w14:textId="77777777">
      <w:pPr>
        <w:rPr>
          <w:rFonts w:eastAsia="Verdana" w:cs="Verdana"/>
        </w:rPr>
      </w:pPr>
      <w:r w:rsidRPr="0059156B">
        <w:rPr>
          <w:rFonts w:eastAsia="Verdana" w:cs="Verdana"/>
        </w:rPr>
        <w:t xml:space="preserve">In het kader van de koopkrachtbesluitvorming voor 2022 is besloten om dezelfde temporisering van 1,875 procentpunt per halfjaar ook in 2022 toe te passen. In 2023 </w:t>
      </w:r>
      <w:r>
        <w:rPr>
          <w:rFonts w:eastAsia="Verdana" w:cs="Verdana"/>
        </w:rPr>
        <w:t>vond</w:t>
      </w:r>
      <w:r w:rsidRPr="0059156B">
        <w:rPr>
          <w:rFonts w:eastAsia="Verdana" w:cs="Verdana"/>
        </w:rPr>
        <w:t xml:space="preserve"> de afbouw plaats volgens</w:t>
      </w:r>
      <w:r>
        <w:rPr>
          <w:rFonts w:eastAsia="Verdana" w:cs="Verdana"/>
        </w:rPr>
        <w:t xml:space="preserve"> </w:t>
      </w:r>
      <w:r w:rsidRPr="0059156B">
        <w:rPr>
          <w:rFonts w:eastAsia="Verdana" w:cs="Verdana"/>
        </w:rPr>
        <w:t xml:space="preserve">het </w:t>
      </w:r>
      <w:proofErr w:type="spellStart"/>
      <w:r w:rsidRPr="0059156B">
        <w:rPr>
          <w:rFonts w:eastAsia="Verdana" w:cs="Verdana"/>
        </w:rPr>
        <w:t>basispad</w:t>
      </w:r>
      <w:proofErr w:type="spellEnd"/>
      <w:r w:rsidRPr="0059156B">
        <w:rPr>
          <w:rFonts w:eastAsia="Verdana" w:cs="Verdana"/>
        </w:rPr>
        <w:t xml:space="preserve"> van 2,5 procentpunt per halfjaar. In het kader van de koopkrachtbesluitvorming voor 2024 </w:t>
      </w:r>
      <w:r>
        <w:rPr>
          <w:rFonts w:eastAsia="Verdana" w:cs="Verdana"/>
        </w:rPr>
        <w:t>besloot de regering in 2023</w:t>
      </w:r>
      <w:r w:rsidRPr="0059156B">
        <w:rPr>
          <w:rFonts w:eastAsia="Verdana" w:cs="Verdana"/>
        </w:rPr>
        <w:t xml:space="preserve"> om de </w:t>
      </w:r>
      <w:r>
        <w:rPr>
          <w:rFonts w:eastAsia="Verdana" w:cs="Verdana"/>
        </w:rPr>
        <w:t>dubbele AHK</w:t>
      </w:r>
      <w:r w:rsidRPr="0059156B">
        <w:rPr>
          <w:rFonts w:eastAsia="Verdana" w:cs="Verdana"/>
        </w:rPr>
        <w:t xml:space="preserve"> in 2024 te bevriezen op het </w:t>
      </w:r>
      <w:r>
        <w:rPr>
          <w:rFonts w:eastAsia="Verdana" w:cs="Verdana"/>
        </w:rPr>
        <w:t>percentage</w:t>
      </w:r>
      <w:r w:rsidRPr="0059156B">
        <w:rPr>
          <w:rFonts w:eastAsia="Verdana" w:cs="Verdana"/>
        </w:rPr>
        <w:t xml:space="preserve"> dat geldt per 1 juli 2023.</w:t>
      </w:r>
      <w:r>
        <w:rPr>
          <w:rStyle w:val="Voetnootmarkering"/>
          <w:rFonts w:eastAsia="Verdana" w:cs="Verdana"/>
        </w:rPr>
        <w:footnoteReference w:id="9"/>
      </w:r>
      <w:r w:rsidRPr="0059156B">
        <w:rPr>
          <w:rFonts w:eastAsia="Verdana" w:cs="Verdana"/>
        </w:rPr>
        <w:t xml:space="preserve"> </w:t>
      </w:r>
    </w:p>
    <w:p w:rsidR="00847A62" w:rsidP="00847A62" w:rsidRDefault="00847A62" w14:paraId="4DA69248" w14:textId="77777777">
      <w:pPr>
        <w:rPr>
          <w:rFonts w:eastAsia="Verdana" w:cs="Verdana"/>
        </w:rPr>
      </w:pPr>
    </w:p>
    <w:p w:rsidRPr="00455B4A" w:rsidR="00847A62" w:rsidP="00847A62" w:rsidRDefault="00847A62" w14:paraId="0A46B125" w14:textId="77777777">
      <w:pPr>
        <w:rPr>
          <w:rFonts w:eastAsia="Verdana" w:cs="Verdana"/>
          <w:i/>
          <w:iCs/>
        </w:rPr>
      </w:pPr>
      <w:r>
        <w:rPr>
          <w:rFonts w:eastAsia="Verdana" w:cs="Verdana"/>
          <w:i/>
          <w:iCs/>
        </w:rPr>
        <w:t>2.4 Effecten en neveneffecten</w:t>
      </w:r>
    </w:p>
    <w:p w:rsidR="00847A62" w:rsidP="00847A62" w:rsidRDefault="00847A62" w14:paraId="55069BE0" w14:textId="77777777">
      <w:pPr>
        <w:rPr>
          <w:rFonts w:eastAsia="Verdana" w:cs="Verdana"/>
        </w:rPr>
      </w:pPr>
    </w:p>
    <w:p w:rsidR="00847A62" w:rsidP="00847A62" w:rsidRDefault="00847A62" w14:paraId="7996CC7E" w14:textId="77777777">
      <w:pPr>
        <w:rPr>
          <w:rFonts w:eastAsia="Verdana" w:cs="Verdana"/>
        </w:rPr>
      </w:pPr>
      <w:r w:rsidRPr="0059156B">
        <w:rPr>
          <w:rFonts w:eastAsia="Verdana" w:cs="Verdana"/>
        </w:rPr>
        <w:t xml:space="preserve">Door de bevriezing van de afbouw van de dubbele AHK in </w:t>
      </w:r>
      <w:r>
        <w:rPr>
          <w:rFonts w:eastAsia="Verdana" w:cs="Verdana"/>
        </w:rPr>
        <w:t>2025, 2026 en 2027</w:t>
      </w:r>
      <w:r w:rsidRPr="0059156B">
        <w:rPr>
          <w:rFonts w:eastAsia="Verdana" w:cs="Verdana"/>
        </w:rPr>
        <w:t xml:space="preserve"> verschuift het </w:t>
      </w:r>
      <w:proofErr w:type="spellStart"/>
      <w:r w:rsidRPr="0059156B">
        <w:rPr>
          <w:rFonts w:eastAsia="Verdana" w:cs="Verdana"/>
        </w:rPr>
        <w:t>afbouwpad</w:t>
      </w:r>
      <w:proofErr w:type="spellEnd"/>
      <w:r w:rsidRPr="0059156B">
        <w:rPr>
          <w:rFonts w:eastAsia="Verdana" w:cs="Verdana"/>
        </w:rPr>
        <w:t>. Vanaf 1 januari 202</w:t>
      </w:r>
      <w:r>
        <w:rPr>
          <w:rFonts w:eastAsia="Verdana" w:cs="Verdana"/>
        </w:rPr>
        <w:t>8</w:t>
      </w:r>
      <w:r w:rsidRPr="0059156B">
        <w:rPr>
          <w:rFonts w:eastAsia="Verdana" w:cs="Verdana"/>
        </w:rPr>
        <w:t xml:space="preserve"> vindt de afbouw weer plaats volgens het oorspronkelijke tempo, dus 2,5 procentpunt per halfjaar. De dubbele AHK is door deze maatregel niet per 1 januari 203</w:t>
      </w:r>
      <w:r>
        <w:rPr>
          <w:rFonts w:eastAsia="Verdana" w:cs="Verdana"/>
        </w:rPr>
        <w:t>6</w:t>
      </w:r>
      <w:r w:rsidRPr="0059156B">
        <w:rPr>
          <w:rFonts w:eastAsia="Verdana" w:cs="Verdana"/>
        </w:rPr>
        <w:t xml:space="preserve"> maar per 1 januari 203</w:t>
      </w:r>
      <w:r>
        <w:rPr>
          <w:rFonts w:eastAsia="Verdana" w:cs="Verdana"/>
        </w:rPr>
        <w:t>9</w:t>
      </w:r>
      <w:r w:rsidRPr="0059156B">
        <w:rPr>
          <w:rFonts w:eastAsia="Verdana" w:cs="Verdana"/>
        </w:rPr>
        <w:t xml:space="preserve"> volledig afgebouwd. </w:t>
      </w:r>
      <w:r>
        <w:rPr>
          <w:rFonts w:eastAsia="Verdana" w:cs="Verdana"/>
        </w:rPr>
        <w:t xml:space="preserve">Figuur 1 illustreert dit. </w:t>
      </w:r>
    </w:p>
    <w:p w:rsidR="00847A62" w:rsidP="00847A62" w:rsidRDefault="00847A62" w14:paraId="29300219" w14:textId="77777777">
      <w:pPr>
        <w:rPr>
          <w:rFonts w:eastAsia="Verdana" w:cs="Verdana"/>
        </w:rPr>
      </w:pPr>
    </w:p>
    <w:p w:rsidR="00847A62" w:rsidP="00847A62" w:rsidRDefault="00847A62" w14:paraId="31CD4A88" w14:textId="77777777">
      <w:pPr>
        <w:rPr>
          <w:rFonts w:eastAsia="Verdana" w:cs="Verdana"/>
        </w:rPr>
      </w:pPr>
      <w:r>
        <w:rPr>
          <w:noProof/>
        </w:rPr>
        <w:drawing>
          <wp:inline distT="0" distB="0" distL="0" distR="0" wp14:anchorId="076370D7" wp14:editId="0CECAE64">
            <wp:extent cx="5148580" cy="2821940"/>
            <wp:effectExtent l="0" t="0" r="13970" b="16510"/>
            <wp:docPr id="1" name="Grafiek 1">
              <a:extLst xmlns:a="http://schemas.openxmlformats.org/drawingml/2006/main">
                <a:ext uri="{FF2B5EF4-FFF2-40B4-BE49-F238E27FC236}">
                  <a16:creationId xmlns:a16="http://schemas.microsoft.com/office/drawing/2014/main" id="{044D993D-9238-4CB3-9ED4-B83AF6C76A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47A62" w:rsidP="00847A62" w:rsidRDefault="00847A62" w14:paraId="2BB107E4" w14:textId="77777777">
      <w:pPr>
        <w:rPr>
          <w:rFonts w:eastAsia="Verdana" w:cs="Verdana"/>
        </w:rPr>
      </w:pPr>
    </w:p>
    <w:p w:rsidR="00847A62" w:rsidP="00847A62" w:rsidRDefault="00847A62" w14:paraId="4188906B" w14:textId="77777777">
      <w:pPr>
        <w:rPr>
          <w:rFonts w:eastAsia="Verdana" w:cs="Verdana"/>
        </w:rPr>
      </w:pPr>
      <w:r w:rsidRPr="0059156B">
        <w:rPr>
          <w:rFonts w:eastAsia="Verdana" w:cs="Verdana"/>
        </w:rPr>
        <w:t xml:space="preserve">Dit leidt ertoe dat de uitkeringen </w:t>
      </w:r>
      <w:r>
        <w:rPr>
          <w:rFonts w:eastAsia="Verdana" w:cs="Verdana"/>
        </w:rPr>
        <w:t xml:space="preserve">genoemd in paragraaf 2.2 </w:t>
      </w:r>
      <w:r w:rsidRPr="0059156B">
        <w:rPr>
          <w:rFonts w:eastAsia="Verdana" w:cs="Verdana"/>
        </w:rPr>
        <w:t>in de periode 202</w:t>
      </w:r>
      <w:r>
        <w:rPr>
          <w:rFonts w:eastAsia="Verdana" w:cs="Verdana"/>
        </w:rPr>
        <w:t>5</w:t>
      </w:r>
      <w:r w:rsidRPr="0059156B">
        <w:rPr>
          <w:rFonts w:eastAsia="Verdana" w:cs="Verdana"/>
        </w:rPr>
        <w:t>-203</w:t>
      </w:r>
      <w:r>
        <w:rPr>
          <w:rFonts w:eastAsia="Verdana" w:cs="Verdana"/>
        </w:rPr>
        <w:t>9</w:t>
      </w:r>
      <w:r w:rsidRPr="0059156B">
        <w:rPr>
          <w:rFonts w:eastAsia="Verdana" w:cs="Verdana"/>
        </w:rPr>
        <w:t xml:space="preserve"> hoger liggen dan zonder de bevriezing het geval zou zijn geweest. Hierdoor komt het aantal personen en</w:t>
      </w:r>
      <w:r>
        <w:rPr>
          <w:rFonts w:eastAsia="Verdana" w:cs="Verdana"/>
        </w:rPr>
        <w:t xml:space="preserve"> dus ook</w:t>
      </w:r>
      <w:r w:rsidRPr="0059156B">
        <w:rPr>
          <w:rFonts w:eastAsia="Verdana" w:cs="Verdana"/>
        </w:rPr>
        <w:t xml:space="preserve"> kinderen in armoede in die periode lager uit dan in het </w:t>
      </w:r>
      <w:proofErr w:type="spellStart"/>
      <w:r w:rsidRPr="0059156B">
        <w:rPr>
          <w:rFonts w:eastAsia="Verdana" w:cs="Verdana"/>
        </w:rPr>
        <w:t>basispad</w:t>
      </w:r>
      <w:proofErr w:type="spellEnd"/>
      <w:r w:rsidRPr="0059156B">
        <w:rPr>
          <w:rFonts w:eastAsia="Verdana" w:cs="Verdana"/>
        </w:rPr>
        <w:t xml:space="preserve">. De hogere uitkeringen leiden tot beperkte negatieve gevolgen voor de financiële stimulans om vanuit de uitkering aan het werk te gaan. Dit additionele effect is tijdelijk, totdat de afbouw voltooid is of in latere jaren wordt versneld. </w:t>
      </w:r>
      <w:r w:rsidRPr="007B1707">
        <w:rPr>
          <w:rFonts w:eastAsia="Verdana" w:cs="Verdana"/>
        </w:rPr>
        <w:t xml:space="preserve">In </w:t>
      </w:r>
      <w:r>
        <w:rPr>
          <w:rFonts w:eastAsia="Verdana" w:cs="Verdana"/>
        </w:rPr>
        <w:t xml:space="preserve">de </w:t>
      </w:r>
      <w:r w:rsidRPr="007B1707">
        <w:rPr>
          <w:rFonts w:eastAsia="Verdana" w:cs="Verdana"/>
        </w:rPr>
        <w:t>tussentijd blijft het lonend om de stap van</w:t>
      </w:r>
      <w:r>
        <w:rPr>
          <w:rFonts w:eastAsia="Verdana" w:cs="Verdana"/>
        </w:rPr>
        <w:t xml:space="preserve"> een</w:t>
      </w:r>
      <w:r w:rsidRPr="007B1707">
        <w:rPr>
          <w:rFonts w:eastAsia="Verdana" w:cs="Verdana"/>
        </w:rPr>
        <w:t xml:space="preserve"> uitkering naar werk te zetten.</w:t>
      </w:r>
    </w:p>
    <w:p w:rsidR="00847A62" w:rsidP="00847A62" w:rsidRDefault="00847A62" w14:paraId="2F192380" w14:textId="77777777">
      <w:pPr>
        <w:rPr>
          <w:rFonts w:eastAsia="Verdana" w:cs="Verdana"/>
        </w:rPr>
      </w:pPr>
    </w:p>
    <w:p w:rsidR="00847A62" w:rsidP="00847A62" w:rsidRDefault="00847A62" w14:paraId="7273BC0A" w14:textId="77777777">
      <w:pPr>
        <w:rPr>
          <w:rFonts w:eastAsia="Verdana" w:cs="Verdana"/>
        </w:rPr>
      </w:pPr>
      <w:r>
        <w:rPr>
          <w:rFonts w:eastAsia="Verdana" w:cs="Verdana"/>
        </w:rPr>
        <w:t>D</w:t>
      </w:r>
      <w:r w:rsidRPr="0059156B">
        <w:rPr>
          <w:rFonts w:eastAsia="Verdana" w:cs="Verdana"/>
        </w:rPr>
        <w:t>e voorgestelde maatregel verlengt de duur van de alleenverdienersproblematiek</w:t>
      </w:r>
      <w:r>
        <w:rPr>
          <w:rStyle w:val="Voetnootmarkering"/>
          <w:rFonts w:eastAsia="Verdana" w:cs="Verdana"/>
        </w:rPr>
        <w:footnoteReference w:id="10"/>
      </w:r>
      <w:r w:rsidRPr="0059156B">
        <w:rPr>
          <w:rFonts w:eastAsia="Verdana" w:cs="Verdana"/>
        </w:rPr>
        <w:t xml:space="preserve"> met </w:t>
      </w:r>
      <w:r>
        <w:rPr>
          <w:rFonts w:eastAsia="Verdana" w:cs="Verdana"/>
        </w:rPr>
        <w:t>drie</w:t>
      </w:r>
      <w:r w:rsidRPr="0059156B">
        <w:rPr>
          <w:rFonts w:eastAsia="Verdana" w:cs="Verdana"/>
        </w:rPr>
        <w:t xml:space="preserve"> jaar, tot</w:t>
      </w:r>
      <w:r>
        <w:rPr>
          <w:rFonts w:eastAsia="Verdana" w:cs="Verdana"/>
        </w:rPr>
        <w:t xml:space="preserve"> en met 2038</w:t>
      </w:r>
      <w:r w:rsidRPr="0059156B">
        <w:rPr>
          <w:rFonts w:eastAsia="Verdana" w:cs="Verdana"/>
        </w:rPr>
        <w:t xml:space="preserve">. </w:t>
      </w:r>
      <w:r>
        <w:rPr>
          <w:rFonts w:eastAsia="Verdana" w:cs="Verdana"/>
        </w:rPr>
        <w:t>Dit heeft gevolgen voor huishoudens en de beoogde oplossingen.</w:t>
      </w:r>
      <w:r w:rsidRPr="00B57E4E">
        <w:rPr>
          <w:rFonts w:eastAsia="Verdana" w:cs="Verdana"/>
        </w:rPr>
        <w:t xml:space="preserve"> </w:t>
      </w:r>
      <w:r>
        <w:rPr>
          <w:rFonts w:eastAsia="Verdana" w:cs="Verdana"/>
        </w:rPr>
        <w:t xml:space="preserve">In ieder jaar zullen meer huishoudens geraakt worden door de problematiek. </w:t>
      </w:r>
    </w:p>
    <w:p w:rsidR="00847A62" w:rsidP="00847A62" w:rsidRDefault="00847A62" w14:paraId="5D01C3F7" w14:textId="77777777">
      <w:pPr>
        <w:rPr>
          <w:rFonts w:eastAsia="Verdana" w:cs="Verdana"/>
        </w:rPr>
      </w:pPr>
      <w:r>
        <w:rPr>
          <w:rFonts w:eastAsia="Verdana" w:cs="Verdana"/>
        </w:rPr>
        <w:t>Het bedrag waarvoor de huishoudens in de problematiek – voor toepassing van de voorgestelde oplossingen – benadeeld worden, stijgt in beperkte mate. Dit wordt toegelicht in paragraaf 4.3.</w:t>
      </w:r>
    </w:p>
    <w:p w:rsidR="00847A62" w:rsidP="00847A62" w:rsidRDefault="00847A62" w14:paraId="27C7D025" w14:textId="77777777"/>
    <w:p w:rsidR="00847A62" w:rsidP="00847A62" w:rsidRDefault="00847A62" w14:paraId="3788E71F" w14:textId="77777777">
      <w:r>
        <w:t xml:space="preserve">Figuur 2 toont het verloop over de tijd voor verschillende effecten van het wetsvoorstel. Ten eerste is dit het verloop van de afwijking in procentpunten van de algemene heffingskorting ten opzichte van het </w:t>
      </w:r>
      <w:proofErr w:type="spellStart"/>
      <w:r>
        <w:t>basispad</w:t>
      </w:r>
      <w:proofErr w:type="spellEnd"/>
      <w:r>
        <w:t xml:space="preserve">. Dit kan afgeleid worden uit figuur 1. </w:t>
      </w:r>
    </w:p>
    <w:p w:rsidR="00847A62" w:rsidP="00847A62" w:rsidRDefault="00847A62" w14:paraId="1A175546" w14:textId="77777777">
      <w:r>
        <w:lastRenderedPageBreak/>
        <w:t xml:space="preserve">Als gevolg hiervan hebben ook de inkomenseffecten van de verschillende uitkeringen een vergelijkbaar verloop. Dit betekent dat de inkomenseffecten voor de uitkeringsgerechtigden de komende drie jaar opbouwen en ook tijdelijk zijn. Tot slot kent ook het effect op de omvang van de alleenverdienersproblematiek dit verloop. </w:t>
      </w:r>
    </w:p>
    <w:p w:rsidR="00847A62" w:rsidP="00847A62" w:rsidRDefault="00847A62" w14:paraId="0C2F1D13" w14:textId="77777777"/>
    <w:p w:rsidR="00847A62" w:rsidP="00847A62" w:rsidRDefault="00847A62" w14:paraId="067B0FB0" w14:textId="77777777">
      <w:r>
        <w:rPr>
          <w:noProof/>
        </w:rPr>
        <w:drawing>
          <wp:inline distT="0" distB="0" distL="0" distR="0" wp14:anchorId="6EEAF456" wp14:editId="46AC886B">
            <wp:extent cx="5081270" cy="2319020"/>
            <wp:effectExtent l="0" t="0" r="5080" b="5080"/>
            <wp:docPr id="6" name="Grafiek 6">
              <a:extLst xmlns:a="http://schemas.openxmlformats.org/drawingml/2006/main">
                <a:ext uri="{FF2B5EF4-FFF2-40B4-BE49-F238E27FC236}">
                  <a16:creationId xmlns:a16="http://schemas.microsoft.com/office/drawing/2014/main" id="{9CE49951-786E-44EE-80B8-390FD81A79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47A62" w:rsidP="00847A62" w:rsidRDefault="00847A62" w14:paraId="3A1585BD" w14:textId="77777777">
      <w:pPr>
        <w:rPr>
          <w:rFonts w:eastAsia="Verdana" w:cs="Verdana"/>
        </w:rPr>
      </w:pPr>
    </w:p>
    <w:p w:rsidRPr="0059156B" w:rsidR="00847A62" w:rsidP="00847A62" w:rsidRDefault="00847A62" w14:paraId="66B88357" w14:textId="77777777">
      <w:pPr>
        <w:rPr>
          <w:b/>
          <w:bCs/>
        </w:rPr>
      </w:pPr>
      <w:r>
        <w:rPr>
          <w:b/>
          <w:bCs/>
        </w:rPr>
        <w:t>3</w:t>
      </w:r>
      <w:r w:rsidRPr="0059156B">
        <w:rPr>
          <w:b/>
          <w:bCs/>
        </w:rPr>
        <w:t>. Verhouding tot nationa</w:t>
      </w:r>
      <w:r>
        <w:rPr>
          <w:b/>
          <w:bCs/>
        </w:rPr>
        <w:t>le wetgeving</w:t>
      </w:r>
    </w:p>
    <w:p w:rsidR="00847A62" w:rsidP="00847A62" w:rsidRDefault="00847A62" w14:paraId="4F939F15" w14:textId="77777777"/>
    <w:p w:rsidR="00847A62" w:rsidP="00847A62" w:rsidRDefault="00847A62" w14:paraId="6D4AD9D8" w14:textId="77777777">
      <w:r w:rsidRPr="001B57D1">
        <w:t xml:space="preserve">De voorgestelde maatregel </w:t>
      </w:r>
      <w:r>
        <w:t>werkt door</w:t>
      </w:r>
      <w:r w:rsidRPr="001B57D1">
        <w:t xml:space="preserve"> in </w:t>
      </w:r>
      <w:r>
        <w:t xml:space="preserve">de </w:t>
      </w:r>
      <w:r w:rsidRPr="0059156B">
        <w:t>IOAW</w:t>
      </w:r>
      <w:r>
        <w:t xml:space="preserve">, de </w:t>
      </w:r>
      <w:r w:rsidRPr="0059156B">
        <w:t>IOAZ</w:t>
      </w:r>
      <w:r>
        <w:t xml:space="preserve"> en de </w:t>
      </w:r>
      <w:r w:rsidRPr="0059156B">
        <w:t>TW</w:t>
      </w:r>
      <w:r>
        <w:t xml:space="preserve">. </w:t>
      </w:r>
      <w:r w:rsidRPr="001B57D1">
        <w:t>De IOAW</w:t>
      </w:r>
      <w:r>
        <w:t xml:space="preserve"> en</w:t>
      </w:r>
      <w:r w:rsidRPr="001B57D1">
        <w:t xml:space="preserve"> </w:t>
      </w:r>
      <w:r>
        <w:t xml:space="preserve">de </w:t>
      </w:r>
      <w:r w:rsidRPr="001B57D1">
        <w:t xml:space="preserve">IOAZ kennen bepalingen </w:t>
      </w:r>
      <w:r>
        <w:t>voor de netto grondslagen van de uitkeringen.</w:t>
      </w:r>
      <w:r>
        <w:rPr>
          <w:rStyle w:val="Voetnootmarkering"/>
        </w:rPr>
        <w:footnoteReference w:id="11"/>
      </w:r>
      <w:r>
        <w:t xml:space="preserve"> Deze netto grondslagen zijn gelijk aan de relevante bijstandsnormen in de </w:t>
      </w:r>
      <w:r w:rsidRPr="001B57D1">
        <w:t xml:space="preserve">Participatiewet. </w:t>
      </w:r>
      <w:r>
        <w:t>Ook het normbedrag (bruto inkomen per dag) voor</w:t>
      </w:r>
      <w:r w:rsidRPr="00630E16">
        <w:t xml:space="preserve"> </w:t>
      </w:r>
      <w:r>
        <w:t>alleenstaanden voor de toeslag op basis van de TW is gebaseerd op de bijstandsnorm voor alleenstaanden in de Participatiewet.</w:t>
      </w:r>
      <w:r>
        <w:rPr>
          <w:rStyle w:val="Voetnootmarkering"/>
        </w:rPr>
        <w:footnoteReference w:id="12"/>
      </w:r>
      <w:r>
        <w:t xml:space="preserve"> </w:t>
      </w:r>
      <w:r w:rsidRPr="001B57D1">
        <w:t>Een wijziging in de Participatiewet werkt dus automatisch door in deze wetten</w:t>
      </w:r>
      <w:r w:rsidRPr="71C9A0CD">
        <w:t xml:space="preserve">. </w:t>
      </w:r>
      <w:r w:rsidRPr="001B57D1">
        <w:t>Wijziging van de IOAW, IOAZ en de TW is daarom niet nodig</w:t>
      </w:r>
      <w:r>
        <w:t xml:space="preserve"> om ook deze uitkeringen te verhogen</w:t>
      </w:r>
      <w:r w:rsidRPr="001B57D1">
        <w:t>.</w:t>
      </w:r>
    </w:p>
    <w:p w:rsidR="00847A62" w:rsidP="00847A62" w:rsidRDefault="00847A62" w14:paraId="6B941EEA" w14:textId="77777777"/>
    <w:p w:rsidR="00847A62" w:rsidP="00847A62" w:rsidRDefault="00847A62" w14:paraId="2C72E322" w14:textId="77777777"/>
    <w:p w:rsidR="00847A62" w:rsidP="00847A62" w:rsidRDefault="00847A62" w14:paraId="4E804706" w14:textId="77777777"/>
    <w:p w:rsidR="00847A62" w:rsidP="00847A62" w:rsidRDefault="00847A62" w14:paraId="2A318972" w14:textId="77777777"/>
    <w:p w:rsidR="00847A62" w:rsidP="00847A62" w:rsidRDefault="00847A62" w14:paraId="4972B334" w14:textId="77777777"/>
    <w:p w:rsidR="00847A62" w:rsidP="00847A62" w:rsidRDefault="00847A62" w14:paraId="5051B518" w14:textId="77777777"/>
    <w:p w:rsidR="00847A62" w:rsidP="00847A62" w:rsidRDefault="00847A62" w14:paraId="699D4670" w14:textId="77777777"/>
    <w:p w:rsidR="00847A62" w:rsidP="00847A62" w:rsidRDefault="00847A62" w14:paraId="51A42608" w14:textId="77777777"/>
    <w:p w:rsidR="00847A62" w:rsidP="00847A62" w:rsidRDefault="00847A62" w14:paraId="2153D79A" w14:textId="77777777"/>
    <w:p w:rsidRPr="009653D2" w:rsidR="00847A62" w:rsidP="00847A62" w:rsidRDefault="00847A62" w14:paraId="2882E87E" w14:textId="77777777">
      <w:pPr>
        <w:rPr>
          <w:i/>
          <w:iCs/>
        </w:rPr>
      </w:pPr>
      <w:r>
        <w:rPr>
          <w:i/>
          <w:iCs/>
        </w:rPr>
        <w:t>Toekomstige hervormingen</w:t>
      </w:r>
    </w:p>
    <w:p w:rsidR="00847A62" w:rsidP="00847A62" w:rsidRDefault="00847A62" w14:paraId="411DF06E" w14:textId="77777777">
      <w:r>
        <w:t xml:space="preserve">De regering heeft </w:t>
      </w:r>
      <w:r w:rsidRPr="009653D2">
        <w:t>de ambitie om deze kabinetsperiode wetgeving voor te bereiden voor een hervorming van het toeslagen- en belastingstelsel, en van onderdelen van de sociale zekerheid. Waar nodig zal hierbij aandacht zijn voor de onderlinge samenhang, de relatie met het minimumloon en een inkomensbasis die goed geregeld is. In Spoor 2 van het programma Participatiewet in balans zal hierbij specifiek aandacht zijn voor de normensystematiek van de bijstand.</w:t>
      </w:r>
      <w:r>
        <w:t xml:space="preserve"> </w:t>
      </w:r>
      <w:r w:rsidRPr="009653D2">
        <w:t xml:space="preserve">Het kabinet zal in het voorjaar van 2025 enkele </w:t>
      </w:r>
      <w:r w:rsidRPr="009653D2">
        <w:lastRenderedPageBreak/>
        <w:t xml:space="preserve">varianten en keuzeopties schetsen, als startpunt voor een open dialoog met het parlement over een hervormingsagenda. Of deze varianten en keuzeopties ook gaan over een herziening van de grondslagen van uitkeringen </w:t>
      </w:r>
      <w:r>
        <w:t xml:space="preserve">– en daarmee het sociaal minimum – </w:t>
      </w:r>
      <w:r w:rsidRPr="009653D2">
        <w:t xml:space="preserve">moet nog worden bezien. </w:t>
      </w:r>
    </w:p>
    <w:p w:rsidR="00847A62" w:rsidP="00847A62" w:rsidRDefault="00847A62" w14:paraId="349D90D1" w14:textId="77777777"/>
    <w:p w:rsidRPr="0059156B" w:rsidR="00847A62" w:rsidP="00847A62" w:rsidRDefault="00847A62" w14:paraId="1BC96823" w14:textId="77777777">
      <w:pPr>
        <w:rPr>
          <w:b/>
          <w:bCs/>
        </w:rPr>
      </w:pPr>
      <w:r>
        <w:rPr>
          <w:b/>
          <w:bCs/>
        </w:rPr>
        <w:t>4</w:t>
      </w:r>
      <w:r w:rsidRPr="0059156B">
        <w:rPr>
          <w:b/>
          <w:bCs/>
        </w:rPr>
        <w:t>. Gevolgen</w:t>
      </w:r>
    </w:p>
    <w:p w:rsidR="00847A62" w:rsidP="00847A62" w:rsidRDefault="00847A62" w14:paraId="18ACC1C3" w14:textId="77777777"/>
    <w:p w:rsidR="00847A62" w:rsidP="00847A62" w:rsidRDefault="00847A62" w14:paraId="36920E69" w14:textId="77777777">
      <w:pPr>
        <w:rPr>
          <w:i/>
          <w:iCs/>
        </w:rPr>
      </w:pPr>
      <w:r w:rsidRPr="00DD71A7">
        <w:rPr>
          <w:i/>
          <w:iCs/>
        </w:rPr>
        <w:t xml:space="preserve">4.1 </w:t>
      </w:r>
      <w:r>
        <w:rPr>
          <w:i/>
          <w:iCs/>
        </w:rPr>
        <w:t>Inkomenseffecten</w:t>
      </w:r>
    </w:p>
    <w:p w:rsidR="00847A62" w:rsidP="00847A62" w:rsidRDefault="00847A62" w14:paraId="1C3FB14E" w14:textId="77777777"/>
    <w:p w:rsidR="00847A62" w:rsidP="00847A62" w:rsidRDefault="00847A62" w14:paraId="5281CB09" w14:textId="77777777">
      <w:r w:rsidRPr="0059156B">
        <w:rPr>
          <w:rFonts w:eastAsia="Verdana" w:cs="Verdana"/>
        </w:rPr>
        <w:t xml:space="preserve">De afbouw van de dubbele AHK (met 2,5%-punt per halfjaar) is een maatregel die </w:t>
      </w:r>
      <w:r>
        <w:rPr>
          <w:rFonts w:eastAsia="Verdana" w:cs="Verdana"/>
        </w:rPr>
        <w:t>het netto sociaal minimum</w:t>
      </w:r>
      <w:r w:rsidRPr="0059156B">
        <w:rPr>
          <w:rFonts w:eastAsia="Verdana" w:cs="Verdana"/>
        </w:rPr>
        <w:t xml:space="preserve"> verlaagt. De </w:t>
      </w:r>
      <w:r>
        <w:rPr>
          <w:rFonts w:eastAsia="Verdana" w:cs="Verdana"/>
        </w:rPr>
        <w:t>pauzering</w:t>
      </w:r>
      <w:r w:rsidRPr="0059156B">
        <w:rPr>
          <w:rFonts w:eastAsia="Verdana" w:cs="Verdana"/>
        </w:rPr>
        <w:t xml:space="preserve"> van deze afbouw, in de periode 2025 tot en met 2027, zorgt ervoor dat de </w:t>
      </w:r>
      <w:r>
        <w:rPr>
          <w:rFonts w:eastAsia="Verdana" w:cs="Verdana"/>
        </w:rPr>
        <w:t>minimum</w:t>
      </w:r>
      <w:r w:rsidRPr="0059156B">
        <w:rPr>
          <w:rFonts w:eastAsia="Verdana" w:cs="Verdana"/>
        </w:rPr>
        <w:t>uitkering</w:t>
      </w:r>
      <w:r>
        <w:rPr>
          <w:rFonts w:eastAsia="Verdana" w:cs="Verdana"/>
        </w:rPr>
        <w:t>en</w:t>
      </w:r>
      <w:r w:rsidRPr="0059156B">
        <w:rPr>
          <w:rFonts w:eastAsia="Verdana" w:cs="Verdana"/>
        </w:rPr>
        <w:t xml:space="preserve"> tijdelijk niet word</w:t>
      </w:r>
      <w:r>
        <w:rPr>
          <w:rFonts w:eastAsia="Verdana" w:cs="Verdana"/>
        </w:rPr>
        <w:t>en</w:t>
      </w:r>
      <w:r w:rsidRPr="0059156B">
        <w:rPr>
          <w:rFonts w:eastAsia="Verdana" w:cs="Verdana"/>
        </w:rPr>
        <w:t xml:space="preserve"> verlaagd. Hierdoor treden tijdelijk positieve inkomenseffecten op. Ter illustratie toont tabel 1 </w:t>
      </w:r>
      <w:r>
        <w:rPr>
          <w:rFonts w:eastAsia="Verdana" w:cs="Verdana"/>
        </w:rPr>
        <w:t>de</w:t>
      </w:r>
      <w:r w:rsidRPr="0059156B">
        <w:rPr>
          <w:rFonts w:eastAsia="Verdana" w:cs="Verdana"/>
        </w:rPr>
        <w:t xml:space="preserve"> </w:t>
      </w:r>
      <w:r>
        <w:rPr>
          <w:rFonts w:eastAsia="Verdana" w:cs="Verdana"/>
        </w:rPr>
        <w:t xml:space="preserve">mediane </w:t>
      </w:r>
      <w:r w:rsidRPr="0059156B">
        <w:rPr>
          <w:rFonts w:eastAsia="Verdana" w:cs="Verdana"/>
        </w:rPr>
        <w:t>inkomenseffect</w:t>
      </w:r>
      <w:r>
        <w:rPr>
          <w:rFonts w:eastAsia="Verdana" w:cs="Verdana"/>
        </w:rPr>
        <w:t xml:space="preserve">en </w:t>
      </w:r>
      <w:r w:rsidRPr="0059156B">
        <w:rPr>
          <w:rFonts w:eastAsia="Verdana" w:cs="Verdana"/>
        </w:rPr>
        <w:t xml:space="preserve">van </w:t>
      </w:r>
      <w:r>
        <w:rPr>
          <w:rFonts w:eastAsia="Verdana" w:cs="Verdana"/>
        </w:rPr>
        <w:t>de bevriezing, volgens huidig inzicht,</w:t>
      </w:r>
      <w:r w:rsidRPr="0059156B">
        <w:rPr>
          <w:rFonts w:eastAsia="Verdana" w:cs="Verdana"/>
        </w:rPr>
        <w:t xml:space="preserve"> voor verschillende </w:t>
      </w:r>
      <w:r>
        <w:rPr>
          <w:rFonts w:eastAsia="Verdana" w:cs="Verdana"/>
        </w:rPr>
        <w:t>typen huishouden met bijstand</w:t>
      </w:r>
      <w:r w:rsidRPr="0059156B">
        <w:rPr>
          <w:rFonts w:eastAsia="Verdana" w:cs="Verdana"/>
        </w:rPr>
        <w:t>.</w:t>
      </w:r>
      <w:r>
        <w:rPr>
          <w:rFonts w:eastAsia="Verdana" w:cs="Verdana"/>
        </w:rPr>
        <w:t xml:space="preserve"> Gedurende de periode 2028-2035 is het inkomenseffect maximaal en neemt daarna af.</w:t>
      </w:r>
      <w:r w:rsidRPr="0059156B">
        <w:rPr>
          <w:rFonts w:eastAsia="Verdana" w:cs="Verdana"/>
        </w:rPr>
        <w:t xml:space="preserve"> De berekening is gebaseerd op het </w:t>
      </w:r>
      <w:r>
        <w:rPr>
          <w:rFonts w:eastAsia="Verdana" w:cs="Verdana"/>
        </w:rPr>
        <w:t>concept-Macro-Economische Verkenning 2025 van het Centraal Planbureau</w:t>
      </w:r>
      <w:r w:rsidRPr="0059156B">
        <w:rPr>
          <w:rFonts w:eastAsia="Verdana" w:cs="Verdana"/>
        </w:rPr>
        <w:t xml:space="preserve">. Bij huishoudens met kinderen is uitgegaan van </w:t>
      </w:r>
      <w:r>
        <w:rPr>
          <w:rFonts w:eastAsia="Verdana" w:cs="Verdana"/>
        </w:rPr>
        <w:t>twee</w:t>
      </w:r>
      <w:r w:rsidRPr="0059156B">
        <w:rPr>
          <w:rFonts w:eastAsia="Verdana" w:cs="Verdana"/>
        </w:rPr>
        <w:t xml:space="preserve"> kinderen (6 en 11 jaar).</w:t>
      </w:r>
      <w:r>
        <w:rPr>
          <w:rFonts w:eastAsia="Verdana" w:cs="Verdana"/>
        </w:rPr>
        <w:t xml:space="preserve"> De inkomenseffecten voor huishoudens met een andere uitkering zijn vergelijkbaar. </w:t>
      </w:r>
    </w:p>
    <w:p w:rsidR="00847A62" w:rsidP="00847A62" w:rsidRDefault="00847A62" w14:paraId="5856FFF8" w14:textId="77777777">
      <w:pPr>
        <w:rPr>
          <w:rFonts w:eastAsia="Verdana" w:cs="Verdana"/>
        </w:rPr>
      </w:pPr>
    </w:p>
    <w:p w:rsidR="00847A62" w:rsidP="00847A62" w:rsidRDefault="00847A62" w14:paraId="1CA6B5EC" w14:textId="77777777">
      <w:pPr>
        <w:rPr>
          <w:rFonts w:eastAsia="Verdana" w:cs="Verdana"/>
          <w:b/>
          <w:bCs/>
          <w:sz w:val="16"/>
          <w:szCs w:val="16"/>
        </w:rPr>
      </w:pPr>
    </w:p>
    <w:p w:rsidR="00847A62" w:rsidP="00847A62" w:rsidRDefault="00847A62" w14:paraId="429DD6A2" w14:textId="77777777">
      <w:pPr>
        <w:rPr>
          <w:color w:val="1F497D"/>
          <w:lang w:eastAsia="en-US"/>
        </w:rPr>
      </w:pPr>
      <w:r w:rsidRPr="00DD71A7">
        <w:rPr>
          <w:rFonts w:eastAsia="Verdana" w:cs="Verdana"/>
          <w:b/>
          <w:bCs/>
          <w:sz w:val="16"/>
          <w:szCs w:val="16"/>
        </w:rPr>
        <w:t xml:space="preserve">Tabel 1: </w:t>
      </w:r>
      <w:r>
        <w:rPr>
          <w:b/>
          <w:bCs/>
          <w:sz w:val="16"/>
          <w:szCs w:val="16"/>
        </w:rPr>
        <w:t>inkomenseffecten van de wetswijziging per jaar, 2025-2028</w:t>
      </w:r>
    </w:p>
    <w:tbl>
      <w:tblPr>
        <w:tblStyle w:val="Standaardtabelmetlijn"/>
        <w:tblW w:w="7792" w:type="dxa"/>
        <w:tblInd w:w="-5" w:type="dxa"/>
        <w:tblLayout w:type="fixed"/>
        <w:tblCellMar>
          <w:right w:w="57" w:type="dxa"/>
        </w:tblCellMar>
        <w:tblLook w:val="06A0" w:firstRow="1" w:lastRow="0" w:firstColumn="1" w:lastColumn="0" w:noHBand="1" w:noVBand="1"/>
      </w:tblPr>
      <w:tblGrid>
        <w:gridCol w:w="3256"/>
        <w:gridCol w:w="1134"/>
        <w:gridCol w:w="1134"/>
        <w:gridCol w:w="1134"/>
        <w:gridCol w:w="1134"/>
      </w:tblGrid>
      <w:tr w:rsidRPr="00DD71A7" w:rsidR="00847A62" w:rsidTr="00604CD8" w14:paraId="72280277" w14:textId="77777777">
        <w:tc>
          <w:tcPr>
            <w:tcW w:w="3256" w:type="dxa"/>
          </w:tcPr>
          <w:p w:rsidRPr="00DD71A7" w:rsidR="00847A62" w:rsidP="00604CD8" w:rsidRDefault="00847A62" w14:paraId="3C3FCBA9" w14:textId="77777777">
            <w:pPr>
              <w:rPr>
                <w:sz w:val="16"/>
                <w:szCs w:val="16"/>
              </w:rPr>
            </w:pPr>
            <w:bookmarkStart w:name="_Hlk175053736" w:id="0"/>
            <w:r>
              <w:rPr>
                <w:b/>
                <w:bCs/>
                <w:sz w:val="16"/>
                <w:szCs w:val="16"/>
              </w:rPr>
              <w:t>Type</w:t>
            </w:r>
            <w:r w:rsidRPr="00DD71A7">
              <w:rPr>
                <w:b/>
                <w:bCs/>
                <w:sz w:val="16"/>
                <w:szCs w:val="16"/>
              </w:rPr>
              <w:t xml:space="preserve"> huishouden met bijstand</w:t>
            </w:r>
          </w:p>
        </w:tc>
        <w:tc>
          <w:tcPr>
            <w:tcW w:w="1134" w:type="dxa"/>
          </w:tcPr>
          <w:p w:rsidRPr="00DD71A7" w:rsidR="00847A62" w:rsidP="00604CD8" w:rsidRDefault="00847A62" w14:paraId="7674DED2" w14:textId="77777777">
            <w:pPr>
              <w:jc w:val="right"/>
              <w:rPr>
                <w:b/>
                <w:bCs/>
                <w:sz w:val="16"/>
                <w:szCs w:val="16"/>
              </w:rPr>
            </w:pPr>
            <w:r>
              <w:rPr>
                <w:b/>
                <w:bCs/>
                <w:sz w:val="16"/>
                <w:szCs w:val="16"/>
              </w:rPr>
              <w:t>2025</w:t>
            </w:r>
          </w:p>
        </w:tc>
        <w:tc>
          <w:tcPr>
            <w:tcW w:w="1134" w:type="dxa"/>
          </w:tcPr>
          <w:p w:rsidRPr="00DD71A7" w:rsidR="00847A62" w:rsidP="00604CD8" w:rsidRDefault="00847A62" w14:paraId="7C95029D" w14:textId="77777777">
            <w:pPr>
              <w:jc w:val="right"/>
              <w:rPr>
                <w:b/>
                <w:bCs/>
                <w:sz w:val="16"/>
                <w:szCs w:val="16"/>
              </w:rPr>
            </w:pPr>
            <w:r>
              <w:rPr>
                <w:b/>
                <w:bCs/>
                <w:sz w:val="16"/>
                <w:szCs w:val="16"/>
              </w:rPr>
              <w:t>2026</w:t>
            </w:r>
          </w:p>
        </w:tc>
        <w:tc>
          <w:tcPr>
            <w:tcW w:w="1134" w:type="dxa"/>
          </w:tcPr>
          <w:p w:rsidRPr="00DD71A7" w:rsidR="00847A62" w:rsidP="00604CD8" w:rsidRDefault="00847A62" w14:paraId="7B9249A0" w14:textId="77777777">
            <w:pPr>
              <w:jc w:val="right"/>
              <w:rPr>
                <w:b/>
                <w:bCs/>
                <w:sz w:val="16"/>
                <w:szCs w:val="16"/>
              </w:rPr>
            </w:pPr>
            <w:r>
              <w:rPr>
                <w:b/>
                <w:bCs/>
                <w:sz w:val="16"/>
                <w:szCs w:val="16"/>
              </w:rPr>
              <w:t>2027</w:t>
            </w:r>
          </w:p>
        </w:tc>
        <w:tc>
          <w:tcPr>
            <w:tcW w:w="1134" w:type="dxa"/>
          </w:tcPr>
          <w:p w:rsidRPr="00DD71A7" w:rsidR="00847A62" w:rsidP="00604CD8" w:rsidRDefault="00847A62" w14:paraId="361F846C" w14:textId="77777777">
            <w:pPr>
              <w:jc w:val="right"/>
              <w:rPr>
                <w:sz w:val="16"/>
                <w:szCs w:val="16"/>
              </w:rPr>
            </w:pPr>
            <w:r w:rsidRPr="00DD71A7">
              <w:rPr>
                <w:b/>
                <w:bCs/>
                <w:sz w:val="16"/>
                <w:szCs w:val="16"/>
              </w:rPr>
              <w:t>2028</w:t>
            </w:r>
          </w:p>
        </w:tc>
      </w:tr>
      <w:tr w:rsidRPr="00DD71A7" w:rsidR="00847A62" w:rsidTr="00604CD8" w14:paraId="1950E8F6" w14:textId="77777777">
        <w:tc>
          <w:tcPr>
            <w:tcW w:w="3256" w:type="dxa"/>
          </w:tcPr>
          <w:p w:rsidRPr="00DD71A7" w:rsidR="00847A62" w:rsidP="00604CD8" w:rsidRDefault="00847A62" w14:paraId="03F38A44" w14:textId="77777777">
            <w:pPr>
              <w:rPr>
                <w:sz w:val="16"/>
                <w:szCs w:val="16"/>
              </w:rPr>
            </w:pPr>
            <w:r w:rsidRPr="00DD71A7">
              <w:rPr>
                <w:sz w:val="16"/>
                <w:szCs w:val="16"/>
              </w:rPr>
              <w:t>Alleenstaande</w:t>
            </w:r>
          </w:p>
        </w:tc>
        <w:tc>
          <w:tcPr>
            <w:tcW w:w="1134" w:type="dxa"/>
          </w:tcPr>
          <w:p w:rsidRPr="00DD71A7" w:rsidR="00847A62" w:rsidP="00604CD8" w:rsidRDefault="00847A62" w14:paraId="310C1012" w14:textId="77777777">
            <w:pPr>
              <w:jc w:val="right"/>
              <w:rPr>
                <w:sz w:val="16"/>
                <w:szCs w:val="16"/>
              </w:rPr>
            </w:pPr>
            <w:r>
              <w:rPr>
                <w:sz w:val="16"/>
                <w:szCs w:val="16"/>
              </w:rPr>
              <w:t>0,5%</w:t>
            </w:r>
          </w:p>
        </w:tc>
        <w:tc>
          <w:tcPr>
            <w:tcW w:w="1134" w:type="dxa"/>
          </w:tcPr>
          <w:p w:rsidRPr="00DD71A7" w:rsidR="00847A62" w:rsidP="00604CD8" w:rsidRDefault="00847A62" w14:paraId="36D15350" w14:textId="77777777">
            <w:pPr>
              <w:jc w:val="right"/>
              <w:rPr>
                <w:sz w:val="16"/>
                <w:szCs w:val="16"/>
              </w:rPr>
            </w:pPr>
            <w:r>
              <w:rPr>
                <w:sz w:val="16"/>
                <w:szCs w:val="16"/>
              </w:rPr>
              <w:t>1,2%</w:t>
            </w:r>
          </w:p>
        </w:tc>
        <w:tc>
          <w:tcPr>
            <w:tcW w:w="1134" w:type="dxa"/>
          </w:tcPr>
          <w:p w:rsidRPr="00DD71A7" w:rsidR="00847A62" w:rsidP="00604CD8" w:rsidRDefault="00847A62" w14:paraId="1775F690" w14:textId="77777777">
            <w:pPr>
              <w:jc w:val="right"/>
              <w:rPr>
                <w:sz w:val="16"/>
                <w:szCs w:val="16"/>
              </w:rPr>
            </w:pPr>
            <w:r>
              <w:rPr>
                <w:sz w:val="16"/>
                <w:szCs w:val="16"/>
              </w:rPr>
              <w:t>1,9%</w:t>
            </w:r>
          </w:p>
        </w:tc>
        <w:tc>
          <w:tcPr>
            <w:tcW w:w="1134" w:type="dxa"/>
          </w:tcPr>
          <w:p w:rsidRPr="00DD71A7" w:rsidR="00847A62" w:rsidP="00604CD8" w:rsidRDefault="00847A62" w14:paraId="2380A544" w14:textId="77777777">
            <w:pPr>
              <w:jc w:val="right"/>
              <w:rPr>
                <w:sz w:val="16"/>
                <w:szCs w:val="16"/>
              </w:rPr>
            </w:pPr>
            <w:r w:rsidRPr="00DD71A7">
              <w:rPr>
                <w:sz w:val="16"/>
                <w:szCs w:val="16"/>
              </w:rPr>
              <w:t>2,1%</w:t>
            </w:r>
          </w:p>
        </w:tc>
      </w:tr>
      <w:tr w:rsidRPr="00DD71A7" w:rsidR="00847A62" w:rsidTr="00604CD8" w14:paraId="28396284" w14:textId="77777777">
        <w:tc>
          <w:tcPr>
            <w:tcW w:w="3256" w:type="dxa"/>
          </w:tcPr>
          <w:p w:rsidRPr="00DD71A7" w:rsidR="00847A62" w:rsidP="00604CD8" w:rsidRDefault="00847A62" w14:paraId="5005F53D" w14:textId="77777777">
            <w:pPr>
              <w:rPr>
                <w:sz w:val="16"/>
                <w:szCs w:val="16"/>
              </w:rPr>
            </w:pPr>
            <w:r w:rsidRPr="00DD71A7">
              <w:rPr>
                <w:sz w:val="16"/>
                <w:szCs w:val="16"/>
              </w:rPr>
              <w:t>Alleenstaande ouder</w:t>
            </w:r>
          </w:p>
        </w:tc>
        <w:tc>
          <w:tcPr>
            <w:tcW w:w="1134" w:type="dxa"/>
          </w:tcPr>
          <w:p w:rsidRPr="00DD71A7" w:rsidR="00847A62" w:rsidP="00604CD8" w:rsidRDefault="00847A62" w14:paraId="0F9E1721" w14:textId="77777777">
            <w:pPr>
              <w:jc w:val="right"/>
              <w:rPr>
                <w:sz w:val="16"/>
                <w:szCs w:val="16"/>
              </w:rPr>
            </w:pPr>
            <w:r>
              <w:rPr>
                <w:sz w:val="16"/>
                <w:szCs w:val="16"/>
              </w:rPr>
              <w:t>0,3%</w:t>
            </w:r>
          </w:p>
        </w:tc>
        <w:tc>
          <w:tcPr>
            <w:tcW w:w="1134" w:type="dxa"/>
          </w:tcPr>
          <w:p w:rsidRPr="00DD71A7" w:rsidR="00847A62" w:rsidP="00604CD8" w:rsidRDefault="00847A62" w14:paraId="3EEA0B08" w14:textId="77777777">
            <w:pPr>
              <w:jc w:val="right"/>
              <w:rPr>
                <w:sz w:val="16"/>
                <w:szCs w:val="16"/>
              </w:rPr>
            </w:pPr>
            <w:r>
              <w:rPr>
                <w:sz w:val="16"/>
                <w:szCs w:val="16"/>
              </w:rPr>
              <w:t>0,7%</w:t>
            </w:r>
          </w:p>
        </w:tc>
        <w:tc>
          <w:tcPr>
            <w:tcW w:w="1134" w:type="dxa"/>
          </w:tcPr>
          <w:p w:rsidRPr="00DD71A7" w:rsidR="00847A62" w:rsidP="00604CD8" w:rsidRDefault="00847A62" w14:paraId="33B5F4AB" w14:textId="77777777">
            <w:pPr>
              <w:jc w:val="right"/>
              <w:rPr>
                <w:sz w:val="16"/>
                <w:szCs w:val="16"/>
              </w:rPr>
            </w:pPr>
            <w:r>
              <w:rPr>
                <w:sz w:val="16"/>
                <w:szCs w:val="16"/>
              </w:rPr>
              <w:t>1,1%</w:t>
            </w:r>
          </w:p>
        </w:tc>
        <w:tc>
          <w:tcPr>
            <w:tcW w:w="1134" w:type="dxa"/>
          </w:tcPr>
          <w:p w:rsidRPr="00DD71A7" w:rsidR="00847A62" w:rsidP="00604CD8" w:rsidRDefault="00847A62" w14:paraId="667817E4" w14:textId="77777777">
            <w:pPr>
              <w:jc w:val="right"/>
              <w:rPr>
                <w:sz w:val="16"/>
                <w:szCs w:val="16"/>
              </w:rPr>
            </w:pPr>
            <w:r w:rsidRPr="00DD71A7">
              <w:rPr>
                <w:sz w:val="16"/>
                <w:szCs w:val="16"/>
              </w:rPr>
              <w:t>1,</w:t>
            </w:r>
            <w:r>
              <w:rPr>
                <w:sz w:val="16"/>
                <w:szCs w:val="16"/>
              </w:rPr>
              <w:t>2</w:t>
            </w:r>
            <w:r w:rsidRPr="00DD71A7">
              <w:rPr>
                <w:sz w:val="16"/>
                <w:szCs w:val="16"/>
              </w:rPr>
              <w:t>%</w:t>
            </w:r>
          </w:p>
        </w:tc>
      </w:tr>
      <w:tr w:rsidRPr="00DD71A7" w:rsidR="00847A62" w:rsidTr="00604CD8" w14:paraId="7413D5D0" w14:textId="77777777">
        <w:tc>
          <w:tcPr>
            <w:tcW w:w="3256" w:type="dxa"/>
          </w:tcPr>
          <w:p w:rsidRPr="00DD71A7" w:rsidR="00847A62" w:rsidP="00604CD8" w:rsidRDefault="00847A62" w14:paraId="3C852FE1" w14:textId="77777777">
            <w:pPr>
              <w:rPr>
                <w:sz w:val="16"/>
                <w:szCs w:val="16"/>
              </w:rPr>
            </w:pPr>
            <w:r w:rsidRPr="00DD71A7">
              <w:rPr>
                <w:sz w:val="16"/>
                <w:szCs w:val="16"/>
              </w:rPr>
              <w:t>Paar zonder kinderen</w:t>
            </w:r>
          </w:p>
        </w:tc>
        <w:tc>
          <w:tcPr>
            <w:tcW w:w="1134" w:type="dxa"/>
          </w:tcPr>
          <w:p w:rsidRPr="00DD71A7" w:rsidR="00847A62" w:rsidP="00604CD8" w:rsidRDefault="00847A62" w14:paraId="5C8AA0FB" w14:textId="77777777">
            <w:pPr>
              <w:jc w:val="right"/>
              <w:rPr>
                <w:sz w:val="16"/>
                <w:szCs w:val="16"/>
              </w:rPr>
            </w:pPr>
            <w:r>
              <w:rPr>
                <w:sz w:val="16"/>
                <w:szCs w:val="16"/>
              </w:rPr>
              <w:t>0,5%</w:t>
            </w:r>
          </w:p>
        </w:tc>
        <w:tc>
          <w:tcPr>
            <w:tcW w:w="1134" w:type="dxa"/>
          </w:tcPr>
          <w:p w:rsidRPr="00DD71A7" w:rsidR="00847A62" w:rsidP="00604CD8" w:rsidRDefault="00847A62" w14:paraId="4D4E99A5" w14:textId="77777777">
            <w:pPr>
              <w:jc w:val="right"/>
              <w:rPr>
                <w:sz w:val="16"/>
                <w:szCs w:val="16"/>
              </w:rPr>
            </w:pPr>
            <w:r>
              <w:rPr>
                <w:sz w:val="16"/>
                <w:szCs w:val="16"/>
              </w:rPr>
              <w:t>1,2%</w:t>
            </w:r>
          </w:p>
        </w:tc>
        <w:tc>
          <w:tcPr>
            <w:tcW w:w="1134" w:type="dxa"/>
          </w:tcPr>
          <w:p w:rsidRPr="00DD71A7" w:rsidR="00847A62" w:rsidP="00604CD8" w:rsidRDefault="00847A62" w14:paraId="5B692E53" w14:textId="77777777">
            <w:pPr>
              <w:jc w:val="right"/>
              <w:rPr>
                <w:sz w:val="16"/>
                <w:szCs w:val="16"/>
              </w:rPr>
            </w:pPr>
            <w:r>
              <w:rPr>
                <w:sz w:val="16"/>
                <w:szCs w:val="16"/>
              </w:rPr>
              <w:t>1,9%</w:t>
            </w:r>
          </w:p>
        </w:tc>
        <w:tc>
          <w:tcPr>
            <w:tcW w:w="1134" w:type="dxa"/>
          </w:tcPr>
          <w:p w:rsidRPr="00DD71A7" w:rsidR="00847A62" w:rsidP="00604CD8" w:rsidRDefault="00847A62" w14:paraId="6D2308C1" w14:textId="77777777">
            <w:pPr>
              <w:jc w:val="right"/>
              <w:rPr>
                <w:sz w:val="16"/>
                <w:szCs w:val="16"/>
              </w:rPr>
            </w:pPr>
            <w:r w:rsidRPr="00DD71A7">
              <w:rPr>
                <w:sz w:val="16"/>
                <w:szCs w:val="16"/>
              </w:rPr>
              <w:t>2,</w:t>
            </w:r>
            <w:r>
              <w:rPr>
                <w:sz w:val="16"/>
                <w:szCs w:val="16"/>
              </w:rPr>
              <w:t>1</w:t>
            </w:r>
            <w:r w:rsidRPr="00DD71A7">
              <w:rPr>
                <w:sz w:val="16"/>
                <w:szCs w:val="16"/>
              </w:rPr>
              <w:t>%</w:t>
            </w:r>
          </w:p>
        </w:tc>
      </w:tr>
      <w:tr w:rsidRPr="00DD71A7" w:rsidR="00847A62" w:rsidTr="00604CD8" w14:paraId="64FFB185" w14:textId="77777777">
        <w:tc>
          <w:tcPr>
            <w:tcW w:w="3256" w:type="dxa"/>
          </w:tcPr>
          <w:p w:rsidRPr="00DD71A7" w:rsidR="00847A62" w:rsidP="00604CD8" w:rsidRDefault="00847A62" w14:paraId="37FE7696" w14:textId="77777777">
            <w:pPr>
              <w:rPr>
                <w:sz w:val="16"/>
                <w:szCs w:val="16"/>
              </w:rPr>
            </w:pPr>
            <w:r w:rsidRPr="00DD71A7">
              <w:rPr>
                <w:sz w:val="16"/>
                <w:szCs w:val="16"/>
              </w:rPr>
              <w:t>Paar met kinderen</w:t>
            </w:r>
          </w:p>
        </w:tc>
        <w:tc>
          <w:tcPr>
            <w:tcW w:w="1134" w:type="dxa"/>
          </w:tcPr>
          <w:p w:rsidRPr="00DD71A7" w:rsidR="00847A62" w:rsidP="00604CD8" w:rsidRDefault="00847A62" w14:paraId="3818333B" w14:textId="77777777">
            <w:pPr>
              <w:jc w:val="right"/>
              <w:rPr>
                <w:sz w:val="16"/>
                <w:szCs w:val="16"/>
              </w:rPr>
            </w:pPr>
            <w:r>
              <w:rPr>
                <w:sz w:val="16"/>
                <w:szCs w:val="16"/>
              </w:rPr>
              <w:t>0,4%</w:t>
            </w:r>
          </w:p>
        </w:tc>
        <w:tc>
          <w:tcPr>
            <w:tcW w:w="1134" w:type="dxa"/>
          </w:tcPr>
          <w:p w:rsidRPr="00DD71A7" w:rsidR="00847A62" w:rsidP="00604CD8" w:rsidRDefault="00847A62" w14:paraId="13723700" w14:textId="77777777">
            <w:pPr>
              <w:jc w:val="right"/>
              <w:rPr>
                <w:sz w:val="16"/>
                <w:szCs w:val="16"/>
              </w:rPr>
            </w:pPr>
            <w:r>
              <w:rPr>
                <w:sz w:val="16"/>
                <w:szCs w:val="16"/>
              </w:rPr>
              <w:t>0,9%</w:t>
            </w:r>
          </w:p>
        </w:tc>
        <w:tc>
          <w:tcPr>
            <w:tcW w:w="1134" w:type="dxa"/>
          </w:tcPr>
          <w:p w:rsidRPr="00DD71A7" w:rsidR="00847A62" w:rsidP="00604CD8" w:rsidRDefault="00847A62" w14:paraId="1FB4C94D" w14:textId="77777777">
            <w:pPr>
              <w:jc w:val="right"/>
              <w:rPr>
                <w:sz w:val="16"/>
                <w:szCs w:val="16"/>
              </w:rPr>
            </w:pPr>
            <w:r>
              <w:rPr>
                <w:sz w:val="16"/>
                <w:szCs w:val="16"/>
              </w:rPr>
              <w:t>1,5%</w:t>
            </w:r>
          </w:p>
        </w:tc>
        <w:tc>
          <w:tcPr>
            <w:tcW w:w="1134" w:type="dxa"/>
          </w:tcPr>
          <w:p w:rsidRPr="00DD71A7" w:rsidR="00847A62" w:rsidP="00604CD8" w:rsidRDefault="00847A62" w14:paraId="759B61B1" w14:textId="77777777">
            <w:pPr>
              <w:jc w:val="right"/>
              <w:rPr>
                <w:sz w:val="16"/>
                <w:szCs w:val="16"/>
              </w:rPr>
            </w:pPr>
            <w:r w:rsidRPr="00DD71A7">
              <w:rPr>
                <w:sz w:val="16"/>
                <w:szCs w:val="16"/>
              </w:rPr>
              <w:t>1,6%</w:t>
            </w:r>
          </w:p>
        </w:tc>
      </w:tr>
      <w:bookmarkEnd w:id="0"/>
    </w:tbl>
    <w:p w:rsidR="00847A62" w:rsidP="00847A62" w:rsidRDefault="00847A62" w14:paraId="404A1CA6" w14:textId="77777777">
      <w:pPr>
        <w:rPr>
          <w:rFonts w:eastAsia="Verdana" w:cs="Verdana"/>
        </w:rPr>
      </w:pPr>
    </w:p>
    <w:p w:rsidR="00847A62" w:rsidP="00847A62" w:rsidRDefault="00847A62" w14:paraId="7639E444" w14:textId="77777777">
      <w:pPr>
        <w:rPr>
          <w:rFonts w:eastAsia="Verdana" w:cs="Verdana"/>
        </w:rPr>
      </w:pPr>
      <w:r>
        <w:rPr>
          <w:rFonts w:eastAsia="Verdana" w:cs="Verdana"/>
        </w:rPr>
        <w:t xml:space="preserve">Deze positieve inkomenseffecten hebben betrekking op ongeveer 475.000 huishoudens. </w:t>
      </w:r>
      <w:r w:rsidRPr="00F33A6C">
        <w:rPr>
          <w:rFonts w:eastAsia="Verdana" w:cs="Verdana"/>
        </w:rPr>
        <w:t xml:space="preserve">Eind mei 2024 ontvingen ongeveer </w:t>
      </w:r>
      <w:r>
        <w:rPr>
          <w:rFonts w:eastAsia="Verdana" w:cs="Verdana"/>
        </w:rPr>
        <w:t>395.000 huishoudens</w:t>
      </w:r>
      <w:r w:rsidRPr="00F33A6C">
        <w:rPr>
          <w:rFonts w:eastAsia="Verdana" w:cs="Verdana"/>
        </w:rPr>
        <w:t xml:space="preserve"> een uitkering op grond van de Participatiewet (bijstand, AIO, </w:t>
      </w:r>
      <w:proofErr w:type="spellStart"/>
      <w:r w:rsidRPr="00F33A6C">
        <w:rPr>
          <w:rFonts w:eastAsia="Verdana" w:cs="Verdana"/>
        </w:rPr>
        <w:t>Bbz</w:t>
      </w:r>
      <w:proofErr w:type="spellEnd"/>
      <w:r w:rsidRPr="00F33A6C">
        <w:rPr>
          <w:rFonts w:eastAsia="Verdana" w:cs="Verdana"/>
        </w:rPr>
        <w:t>), de IOAW of IOAZ. Ongeveer 23</w:t>
      </w:r>
      <w:r>
        <w:rPr>
          <w:rFonts w:eastAsia="Verdana" w:cs="Verdana"/>
        </w:rPr>
        <w:t>.000 huishoudens</w:t>
      </w:r>
      <w:r w:rsidRPr="00F33A6C">
        <w:rPr>
          <w:rFonts w:eastAsia="Verdana" w:cs="Verdana"/>
        </w:rPr>
        <w:t xml:space="preserve"> ontvingen toen een uitkering op grond van de </w:t>
      </w:r>
      <w:proofErr w:type="spellStart"/>
      <w:r w:rsidRPr="00F33A6C">
        <w:rPr>
          <w:rFonts w:eastAsia="Verdana" w:cs="Verdana"/>
        </w:rPr>
        <w:t>Anw</w:t>
      </w:r>
      <w:proofErr w:type="spellEnd"/>
      <w:r w:rsidRPr="00F33A6C">
        <w:rPr>
          <w:rFonts w:eastAsia="Verdana" w:cs="Verdana"/>
        </w:rPr>
        <w:t xml:space="preserve"> (nabestaanden en wezen). </w:t>
      </w:r>
      <w:r>
        <w:rPr>
          <w:rFonts w:eastAsia="Verdana" w:cs="Verdana"/>
        </w:rPr>
        <w:t xml:space="preserve">En </w:t>
      </w:r>
      <w:r w:rsidRPr="00060957">
        <w:rPr>
          <w:rFonts w:eastAsia="Verdana" w:cs="Verdana"/>
        </w:rPr>
        <w:t xml:space="preserve">ongeveer </w:t>
      </w:r>
      <w:r w:rsidRPr="000E08CF">
        <w:rPr>
          <w:rFonts w:eastAsia="Verdana" w:cs="Verdana"/>
        </w:rPr>
        <w:t>5</w:t>
      </w:r>
      <w:r>
        <w:rPr>
          <w:rFonts w:eastAsia="Verdana" w:cs="Verdana"/>
        </w:rPr>
        <w:t>6.000</w:t>
      </w:r>
      <w:r w:rsidRPr="000E08CF">
        <w:rPr>
          <w:rFonts w:eastAsia="Verdana" w:cs="Verdana"/>
        </w:rPr>
        <w:t xml:space="preserve"> </w:t>
      </w:r>
      <w:r w:rsidRPr="00060957">
        <w:rPr>
          <w:rFonts w:eastAsia="Verdana" w:cs="Verdana"/>
        </w:rPr>
        <w:t>huishoudens</w:t>
      </w:r>
      <w:r>
        <w:rPr>
          <w:rFonts w:eastAsia="Verdana" w:cs="Verdana"/>
        </w:rPr>
        <w:t xml:space="preserve"> ontvingen een aanvulling op basis van de </w:t>
      </w:r>
      <w:r w:rsidRPr="003D5C95">
        <w:rPr>
          <w:rFonts w:eastAsia="Verdana" w:cs="Verdana"/>
        </w:rPr>
        <w:t>Toeslagenwet.</w:t>
      </w:r>
    </w:p>
    <w:p w:rsidR="00847A62" w:rsidP="00847A62" w:rsidRDefault="00847A62" w14:paraId="25F70E59" w14:textId="77777777"/>
    <w:p w:rsidR="00847A62" w:rsidP="00847A62" w:rsidRDefault="00847A62" w14:paraId="11EE39BC" w14:textId="77777777">
      <w:r>
        <w:rPr>
          <w:rFonts w:eastAsia="Verdana" w:cs="Verdana"/>
        </w:rPr>
        <w:t>De pauzering</w:t>
      </w:r>
      <w:r w:rsidRPr="0059156B">
        <w:rPr>
          <w:rFonts w:eastAsia="Verdana" w:cs="Verdana"/>
        </w:rPr>
        <w:t xml:space="preserve"> van de afbouw van de dubbele AHK verlaagt het aandeel personen en kinderen in armoede in 2028, ten opzichte van de situatie dat de uitkeringen zouden worden verlaagd. De bevriezing van de afbouw van de dubbele AHK in de bijstand zorgt naar verwachting voor een daling van de armoede onder personen en onder kinderen met 0,1%-punt in 2028 ten opzichte van de situatie dat de afbouw door zou gaan.</w:t>
      </w:r>
    </w:p>
    <w:p w:rsidR="00847A62" w:rsidP="00847A62" w:rsidRDefault="00847A62" w14:paraId="7B29AD1F" w14:textId="77777777">
      <w:r w:rsidRPr="0059156B">
        <w:rPr>
          <w:rFonts w:eastAsia="Verdana" w:cs="Verdana"/>
        </w:rPr>
        <w:t>Omdat de afbouw van de dubbele AHK in de bijstand vanaf 2028 wordt hervat</w:t>
      </w:r>
      <w:r>
        <w:rPr>
          <w:rFonts w:eastAsia="Verdana" w:cs="Verdana"/>
        </w:rPr>
        <w:t>,</w:t>
      </w:r>
      <w:r w:rsidRPr="0059156B">
        <w:rPr>
          <w:rFonts w:eastAsia="Verdana" w:cs="Verdana"/>
        </w:rPr>
        <w:t xml:space="preserve"> is er structureel (vanaf 2039) geen sprake van een hoger uitkeringsniveau dan zonder deze wetswijziging het geval zou zijn geweest. Er is structureel dan ook geen daling van de armoede.</w:t>
      </w:r>
    </w:p>
    <w:p w:rsidR="00847A62" w:rsidP="00847A62" w:rsidRDefault="00847A62" w14:paraId="08E37793" w14:textId="77777777"/>
    <w:p w:rsidRPr="00DD71A7" w:rsidR="00847A62" w:rsidP="00847A62" w:rsidRDefault="00847A62" w14:paraId="196EF8E1" w14:textId="77777777">
      <w:pPr>
        <w:rPr>
          <w:i/>
          <w:iCs/>
        </w:rPr>
      </w:pPr>
      <w:r w:rsidRPr="00DD71A7">
        <w:rPr>
          <w:i/>
          <w:iCs/>
        </w:rPr>
        <w:t>4.2 Regeldruk</w:t>
      </w:r>
    </w:p>
    <w:p w:rsidR="00847A62" w:rsidP="00847A62" w:rsidRDefault="00847A62" w14:paraId="514E853D" w14:textId="77777777"/>
    <w:p w:rsidRPr="000258DF" w:rsidR="00847A62" w:rsidP="00847A62" w:rsidRDefault="00847A62" w14:paraId="4C5A4329" w14:textId="77777777">
      <w:r>
        <w:t xml:space="preserve">Het wetsvoorstel heeft geen gevolgen voor de bestuurlijke lasten voor medeoverheden of voor de regeldruk voor bedrijven. </w:t>
      </w:r>
      <w:r w:rsidRPr="000258DF">
        <w:t xml:space="preserve">Er worden beperkte extra administratieve lasten voorzien als gevolg van de voorgestelde wijzigingen. Deze hebben geen betrekking op rechten en plichten </w:t>
      </w:r>
      <w:r>
        <w:t xml:space="preserve">voor bestaande uitkeringsgerechtigden. Het voorstel heeft alleen </w:t>
      </w:r>
      <w:r>
        <w:lastRenderedPageBreak/>
        <w:t>regeldruk-effecten voor burgers die als gevolg van de hogere uitkeringsnormen recht krijgen op een van de betrokken uitkeringen</w:t>
      </w:r>
      <w:r w:rsidRPr="000258DF">
        <w:t xml:space="preserve">. </w:t>
      </w:r>
      <w:r w:rsidRPr="00B74A9D">
        <w:t>Het Adviescollege toetsing regeldruk (ATR) heeft het dossier niet geselecteerd voor een formeel advies, omdat het – behoudens eenmalige kennisnemingskosten - geen gevolgen voor de regeldruk heeft.</w:t>
      </w:r>
    </w:p>
    <w:p w:rsidR="00847A62" w:rsidP="00847A62" w:rsidRDefault="00847A62" w14:paraId="3DCF591B" w14:textId="77777777"/>
    <w:p w:rsidRPr="00DD71A7" w:rsidR="00847A62" w:rsidP="00847A62" w:rsidRDefault="00847A62" w14:paraId="569A3926" w14:textId="77777777">
      <w:pPr>
        <w:rPr>
          <w:i/>
          <w:iCs/>
        </w:rPr>
      </w:pPr>
      <w:r w:rsidRPr="00DD71A7">
        <w:rPr>
          <w:i/>
          <w:iCs/>
        </w:rPr>
        <w:t>4.3 Alleenverdienersproblematiek</w:t>
      </w:r>
    </w:p>
    <w:p w:rsidR="00847A62" w:rsidP="00847A62" w:rsidRDefault="00847A62" w14:paraId="758F468F" w14:textId="77777777"/>
    <w:p w:rsidR="00847A62" w:rsidP="00847A62" w:rsidRDefault="00847A62" w14:paraId="1492E166" w14:textId="77777777">
      <w:r w:rsidRPr="00E71DEE">
        <w:t xml:space="preserve">Door een samenloop van fiscaliteit, toeslagen en sociale zekerheid </w:t>
      </w:r>
      <w:r>
        <w:t>heeft</w:t>
      </w:r>
      <w:r w:rsidRPr="00E71DEE">
        <w:t xml:space="preserve"> een </w:t>
      </w:r>
      <w:r>
        <w:t xml:space="preserve">groep </w:t>
      </w:r>
      <w:r w:rsidRPr="00E71DEE">
        <w:t>huishoudens een lager besteedbaar inkomen dan een</w:t>
      </w:r>
      <w:r>
        <w:t xml:space="preserve"> vergelijkbaar</w:t>
      </w:r>
      <w:r w:rsidRPr="00E71DEE">
        <w:t xml:space="preserve"> </w:t>
      </w:r>
      <w:r>
        <w:t>huishouden</w:t>
      </w:r>
      <w:r w:rsidRPr="00E71DEE">
        <w:t xml:space="preserve"> </w:t>
      </w:r>
      <w:r>
        <w:t>met een volledige bijstandsuitkering</w:t>
      </w:r>
      <w:r w:rsidRPr="00E71DEE">
        <w:t>.</w:t>
      </w:r>
      <w:r>
        <w:rPr>
          <w:rStyle w:val="Voetnootmarkering"/>
        </w:rPr>
        <w:footnoteReference w:id="13"/>
      </w:r>
      <w:r>
        <w:t xml:space="preserve"> Zij hebben bij een zelfde netto inkomen minder recht op toeslagen en leven hierdoor onder het bestaansminimum. Dit komt doordat de afbouw van de dubbele algemene heffingskorting in het referentieminimumloon nog niet voltooid is, terwijl de afbouw van </w:t>
      </w:r>
      <w:bookmarkStart w:name="_Hlk174686786" w:id="1"/>
      <w:r>
        <w:t xml:space="preserve">de algemene heffingskorting voor de minstverdienende partner </w:t>
      </w:r>
      <w:bookmarkEnd w:id="1"/>
      <w:r>
        <w:t>al wel voltooid is. Voor paren van wie het inkomen voornamelijk bestaat uit een UWV-uitkering (of privaat alternatief) van een van beide partners (de ‘alleenverdiener’) kan dit nadelig uitpakken. Zij hebben een lager maximaal recht op de AHK dan waar rekening mee wordt gehouden in de bijstandsnorm.</w:t>
      </w:r>
      <w:r>
        <w:rPr>
          <w:rStyle w:val="Voetnootmarkering"/>
        </w:rPr>
        <w:footnoteReference w:id="14"/>
      </w:r>
      <w:r>
        <w:t xml:space="preserve"> </w:t>
      </w:r>
    </w:p>
    <w:p w:rsidR="00847A62" w:rsidP="00847A62" w:rsidRDefault="00847A62" w14:paraId="61DDCCDC" w14:textId="77777777">
      <w:r>
        <w:t>Deze paren hebben daarom een hoger bruto inkomen nodig voor een netto inkomen op het sociaal minimum. Het hogere bruto inkomen kan leiden tot een lager recht op toeslagen, omdat de toeslagen inkomensafhankelijk zijn.</w:t>
      </w:r>
      <w:r w:rsidRPr="00606125">
        <w:t xml:space="preserve"> </w:t>
      </w:r>
      <w:r>
        <w:t xml:space="preserve">In 2024 worden naar schatting 6.000 huishoudens geraakt door deze ‘alleenverdienersproblematiek’. </w:t>
      </w:r>
    </w:p>
    <w:p w:rsidR="00847A62" w:rsidP="00847A62" w:rsidRDefault="00847A62" w14:paraId="150906B7" w14:textId="77777777"/>
    <w:p w:rsidR="00847A62" w:rsidP="00847A62" w:rsidRDefault="00847A62" w14:paraId="16535873" w14:textId="77777777">
      <w:r>
        <w:t>De duur en omvang van de alleenverdienersproblematiek hangen samen met de stand van de dubbele AHK in het referentieminimumloon. Door de afbouw te pauzeren en daarna niet versneld af te bouwen, duurt de problematiek langer. Daarnaast zullen, door de hogere stand van de dubbele AHK, ieder jaar meer huishoudens benadeeld worden en voor een gemiddeld hoger bedrag. Naar huidig inzicht gaat dit om ongeveer 300 extra huishoudens in 2025, oplopend naar ongeveer 900 extra huishoudens vanaf 2027. De regering</w:t>
      </w:r>
      <w:r w:rsidRPr="00E71DEE">
        <w:t xml:space="preserve"> </w:t>
      </w:r>
      <w:r>
        <w:t>is voornemens de alleenverdienersproblematiek vanaf 2025 in twee fasen op te lossen. De budgettaire gevolgen van dit wetsvoorstel voor de voorgenomen oplossing zijn opgenomen in paragraaf 7.</w:t>
      </w:r>
    </w:p>
    <w:p w:rsidR="00847A62" w:rsidP="00847A62" w:rsidRDefault="00847A62" w14:paraId="1674EF93" w14:textId="77777777"/>
    <w:p w:rsidR="00847A62" w:rsidP="00847A62" w:rsidRDefault="00847A62" w14:paraId="1F178BEF" w14:textId="77777777"/>
    <w:p w:rsidR="00847A62" w:rsidP="00847A62" w:rsidRDefault="00847A62" w14:paraId="656005C5" w14:textId="77777777"/>
    <w:p w:rsidR="00847A62" w:rsidP="00847A62" w:rsidRDefault="00847A62" w14:paraId="2FCA4E61" w14:textId="77777777"/>
    <w:p w:rsidR="00847A62" w:rsidP="00847A62" w:rsidRDefault="00847A62" w14:paraId="7F2DA3B8" w14:textId="77777777"/>
    <w:p w:rsidRPr="00E2526C" w:rsidR="00847A62" w:rsidP="00847A62" w:rsidRDefault="00847A62" w14:paraId="14EECACC" w14:textId="77777777"/>
    <w:p w:rsidR="00847A62" w:rsidP="00847A62" w:rsidRDefault="00847A62" w14:paraId="27E6BED1" w14:textId="77777777"/>
    <w:p w:rsidR="00847A62" w:rsidP="00847A62" w:rsidRDefault="00847A62" w14:paraId="5A330F12" w14:textId="77777777">
      <w:r>
        <w:t>De regering beseft dat door de voorgestelde maatregel een beperkt aantal extra huishoudens door de alleenverdienersproblematiek zullen worden geraakt. En een aantal van hen zal niet in de actualiteit bereikt worden door de voorgenomen oplossingen.</w:t>
      </w:r>
      <w:r w:rsidRPr="000A47FA">
        <w:rPr>
          <w:rStyle w:val="Voetnootmarkering"/>
        </w:rPr>
        <w:t xml:space="preserve"> </w:t>
      </w:r>
      <w:r>
        <w:rPr>
          <w:rStyle w:val="Voetnootmarkering"/>
        </w:rPr>
        <w:footnoteReference w:id="15"/>
      </w:r>
      <w:r>
        <w:t xml:space="preserve"> De </w:t>
      </w:r>
      <w:r>
        <w:lastRenderedPageBreak/>
        <w:t>regering heeft dit afgewogen tegen de positieve inkomenseffecten voor de grote groep uitkeringsgerechtigden op het sociaal minimum.</w:t>
      </w:r>
    </w:p>
    <w:p w:rsidR="00847A62" w:rsidP="00847A62" w:rsidRDefault="00847A62" w14:paraId="73D619C0" w14:textId="77777777"/>
    <w:p w:rsidR="00847A62" w:rsidP="00847A62" w:rsidRDefault="00847A62" w14:paraId="77A6D062" w14:textId="77777777">
      <w:pPr>
        <w:rPr>
          <w:i/>
          <w:iCs/>
        </w:rPr>
      </w:pPr>
      <w:bookmarkStart w:name="_Hlk175554732" w:id="2"/>
      <w:r w:rsidRPr="00DD71A7">
        <w:rPr>
          <w:i/>
          <w:iCs/>
        </w:rPr>
        <w:t>4.4 Caribisch Nederland</w:t>
      </w:r>
    </w:p>
    <w:p w:rsidRPr="00DD71A7" w:rsidR="00847A62" w:rsidP="00847A62" w:rsidRDefault="00847A62" w14:paraId="559546B2" w14:textId="77777777">
      <w:pPr>
        <w:rPr>
          <w:i/>
          <w:iCs/>
        </w:rPr>
      </w:pPr>
    </w:p>
    <w:p w:rsidR="00847A62" w:rsidP="00847A62" w:rsidRDefault="00847A62" w14:paraId="5AC607AF" w14:textId="77777777">
      <w:r>
        <w:t>De voorgestelde maatregel heeft geen gevolgen voor Caribisch Nederland. Het</w:t>
      </w:r>
      <w:r w:rsidRPr="00C358DE">
        <w:t xml:space="preserve"> wetsvoorstel wijzig</w:t>
      </w:r>
      <w:r>
        <w:t>t</w:t>
      </w:r>
      <w:r w:rsidRPr="00C358DE">
        <w:t xml:space="preserve"> de </w:t>
      </w:r>
      <w:r>
        <w:t xml:space="preserve">Algemene nabestaandenwet en de </w:t>
      </w:r>
      <w:r w:rsidRPr="00C358DE">
        <w:t>Participatiewet</w:t>
      </w:r>
      <w:r>
        <w:t>. Deze wetten zijn</w:t>
      </w:r>
      <w:r w:rsidRPr="00C358DE">
        <w:t xml:space="preserve"> niet van toepassing op Caribisch Nederland</w:t>
      </w:r>
      <w:r>
        <w:t>;</w:t>
      </w:r>
      <w:r w:rsidRPr="00C358DE">
        <w:t xml:space="preserve"> </w:t>
      </w:r>
      <w:r>
        <w:t>i</w:t>
      </w:r>
      <w:r w:rsidRPr="00C358DE">
        <w:t>n Caribisch Nederland geld</w:t>
      </w:r>
      <w:r>
        <w:t>en</w:t>
      </w:r>
      <w:r w:rsidRPr="00C358DE">
        <w:t xml:space="preserve"> </w:t>
      </w:r>
      <w:r>
        <w:t xml:space="preserve">een </w:t>
      </w:r>
      <w:r w:rsidRPr="00C358DE">
        <w:t xml:space="preserve">ander </w:t>
      </w:r>
      <w:r>
        <w:t xml:space="preserve">fiscaal </w:t>
      </w:r>
      <w:r w:rsidRPr="00C358DE">
        <w:t xml:space="preserve">stelsel </w:t>
      </w:r>
      <w:r>
        <w:t xml:space="preserve">en stelsel van sociale zekerheid. </w:t>
      </w:r>
    </w:p>
    <w:p w:rsidR="00847A62" w:rsidP="00847A62" w:rsidRDefault="00847A62" w14:paraId="7A21A96D" w14:textId="77777777"/>
    <w:p w:rsidR="00847A62" w:rsidP="00847A62" w:rsidRDefault="00847A62" w14:paraId="786DA72A" w14:textId="77777777">
      <w:r>
        <w:t>De regering</w:t>
      </w:r>
      <w:r w:rsidRPr="001E7290">
        <w:t xml:space="preserve"> zet</w:t>
      </w:r>
      <w:r>
        <w:t xml:space="preserve"> ook in</w:t>
      </w:r>
      <w:r w:rsidRPr="001E7290">
        <w:t xml:space="preserve"> op het </w:t>
      </w:r>
      <w:r>
        <w:t>vergroten</w:t>
      </w:r>
      <w:r w:rsidRPr="001E7290">
        <w:t xml:space="preserve"> van de bestaanszekerheid </w:t>
      </w:r>
      <w:r>
        <w:t xml:space="preserve">en de bestrijding van armoede </w:t>
      </w:r>
      <w:r w:rsidRPr="001E7290">
        <w:t>in Caribisch Nederland</w:t>
      </w:r>
      <w:r>
        <w:t>,</w:t>
      </w:r>
      <w:r w:rsidRPr="00D52C74">
        <w:t xml:space="preserve"> samen met Bonaire, Sint Eustatius en Saba</w:t>
      </w:r>
      <w:r w:rsidRPr="001E7290">
        <w:t>.</w:t>
      </w:r>
      <w:r>
        <w:t xml:space="preserve"> </w:t>
      </w:r>
      <w:r w:rsidRPr="00B6664C">
        <w:t xml:space="preserve">Hier </w:t>
      </w:r>
      <w:r>
        <w:t xml:space="preserve">worden ook </w:t>
      </w:r>
      <w:r w:rsidRPr="00B6664C">
        <w:t>extra middelen voor vrij</w:t>
      </w:r>
      <w:r>
        <w:t>gemaakt</w:t>
      </w:r>
      <w:r w:rsidRPr="00B6664C">
        <w:t>.</w:t>
      </w:r>
      <w:r>
        <w:t xml:space="preserve"> De regering overweegt daarbij andere maatregelen dan een beleidsmatige verhoging van de minimumuitkeringen, omdat deze in de context van Caribisch Nederland mogelijk effectiever zijn om de bestaanszekerheid voor verschillende typen huishoudens beter te borgen. Het minimumuurloon en de uitkeringen, waaronder de Onderstand en AWW-uitkering</w:t>
      </w:r>
      <w:r>
        <w:rPr>
          <w:rStyle w:val="Voetnootmarkering"/>
        </w:rPr>
        <w:footnoteReference w:id="16"/>
      </w:r>
      <w:r>
        <w:t>, zijn in 2024 in twee grote stappen reeds met ten minste 20% verhoogd, conform het advies van de Commissie sociaal minimum Caribisch Nederland.</w:t>
      </w:r>
      <w:r>
        <w:rPr>
          <w:rStyle w:val="Voetnootmarkering"/>
        </w:rPr>
        <w:footnoteReference w:id="17"/>
      </w:r>
      <w:r>
        <w:t xml:space="preserve"> </w:t>
      </w:r>
    </w:p>
    <w:bookmarkEnd w:id="2"/>
    <w:p w:rsidR="00847A62" w:rsidP="00847A62" w:rsidRDefault="00847A62" w14:paraId="21B2FE1B" w14:textId="77777777"/>
    <w:p w:rsidR="00847A62" w:rsidP="00847A62" w:rsidRDefault="00847A62" w14:paraId="6ACB116C" w14:textId="77777777">
      <w:pPr>
        <w:rPr>
          <w:b/>
          <w:bCs/>
        </w:rPr>
      </w:pPr>
      <w:r>
        <w:rPr>
          <w:b/>
          <w:bCs/>
        </w:rPr>
        <w:t>5</w:t>
      </w:r>
      <w:r w:rsidRPr="0059156B">
        <w:rPr>
          <w:b/>
          <w:bCs/>
        </w:rPr>
        <w:t>. Uitvoering</w:t>
      </w:r>
      <w:r>
        <w:rPr>
          <w:b/>
          <w:bCs/>
        </w:rPr>
        <w:t xml:space="preserve"> en consultatie</w:t>
      </w:r>
    </w:p>
    <w:p w:rsidRPr="0059156B" w:rsidR="00847A62" w:rsidP="00847A62" w:rsidRDefault="00847A62" w14:paraId="0B683E3E" w14:textId="77777777">
      <w:pPr>
        <w:rPr>
          <w:b/>
          <w:bCs/>
        </w:rPr>
      </w:pPr>
    </w:p>
    <w:p w:rsidR="00847A62" w:rsidP="00847A62" w:rsidRDefault="00847A62" w14:paraId="39289A7A" w14:textId="77777777">
      <w:r>
        <w:t xml:space="preserve">De voorgestelde maatregel heeft geen uitvoeringstechnische gevolgen. De betrokken uitkeringsverstrekkers zullen gedurende de periode 2025-2038 hogere normbedragen verwerken in hun systemen dan zonder de maatregel. Deze verhoging loopt mee in de reguliere indexering van de normbedragen op 1 januari en 1 juli van ieder jaar. De maatregel vraagt daarom niet om meer handelingen dan anders. De betrokken uitkeringsverstrekkers </w:t>
      </w:r>
      <w:r w:rsidRPr="00DE2EE4">
        <w:t>worden halfjaarlijks geïnformeerd over de aangepaste norm</w:t>
      </w:r>
      <w:r>
        <w:t>bedragen door het Ministerie van Sociale Zaken en Werkgelegenheid.</w:t>
      </w:r>
    </w:p>
    <w:p w:rsidR="00847A62" w:rsidP="00847A62" w:rsidRDefault="00847A62" w14:paraId="65BB1EDF" w14:textId="77777777"/>
    <w:p w:rsidR="00847A62" w:rsidP="00847A62" w:rsidRDefault="00847A62" w14:paraId="569C4812" w14:textId="77777777">
      <w:pPr>
        <w:rPr>
          <w:i/>
          <w:iCs/>
        </w:rPr>
      </w:pPr>
      <w:r>
        <w:rPr>
          <w:i/>
          <w:iCs/>
        </w:rPr>
        <w:t>Vereniging van Nederlandse Gemeenten (VNG)</w:t>
      </w:r>
    </w:p>
    <w:p w:rsidRPr="00B37564" w:rsidR="00847A62" w:rsidP="00847A62" w:rsidRDefault="00847A62" w14:paraId="4485CC6E" w14:textId="77777777">
      <w:r w:rsidRPr="00D1750E">
        <w:t>Gemeenten</w:t>
      </w:r>
      <w:r>
        <w:rPr>
          <w:i/>
          <w:iCs/>
        </w:rPr>
        <w:t xml:space="preserve"> </w:t>
      </w:r>
      <w:r>
        <w:t xml:space="preserve">verstrekken de bijstand, </w:t>
      </w:r>
      <w:proofErr w:type="spellStart"/>
      <w:r>
        <w:t>Bbz</w:t>
      </w:r>
      <w:proofErr w:type="spellEnd"/>
      <w:r>
        <w:t>, IOAW en IOAZ.</w:t>
      </w:r>
      <w:r w:rsidRPr="00DE2EE4">
        <w:t xml:space="preserve"> </w:t>
      </w:r>
      <w:r w:rsidRPr="00D1750E">
        <w:t xml:space="preserve">De </w:t>
      </w:r>
      <w:r>
        <w:t>VNG heeft aangegeven</w:t>
      </w:r>
      <w:r w:rsidRPr="00B37564">
        <w:t xml:space="preserve"> dat de</w:t>
      </w:r>
      <w:r>
        <w:t xml:space="preserve"> voorgestelde</w:t>
      </w:r>
      <w:r w:rsidRPr="00B37564">
        <w:t xml:space="preserve"> maatregel goed uitvoerbaar is en dat een formele uitvoeringstoets voor deze maatregel niet nodig is</w:t>
      </w:r>
      <w:r>
        <w:t>.</w:t>
      </w:r>
      <w:r w:rsidRPr="00B37564">
        <w:t xml:space="preserve"> </w:t>
      </w:r>
      <w:r>
        <w:t>Daarbij</w:t>
      </w:r>
      <w:r w:rsidRPr="00B37564">
        <w:t xml:space="preserve"> heeft </w:t>
      </w:r>
      <w:r>
        <w:t xml:space="preserve">de VNG </w:t>
      </w:r>
      <w:r w:rsidRPr="00B37564">
        <w:t>verzocht om de gevolgen van de maatregel voor de alleenverdienersproblematiek</w:t>
      </w:r>
      <w:r w:rsidRPr="007D1C48">
        <w:t xml:space="preserve"> </w:t>
      </w:r>
      <w:r w:rsidRPr="00B37564">
        <w:t>in kaart te brengen.</w:t>
      </w:r>
      <w:r>
        <w:t xml:space="preserve"> Deze zijn opgenomen in paragraaf 4.3. De regering reserveert extra financiële middelen voor gemeenten in verband met de uitvoering van de voorgenomen</w:t>
      </w:r>
      <w:r w:rsidRPr="00663A65">
        <w:t xml:space="preserve"> </w:t>
      </w:r>
      <w:r>
        <w:t>tijdelijke regeling voor de alleenverdienersproblematiek (zie paragraaf 7). Het Ministerie van Sociale Zaken en Werkgelegenheid bereidt samen met de VNG de uitvoering van de tijdelijke regeling voor. De gevolgen van een bevriezing van de afbouw van de dubbele AHK worden hierin meegenomen.</w:t>
      </w:r>
    </w:p>
    <w:p w:rsidR="00847A62" w:rsidP="00847A62" w:rsidRDefault="00847A62" w14:paraId="5C007565" w14:textId="77777777"/>
    <w:p w:rsidRPr="00D1750E" w:rsidR="00847A62" w:rsidP="00847A62" w:rsidRDefault="00847A62" w14:paraId="18A490F1" w14:textId="77777777">
      <w:pPr>
        <w:rPr>
          <w:i/>
          <w:iCs/>
        </w:rPr>
      </w:pPr>
      <w:r w:rsidRPr="00D1750E">
        <w:rPr>
          <w:i/>
          <w:iCs/>
        </w:rPr>
        <w:t>Sociale Verzekeringsbank (SVB)</w:t>
      </w:r>
    </w:p>
    <w:p w:rsidR="00847A62" w:rsidP="00847A62" w:rsidRDefault="00847A62" w14:paraId="7C591A94" w14:textId="77777777">
      <w:r>
        <w:t xml:space="preserve">De SVB verstrekt de </w:t>
      </w:r>
      <w:proofErr w:type="spellStart"/>
      <w:r>
        <w:t>Anw</w:t>
      </w:r>
      <w:proofErr w:type="spellEnd"/>
      <w:r>
        <w:t xml:space="preserve">-, AIO-, OBR-uitkeringen. De SVB heeft aangegeven </w:t>
      </w:r>
      <w:r w:rsidRPr="00B37564">
        <w:t>dat</w:t>
      </w:r>
      <w:r>
        <w:t xml:space="preserve"> e</w:t>
      </w:r>
      <w:r w:rsidRPr="00B37564">
        <w:t>en formele uitvoeringstoets voor deze maatregel niet nodig is</w:t>
      </w:r>
      <w:r>
        <w:t>. Volgens de SVB is</w:t>
      </w:r>
      <w:r w:rsidRPr="00B37564">
        <w:t xml:space="preserve"> de</w:t>
      </w:r>
      <w:r>
        <w:t xml:space="preserve"> voorgestelde</w:t>
      </w:r>
      <w:r w:rsidRPr="00B37564">
        <w:t xml:space="preserve"> maatregel goed uitvoerbaar</w:t>
      </w:r>
      <w:r>
        <w:t>,</w:t>
      </w:r>
      <w:r w:rsidRPr="00353EEB">
        <w:t xml:space="preserve"> mits de </w:t>
      </w:r>
      <w:r>
        <w:t>uitkerings</w:t>
      </w:r>
      <w:r w:rsidRPr="00353EEB">
        <w:t>bedragen per 1 januari 202</w:t>
      </w:r>
      <w:r>
        <w:t>5 tijdig worden bekendgemaakt.</w:t>
      </w:r>
    </w:p>
    <w:p w:rsidR="00847A62" w:rsidP="00847A62" w:rsidRDefault="00847A62" w14:paraId="015DA657" w14:textId="77777777"/>
    <w:p w:rsidRPr="00D1750E" w:rsidR="00847A62" w:rsidP="00847A62" w:rsidRDefault="00847A62" w14:paraId="00C313C7" w14:textId="77777777">
      <w:pPr>
        <w:rPr>
          <w:i/>
          <w:iCs/>
        </w:rPr>
      </w:pPr>
      <w:r w:rsidRPr="00D1750E">
        <w:rPr>
          <w:i/>
          <w:iCs/>
        </w:rPr>
        <w:lastRenderedPageBreak/>
        <w:t>Uitvoeringsinstituut Werknemersverzekeringen (UWV)</w:t>
      </w:r>
    </w:p>
    <w:p w:rsidR="00847A62" w:rsidP="00847A62" w:rsidRDefault="00847A62" w14:paraId="56DA674D" w14:textId="77777777">
      <w:r>
        <w:t>UWV voert de Toeslagenwet uit en verstrekt hiervoor onder meer de toeslag op de uitkering aan alleenstaanden. UWV</w:t>
      </w:r>
      <w:r w:rsidRPr="00663A65">
        <w:t xml:space="preserve"> heeft aangegeven dat de voorgestelde maatregel goed uitvoerbaar is</w:t>
      </w:r>
      <w:r>
        <w:t>. Omdat het gaat om een zeer beperkte wijziging, brengt UWV geen uitvoeringstoets uit.</w:t>
      </w:r>
    </w:p>
    <w:p w:rsidR="00847A62" w:rsidP="00847A62" w:rsidRDefault="00847A62" w14:paraId="13B9C82E" w14:textId="77777777"/>
    <w:p w:rsidR="00847A62" w:rsidP="00847A62" w:rsidRDefault="00847A62" w14:paraId="594157B7" w14:textId="77777777">
      <w:pPr>
        <w:rPr>
          <w:b/>
          <w:bCs/>
        </w:rPr>
      </w:pPr>
      <w:r>
        <w:rPr>
          <w:b/>
          <w:bCs/>
        </w:rPr>
        <w:t>6</w:t>
      </w:r>
      <w:r w:rsidRPr="0059156B">
        <w:rPr>
          <w:b/>
          <w:bCs/>
        </w:rPr>
        <w:t>. Toezicht en handhaving</w:t>
      </w:r>
    </w:p>
    <w:p w:rsidRPr="0059156B" w:rsidR="00847A62" w:rsidP="00847A62" w:rsidRDefault="00847A62" w14:paraId="3ACEDA80" w14:textId="77777777">
      <w:pPr>
        <w:rPr>
          <w:b/>
          <w:bCs/>
        </w:rPr>
      </w:pPr>
    </w:p>
    <w:p w:rsidR="00847A62" w:rsidP="00847A62" w:rsidRDefault="00847A62" w14:paraId="2CA1443B" w14:textId="77777777">
      <w:r>
        <w:t>De voorgestelde maatregel zorgt voor een tijdelijke verhoging van de uitkeringsnormen in verschillende regelingen. De handhaving op rechtmatige verstrekking van de betreffende uitkeringen wijzigt niet als gevolg van dit wetsvoorstel.</w:t>
      </w:r>
    </w:p>
    <w:p w:rsidR="00847A62" w:rsidP="00847A62" w:rsidRDefault="00847A62" w14:paraId="41C35C35" w14:textId="77777777"/>
    <w:p w:rsidR="00847A62" w:rsidP="00847A62" w:rsidRDefault="00847A62" w14:paraId="7EB52FBF" w14:textId="77777777">
      <w:pPr>
        <w:rPr>
          <w:b/>
          <w:bCs/>
        </w:rPr>
      </w:pPr>
      <w:r>
        <w:rPr>
          <w:b/>
          <w:bCs/>
        </w:rPr>
        <w:t>7</w:t>
      </w:r>
      <w:r w:rsidRPr="0059156B">
        <w:rPr>
          <w:b/>
          <w:bCs/>
        </w:rPr>
        <w:t>. Financiële gevolgen</w:t>
      </w:r>
      <w:r>
        <w:rPr>
          <w:b/>
          <w:bCs/>
        </w:rPr>
        <w:t xml:space="preserve"> voor het Rijk</w:t>
      </w:r>
    </w:p>
    <w:p w:rsidRPr="0059156B" w:rsidR="00847A62" w:rsidP="00847A62" w:rsidRDefault="00847A62" w14:paraId="07F5B211" w14:textId="77777777">
      <w:pPr>
        <w:rPr>
          <w:b/>
          <w:bCs/>
        </w:rPr>
      </w:pPr>
    </w:p>
    <w:p w:rsidRPr="0059156B" w:rsidR="00847A62" w:rsidP="00847A62" w:rsidRDefault="00847A62" w14:paraId="77BCFD6E" w14:textId="77777777">
      <w:pPr>
        <w:rPr>
          <w:rFonts w:eastAsia="Verdana" w:cs="Verdana"/>
        </w:rPr>
      </w:pPr>
      <w:r w:rsidRPr="0059156B">
        <w:rPr>
          <w:rFonts w:eastAsia="Verdana" w:cs="Verdana"/>
        </w:rPr>
        <w:t>De tijdelijke bevriezing van de dubbele AHK in het referentieminimumloon leidt tot meerjarig hogere uitgaven</w:t>
      </w:r>
      <w:r>
        <w:rPr>
          <w:rFonts w:eastAsia="Verdana" w:cs="Verdana"/>
        </w:rPr>
        <w:t xml:space="preserve"> en lagere inkomsten</w:t>
      </w:r>
      <w:r w:rsidRPr="0059156B">
        <w:rPr>
          <w:rFonts w:eastAsia="Verdana" w:cs="Verdana"/>
        </w:rPr>
        <w:t xml:space="preserve">. De maatregel zorgt ervoor dat de afbouw drie jaar later is </w:t>
      </w:r>
      <w:r>
        <w:rPr>
          <w:rFonts w:eastAsia="Verdana" w:cs="Verdana"/>
        </w:rPr>
        <w:t xml:space="preserve">afgerond </w:t>
      </w:r>
      <w:r w:rsidRPr="0059156B">
        <w:rPr>
          <w:rFonts w:eastAsia="Verdana" w:cs="Verdana"/>
        </w:rPr>
        <w:t xml:space="preserve">(per 1 januari 2039 in plaats van per 1 januari 2036). Dit leidt dan ook tot </w:t>
      </w:r>
      <w:r>
        <w:rPr>
          <w:rFonts w:eastAsia="Verdana" w:cs="Verdana"/>
        </w:rPr>
        <w:t>en met 2038</w:t>
      </w:r>
      <w:r w:rsidRPr="0059156B">
        <w:rPr>
          <w:rFonts w:eastAsia="Verdana" w:cs="Verdana"/>
        </w:rPr>
        <w:t xml:space="preserve"> </w:t>
      </w:r>
      <w:r>
        <w:rPr>
          <w:rFonts w:eastAsia="Verdana" w:cs="Verdana"/>
        </w:rPr>
        <w:t>tot budgettaire effecten;</w:t>
      </w:r>
      <w:r w:rsidRPr="0059156B">
        <w:rPr>
          <w:rFonts w:eastAsia="Verdana" w:cs="Verdana"/>
        </w:rPr>
        <w:t xml:space="preserve"> </w:t>
      </w:r>
      <w:r>
        <w:rPr>
          <w:rFonts w:eastAsia="Verdana" w:cs="Verdana"/>
        </w:rPr>
        <w:t>e</w:t>
      </w:r>
      <w:r w:rsidRPr="0059156B">
        <w:rPr>
          <w:rFonts w:eastAsia="Verdana" w:cs="Verdana"/>
        </w:rPr>
        <w:t xml:space="preserve">r zijn geen structurele budgettaire effecten. De uitgaven betreffen voornamelijk hogere uitkeringslasten. </w:t>
      </w:r>
      <w:r>
        <w:t xml:space="preserve">Daarnaast reserveert de regering aanvullende middelen voor de tijdelijke oplossing voor de alleenverdienersproblematiek. De </w:t>
      </w:r>
      <w:r>
        <w:rPr>
          <w:rFonts w:eastAsia="Verdana" w:cs="Verdana"/>
        </w:rPr>
        <w:t>o</w:t>
      </w:r>
      <w:r w:rsidRPr="0059156B">
        <w:rPr>
          <w:rFonts w:eastAsia="Verdana" w:cs="Verdana"/>
        </w:rPr>
        <w:t>nderstaande tabel geeft de budgettaire effecten binnen de begrotingshorizon (</w:t>
      </w:r>
      <w:r>
        <w:rPr>
          <w:rFonts w:eastAsia="Verdana" w:cs="Verdana"/>
        </w:rPr>
        <w:t>t</w:t>
      </w:r>
      <w:r w:rsidRPr="0059156B">
        <w:rPr>
          <w:rFonts w:eastAsia="Verdana" w:cs="Verdana"/>
        </w:rPr>
        <w:t xml:space="preserve">abel </w:t>
      </w:r>
      <w:r>
        <w:rPr>
          <w:rFonts w:eastAsia="Verdana" w:cs="Verdana"/>
        </w:rPr>
        <w:t>2</w:t>
      </w:r>
      <w:r w:rsidRPr="0059156B">
        <w:rPr>
          <w:rFonts w:eastAsia="Verdana" w:cs="Verdana"/>
        </w:rPr>
        <w:t xml:space="preserve">). </w:t>
      </w:r>
    </w:p>
    <w:p w:rsidR="00847A62" w:rsidP="00847A62" w:rsidRDefault="00847A62" w14:paraId="28535B33" w14:textId="77777777">
      <w:pPr>
        <w:spacing w:line="240" w:lineRule="auto"/>
        <w:rPr>
          <w:rFonts w:eastAsia="Verdana" w:cs="Verdana"/>
          <w:b/>
          <w:bCs/>
          <w:sz w:val="16"/>
          <w:szCs w:val="16"/>
        </w:rPr>
      </w:pPr>
    </w:p>
    <w:p w:rsidRPr="00DD71A7" w:rsidR="00847A62" w:rsidP="00847A62" w:rsidRDefault="00847A62" w14:paraId="20DE7F48" w14:textId="77777777">
      <w:pPr>
        <w:rPr>
          <w:b/>
          <w:bCs/>
          <w:sz w:val="16"/>
          <w:szCs w:val="16"/>
        </w:rPr>
      </w:pPr>
      <w:r w:rsidRPr="00DD71A7">
        <w:rPr>
          <w:rFonts w:eastAsia="Verdana" w:cs="Verdana"/>
          <w:b/>
          <w:bCs/>
          <w:sz w:val="16"/>
          <w:szCs w:val="16"/>
        </w:rPr>
        <w:t>Tabel 2: Budgettair effect van de wetswijziging</w:t>
      </w:r>
    </w:p>
    <w:tbl>
      <w:tblPr>
        <w:tblStyle w:val="Standaardtabelmetlijn"/>
        <w:tblW w:w="7792" w:type="dxa"/>
        <w:tblInd w:w="-5" w:type="dxa"/>
        <w:tblLayout w:type="fixed"/>
        <w:tblCellMar>
          <w:right w:w="57" w:type="dxa"/>
        </w:tblCellMar>
        <w:tblLook w:val="06A0" w:firstRow="1" w:lastRow="0" w:firstColumn="1" w:lastColumn="0" w:noHBand="1" w:noVBand="1"/>
      </w:tblPr>
      <w:tblGrid>
        <w:gridCol w:w="3681"/>
        <w:gridCol w:w="709"/>
        <w:gridCol w:w="631"/>
        <w:gridCol w:w="644"/>
        <w:gridCol w:w="709"/>
        <w:gridCol w:w="709"/>
        <w:gridCol w:w="709"/>
      </w:tblGrid>
      <w:tr w:rsidRPr="00DD71A7" w:rsidR="00847A62" w:rsidTr="00604CD8" w14:paraId="04BE3A8E" w14:textId="77777777">
        <w:tc>
          <w:tcPr>
            <w:tcW w:w="3681" w:type="dxa"/>
          </w:tcPr>
          <w:p w:rsidRPr="00DD71A7" w:rsidR="00847A62" w:rsidP="00604CD8" w:rsidRDefault="00847A62" w14:paraId="12C5B923" w14:textId="77777777">
            <w:pPr>
              <w:rPr>
                <w:b/>
                <w:bCs/>
                <w:sz w:val="16"/>
                <w:szCs w:val="16"/>
              </w:rPr>
            </w:pPr>
            <w:r w:rsidRPr="00DD71A7">
              <w:rPr>
                <w:b/>
                <w:bCs/>
                <w:sz w:val="16"/>
                <w:szCs w:val="16"/>
              </w:rPr>
              <w:t>x € mln. (prijzen 2024)</w:t>
            </w:r>
          </w:p>
        </w:tc>
        <w:tc>
          <w:tcPr>
            <w:tcW w:w="709" w:type="dxa"/>
          </w:tcPr>
          <w:p w:rsidRPr="00DD71A7" w:rsidR="00847A62" w:rsidP="00604CD8" w:rsidRDefault="00847A62" w14:paraId="465C2E3C" w14:textId="77777777">
            <w:pPr>
              <w:jc w:val="right"/>
              <w:rPr>
                <w:b/>
                <w:bCs/>
                <w:sz w:val="16"/>
                <w:szCs w:val="16"/>
              </w:rPr>
            </w:pPr>
            <w:r w:rsidRPr="00DD71A7">
              <w:rPr>
                <w:b/>
                <w:bCs/>
                <w:sz w:val="16"/>
                <w:szCs w:val="16"/>
              </w:rPr>
              <w:t>2025</w:t>
            </w:r>
          </w:p>
        </w:tc>
        <w:tc>
          <w:tcPr>
            <w:tcW w:w="631" w:type="dxa"/>
          </w:tcPr>
          <w:p w:rsidRPr="00DD71A7" w:rsidR="00847A62" w:rsidP="00604CD8" w:rsidRDefault="00847A62" w14:paraId="59668851" w14:textId="77777777">
            <w:pPr>
              <w:jc w:val="right"/>
              <w:rPr>
                <w:b/>
                <w:bCs/>
                <w:sz w:val="16"/>
                <w:szCs w:val="16"/>
              </w:rPr>
            </w:pPr>
            <w:r w:rsidRPr="00DD71A7">
              <w:rPr>
                <w:b/>
                <w:bCs/>
                <w:sz w:val="16"/>
                <w:szCs w:val="16"/>
              </w:rPr>
              <w:t>2026</w:t>
            </w:r>
          </w:p>
        </w:tc>
        <w:tc>
          <w:tcPr>
            <w:tcW w:w="644" w:type="dxa"/>
          </w:tcPr>
          <w:p w:rsidRPr="00DD71A7" w:rsidR="00847A62" w:rsidP="00604CD8" w:rsidRDefault="00847A62" w14:paraId="4D886111" w14:textId="77777777">
            <w:pPr>
              <w:jc w:val="right"/>
              <w:rPr>
                <w:b/>
                <w:bCs/>
                <w:sz w:val="16"/>
                <w:szCs w:val="16"/>
              </w:rPr>
            </w:pPr>
            <w:r w:rsidRPr="00DD71A7">
              <w:rPr>
                <w:b/>
                <w:bCs/>
                <w:sz w:val="16"/>
                <w:szCs w:val="16"/>
              </w:rPr>
              <w:t>2027</w:t>
            </w:r>
          </w:p>
        </w:tc>
        <w:tc>
          <w:tcPr>
            <w:tcW w:w="709" w:type="dxa"/>
          </w:tcPr>
          <w:p w:rsidRPr="00DD71A7" w:rsidR="00847A62" w:rsidP="00604CD8" w:rsidRDefault="00847A62" w14:paraId="0400BA9F" w14:textId="77777777">
            <w:pPr>
              <w:jc w:val="right"/>
              <w:rPr>
                <w:b/>
                <w:bCs/>
                <w:sz w:val="16"/>
                <w:szCs w:val="16"/>
              </w:rPr>
            </w:pPr>
            <w:r w:rsidRPr="00DD71A7">
              <w:rPr>
                <w:b/>
                <w:bCs/>
                <w:sz w:val="16"/>
                <w:szCs w:val="16"/>
              </w:rPr>
              <w:t>2028</w:t>
            </w:r>
          </w:p>
        </w:tc>
        <w:tc>
          <w:tcPr>
            <w:tcW w:w="709" w:type="dxa"/>
          </w:tcPr>
          <w:p w:rsidRPr="00DD71A7" w:rsidR="00847A62" w:rsidP="00604CD8" w:rsidRDefault="00847A62" w14:paraId="2B041964" w14:textId="77777777">
            <w:pPr>
              <w:jc w:val="right"/>
              <w:rPr>
                <w:b/>
                <w:bCs/>
                <w:sz w:val="16"/>
                <w:szCs w:val="16"/>
              </w:rPr>
            </w:pPr>
            <w:r w:rsidRPr="00DD71A7">
              <w:rPr>
                <w:b/>
                <w:bCs/>
                <w:sz w:val="16"/>
                <w:szCs w:val="16"/>
              </w:rPr>
              <w:t>2029</w:t>
            </w:r>
          </w:p>
        </w:tc>
        <w:tc>
          <w:tcPr>
            <w:tcW w:w="709" w:type="dxa"/>
          </w:tcPr>
          <w:p w:rsidRPr="00DD71A7" w:rsidR="00847A62" w:rsidP="00604CD8" w:rsidRDefault="00847A62" w14:paraId="574ECA92" w14:textId="77777777">
            <w:pPr>
              <w:jc w:val="right"/>
              <w:rPr>
                <w:b/>
                <w:bCs/>
                <w:sz w:val="16"/>
                <w:szCs w:val="16"/>
              </w:rPr>
            </w:pPr>
            <w:proofErr w:type="spellStart"/>
            <w:r w:rsidRPr="00DD71A7">
              <w:rPr>
                <w:b/>
                <w:bCs/>
                <w:sz w:val="16"/>
                <w:szCs w:val="16"/>
              </w:rPr>
              <w:t>Struc</w:t>
            </w:r>
            <w:proofErr w:type="spellEnd"/>
            <w:r w:rsidRPr="00DD71A7">
              <w:rPr>
                <w:b/>
                <w:bCs/>
                <w:sz w:val="16"/>
                <w:szCs w:val="16"/>
              </w:rPr>
              <w:t>.</w:t>
            </w:r>
          </w:p>
        </w:tc>
      </w:tr>
      <w:tr w:rsidRPr="00DD71A7" w:rsidR="00847A62" w:rsidTr="00604CD8" w14:paraId="4AE53DDE" w14:textId="77777777">
        <w:tc>
          <w:tcPr>
            <w:tcW w:w="3681" w:type="dxa"/>
          </w:tcPr>
          <w:p w:rsidRPr="00DD71A7" w:rsidR="00847A62" w:rsidP="00604CD8" w:rsidRDefault="00847A62" w14:paraId="10D90233" w14:textId="77777777">
            <w:pPr>
              <w:rPr>
                <w:b/>
                <w:bCs/>
                <w:sz w:val="16"/>
                <w:szCs w:val="16"/>
              </w:rPr>
            </w:pPr>
            <w:r w:rsidRPr="00DD71A7">
              <w:rPr>
                <w:sz w:val="16"/>
                <w:szCs w:val="16"/>
              </w:rPr>
              <w:t>Totaal</w:t>
            </w:r>
          </w:p>
        </w:tc>
        <w:tc>
          <w:tcPr>
            <w:tcW w:w="709" w:type="dxa"/>
          </w:tcPr>
          <w:p w:rsidRPr="00DD71A7" w:rsidR="00847A62" w:rsidP="00604CD8" w:rsidRDefault="00847A62" w14:paraId="7036233C" w14:textId="77777777">
            <w:pPr>
              <w:jc w:val="right"/>
              <w:rPr>
                <w:sz w:val="16"/>
                <w:szCs w:val="16"/>
              </w:rPr>
            </w:pPr>
            <w:r w:rsidRPr="00DD71A7">
              <w:rPr>
                <w:sz w:val="16"/>
                <w:szCs w:val="16"/>
              </w:rPr>
              <w:t>73</w:t>
            </w:r>
          </w:p>
        </w:tc>
        <w:tc>
          <w:tcPr>
            <w:tcW w:w="631" w:type="dxa"/>
          </w:tcPr>
          <w:p w:rsidRPr="00DD71A7" w:rsidR="00847A62" w:rsidP="00604CD8" w:rsidRDefault="00847A62" w14:paraId="67F2A44A" w14:textId="77777777">
            <w:pPr>
              <w:jc w:val="right"/>
              <w:rPr>
                <w:sz w:val="16"/>
                <w:szCs w:val="16"/>
              </w:rPr>
            </w:pPr>
            <w:r w:rsidRPr="00DD71A7">
              <w:rPr>
                <w:sz w:val="16"/>
                <w:szCs w:val="16"/>
              </w:rPr>
              <w:t>168</w:t>
            </w:r>
          </w:p>
        </w:tc>
        <w:tc>
          <w:tcPr>
            <w:tcW w:w="644" w:type="dxa"/>
          </w:tcPr>
          <w:p w:rsidRPr="00DD71A7" w:rsidR="00847A62" w:rsidP="00604CD8" w:rsidRDefault="00847A62" w14:paraId="62958F82" w14:textId="77777777">
            <w:pPr>
              <w:jc w:val="right"/>
              <w:rPr>
                <w:sz w:val="16"/>
                <w:szCs w:val="16"/>
              </w:rPr>
            </w:pPr>
            <w:r w:rsidRPr="00DD71A7">
              <w:rPr>
                <w:sz w:val="16"/>
                <w:szCs w:val="16"/>
              </w:rPr>
              <w:t>265</w:t>
            </w:r>
          </w:p>
        </w:tc>
        <w:tc>
          <w:tcPr>
            <w:tcW w:w="709" w:type="dxa"/>
          </w:tcPr>
          <w:p w:rsidRPr="00DD71A7" w:rsidR="00847A62" w:rsidP="00604CD8" w:rsidRDefault="00847A62" w14:paraId="1EAF6C42" w14:textId="77777777">
            <w:pPr>
              <w:jc w:val="right"/>
              <w:rPr>
                <w:sz w:val="16"/>
                <w:szCs w:val="16"/>
              </w:rPr>
            </w:pPr>
            <w:r w:rsidRPr="00DD71A7">
              <w:rPr>
                <w:sz w:val="16"/>
                <w:szCs w:val="16"/>
              </w:rPr>
              <w:t>255</w:t>
            </w:r>
          </w:p>
        </w:tc>
        <w:tc>
          <w:tcPr>
            <w:tcW w:w="709" w:type="dxa"/>
          </w:tcPr>
          <w:p w:rsidRPr="00DD71A7" w:rsidR="00847A62" w:rsidP="00604CD8" w:rsidRDefault="00847A62" w14:paraId="4AD8E762" w14:textId="77777777">
            <w:pPr>
              <w:jc w:val="right"/>
              <w:rPr>
                <w:sz w:val="16"/>
                <w:szCs w:val="16"/>
              </w:rPr>
            </w:pPr>
            <w:r w:rsidRPr="00DD71A7">
              <w:rPr>
                <w:sz w:val="16"/>
                <w:szCs w:val="16"/>
              </w:rPr>
              <w:t>277</w:t>
            </w:r>
          </w:p>
        </w:tc>
        <w:tc>
          <w:tcPr>
            <w:tcW w:w="709" w:type="dxa"/>
          </w:tcPr>
          <w:p w:rsidRPr="00DD71A7" w:rsidR="00847A62" w:rsidP="00604CD8" w:rsidRDefault="00847A62" w14:paraId="7E317869" w14:textId="77777777">
            <w:pPr>
              <w:jc w:val="right"/>
              <w:rPr>
                <w:sz w:val="16"/>
                <w:szCs w:val="16"/>
              </w:rPr>
            </w:pPr>
            <w:r w:rsidRPr="00DD71A7">
              <w:rPr>
                <w:sz w:val="16"/>
                <w:szCs w:val="16"/>
              </w:rPr>
              <w:t>0</w:t>
            </w:r>
          </w:p>
        </w:tc>
      </w:tr>
      <w:tr w:rsidRPr="00DD71A7" w:rsidR="00847A62" w:rsidTr="00604CD8" w14:paraId="5F9349F8" w14:textId="77777777">
        <w:tc>
          <w:tcPr>
            <w:tcW w:w="3681" w:type="dxa"/>
          </w:tcPr>
          <w:p w:rsidRPr="00DD71A7" w:rsidR="00847A62" w:rsidP="00604CD8" w:rsidRDefault="00847A62" w14:paraId="578352E0" w14:textId="77777777">
            <w:pPr>
              <w:rPr>
                <w:b/>
                <w:bCs/>
                <w:sz w:val="16"/>
                <w:szCs w:val="16"/>
              </w:rPr>
            </w:pPr>
            <w:r w:rsidRPr="00DD71A7">
              <w:rPr>
                <w:sz w:val="16"/>
                <w:szCs w:val="16"/>
              </w:rPr>
              <w:t>w</w:t>
            </w:r>
            <w:r>
              <w:rPr>
                <w:sz w:val="16"/>
                <w:szCs w:val="16"/>
              </w:rPr>
              <w:t>aarvan</w:t>
            </w:r>
            <w:r w:rsidRPr="00DD71A7">
              <w:rPr>
                <w:sz w:val="16"/>
                <w:szCs w:val="16"/>
              </w:rPr>
              <w:t xml:space="preserve"> </w:t>
            </w:r>
            <w:r>
              <w:rPr>
                <w:sz w:val="16"/>
                <w:szCs w:val="16"/>
              </w:rPr>
              <w:t>b</w:t>
            </w:r>
            <w:r w:rsidRPr="00DD71A7">
              <w:rPr>
                <w:sz w:val="16"/>
                <w:szCs w:val="16"/>
              </w:rPr>
              <w:t xml:space="preserve">ijstand (incl. </w:t>
            </w:r>
            <w:proofErr w:type="spellStart"/>
            <w:r w:rsidRPr="00DD71A7">
              <w:rPr>
                <w:sz w:val="16"/>
                <w:szCs w:val="16"/>
              </w:rPr>
              <w:t>Bbz</w:t>
            </w:r>
            <w:proofErr w:type="spellEnd"/>
            <w:r w:rsidRPr="00DD71A7">
              <w:rPr>
                <w:sz w:val="16"/>
                <w:szCs w:val="16"/>
              </w:rPr>
              <w:t>)</w:t>
            </w:r>
          </w:p>
        </w:tc>
        <w:tc>
          <w:tcPr>
            <w:tcW w:w="709" w:type="dxa"/>
          </w:tcPr>
          <w:p w:rsidRPr="00DD71A7" w:rsidR="00847A62" w:rsidP="00604CD8" w:rsidRDefault="00847A62" w14:paraId="640F446C" w14:textId="77777777">
            <w:pPr>
              <w:jc w:val="right"/>
              <w:rPr>
                <w:sz w:val="16"/>
                <w:szCs w:val="16"/>
              </w:rPr>
            </w:pPr>
            <w:r w:rsidRPr="00DD71A7">
              <w:rPr>
                <w:sz w:val="16"/>
                <w:szCs w:val="16"/>
              </w:rPr>
              <w:t>56</w:t>
            </w:r>
          </w:p>
        </w:tc>
        <w:tc>
          <w:tcPr>
            <w:tcW w:w="631" w:type="dxa"/>
          </w:tcPr>
          <w:p w:rsidRPr="00DD71A7" w:rsidR="00847A62" w:rsidP="00604CD8" w:rsidRDefault="00847A62" w14:paraId="38C0D666" w14:textId="77777777">
            <w:pPr>
              <w:jc w:val="right"/>
              <w:rPr>
                <w:sz w:val="16"/>
                <w:szCs w:val="16"/>
              </w:rPr>
            </w:pPr>
            <w:r w:rsidRPr="00DD71A7">
              <w:rPr>
                <w:sz w:val="16"/>
                <w:szCs w:val="16"/>
              </w:rPr>
              <w:t>131</w:t>
            </w:r>
          </w:p>
        </w:tc>
        <w:tc>
          <w:tcPr>
            <w:tcW w:w="644" w:type="dxa"/>
          </w:tcPr>
          <w:p w:rsidRPr="00DD71A7" w:rsidR="00847A62" w:rsidP="00604CD8" w:rsidRDefault="00847A62" w14:paraId="58EDE7DC" w14:textId="77777777">
            <w:pPr>
              <w:jc w:val="right"/>
              <w:rPr>
                <w:sz w:val="16"/>
                <w:szCs w:val="16"/>
              </w:rPr>
            </w:pPr>
            <w:r w:rsidRPr="00DD71A7">
              <w:rPr>
                <w:sz w:val="16"/>
                <w:szCs w:val="16"/>
              </w:rPr>
              <w:t>208</w:t>
            </w:r>
          </w:p>
        </w:tc>
        <w:tc>
          <w:tcPr>
            <w:tcW w:w="709" w:type="dxa"/>
          </w:tcPr>
          <w:p w:rsidRPr="00DD71A7" w:rsidR="00847A62" w:rsidP="00604CD8" w:rsidRDefault="00847A62" w14:paraId="39E4D6D6" w14:textId="77777777">
            <w:pPr>
              <w:jc w:val="right"/>
              <w:rPr>
                <w:sz w:val="16"/>
                <w:szCs w:val="16"/>
              </w:rPr>
            </w:pPr>
            <w:r w:rsidRPr="00DD71A7">
              <w:rPr>
                <w:sz w:val="16"/>
                <w:szCs w:val="16"/>
              </w:rPr>
              <w:t>208</w:t>
            </w:r>
          </w:p>
        </w:tc>
        <w:tc>
          <w:tcPr>
            <w:tcW w:w="709" w:type="dxa"/>
          </w:tcPr>
          <w:p w:rsidRPr="00DD71A7" w:rsidR="00847A62" w:rsidP="00604CD8" w:rsidRDefault="00847A62" w14:paraId="1B12A982" w14:textId="77777777">
            <w:pPr>
              <w:jc w:val="right"/>
              <w:rPr>
                <w:sz w:val="16"/>
                <w:szCs w:val="16"/>
              </w:rPr>
            </w:pPr>
            <w:r w:rsidRPr="00DD71A7">
              <w:rPr>
                <w:sz w:val="16"/>
                <w:szCs w:val="16"/>
              </w:rPr>
              <w:t>229</w:t>
            </w:r>
          </w:p>
        </w:tc>
        <w:tc>
          <w:tcPr>
            <w:tcW w:w="709" w:type="dxa"/>
          </w:tcPr>
          <w:p w:rsidRPr="00DD71A7" w:rsidR="00847A62" w:rsidP="00604CD8" w:rsidRDefault="00847A62" w14:paraId="35FDAAEE" w14:textId="77777777">
            <w:pPr>
              <w:jc w:val="right"/>
              <w:rPr>
                <w:sz w:val="16"/>
                <w:szCs w:val="16"/>
              </w:rPr>
            </w:pPr>
            <w:r w:rsidRPr="00DD71A7">
              <w:rPr>
                <w:sz w:val="16"/>
                <w:szCs w:val="16"/>
              </w:rPr>
              <w:t>0</w:t>
            </w:r>
          </w:p>
        </w:tc>
      </w:tr>
      <w:tr w:rsidRPr="00DD71A7" w:rsidR="00847A62" w:rsidTr="00604CD8" w14:paraId="3A87EEF2" w14:textId="77777777">
        <w:tc>
          <w:tcPr>
            <w:tcW w:w="3681" w:type="dxa"/>
          </w:tcPr>
          <w:p w:rsidRPr="00DD71A7" w:rsidR="00847A62" w:rsidP="00604CD8" w:rsidRDefault="00847A62" w14:paraId="3089A34F" w14:textId="77777777">
            <w:pPr>
              <w:rPr>
                <w:b/>
                <w:bCs/>
                <w:sz w:val="16"/>
                <w:szCs w:val="16"/>
              </w:rPr>
            </w:pPr>
            <w:r w:rsidRPr="00DD71A7">
              <w:rPr>
                <w:sz w:val="16"/>
                <w:szCs w:val="16"/>
              </w:rPr>
              <w:t>w</w:t>
            </w:r>
            <w:r>
              <w:rPr>
                <w:sz w:val="16"/>
                <w:szCs w:val="16"/>
              </w:rPr>
              <w:t>aarvan</w:t>
            </w:r>
            <w:r w:rsidRPr="00DD71A7">
              <w:rPr>
                <w:sz w:val="16"/>
                <w:szCs w:val="16"/>
              </w:rPr>
              <w:t xml:space="preserve"> IOAW en IOAZ</w:t>
            </w:r>
          </w:p>
        </w:tc>
        <w:tc>
          <w:tcPr>
            <w:tcW w:w="709" w:type="dxa"/>
          </w:tcPr>
          <w:p w:rsidRPr="00DD71A7" w:rsidR="00847A62" w:rsidP="00604CD8" w:rsidRDefault="00847A62" w14:paraId="2B4ADCFA" w14:textId="77777777">
            <w:pPr>
              <w:jc w:val="right"/>
              <w:rPr>
                <w:sz w:val="16"/>
                <w:szCs w:val="16"/>
              </w:rPr>
            </w:pPr>
            <w:r w:rsidRPr="00DD71A7">
              <w:rPr>
                <w:sz w:val="16"/>
                <w:szCs w:val="16"/>
              </w:rPr>
              <w:t>2</w:t>
            </w:r>
          </w:p>
        </w:tc>
        <w:tc>
          <w:tcPr>
            <w:tcW w:w="631" w:type="dxa"/>
          </w:tcPr>
          <w:p w:rsidRPr="00DD71A7" w:rsidR="00847A62" w:rsidP="00604CD8" w:rsidRDefault="00847A62" w14:paraId="720C1D09" w14:textId="77777777">
            <w:pPr>
              <w:jc w:val="right"/>
              <w:rPr>
                <w:sz w:val="16"/>
                <w:szCs w:val="16"/>
              </w:rPr>
            </w:pPr>
            <w:r w:rsidRPr="00DD71A7">
              <w:rPr>
                <w:sz w:val="16"/>
                <w:szCs w:val="16"/>
              </w:rPr>
              <w:t>3</w:t>
            </w:r>
          </w:p>
        </w:tc>
        <w:tc>
          <w:tcPr>
            <w:tcW w:w="644" w:type="dxa"/>
          </w:tcPr>
          <w:p w:rsidRPr="00DD71A7" w:rsidR="00847A62" w:rsidP="00604CD8" w:rsidRDefault="00847A62" w14:paraId="55C2E7A4" w14:textId="77777777">
            <w:pPr>
              <w:jc w:val="right"/>
              <w:rPr>
                <w:sz w:val="16"/>
                <w:szCs w:val="16"/>
              </w:rPr>
            </w:pPr>
            <w:r w:rsidRPr="00DD71A7">
              <w:rPr>
                <w:sz w:val="16"/>
                <w:szCs w:val="16"/>
              </w:rPr>
              <w:t>5</w:t>
            </w:r>
          </w:p>
        </w:tc>
        <w:tc>
          <w:tcPr>
            <w:tcW w:w="709" w:type="dxa"/>
          </w:tcPr>
          <w:p w:rsidRPr="00DD71A7" w:rsidR="00847A62" w:rsidP="00604CD8" w:rsidRDefault="00847A62" w14:paraId="313D64B5" w14:textId="77777777">
            <w:pPr>
              <w:jc w:val="right"/>
              <w:rPr>
                <w:sz w:val="16"/>
                <w:szCs w:val="16"/>
              </w:rPr>
            </w:pPr>
            <w:r w:rsidRPr="00DD71A7">
              <w:rPr>
                <w:sz w:val="16"/>
                <w:szCs w:val="16"/>
              </w:rPr>
              <w:t>5</w:t>
            </w:r>
          </w:p>
        </w:tc>
        <w:tc>
          <w:tcPr>
            <w:tcW w:w="709" w:type="dxa"/>
          </w:tcPr>
          <w:p w:rsidRPr="00DD71A7" w:rsidR="00847A62" w:rsidP="00604CD8" w:rsidRDefault="00847A62" w14:paraId="1B4D3D56" w14:textId="77777777">
            <w:pPr>
              <w:jc w:val="right"/>
              <w:rPr>
                <w:sz w:val="16"/>
                <w:szCs w:val="16"/>
              </w:rPr>
            </w:pPr>
            <w:r w:rsidRPr="00DD71A7">
              <w:rPr>
                <w:sz w:val="16"/>
                <w:szCs w:val="16"/>
              </w:rPr>
              <w:t>3</w:t>
            </w:r>
          </w:p>
        </w:tc>
        <w:tc>
          <w:tcPr>
            <w:tcW w:w="709" w:type="dxa"/>
          </w:tcPr>
          <w:p w:rsidRPr="00DD71A7" w:rsidR="00847A62" w:rsidP="00604CD8" w:rsidRDefault="00847A62" w14:paraId="7D36CDF3" w14:textId="77777777">
            <w:pPr>
              <w:jc w:val="right"/>
              <w:rPr>
                <w:sz w:val="16"/>
                <w:szCs w:val="16"/>
              </w:rPr>
            </w:pPr>
            <w:r w:rsidRPr="00DD71A7">
              <w:rPr>
                <w:sz w:val="16"/>
                <w:szCs w:val="16"/>
              </w:rPr>
              <w:t>0</w:t>
            </w:r>
          </w:p>
        </w:tc>
      </w:tr>
      <w:tr w:rsidRPr="00DD71A7" w:rsidR="00847A62" w:rsidTr="00604CD8" w14:paraId="6FBEB396" w14:textId="77777777">
        <w:tc>
          <w:tcPr>
            <w:tcW w:w="3681" w:type="dxa"/>
          </w:tcPr>
          <w:p w:rsidRPr="00DD71A7" w:rsidR="00847A62" w:rsidP="00604CD8" w:rsidRDefault="00847A62" w14:paraId="0BE68392" w14:textId="77777777">
            <w:pPr>
              <w:rPr>
                <w:b/>
                <w:bCs/>
                <w:sz w:val="16"/>
                <w:szCs w:val="16"/>
              </w:rPr>
            </w:pPr>
            <w:r w:rsidRPr="00DD71A7">
              <w:rPr>
                <w:sz w:val="16"/>
                <w:szCs w:val="16"/>
              </w:rPr>
              <w:t>w</w:t>
            </w:r>
            <w:r>
              <w:rPr>
                <w:sz w:val="16"/>
                <w:szCs w:val="16"/>
              </w:rPr>
              <w:t>aarvan</w:t>
            </w:r>
            <w:r w:rsidRPr="00DD71A7">
              <w:rPr>
                <w:sz w:val="16"/>
                <w:szCs w:val="16"/>
              </w:rPr>
              <w:t xml:space="preserve"> </w:t>
            </w:r>
            <w:proofErr w:type="spellStart"/>
            <w:r w:rsidRPr="00DD71A7">
              <w:rPr>
                <w:sz w:val="16"/>
                <w:szCs w:val="16"/>
              </w:rPr>
              <w:t>Anw</w:t>
            </w:r>
            <w:proofErr w:type="spellEnd"/>
          </w:p>
        </w:tc>
        <w:tc>
          <w:tcPr>
            <w:tcW w:w="709" w:type="dxa"/>
          </w:tcPr>
          <w:p w:rsidRPr="00DD71A7" w:rsidR="00847A62" w:rsidP="00604CD8" w:rsidRDefault="00847A62" w14:paraId="255240B9" w14:textId="77777777">
            <w:pPr>
              <w:jc w:val="right"/>
              <w:rPr>
                <w:sz w:val="16"/>
                <w:szCs w:val="16"/>
              </w:rPr>
            </w:pPr>
            <w:r w:rsidRPr="00DD71A7">
              <w:rPr>
                <w:sz w:val="16"/>
                <w:szCs w:val="16"/>
              </w:rPr>
              <w:t>2</w:t>
            </w:r>
          </w:p>
        </w:tc>
        <w:tc>
          <w:tcPr>
            <w:tcW w:w="631" w:type="dxa"/>
          </w:tcPr>
          <w:p w:rsidRPr="00DD71A7" w:rsidR="00847A62" w:rsidP="00604CD8" w:rsidRDefault="00847A62" w14:paraId="5F89B406" w14:textId="77777777">
            <w:pPr>
              <w:jc w:val="right"/>
              <w:rPr>
                <w:sz w:val="16"/>
                <w:szCs w:val="16"/>
              </w:rPr>
            </w:pPr>
            <w:r w:rsidRPr="00DD71A7">
              <w:rPr>
                <w:sz w:val="16"/>
                <w:szCs w:val="16"/>
              </w:rPr>
              <w:t>5</w:t>
            </w:r>
          </w:p>
        </w:tc>
        <w:tc>
          <w:tcPr>
            <w:tcW w:w="644" w:type="dxa"/>
          </w:tcPr>
          <w:p w:rsidRPr="00DD71A7" w:rsidR="00847A62" w:rsidP="00604CD8" w:rsidRDefault="00847A62" w14:paraId="40CC3A93" w14:textId="77777777">
            <w:pPr>
              <w:jc w:val="right"/>
              <w:rPr>
                <w:sz w:val="16"/>
                <w:szCs w:val="16"/>
              </w:rPr>
            </w:pPr>
            <w:r w:rsidRPr="00DD71A7">
              <w:rPr>
                <w:sz w:val="16"/>
                <w:szCs w:val="16"/>
              </w:rPr>
              <w:t>8</w:t>
            </w:r>
          </w:p>
        </w:tc>
        <w:tc>
          <w:tcPr>
            <w:tcW w:w="709" w:type="dxa"/>
          </w:tcPr>
          <w:p w:rsidRPr="00DD71A7" w:rsidR="00847A62" w:rsidP="00604CD8" w:rsidRDefault="00847A62" w14:paraId="75EFDE8F" w14:textId="77777777">
            <w:pPr>
              <w:jc w:val="right"/>
              <w:rPr>
                <w:sz w:val="16"/>
                <w:szCs w:val="16"/>
              </w:rPr>
            </w:pPr>
            <w:r w:rsidRPr="00DD71A7">
              <w:rPr>
                <w:sz w:val="16"/>
                <w:szCs w:val="16"/>
              </w:rPr>
              <w:t>8</w:t>
            </w:r>
          </w:p>
        </w:tc>
        <w:tc>
          <w:tcPr>
            <w:tcW w:w="709" w:type="dxa"/>
          </w:tcPr>
          <w:p w:rsidRPr="00DD71A7" w:rsidR="00847A62" w:rsidP="00604CD8" w:rsidRDefault="00847A62" w14:paraId="0E3A06E5" w14:textId="77777777">
            <w:pPr>
              <w:jc w:val="right"/>
              <w:rPr>
                <w:sz w:val="16"/>
                <w:szCs w:val="16"/>
              </w:rPr>
            </w:pPr>
            <w:r w:rsidRPr="00DD71A7">
              <w:rPr>
                <w:sz w:val="16"/>
                <w:szCs w:val="16"/>
              </w:rPr>
              <w:t>8</w:t>
            </w:r>
          </w:p>
        </w:tc>
        <w:tc>
          <w:tcPr>
            <w:tcW w:w="709" w:type="dxa"/>
          </w:tcPr>
          <w:p w:rsidRPr="00DD71A7" w:rsidR="00847A62" w:rsidP="00604CD8" w:rsidRDefault="00847A62" w14:paraId="632724E1" w14:textId="77777777">
            <w:pPr>
              <w:jc w:val="right"/>
              <w:rPr>
                <w:sz w:val="16"/>
                <w:szCs w:val="16"/>
              </w:rPr>
            </w:pPr>
            <w:r w:rsidRPr="00DD71A7">
              <w:rPr>
                <w:sz w:val="16"/>
                <w:szCs w:val="16"/>
              </w:rPr>
              <w:t>0</w:t>
            </w:r>
          </w:p>
        </w:tc>
      </w:tr>
      <w:tr w:rsidRPr="00DD71A7" w:rsidR="00847A62" w:rsidTr="00604CD8" w14:paraId="46ECA922" w14:textId="77777777">
        <w:tc>
          <w:tcPr>
            <w:tcW w:w="3681" w:type="dxa"/>
          </w:tcPr>
          <w:p w:rsidRPr="00DD71A7" w:rsidR="00847A62" w:rsidP="00604CD8" w:rsidRDefault="00847A62" w14:paraId="01FC7842" w14:textId="77777777">
            <w:pPr>
              <w:rPr>
                <w:b/>
                <w:bCs/>
                <w:sz w:val="16"/>
                <w:szCs w:val="16"/>
              </w:rPr>
            </w:pPr>
            <w:r w:rsidRPr="00DD71A7">
              <w:rPr>
                <w:sz w:val="16"/>
                <w:szCs w:val="16"/>
              </w:rPr>
              <w:t>w</w:t>
            </w:r>
            <w:r>
              <w:rPr>
                <w:sz w:val="16"/>
                <w:szCs w:val="16"/>
              </w:rPr>
              <w:t>aarvan</w:t>
            </w:r>
            <w:r w:rsidRPr="00DD71A7">
              <w:rPr>
                <w:sz w:val="16"/>
                <w:szCs w:val="16"/>
              </w:rPr>
              <w:t xml:space="preserve"> AIO</w:t>
            </w:r>
          </w:p>
        </w:tc>
        <w:tc>
          <w:tcPr>
            <w:tcW w:w="709" w:type="dxa"/>
          </w:tcPr>
          <w:p w:rsidRPr="00DD71A7" w:rsidR="00847A62" w:rsidP="00604CD8" w:rsidRDefault="00847A62" w14:paraId="4D9E2BB5" w14:textId="77777777">
            <w:pPr>
              <w:jc w:val="right"/>
              <w:rPr>
                <w:sz w:val="16"/>
                <w:szCs w:val="16"/>
              </w:rPr>
            </w:pPr>
            <w:r w:rsidRPr="00DD71A7">
              <w:rPr>
                <w:sz w:val="16"/>
                <w:szCs w:val="16"/>
              </w:rPr>
              <w:t>3</w:t>
            </w:r>
          </w:p>
        </w:tc>
        <w:tc>
          <w:tcPr>
            <w:tcW w:w="631" w:type="dxa"/>
          </w:tcPr>
          <w:p w:rsidRPr="00DD71A7" w:rsidR="00847A62" w:rsidP="00604CD8" w:rsidRDefault="00847A62" w14:paraId="47FF8D48" w14:textId="77777777">
            <w:pPr>
              <w:jc w:val="right"/>
              <w:rPr>
                <w:sz w:val="16"/>
                <w:szCs w:val="16"/>
              </w:rPr>
            </w:pPr>
            <w:r w:rsidRPr="00DD71A7">
              <w:rPr>
                <w:sz w:val="16"/>
                <w:szCs w:val="16"/>
              </w:rPr>
              <w:t>8</w:t>
            </w:r>
          </w:p>
        </w:tc>
        <w:tc>
          <w:tcPr>
            <w:tcW w:w="644" w:type="dxa"/>
          </w:tcPr>
          <w:p w:rsidRPr="00DD71A7" w:rsidR="00847A62" w:rsidP="00604CD8" w:rsidRDefault="00847A62" w14:paraId="31DBDB6C" w14:textId="77777777">
            <w:pPr>
              <w:jc w:val="right"/>
              <w:rPr>
                <w:sz w:val="16"/>
                <w:szCs w:val="16"/>
              </w:rPr>
            </w:pPr>
            <w:r w:rsidRPr="00DD71A7">
              <w:rPr>
                <w:sz w:val="16"/>
                <w:szCs w:val="16"/>
              </w:rPr>
              <w:t>13</w:t>
            </w:r>
          </w:p>
        </w:tc>
        <w:tc>
          <w:tcPr>
            <w:tcW w:w="709" w:type="dxa"/>
          </w:tcPr>
          <w:p w:rsidRPr="00DD71A7" w:rsidR="00847A62" w:rsidP="00604CD8" w:rsidRDefault="00847A62" w14:paraId="5A7D9706" w14:textId="77777777">
            <w:pPr>
              <w:jc w:val="right"/>
              <w:rPr>
                <w:sz w:val="16"/>
                <w:szCs w:val="16"/>
              </w:rPr>
            </w:pPr>
            <w:r w:rsidRPr="00DD71A7">
              <w:rPr>
                <w:sz w:val="16"/>
                <w:szCs w:val="16"/>
              </w:rPr>
              <w:t>13</w:t>
            </w:r>
          </w:p>
        </w:tc>
        <w:tc>
          <w:tcPr>
            <w:tcW w:w="709" w:type="dxa"/>
          </w:tcPr>
          <w:p w:rsidRPr="00DD71A7" w:rsidR="00847A62" w:rsidP="00604CD8" w:rsidRDefault="00847A62" w14:paraId="1F17A463" w14:textId="77777777">
            <w:pPr>
              <w:jc w:val="right"/>
              <w:rPr>
                <w:sz w:val="16"/>
                <w:szCs w:val="16"/>
              </w:rPr>
            </w:pPr>
            <w:r w:rsidRPr="00DD71A7">
              <w:rPr>
                <w:sz w:val="16"/>
                <w:szCs w:val="16"/>
              </w:rPr>
              <w:t>15</w:t>
            </w:r>
          </w:p>
        </w:tc>
        <w:tc>
          <w:tcPr>
            <w:tcW w:w="709" w:type="dxa"/>
          </w:tcPr>
          <w:p w:rsidRPr="00DD71A7" w:rsidR="00847A62" w:rsidP="00604CD8" w:rsidRDefault="00847A62" w14:paraId="690A3052" w14:textId="77777777">
            <w:pPr>
              <w:jc w:val="right"/>
              <w:rPr>
                <w:sz w:val="16"/>
                <w:szCs w:val="16"/>
              </w:rPr>
            </w:pPr>
            <w:r w:rsidRPr="00DD71A7">
              <w:rPr>
                <w:sz w:val="16"/>
                <w:szCs w:val="16"/>
              </w:rPr>
              <w:t>0</w:t>
            </w:r>
          </w:p>
        </w:tc>
      </w:tr>
      <w:tr w:rsidRPr="00DD71A7" w:rsidR="00847A62" w:rsidTr="00604CD8" w14:paraId="260D4236" w14:textId="77777777">
        <w:tc>
          <w:tcPr>
            <w:tcW w:w="3681" w:type="dxa"/>
          </w:tcPr>
          <w:p w:rsidRPr="00DD71A7" w:rsidR="00847A62" w:rsidP="00604CD8" w:rsidRDefault="00847A62" w14:paraId="0021540C" w14:textId="77777777">
            <w:pPr>
              <w:rPr>
                <w:b/>
                <w:bCs/>
                <w:sz w:val="16"/>
                <w:szCs w:val="16"/>
              </w:rPr>
            </w:pPr>
            <w:r w:rsidRPr="00DD71A7">
              <w:rPr>
                <w:sz w:val="16"/>
                <w:szCs w:val="16"/>
              </w:rPr>
              <w:t>w</w:t>
            </w:r>
            <w:r>
              <w:rPr>
                <w:sz w:val="16"/>
                <w:szCs w:val="16"/>
              </w:rPr>
              <w:t>aarvan</w:t>
            </w:r>
            <w:r w:rsidRPr="00DD71A7">
              <w:rPr>
                <w:sz w:val="16"/>
                <w:szCs w:val="16"/>
              </w:rPr>
              <w:t xml:space="preserve"> OBR</w:t>
            </w:r>
          </w:p>
        </w:tc>
        <w:tc>
          <w:tcPr>
            <w:tcW w:w="709" w:type="dxa"/>
          </w:tcPr>
          <w:p w:rsidRPr="00DD71A7" w:rsidR="00847A62" w:rsidP="00604CD8" w:rsidRDefault="00847A62" w14:paraId="19A209E8" w14:textId="77777777">
            <w:pPr>
              <w:jc w:val="right"/>
              <w:rPr>
                <w:sz w:val="16"/>
                <w:szCs w:val="16"/>
              </w:rPr>
            </w:pPr>
            <w:r w:rsidRPr="00DD71A7">
              <w:rPr>
                <w:sz w:val="16"/>
                <w:szCs w:val="16"/>
              </w:rPr>
              <w:t>0</w:t>
            </w:r>
          </w:p>
        </w:tc>
        <w:tc>
          <w:tcPr>
            <w:tcW w:w="631" w:type="dxa"/>
          </w:tcPr>
          <w:p w:rsidRPr="00DD71A7" w:rsidR="00847A62" w:rsidP="00604CD8" w:rsidRDefault="00847A62" w14:paraId="7862CFF0" w14:textId="77777777">
            <w:pPr>
              <w:jc w:val="right"/>
              <w:rPr>
                <w:sz w:val="16"/>
                <w:szCs w:val="16"/>
              </w:rPr>
            </w:pPr>
            <w:r w:rsidRPr="00DD71A7">
              <w:rPr>
                <w:sz w:val="16"/>
                <w:szCs w:val="16"/>
              </w:rPr>
              <w:t>0</w:t>
            </w:r>
          </w:p>
        </w:tc>
        <w:tc>
          <w:tcPr>
            <w:tcW w:w="644" w:type="dxa"/>
          </w:tcPr>
          <w:p w:rsidRPr="00DD71A7" w:rsidR="00847A62" w:rsidP="00604CD8" w:rsidRDefault="00847A62" w14:paraId="01D01D6A" w14:textId="77777777">
            <w:pPr>
              <w:jc w:val="right"/>
              <w:rPr>
                <w:sz w:val="16"/>
                <w:szCs w:val="16"/>
              </w:rPr>
            </w:pPr>
            <w:r w:rsidRPr="00DD71A7">
              <w:rPr>
                <w:sz w:val="16"/>
                <w:szCs w:val="16"/>
              </w:rPr>
              <w:t>0</w:t>
            </w:r>
          </w:p>
        </w:tc>
        <w:tc>
          <w:tcPr>
            <w:tcW w:w="709" w:type="dxa"/>
          </w:tcPr>
          <w:p w:rsidRPr="00DD71A7" w:rsidR="00847A62" w:rsidP="00604CD8" w:rsidRDefault="00847A62" w14:paraId="28050E80" w14:textId="77777777">
            <w:pPr>
              <w:jc w:val="right"/>
              <w:rPr>
                <w:sz w:val="16"/>
                <w:szCs w:val="16"/>
              </w:rPr>
            </w:pPr>
            <w:r w:rsidRPr="00DD71A7">
              <w:rPr>
                <w:sz w:val="16"/>
                <w:szCs w:val="16"/>
              </w:rPr>
              <w:t>0</w:t>
            </w:r>
          </w:p>
        </w:tc>
        <w:tc>
          <w:tcPr>
            <w:tcW w:w="709" w:type="dxa"/>
          </w:tcPr>
          <w:p w:rsidRPr="00DD71A7" w:rsidR="00847A62" w:rsidP="00604CD8" w:rsidRDefault="00847A62" w14:paraId="650A17AC" w14:textId="77777777">
            <w:pPr>
              <w:jc w:val="right"/>
              <w:rPr>
                <w:sz w:val="16"/>
                <w:szCs w:val="16"/>
              </w:rPr>
            </w:pPr>
            <w:r w:rsidRPr="00DD71A7">
              <w:rPr>
                <w:sz w:val="16"/>
                <w:szCs w:val="16"/>
              </w:rPr>
              <w:t>0</w:t>
            </w:r>
          </w:p>
        </w:tc>
        <w:tc>
          <w:tcPr>
            <w:tcW w:w="709" w:type="dxa"/>
          </w:tcPr>
          <w:p w:rsidRPr="00DD71A7" w:rsidR="00847A62" w:rsidP="00604CD8" w:rsidRDefault="00847A62" w14:paraId="4F3B03CA" w14:textId="77777777">
            <w:pPr>
              <w:jc w:val="right"/>
              <w:rPr>
                <w:sz w:val="16"/>
                <w:szCs w:val="16"/>
              </w:rPr>
            </w:pPr>
            <w:r w:rsidRPr="00DD71A7">
              <w:rPr>
                <w:sz w:val="16"/>
                <w:szCs w:val="16"/>
              </w:rPr>
              <w:t>0</w:t>
            </w:r>
          </w:p>
        </w:tc>
      </w:tr>
      <w:tr w:rsidRPr="00DD71A7" w:rsidR="00847A62" w:rsidTr="00604CD8" w14:paraId="7CFA95EC" w14:textId="77777777">
        <w:tc>
          <w:tcPr>
            <w:tcW w:w="3681" w:type="dxa"/>
          </w:tcPr>
          <w:p w:rsidRPr="00DD71A7" w:rsidR="00847A62" w:rsidP="00604CD8" w:rsidRDefault="00847A62" w14:paraId="65B1E5AF" w14:textId="77777777">
            <w:pPr>
              <w:rPr>
                <w:b/>
                <w:bCs/>
                <w:sz w:val="16"/>
                <w:szCs w:val="16"/>
              </w:rPr>
            </w:pPr>
            <w:r w:rsidRPr="00DD71A7">
              <w:rPr>
                <w:sz w:val="16"/>
                <w:szCs w:val="16"/>
              </w:rPr>
              <w:t>w</w:t>
            </w:r>
            <w:r>
              <w:rPr>
                <w:sz w:val="16"/>
                <w:szCs w:val="16"/>
              </w:rPr>
              <w:t>aarvan</w:t>
            </w:r>
            <w:r w:rsidRPr="00DD71A7">
              <w:rPr>
                <w:sz w:val="16"/>
                <w:szCs w:val="16"/>
              </w:rPr>
              <w:t xml:space="preserve"> TW</w:t>
            </w:r>
          </w:p>
        </w:tc>
        <w:tc>
          <w:tcPr>
            <w:tcW w:w="709" w:type="dxa"/>
          </w:tcPr>
          <w:p w:rsidRPr="00DD71A7" w:rsidR="00847A62" w:rsidP="00604CD8" w:rsidRDefault="00847A62" w14:paraId="74C56322" w14:textId="77777777">
            <w:pPr>
              <w:jc w:val="right"/>
              <w:rPr>
                <w:sz w:val="16"/>
                <w:szCs w:val="16"/>
              </w:rPr>
            </w:pPr>
            <w:r w:rsidRPr="00DD71A7">
              <w:rPr>
                <w:sz w:val="16"/>
                <w:szCs w:val="16"/>
              </w:rPr>
              <w:t>6</w:t>
            </w:r>
          </w:p>
        </w:tc>
        <w:tc>
          <w:tcPr>
            <w:tcW w:w="631" w:type="dxa"/>
          </w:tcPr>
          <w:p w:rsidRPr="00DD71A7" w:rsidR="00847A62" w:rsidP="00604CD8" w:rsidRDefault="00847A62" w14:paraId="5378F328" w14:textId="77777777">
            <w:pPr>
              <w:jc w:val="right"/>
              <w:rPr>
                <w:sz w:val="16"/>
                <w:szCs w:val="16"/>
              </w:rPr>
            </w:pPr>
            <w:r w:rsidRPr="00DD71A7">
              <w:rPr>
                <w:sz w:val="16"/>
                <w:szCs w:val="16"/>
              </w:rPr>
              <w:t>13</w:t>
            </w:r>
          </w:p>
        </w:tc>
        <w:tc>
          <w:tcPr>
            <w:tcW w:w="644" w:type="dxa"/>
          </w:tcPr>
          <w:p w:rsidRPr="00DD71A7" w:rsidR="00847A62" w:rsidP="00604CD8" w:rsidRDefault="00847A62" w14:paraId="62151D45" w14:textId="77777777">
            <w:pPr>
              <w:jc w:val="right"/>
              <w:rPr>
                <w:sz w:val="16"/>
                <w:szCs w:val="16"/>
              </w:rPr>
            </w:pPr>
            <w:r w:rsidRPr="00DD71A7">
              <w:rPr>
                <w:sz w:val="16"/>
                <w:szCs w:val="16"/>
              </w:rPr>
              <w:t>20</w:t>
            </w:r>
          </w:p>
        </w:tc>
        <w:tc>
          <w:tcPr>
            <w:tcW w:w="709" w:type="dxa"/>
          </w:tcPr>
          <w:p w:rsidRPr="00DD71A7" w:rsidR="00847A62" w:rsidP="00604CD8" w:rsidRDefault="00847A62" w14:paraId="5F10D4CE" w14:textId="77777777">
            <w:pPr>
              <w:jc w:val="right"/>
              <w:rPr>
                <w:sz w:val="16"/>
                <w:szCs w:val="16"/>
              </w:rPr>
            </w:pPr>
            <w:r w:rsidRPr="00DD71A7">
              <w:rPr>
                <w:sz w:val="16"/>
                <w:szCs w:val="16"/>
              </w:rPr>
              <w:t>22</w:t>
            </w:r>
          </w:p>
        </w:tc>
        <w:tc>
          <w:tcPr>
            <w:tcW w:w="709" w:type="dxa"/>
          </w:tcPr>
          <w:p w:rsidRPr="00DD71A7" w:rsidR="00847A62" w:rsidP="00604CD8" w:rsidRDefault="00847A62" w14:paraId="23C0BC87" w14:textId="77777777">
            <w:pPr>
              <w:jc w:val="right"/>
              <w:rPr>
                <w:sz w:val="16"/>
                <w:szCs w:val="16"/>
              </w:rPr>
            </w:pPr>
            <w:r w:rsidRPr="00DD71A7">
              <w:rPr>
                <w:sz w:val="16"/>
                <w:szCs w:val="16"/>
              </w:rPr>
              <w:t>22</w:t>
            </w:r>
          </w:p>
        </w:tc>
        <w:tc>
          <w:tcPr>
            <w:tcW w:w="709" w:type="dxa"/>
          </w:tcPr>
          <w:p w:rsidRPr="00DD71A7" w:rsidR="00847A62" w:rsidP="00604CD8" w:rsidRDefault="00847A62" w14:paraId="340D4AC7" w14:textId="77777777">
            <w:pPr>
              <w:jc w:val="right"/>
              <w:rPr>
                <w:sz w:val="16"/>
                <w:szCs w:val="16"/>
              </w:rPr>
            </w:pPr>
            <w:r w:rsidRPr="00DD71A7">
              <w:rPr>
                <w:sz w:val="16"/>
                <w:szCs w:val="16"/>
              </w:rPr>
              <w:t>0</w:t>
            </w:r>
          </w:p>
        </w:tc>
      </w:tr>
      <w:tr w:rsidRPr="00DD71A7" w:rsidR="00847A62" w:rsidTr="00604CD8" w14:paraId="608561D4" w14:textId="77777777">
        <w:tc>
          <w:tcPr>
            <w:tcW w:w="3681" w:type="dxa"/>
          </w:tcPr>
          <w:p w:rsidRPr="00DD71A7" w:rsidR="00847A62" w:rsidP="00604CD8" w:rsidRDefault="00847A62" w14:paraId="34567293" w14:textId="77777777">
            <w:pPr>
              <w:rPr>
                <w:b/>
                <w:bCs/>
                <w:sz w:val="16"/>
                <w:szCs w:val="16"/>
              </w:rPr>
            </w:pPr>
            <w:r w:rsidRPr="00DD71A7">
              <w:rPr>
                <w:sz w:val="16"/>
                <w:szCs w:val="16"/>
              </w:rPr>
              <w:t>w</w:t>
            </w:r>
            <w:r>
              <w:rPr>
                <w:sz w:val="16"/>
                <w:szCs w:val="16"/>
              </w:rPr>
              <w:t>aarvan</w:t>
            </w:r>
            <w:r w:rsidRPr="00DD71A7">
              <w:rPr>
                <w:sz w:val="16"/>
                <w:szCs w:val="16"/>
              </w:rPr>
              <w:t xml:space="preserve"> Tijdelijke regeling alleenverdieners</w:t>
            </w:r>
          </w:p>
        </w:tc>
        <w:tc>
          <w:tcPr>
            <w:tcW w:w="709" w:type="dxa"/>
          </w:tcPr>
          <w:p w:rsidRPr="00DD71A7" w:rsidR="00847A62" w:rsidP="00604CD8" w:rsidRDefault="00847A62" w14:paraId="73764458" w14:textId="77777777">
            <w:pPr>
              <w:jc w:val="right"/>
              <w:rPr>
                <w:sz w:val="16"/>
                <w:szCs w:val="16"/>
              </w:rPr>
            </w:pPr>
            <w:r w:rsidRPr="00DD71A7">
              <w:rPr>
                <w:sz w:val="16"/>
                <w:szCs w:val="16"/>
              </w:rPr>
              <w:t>5</w:t>
            </w:r>
          </w:p>
        </w:tc>
        <w:tc>
          <w:tcPr>
            <w:tcW w:w="631" w:type="dxa"/>
          </w:tcPr>
          <w:p w:rsidRPr="00DD71A7" w:rsidR="00847A62" w:rsidP="00604CD8" w:rsidRDefault="00847A62" w14:paraId="1B28E719" w14:textId="77777777">
            <w:pPr>
              <w:jc w:val="right"/>
              <w:rPr>
                <w:sz w:val="16"/>
                <w:szCs w:val="16"/>
              </w:rPr>
            </w:pPr>
            <w:r w:rsidRPr="00DD71A7">
              <w:rPr>
                <w:sz w:val="16"/>
                <w:szCs w:val="16"/>
              </w:rPr>
              <w:t>9</w:t>
            </w:r>
          </w:p>
        </w:tc>
        <w:tc>
          <w:tcPr>
            <w:tcW w:w="644" w:type="dxa"/>
          </w:tcPr>
          <w:p w:rsidRPr="00DD71A7" w:rsidR="00847A62" w:rsidP="00604CD8" w:rsidRDefault="00847A62" w14:paraId="0B3658C4" w14:textId="77777777">
            <w:pPr>
              <w:jc w:val="right"/>
              <w:rPr>
                <w:sz w:val="16"/>
                <w:szCs w:val="16"/>
              </w:rPr>
            </w:pPr>
            <w:r w:rsidRPr="00DD71A7">
              <w:rPr>
                <w:sz w:val="16"/>
                <w:szCs w:val="16"/>
              </w:rPr>
              <w:t>12</w:t>
            </w:r>
          </w:p>
        </w:tc>
        <w:tc>
          <w:tcPr>
            <w:tcW w:w="709" w:type="dxa"/>
          </w:tcPr>
          <w:p w:rsidRPr="00DD71A7" w:rsidR="00847A62" w:rsidP="00604CD8" w:rsidRDefault="00847A62" w14:paraId="3EF810E6" w14:textId="77777777">
            <w:pPr>
              <w:jc w:val="right"/>
              <w:rPr>
                <w:sz w:val="16"/>
                <w:szCs w:val="16"/>
              </w:rPr>
            </w:pPr>
            <w:r w:rsidRPr="00DD71A7">
              <w:rPr>
                <w:sz w:val="16"/>
                <w:szCs w:val="16"/>
              </w:rPr>
              <w:t>0</w:t>
            </w:r>
          </w:p>
        </w:tc>
        <w:tc>
          <w:tcPr>
            <w:tcW w:w="709" w:type="dxa"/>
          </w:tcPr>
          <w:p w:rsidRPr="00DD71A7" w:rsidR="00847A62" w:rsidP="00604CD8" w:rsidRDefault="00847A62" w14:paraId="4DAD1C26" w14:textId="77777777">
            <w:pPr>
              <w:jc w:val="right"/>
              <w:rPr>
                <w:sz w:val="16"/>
                <w:szCs w:val="16"/>
              </w:rPr>
            </w:pPr>
            <w:r w:rsidRPr="00DD71A7">
              <w:rPr>
                <w:sz w:val="16"/>
                <w:szCs w:val="16"/>
              </w:rPr>
              <w:t>0</w:t>
            </w:r>
          </w:p>
        </w:tc>
        <w:tc>
          <w:tcPr>
            <w:tcW w:w="709" w:type="dxa"/>
          </w:tcPr>
          <w:p w:rsidRPr="00DD71A7" w:rsidR="00847A62" w:rsidP="00604CD8" w:rsidRDefault="00847A62" w14:paraId="051DBA6C" w14:textId="77777777">
            <w:pPr>
              <w:jc w:val="right"/>
              <w:rPr>
                <w:sz w:val="16"/>
                <w:szCs w:val="16"/>
              </w:rPr>
            </w:pPr>
            <w:r w:rsidRPr="00DD71A7">
              <w:rPr>
                <w:sz w:val="16"/>
                <w:szCs w:val="16"/>
              </w:rPr>
              <w:t>0</w:t>
            </w:r>
          </w:p>
        </w:tc>
      </w:tr>
    </w:tbl>
    <w:p w:rsidR="00847A62" w:rsidP="00847A62" w:rsidRDefault="00847A62" w14:paraId="7806DC60" w14:textId="77777777">
      <w:pPr>
        <w:rPr>
          <w:rFonts w:eastAsia="Verdana" w:cs="Verdana"/>
        </w:rPr>
      </w:pPr>
    </w:p>
    <w:p w:rsidRPr="0059156B" w:rsidR="00847A62" w:rsidP="00847A62" w:rsidRDefault="00847A62" w14:paraId="3A415153" w14:textId="77777777">
      <w:pPr>
        <w:rPr>
          <w:rFonts w:eastAsia="Verdana" w:cs="Verdana"/>
        </w:rPr>
      </w:pPr>
      <w:r w:rsidRPr="0059156B">
        <w:rPr>
          <w:rFonts w:eastAsia="Verdana" w:cs="Verdana"/>
        </w:rPr>
        <w:t xml:space="preserve">Het budgettaire effect per jaar hangt samen met de afwijking van de afbouw van de dubbele AHK ten opzichte van het </w:t>
      </w:r>
      <w:proofErr w:type="spellStart"/>
      <w:r w:rsidRPr="0059156B">
        <w:rPr>
          <w:rFonts w:eastAsia="Verdana" w:cs="Verdana"/>
        </w:rPr>
        <w:t>basispad</w:t>
      </w:r>
      <w:proofErr w:type="spellEnd"/>
      <w:r w:rsidRPr="0059156B">
        <w:rPr>
          <w:rFonts w:eastAsia="Verdana" w:cs="Verdana"/>
        </w:rPr>
        <w:t>. Tijdens de bevriezing in de jaren 2025, 2026 en 2027 neemt deze afwijking toe. Het budget</w:t>
      </w:r>
      <w:r>
        <w:rPr>
          <w:rFonts w:eastAsia="Verdana" w:cs="Verdana"/>
        </w:rPr>
        <w:t>tair effect neemt over deze jaren ook toe.</w:t>
      </w:r>
      <w:r w:rsidRPr="0059156B">
        <w:rPr>
          <w:rFonts w:eastAsia="Verdana" w:cs="Verdana"/>
        </w:rPr>
        <w:t xml:space="preserve"> Tijdens de jaren 20</w:t>
      </w:r>
      <w:r>
        <w:rPr>
          <w:rFonts w:eastAsia="Verdana" w:cs="Verdana"/>
        </w:rPr>
        <w:t xml:space="preserve">36, 2037 en 2038 wordt de </w:t>
      </w:r>
      <w:r w:rsidRPr="0059156B">
        <w:rPr>
          <w:rFonts w:eastAsia="Verdana" w:cs="Verdana"/>
        </w:rPr>
        <w:t xml:space="preserve">afwijking </w:t>
      </w:r>
      <w:r>
        <w:rPr>
          <w:rFonts w:eastAsia="Verdana" w:cs="Verdana"/>
        </w:rPr>
        <w:t xml:space="preserve">ten opzichte van het </w:t>
      </w:r>
      <w:proofErr w:type="spellStart"/>
      <w:r>
        <w:rPr>
          <w:rFonts w:eastAsia="Verdana" w:cs="Verdana"/>
        </w:rPr>
        <w:t>basispad</w:t>
      </w:r>
      <w:proofErr w:type="spellEnd"/>
      <w:r>
        <w:rPr>
          <w:rFonts w:eastAsia="Verdana" w:cs="Verdana"/>
        </w:rPr>
        <w:t xml:space="preserve"> weer kleiner en neemt het budgettair effect af. Per 2039 heeft ook het voorgestelde </w:t>
      </w:r>
      <w:proofErr w:type="spellStart"/>
      <w:r>
        <w:rPr>
          <w:rFonts w:eastAsia="Verdana" w:cs="Verdana"/>
        </w:rPr>
        <w:t>afbouwpad</w:t>
      </w:r>
      <w:proofErr w:type="spellEnd"/>
      <w:r>
        <w:rPr>
          <w:rFonts w:eastAsia="Verdana" w:cs="Verdana"/>
        </w:rPr>
        <w:t xml:space="preserve"> het eindpunt bereikt. Na 2038 is er daarom geen budgettair effect meer.</w:t>
      </w:r>
    </w:p>
    <w:p w:rsidRPr="0059156B" w:rsidR="00847A62" w:rsidP="00847A62" w:rsidRDefault="00847A62" w14:paraId="76D9C021" w14:textId="77777777">
      <w:pPr>
        <w:rPr>
          <w:rFonts w:eastAsia="Verdana" w:cs="Verdana"/>
        </w:rPr>
      </w:pPr>
    </w:p>
    <w:p w:rsidR="00847A62" w:rsidP="00847A62" w:rsidRDefault="00847A62" w14:paraId="1AACB02C" w14:textId="77777777">
      <w:bookmarkStart w:name="_Hlk175313164" w:id="3"/>
      <w:r>
        <w:t>De regering</w:t>
      </w:r>
      <w:r w:rsidRPr="00CC63FA">
        <w:t xml:space="preserve"> </w:t>
      </w:r>
      <w:r>
        <w:t xml:space="preserve">reserveert aanvullende middelen voor de oplossing voor de alleenverdienersproblematiek. De duur en omvang van de alleenverdienersproblematiek hangen samen met van de stand van de dubbele AHK (zie toelichting in paragraaf 4). Dit verhoogt de kosten van de oplossingen die de regering voorstelt om de benadeelde huishoudens te helpen. Onder de tijdelijke regeling (2025-2027) zullen ieder jaar meer huishoudens aanspraak kunnen maken op een vaste tegemoetkoming. De fiscale oplossing (voorzien vanaf 2028) zal als gevolg van de voorgestelde maatregel drie jaar langer doorlopen, tot en met 2038 in plaats van 2035. </w:t>
      </w:r>
    </w:p>
    <w:p w:rsidR="00847A62" w:rsidDel="136F3580" w:rsidP="00847A62" w:rsidRDefault="00847A62" w14:paraId="6DEF36F6" w14:textId="77777777">
      <w:r>
        <w:lastRenderedPageBreak/>
        <w:t>In ieder jaar zullen meer huishoudens in aanmerking komen voor de uitbetaling van de algemene heffingskorting die voor de minstverdienende partner tijdelijk en gedeeltelijk opnieuw wordt ingevoerd. De maximale hoogte van deze heffingskorting bouwt in gelijke mate af met de stand van de dubbele AHK in het referentieminimumloon. De maximale heffingskorting waar de betreffende huishoudens aanspraak op zullen kunnen maken, ligt daarom hoger dan waar eerder mee is geraamd. Aangezien het wetsvoorstel voor de fiscale oplossing eveneens meeloopt in het pakket Belastingplan 2025</w:t>
      </w:r>
      <w:r>
        <w:rPr>
          <w:rStyle w:val="Voetnootmarkering"/>
        </w:rPr>
        <w:footnoteReference w:id="18"/>
      </w:r>
      <w:r>
        <w:t xml:space="preserve"> en dus gelijktijdig met het onderhavige wetsvoorstel is ingediend, is dit budgettaire effect opgenomen in de memorie van toelichting bij het wetsvoorstel voor de fiscale oplossing. </w:t>
      </w:r>
      <w:bookmarkEnd w:id="3"/>
    </w:p>
    <w:p w:rsidR="00847A62" w:rsidP="00847A62" w:rsidRDefault="00847A62" w14:paraId="0D1C774D" w14:textId="77777777"/>
    <w:p w:rsidRPr="0059156B" w:rsidR="00847A62" w:rsidP="00847A62" w:rsidRDefault="00847A62" w14:paraId="1819893C" w14:textId="77777777">
      <w:pPr>
        <w:rPr>
          <w:b/>
          <w:bCs/>
        </w:rPr>
      </w:pPr>
      <w:r>
        <w:rPr>
          <w:b/>
          <w:bCs/>
        </w:rPr>
        <w:t>8</w:t>
      </w:r>
      <w:r w:rsidRPr="0059156B">
        <w:rPr>
          <w:b/>
          <w:bCs/>
        </w:rPr>
        <w:t>. Evaluatie</w:t>
      </w:r>
    </w:p>
    <w:p w:rsidR="00847A62" w:rsidP="00847A62" w:rsidRDefault="00847A62" w14:paraId="26B2887B" w14:textId="77777777"/>
    <w:p w:rsidR="00847A62" w:rsidP="00847A62" w:rsidRDefault="00847A62" w14:paraId="2A2AADAD" w14:textId="77777777">
      <w:r w:rsidRPr="00966CE3">
        <w:t xml:space="preserve">De evaluatie van deze maatregel loopt mee in de periodieke rapportages in het kader van artikel 2 (Bijstand, Participatiewet en Toeslagenwet) en artikel 9 (Nabestaanden) van de begroting van het Ministerie van Sociale Zaken en Werkgelegenheid. Deze periodieke rapportages vinden plaats conform de Strategische Evaluatie Agenda. De </w:t>
      </w:r>
      <w:r>
        <w:t>periodieke</w:t>
      </w:r>
      <w:r w:rsidRPr="00966CE3">
        <w:t xml:space="preserve"> rapportages staan gepland voor 2026 (thema armoede en schulden)</w:t>
      </w:r>
      <w:r>
        <w:t xml:space="preserve">, </w:t>
      </w:r>
      <w:r w:rsidRPr="00966CE3">
        <w:t>2027 (thema bijstand en participatie)</w:t>
      </w:r>
      <w:r>
        <w:t xml:space="preserve"> </w:t>
      </w:r>
      <w:r w:rsidRPr="00966CE3">
        <w:t>en 202</w:t>
      </w:r>
      <w:r>
        <w:t>8 (nabestaanden en wezen)</w:t>
      </w:r>
      <w:r w:rsidRPr="00966CE3">
        <w:t>.</w:t>
      </w:r>
    </w:p>
    <w:p w:rsidR="00847A62" w:rsidP="00847A62" w:rsidRDefault="00847A62" w14:paraId="42559B44" w14:textId="77777777"/>
    <w:p w:rsidR="00847A62" w:rsidP="00847A62" w:rsidRDefault="00847A62" w14:paraId="69325C3D" w14:textId="77777777">
      <w:pPr>
        <w:rPr>
          <w:b/>
          <w:bCs/>
        </w:rPr>
      </w:pPr>
      <w:r w:rsidRPr="00F551F4">
        <w:rPr>
          <w:b/>
          <w:bCs/>
        </w:rPr>
        <w:t xml:space="preserve">9. Inwerkingtreding </w:t>
      </w:r>
    </w:p>
    <w:p w:rsidRPr="00D1750E" w:rsidR="00847A62" w:rsidP="00847A62" w:rsidRDefault="00847A62" w14:paraId="4C097683" w14:textId="77777777">
      <w:pPr>
        <w:rPr>
          <w:b/>
          <w:bCs/>
        </w:rPr>
      </w:pPr>
    </w:p>
    <w:p w:rsidR="00847A62" w:rsidP="00847A62" w:rsidRDefault="00847A62" w14:paraId="22145E14" w14:textId="77777777">
      <w:r w:rsidRPr="00972A3E">
        <w:t xml:space="preserve">De </w:t>
      </w:r>
      <w:r>
        <w:t>wetswijziging</w:t>
      </w:r>
      <w:r w:rsidRPr="00972A3E">
        <w:t xml:space="preserve"> </w:t>
      </w:r>
      <w:r>
        <w:t xml:space="preserve">treedt </w:t>
      </w:r>
      <w:r w:rsidRPr="00972A3E">
        <w:t>in werking met ingang van 1 januari 202</w:t>
      </w:r>
      <w:r>
        <w:t>5</w:t>
      </w:r>
      <w:r w:rsidRPr="00972A3E">
        <w:t xml:space="preserve">. Daarmee wordt voldaan aan het </w:t>
      </w:r>
      <w:r>
        <w:t>kabinets</w:t>
      </w:r>
      <w:r w:rsidRPr="00972A3E">
        <w:t xml:space="preserve">beleid voor vaste verandermomenten voor regelgeving, </w:t>
      </w:r>
      <w:r>
        <w:t>z</w:t>
      </w:r>
      <w:r w:rsidRPr="00972A3E">
        <w:t>oals vastgelegd in aanwijzing 4.17 van de Aanwijzingen voor de regelgeving. Aan he</w:t>
      </w:r>
      <w:r>
        <w:t>t</w:t>
      </w:r>
      <w:r w:rsidRPr="00972A3E">
        <w:t xml:space="preserve"> </w:t>
      </w:r>
      <w:r>
        <w:t>kabinet</w:t>
      </w:r>
      <w:r w:rsidRPr="00972A3E">
        <w:t>sbeleid voor de minimuminvoeringstermijn van regelgeving</w:t>
      </w:r>
      <w:r>
        <w:t>, uit diezelfde aanwijzing,</w:t>
      </w:r>
      <w:r w:rsidRPr="00972A3E">
        <w:t xml:space="preserve"> wordt niet voldaan. De reden hierv</w:t>
      </w:r>
      <w:r>
        <w:t>oor</w:t>
      </w:r>
      <w:r w:rsidRPr="00972A3E">
        <w:t xml:space="preserve"> is dat de regering recent heeft besloten deze maatregel te nemen en </w:t>
      </w:r>
      <w:r>
        <w:t>de voortzetting van de afbouw van de dubbele AHK per 1 januari 2025 wil voorkomen</w:t>
      </w:r>
      <w:r w:rsidRPr="00972A3E">
        <w:t>.</w:t>
      </w:r>
      <w:r>
        <w:t xml:space="preserve"> </w:t>
      </w:r>
    </w:p>
    <w:p w:rsidR="00847A62" w:rsidP="00847A62" w:rsidRDefault="00847A62" w14:paraId="0269DA9E" w14:textId="77777777"/>
    <w:p w:rsidR="00847A62" w:rsidP="00847A62" w:rsidRDefault="00847A62" w14:paraId="31F49F77" w14:textId="77777777"/>
    <w:p w:rsidR="00847A62" w:rsidP="00847A62" w:rsidRDefault="00847A62" w14:paraId="10965753" w14:textId="77777777"/>
    <w:p w:rsidR="00847A62" w:rsidP="00847A62" w:rsidRDefault="00847A62" w14:paraId="72A0D361" w14:textId="77777777"/>
    <w:p w:rsidR="00847A62" w:rsidP="00847A62" w:rsidRDefault="00847A62" w14:paraId="1EDA3457" w14:textId="77777777"/>
    <w:p w:rsidR="00847A62" w:rsidP="00847A62" w:rsidRDefault="00847A62" w14:paraId="3416AA13" w14:textId="77777777"/>
    <w:p w:rsidR="00847A62" w:rsidP="00847A62" w:rsidRDefault="00847A62" w14:paraId="648764C8" w14:textId="77777777"/>
    <w:p w:rsidR="00847A62" w:rsidP="00847A62" w:rsidRDefault="00847A62" w14:paraId="39322A3E" w14:textId="77777777"/>
    <w:p w:rsidR="00847A62" w:rsidP="00847A62" w:rsidRDefault="00847A62" w14:paraId="548B6157" w14:textId="77777777"/>
    <w:p w:rsidR="00847A62" w:rsidP="00847A62" w:rsidRDefault="00847A62" w14:paraId="02223820" w14:textId="77777777"/>
    <w:p w:rsidR="00847A62" w:rsidP="00847A62" w:rsidRDefault="00847A62" w14:paraId="75CFDE37" w14:textId="77777777"/>
    <w:p w:rsidR="00847A62" w:rsidP="00847A62" w:rsidRDefault="00847A62" w14:paraId="428CE5D5" w14:textId="77777777"/>
    <w:p w:rsidR="00847A62" w:rsidP="00847A62" w:rsidRDefault="00847A62" w14:paraId="325A04E8" w14:textId="77777777"/>
    <w:p w:rsidRPr="00E62DDC" w:rsidR="00847A62" w:rsidP="00847A62" w:rsidRDefault="00847A62" w14:paraId="427AFAAB" w14:textId="77777777">
      <w:pPr>
        <w:rPr>
          <w:b/>
          <w:bCs/>
        </w:rPr>
      </w:pPr>
      <w:r w:rsidRPr="00E62DDC">
        <w:rPr>
          <w:b/>
          <w:bCs/>
        </w:rPr>
        <w:t>II</w:t>
      </w:r>
      <w:r>
        <w:rPr>
          <w:b/>
          <w:bCs/>
        </w:rPr>
        <w:t>.</w:t>
      </w:r>
      <w:r w:rsidRPr="00E62DDC">
        <w:rPr>
          <w:b/>
          <w:bCs/>
        </w:rPr>
        <w:t xml:space="preserve"> ARTIKELSGEWIJS DEEL</w:t>
      </w:r>
    </w:p>
    <w:p w:rsidR="00847A62" w:rsidP="00847A62" w:rsidRDefault="00847A62" w14:paraId="02EF496B" w14:textId="77777777"/>
    <w:p w:rsidRPr="0059156B" w:rsidR="00847A62" w:rsidP="00847A62" w:rsidRDefault="00847A62" w14:paraId="30E03270" w14:textId="77777777">
      <w:pPr>
        <w:rPr>
          <w:i/>
          <w:iCs/>
        </w:rPr>
      </w:pPr>
      <w:r w:rsidRPr="5A0ED89F">
        <w:rPr>
          <w:i/>
          <w:iCs/>
        </w:rPr>
        <w:t>Artikelen I en II (artikel 2, vijfde lid, van de Algemene nabestaandenwet, en artikel 37, vierde lid, van de Participatiewet)</w:t>
      </w:r>
    </w:p>
    <w:p w:rsidRPr="00332D1F" w:rsidR="00847A62" w:rsidP="00847A62" w:rsidRDefault="00847A62" w14:paraId="23FBBEBE" w14:textId="77777777"/>
    <w:p w:rsidR="00847A62" w:rsidP="00847A62" w:rsidRDefault="00847A62" w14:paraId="0BD15784" w14:textId="77777777">
      <w:r w:rsidRPr="00332D1F">
        <w:t xml:space="preserve">Met de wijziging van artikel 2, vijfde lid, van de Algemene nabestaandenwet en artikel 37, vierde lid, van de Participatiewet, wordt het percentage van de algemene heffingskorting van 157,5%, genoemd in artikel 2, eerste lid, onderdeel b, van de </w:t>
      </w:r>
      <w:r w:rsidRPr="00332D1F">
        <w:lastRenderedPageBreak/>
        <w:t xml:space="preserve">Algemene nabestaandenwet en artikel 37, tweede lid, van de Participatiewet, </w:t>
      </w:r>
      <w:r>
        <w:t xml:space="preserve">in de jaren 2025, 2026 en 2027 </w:t>
      </w:r>
      <w:r w:rsidRPr="00332D1F">
        <w:t>niet verlaagd bij de berekening van het referentieminimumloon. Vanaf 1 januari 202</w:t>
      </w:r>
      <w:r>
        <w:t>8</w:t>
      </w:r>
      <w:r w:rsidRPr="00332D1F">
        <w:t xml:space="preserve"> voorziet de wijziging erin dat het hiervoor genoemde percentage van de algemene heffingskorting twee keer per kalenderjaar, op 1 januari en 1 juli, met 2,5 procentpunt wordt verlaagd.</w:t>
      </w:r>
    </w:p>
    <w:p w:rsidR="00847A62" w:rsidP="00847A62" w:rsidRDefault="00847A62" w14:paraId="79172A48" w14:textId="77777777"/>
    <w:p w:rsidR="00847A62" w:rsidP="00847A62" w:rsidRDefault="00847A62" w14:paraId="08BE095D" w14:textId="77777777"/>
    <w:p w:rsidR="00847A62" w:rsidP="00847A62" w:rsidRDefault="00847A62" w14:paraId="7D79FC57" w14:textId="77777777">
      <w:r>
        <w:t>De Minister van Sociale Zaken</w:t>
      </w:r>
    </w:p>
    <w:p w:rsidR="00847A62" w:rsidP="00847A62" w:rsidRDefault="00847A62" w14:paraId="4BD2815A" w14:textId="77777777">
      <w:r>
        <w:t>en Werkgelegenheid,</w:t>
      </w:r>
    </w:p>
    <w:p w:rsidR="00847A62" w:rsidP="00847A62" w:rsidRDefault="00847A62" w14:paraId="65B93B53" w14:textId="77777777"/>
    <w:p w:rsidR="00847A62" w:rsidP="00847A62" w:rsidRDefault="00847A62" w14:paraId="0E25D2FF" w14:textId="77777777"/>
    <w:p w:rsidR="00847A62" w:rsidP="00847A62" w:rsidRDefault="00847A62" w14:paraId="5C1C2D11" w14:textId="77777777"/>
    <w:p w:rsidR="00847A62" w:rsidP="00847A62" w:rsidRDefault="00847A62" w14:paraId="3FF9DA5D" w14:textId="77777777"/>
    <w:p w:rsidR="00847A62" w:rsidP="00847A62" w:rsidRDefault="00847A62" w14:paraId="6F3AFEEB" w14:textId="77777777"/>
    <w:p w:rsidR="00847A62" w:rsidP="00847A62" w:rsidRDefault="00847A62" w14:paraId="4552751B" w14:textId="77777777">
      <w:r>
        <w:t>Y.J. van Hijum</w:t>
      </w:r>
    </w:p>
    <w:p w:rsidR="0002324C" w:rsidRDefault="0002324C" w14:paraId="053C1B2A" w14:textId="77777777"/>
    <w:sectPr w:rsidR="0002324C" w:rsidSect="00847A62">
      <w:headerReference w:type="even" r:id="rId9"/>
      <w:headerReference w:type="default" r:id="rId10"/>
      <w:footerReference w:type="even" r:id="rId11"/>
      <w:footerReference w:type="default" r:id="rId12"/>
      <w:headerReference w:type="first" r:id="rId13"/>
      <w:footerReference w:type="first" r:id="rId14"/>
      <w:pgSz w:w="11905" w:h="16837"/>
      <w:pgMar w:top="2948" w:right="1757" w:bottom="1547" w:left="204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4CFC3" w14:textId="77777777" w:rsidR="00847A62" w:rsidRDefault="00847A62" w:rsidP="00847A62">
      <w:pPr>
        <w:spacing w:line="240" w:lineRule="auto"/>
      </w:pPr>
      <w:r>
        <w:separator/>
      </w:r>
    </w:p>
  </w:endnote>
  <w:endnote w:type="continuationSeparator" w:id="0">
    <w:p w14:paraId="1723D6E1" w14:textId="77777777" w:rsidR="00847A62" w:rsidRDefault="00847A62" w:rsidP="00847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C3775" w14:textId="77777777" w:rsidR="00847A62" w:rsidRDefault="00847A6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1D94" w14:textId="77777777" w:rsidR="00847A62" w:rsidRDefault="00847A6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6507" w14:textId="77777777" w:rsidR="00847A62" w:rsidRDefault="00847A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0F779" w14:textId="77777777" w:rsidR="00847A62" w:rsidRDefault="00847A62" w:rsidP="00847A62">
      <w:pPr>
        <w:spacing w:line="240" w:lineRule="auto"/>
      </w:pPr>
      <w:r>
        <w:separator/>
      </w:r>
    </w:p>
  </w:footnote>
  <w:footnote w:type="continuationSeparator" w:id="0">
    <w:p w14:paraId="06ABABF7" w14:textId="77777777" w:rsidR="00847A62" w:rsidRDefault="00847A62" w:rsidP="00847A62">
      <w:pPr>
        <w:spacing w:line="240" w:lineRule="auto"/>
      </w:pPr>
      <w:r>
        <w:continuationSeparator/>
      </w:r>
    </w:p>
  </w:footnote>
  <w:footnote w:id="1">
    <w:p w14:paraId="63FA5067" w14:textId="77777777" w:rsidR="00847A62" w:rsidRPr="00287B96" w:rsidRDefault="00847A62" w:rsidP="00847A62">
      <w:pPr>
        <w:pStyle w:val="Voetnoottekst"/>
        <w:rPr>
          <w:sz w:val="16"/>
          <w:szCs w:val="16"/>
        </w:rPr>
      </w:pPr>
      <w:r w:rsidRPr="00287B96">
        <w:rPr>
          <w:rStyle w:val="Voetnootmarkering"/>
          <w:sz w:val="16"/>
          <w:szCs w:val="16"/>
        </w:rPr>
        <w:footnoteRef/>
      </w:r>
      <w:r w:rsidRPr="00287B96">
        <w:rPr>
          <w:sz w:val="16"/>
          <w:szCs w:val="16"/>
        </w:rPr>
        <w:t xml:space="preserve"> Zie maatregel 2 in</w:t>
      </w:r>
      <w:r>
        <w:rPr>
          <w:sz w:val="16"/>
          <w:szCs w:val="16"/>
        </w:rPr>
        <w:t xml:space="preserve"> de budgettaire bijlage bij het hoofdlijnenakkoord. Zie</w:t>
      </w:r>
      <w:r w:rsidRPr="00287B96">
        <w:rPr>
          <w:sz w:val="16"/>
          <w:szCs w:val="16"/>
        </w:rPr>
        <w:t xml:space="preserve"> </w:t>
      </w:r>
      <w:hyperlink r:id="rId1" w:history="1">
        <w:r w:rsidRPr="00287B96">
          <w:rPr>
            <w:rStyle w:val="Hyperlink"/>
            <w:sz w:val="16"/>
            <w:szCs w:val="16"/>
          </w:rPr>
          <w:t>Hoofdlijnenakkoord tussen de fracties van PVV, VVD, NSC en BBB | Publicatie | Kabinetsformatie (kabinetsformatie2023.nl)</w:t>
        </w:r>
      </w:hyperlink>
      <w:r>
        <w:rPr>
          <w:sz w:val="16"/>
          <w:szCs w:val="16"/>
        </w:rPr>
        <w:t>.</w:t>
      </w:r>
    </w:p>
  </w:footnote>
  <w:footnote w:id="2">
    <w:p w14:paraId="14EB6FF7" w14:textId="77777777" w:rsidR="00847A62" w:rsidRPr="00B617C1" w:rsidRDefault="00847A62" w:rsidP="00847A62">
      <w:pPr>
        <w:pStyle w:val="Voetnoottekst"/>
        <w:rPr>
          <w:sz w:val="16"/>
          <w:szCs w:val="16"/>
        </w:rPr>
      </w:pPr>
      <w:r w:rsidRPr="00B617C1">
        <w:rPr>
          <w:rStyle w:val="Voetnootmarkering"/>
          <w:sz w:val="16"/>
          <w:szCs w:val="16"/>
        </w:rPr>
        <w:footnoteRef/>
      </w:r>
      <w:r w:rsidRPr="00B617C1">
        <w:rPr>
          <w:sz w:val="16"/>
          <w:szCs w:val="16"/>
        </w:rPr>
        <w:t xml:space="preserve"> </w:t>
      </w:r>
      <w:hyperlink r:id="rId2" w:history="1">
        <w:r w:rsidRPr="00B617C1">
          <w:rPr>
            <w:rStyle w:val="Hyperlink"/>
            <w:sz w:val="16"/>
            <w:szCs w:val="16"/>
          </w:rPr>
          <w:t>Risico op armoede bij huishoudens - Armoede en sociale uitsluiting 2023 | CBS</w:t>
        </w:r>
      </w:hyperlink>
    </w:p>
  </w:footnote>
  <w:footnote w:id="3">
    <w:p w14:paraId="27330377" w14:textId="77777777" w:rsidR="00847A62" w:rsidRPr="00913AE9" w:rsidRDefault="00847A62" w:rsidP="00847A62">
      <w:pPr>
        <w:pStyle w:val="Voetnoottekst"/>
        <w:rPr>
          <w:sz w:val="16"/>
          <w:szCs w:val="16"/>
        </w:rPr>
      </w:pPr>
      <w:r w:rsidRPr="00913AE9">
        <w:rPr>
          <w:rStyle w:val="Voetnootmarkering"/>
          <w:sz w:val="16"/>
          <w:szCs w:val="16"/>
        </w:rPr>
        <w:footnoteRef/>
      </w:r>
      <w:r w:rsidRPr="00913AE9">
        <w:rPr>
          <w:sz w:val="16"/>
          <w:szCs w:val="16"/>
        </w:rPr>
        <w:t xml:space="preserve"> Een zeker bestaan - Naar een toekomstbestendig stelsel van het sociaal minimum, rapport I, Commissie </w:t>
      </w:r>
      <w:r>
        <w:rPr>
          <w:sz w:val="16"/>
          <w:szCs w:val="16"/>
        </w:rPr>
        <w:t>s</w:t>
      </w:r>
      <w:r w:rsidRPr="00913AE9">
        <w:rPr>
          <w:sz w:val="16"/>
          <w:szCs w:val="16"/>
        </w:rPr>
        <w:t>ociaal minimum, 2023</w:t>
      </w:r>
    </w:p>
  </w:footnote>
  <w:footnote w:id="4">
    <w:p w14:paraId="6B18B090" w14:textId="77777777" w:rsidR="00847A62" w:rsidRPr="00EE6FD4" w:rsidRDefault="00847A62" w:rsidP="00847A62">
      <w:pPr>
        <w:pStyle w:val="Voetnoottekst"/>
        <w:rPr>
          <w:sz w:val="16"/>
          <w:szCs w:val="16"/>
        </w:rPr>
      </w:pPr>
      <w:r w:rsidRPr="00EE6FD4">
        <w:rPr>
          <w:rStyle w:val="Voetnootmarkering"/>
          <w:sz w:val="16"/>
          <w:szCs w:val="16"/>
        </w:rPr>
        <w:footnoteRef/>
      </w:r>
      <w:r w:rsidRPr="00EE6FD4">
        <w:rPr>
          <w:sz w:val="16"/>
          <w:szCs w:val="16"/>
        </w:rPr>
        <w:t xml:space="preserve"> Hoofdlijnenakkoord, par. 1.</w:t>
      </w:r>
    </w:p>
  </w:footnote>
  <w:footnote w:id="5">
    <w:p w14:paraId="2D3A7754" w14:textId="77777777" w:rsidR="00847A62" w:rsidRDefault="00847A62" w:rsidP="00847A62">
      <w:pPr>
        <w:pStyle w:val="Voetnoottekst"/>
      </w:pPr>
      <w:r w:rsidRPr="00AD56E9">
        <w:rPr>
          <w:rStyle w:val="Voetnootmarkering"/>
          <w:sz w:val="16"/>
          <w:szCs w:val="16"/>
        </w:rPr>
        <w:footnoteRef/>
      </w:r>
      <w:r w:rsidRPr="00AD56E9">
        <w:rPr>
          <w:sz w:val="16"/>
          <w:szCs w:val="16"/>
        </w:rPr>
        <w:t xml:space="preserve"> Per 2024 zijn, mede als reactie op het advies van de Commissie sociaal minimum, de huurtoeslag en het </w:t>
      </w:r>
      <w:proofErr w:type="spellStart"/>
      <w:r w:rsidRPr="00AD56E9">
        <w:rPr>
          <w:sz w:val="16"/>
          <w:szCs w:val="16"/>
        </w:rPr>
        <w:t>kindgebonden</w:t>
      </w:r>
      <w:proofErr w:type="spellEnd"/>
      <w:r w:rsidRPr="00AD56E9">
        <w:rPr>
          <w:sz w:val="16"/>
          <w:szCs w:val="16"/>
        </w:rPr>
        <w:t xml:space="preserve"> budget verhoogd (Kamerstukken II 2023/24, 36410-XV, nr. 21).</w:t>
      </w:r>
    </w:p>
  </w:footnote>
  <w:footnote w:id="6">
    <w:p w14:paraId="3700A476" w14:textId="77777777" w:rsidR="00847A62" w:rsidRPr="00990980" w:rsidRDefault="00847A62" w:rsidP="00847A62">
      <w:pPr>
        <w:pStyle w:val="Voetnoottekst"/>
        <w:rPr>
          <w:sz w:val="16"/>
          <w:szCs w:val="16"/>
        </w:rPr>
      </w:pPr>
      <w:r w:rsidRPr="00990980">
        <w:rPr>
          <w:rStyle w:val="Voetnootmarkering"/>
          <w:sz w:val="16"/>
          <w:szCs w:val="16"/>
        </w:rPr>
        <w:footnoteRef/>
      </w:r>
      <w:r w:rsidRPr="00990980">
        <w:rPr>
          <w:sz w:val="16"/>
          <w:szCs w:val="16"/>
        </w:rPr>
        <w:t xml:space="preserve"> </w:t>
      </w:r>
      <w:r>
        <w:rPr>
          <w:sz w:val="16"/>
          <w:szCs w:val="16"/>
        </w:rPr>
        <w:t xml:space="preserve">De bijstandsnorm voor gehuwden en samenwonenden is netto gelijk aan 100% van het referentieminimumloon. De bijstandsnorm voor alleenstaanden is netto gelijk </w:t>
      </w:r>
      <w:r w:rsidRPr="00990980">
        <w:rPr>
          <w:sz w:val="16"/>
          <w:szCs w:val="16"/>
        </w:rPr>
        <w:t xml:space="preserve">aan 70% van het referentieminimumloon, net als de </w:t>
      </w:r>
      <w:r>
        <w:rPr>
          <w:sz w:val="16"/>
          <w:szCs w:val="16"/>
        </w:rPr>
        <w:t>uitkering voor een nabestaande</w:t>
      </w:r>
      <w:r w:rsidRPr="00990980">
        <w:rPr>
          <w:sz w:val="16"/>
          <w:szCs w:val="16"/>
        </w:rPr>
        <w:t>.</w:t>
      </w:r>
      <w:r>
        <w:rPr>
          <w:sz w:val="16"/>
          <w:szCs w:val="16"/>
        </w:rPr>
        <w:t xml:space="preserve"> De </w:t>
      </w:r>
      <w:proofErr w:type="spellStart"/>
      <w:r>
        <w:rPr>
          <w:sz w:val="16"/>
          <w:szCs w:val="16"/>
        </w:rPr>
        <w:t>wezenuitkering</w:t>
      </w:r>
      <w:proofErr w:type="spellEnd"/>
      <w:r>
        <w:rPr>
          <w:sz w:val="16"/>
          <w:szCs w:val="16"/>
        </w:rPr>
        <w:t xml:space="preserve"> is een percentage van de bruto nabestaandenuitkering. Dit percentage hangt af van de leeftijd.</w:t>
      </w:r>
    </w:p>
  </w:footnote>
  <w:footnote w:id="7">
    <w:p w14:paraId="2EB21FA1" w14:textId="77777777" w:rsidR="00847A62" w:rsidRPr="00455B4A" w:rsidRDefault="00847A62" w:rsidP="00847A62">
      <w:pPr>
        <w:pStyle w:val="Voetnoottekst"/>
        <w:rPr>
          <w:sz w:val="16"/>
          <w:szCs w:val="16"/>
        </w:rPr>
      </w:pPr>
      <w:r w:rsidRPr="00455B4A">
        <w:rPr>
          <w:rStyle w:val="Voetnootmarkering"/>
          <w:sz w:val="16"/>
          <w:szCs w:val="16"/>
        </w:rPr>
        <w:footnoteRef/>
      </w:r>
      <w:r w:rsidRPr="00455B4A">
        <w:rPr>
          <w:sz w:val="16"/>
          <w:szCs w:val="16"/>
        </w:rPr>
        <w:t xml:space="preserve"> Op deze manier is er sprake van een netto-netto koppeling tussen de minimumuitkeringen en het wettelijk minimumloon.</w:t>
      </w:r>
    </w:p>
  </w:footnote>
  <w:footnote w:id="8">
    <w:p w14:paraId="02743863" w14:textId="77777777" w:rsidR="00847A62" w:rsidRPr="00455B4A" w:rsidRDefault="00847A62" w:rsidP="00847A62">
      <w:pPr>
        <w:pStyle w:val="Voetnoottekst"/>
        <w:rPr>
          <w:sz w:val="16"/>
          <w:szCs w:val="16"/>
        </w:rPr>
      </w:pPr>
      <w:r w:rsidRPr="00455B4A">
        <w:rPr>
          <w:rStyle w:val="Voetnootmarkering"/>
          <w:sz w:val="16"/>
          <w:szCs w:val="16"/>
        </w:rPr>
        <w:footnoteRef/>
      </w:r>
      <w:r w:rsidRPr="00455B4A">
        <w:rPr>
          <w:sz w:val="16"/>
          <w:szCs w:val="16"/>
        </w:rPr>
        <w:t xml:space="preserve"> </w:t>
      </w:r>
      <w:r>
        <w:rPr>
          <w:sz w:val="16"/>
          <w:szCs w:val="16"/>
        </w:rPr>
        <w:t>G</w:t>
      </w:r>
      <w:r w:rsidRPr="00CB3651">
        <w:rPr>
          <w:sz w:val="16"/>
          <w:szCs w:val="16"/>
        </w:rPr>
        <w:t>eleidelijke afbouw van de dubbele heffingskorting in het referentieminimumloon tot een keer de algemene heffingskorting met uitzondering van het referentieminimumloon voor de Algemene Ouderdomswet</w:t>
      </w:r>
      <w:r>
        <w:rPr>
          <w:sz w:val="16"/>
          <w:szCs w:val="16"/>
        </w:rPr>
        <w:t xml:space="preserve">; </w:t>
      </w:r>
      <w:r w:rsidRPr="00455B4A">
        <w:rPr>
          <w:sz w:val="16"/>
          <w:szCs w:val="16"/>
        </w:rPr>
        <w:t>Stb. 2011, 647.</w:t>
      </w:r>
    </w:p>
  </w:footnote>
  <w:footnote w:id="9">
    <w:p w14:paraId="3FA3D9B9" w14:textId="77777777" w:rsidR="00847A62" w:rsidRPr="00C94B1A" w:rsidRDefault="00847A62" w:rsidP="00847A62">
      <w:pPr>
        <w:pStyle w:val="Voetnoottekst"/>
        <w:rPr>
          <w:sz w:val="16"/>
          <w:szCs w:val="16"/>
        </w:rPr>
      </w:pPr>
      <w:r w:rsidRPr="00C94B1A">
        <w:rPr>
          <w:rStyle w:val="Voetnootmarkering"/>
          <w:sz w:val="16"/>
          <w:szCs w:val="16"/>
        </w:rPr>
        <w:footnoteRef/>
      </w:r>
      <w:r w:rsidRPr="00C94B1A">
        <w:rPr>
          <w:sz w:val="16"/>
          <w:szCs w:val="16"/>
        </w:rPr>
        <w:t xml:space="preserve"> Stb. 2023, 490.</w:t>
      </w:r>
    </w:p>
  </w:footnote>
  <w:footnote w:id="10">
    <w:p w14:paraId="0BE46B0D" w14:textId="77777777" w:rsidR="00847A62" w:rsidRPr="00AC6C9A" w:rsidRDefault="00847A62" w:rsidP="00847A62">
      <w:pPr>
        <w:pStyle w:val="Voetnoottekst"/>
        <w:rPr>
          <w:sz w:val="16"/>
          <w:szCs w:val="16"/>
        </w:rPr>
      </w:pPr>
      <w:r w:rsidRPr="00497C03">
        <w:rPr>
          <w:rStyle w:val="Voetnootmarkering"/>
          <w:sz w:val="16"/>
          <w:szCs w:val="16"/>
        </w:rPr>
        <w:footnoteRef/>
      </w:r>
      <w:r w:rsidRPr="00497C03">
        <w:rPr>
          <w:sz w:val="16"/>
          <w:szCs w:val="16"/>
        </w:rPr>
        <w:t xml:space="preserve"> </w:t>
      </w:r>
      <w:r>
        <w:rPr>
          <w:sz w:val="16"/>
          <w:szCs w:val="16"/>
        </w:rPr>
        <w:t>Door</w:t>
      </w:r>
      <w:r w:rsidRPr="006B6B60">
        <w:rPr>
          <w:sz w:val="16"/>
          <w:szCs w:val="16"/>
        </w:rPr>
        <w:t xml:space="preserve"> een samenloop van sociale zekerheid, fiscaliteit en toeslagen </w:t>
      </w:r>
      <w:r>
        <w:rPr>
          <w:sz w:val="16"/>
          <w:szCs w:val="16"/>
        </w:rPr>
        <w:t>krijgen ongeveer 6.000</w:t>
      </w:r>
      <w:r w:rsidRPr="006B6B60">
        <w:rPr>
          <w:sz w:val="16"/>
          <w:szCs w:val="16"/>
        </w:rPr>
        <w:t xml:space="preserve"> huishoudens met een loondervingsuitkering minder toeslag dan bedoeld. Deze huishoudens komen hiermee onder het bestaansminimum. </w:t>
      </w:r>
      <w:r>
        <w:rPr>
          <w:sz w:val="16"/>
          <w:szCs w:val="16"/>
        </w:rPr>
        <w:t>Zie paragraaf 4.3 voor een toelichting.</w:t>
      </w:r>
    </w:p>
  </w:footnote>
  <w:footnote w:id="11">
    <w:p w14:paraId="54EB77DC" w14:textId="77777777" w:rsidR="00847A62" w:rsidRPr="00630E16" w:rsidRDefault="00847A62" w:rsidP="00847A62">
      <w:pPr>
        <w:pStyle w:val="Voetnoottekst"/>
        <w:rPr>
          <w:sz w:val="16"/>
          <w:szCs w:val="16"/>
        </w:rPr>
      </w:pPr>
      <w:r w:rsidRPr="00630E16">
        <w:rPr>
          <w:rStyle w:val="Voetnootmarkering"/>
          <w:sz w:val="16"/>
          <w:szCs w:val="16"/>
        </w:rPr>
        <w:footnoteRef/>
      </w:r>
      <w:r w:rsidRPr="00630E16">
        <w:rPr>
          <w:sz w:val="16"/>
          <w:szCs w:val="16"/>
        </w:rPr>
        <w:t xml:space="preserve"> Artikel 5, </w:t>
      </w:r>
      <w:r>
        <w:rPr>
          <w:sz w:val="16"/>
          <w:szCs w:val="16"/>
        </w:rPr>
        <w:t>IOAW</w:t>
      </w:r>
      <w:r w:rsidRPr="00630E16">
        <w:rPr>
          <w:sz w:val="16"/>
          <w:szCs w:val="16"/>
        </w:rPr>
        <w:t xml:space="preserve">, en artikel 5, </w:t>
      </w:r>
      <w:r>
        <w:rPr>
          <w:sz w:val="16"/>
          <w:szCs w:val="16"/>
        </w:rPr>
        <w:t>IOAZ</w:t>
      </w:r>
      <w:r w:rsidRPr="00630E16">
        <w:rPr>
          <w:sz w:val="16"/>
          <w:szCs w:val="16"/>
        </w:rPr>
        <w:t>.</w:t>
      </w:r>
      <w:r>
        <w:rPr>
          <w:sz w:val="16"/>
          <w:szCs w:val="16"/>
        </w:rPr>
        <w:t xml:space="preserve"> </w:t>
      </w:r>
    </w:p>
  </w:footnote>
  <w:footnote w:id="12">
    <w:p w14:paraId="68621E38" w14:textId="77777777" w:rsidR="00847A62" w:rsidRDefault="00847A62" w:rsidP="00847A62">
      <w:pPr>
        <w:pStyle w:val="Voetnoottekst"/>
      </w:pPr>
      <w:r w:rsidRPr="00630E16">
        <w:rPr>
          <w:rStyle w:val="Voetnootmarkering"/>
          <w:sz w:val="16"/>
          <w:szCs w:val="16"/>
        </w:rPr>
        <w:footnoteRef/>
      </w:r>
      <w:r w:rsidRPr="00630E16">
        <w:rPr>
          <w:sz w:val="16"/>
          <w:szCs w:val="16"/>
        </w:rPr>
        <w:t xml:space="preserve"> Artikel 8, T</w:t>
      </w:r>
      <w:r>
        <w:rPr>
          <w:sz w:val="16"/>
          <w:szCs w:val="16"/>
        </w:rPr>
        <w:t>W</w:t>
      </w:r>
      <w:r w:rsidRPr="00630E16">
        <w:rPr>
          <w:sz w:val="16"/>
          <w:szCs w:val="16"/>
        </w:rPr>
        <w:t>.</w:t>
      </w:r>
      <w:r>
        <w:rPr>
          <w:sz w:val="16"/>
          <w:szCs w:val="16"/>
        </w:rPr>
        <w:t xml:space="preserve"> De uitkeringsnorm voor gehuwden in de TW volgt direct uit het wettelijk bruto minimummaandloon, zonder toepassing van de dubbele AHK. De voorgestelde maatregel heeft daarom geen invloed op de toeslag voor gehuwden. </w:t>
      </w:r>
    </w:p>
  </w:footnote>
  <w:footnote w:id="13">
    <w:p w14:paraId="172E2862" w14:textId="77777777" w:rsidR="00847A62" w:rsidRPr="00AC6C9A" w:rsidRDefault="00847A62" w:rsidP="00847A62">
      <w:pPr>
        <w:pStyle w:val="Voetnoottekst"/>
        <w:rPr>
          <w:rFonts w:eastAsia="Verdana" w:cs="Verdana"/>
          <w:color w:val="000000" w:themeColor="text1"/>
          <w:sz w:val="16"/>
          <w:szCs w:val="16"/>
        </w:rPr>
      </w:pPr>
      <w:r w:rsidRPr="00AC6C9A">
        <w:rPr>
          <w:rStyle w:val="Voetnootmarkering"/>
          <w:sz w:val="16"/>
          <w:szCs w:val="16"/>
        </w:rPr>
        <w:footnoteRef/>
      </w:r>
      <w:r w:rsidRPr="00AC6C9A">
        <w:rPr>
          <w:sz w:val="16"/>
          <w:szCs w:val="16"/>
        </w:rPr>
        <w:t xml:space="preserve"> </w:t>
      </w:r>
      <w:r w:rsidRPr="00AC6C9A">
        <w:rPr>
          <w:rFonts w:eastAsia="Verdana" w:cs="Verdana"/>
          <w:color w:val="000000" w:themeColor="text1"/>
          <w:sz w:val="16"/>
          <w:szCs w:val="16"/>
        </w:rPr>
        <w:t>Kamerstukken II 2022/23, 26448, nr. 697</w:t>
      </w:r>
    </w:p>
  </w:footnote>
  <w:footnote w:id="14">
    <w:p w14:paraId="60CFE981" w14:textId="77777777" w:rsidR="00847A62" w:rsidRPr="0083645A" w:rsidRDefault="00847A62" w:rsidP="00847A62">
      <w:pPr>
        <w:pStyle w:val="Voetnoottekst"/>
        <w:rPr>
          <w:sz w:val="16"/>
          <w:szCs w:val="16"/>
        </w:rPr>
      </w:pPr>
      <w:r w:rsidRPr="0083645A">
        <w:rPr>
          <w:rStyle w:val="Voetnootmarkering"/>
          <w:sz w:val="16"/>
          <w:szCs w:val="16"/>
        </w:rPr>
        <w:footnoteRef/>
      </w:r>
      <w:r w:rsidRPr="0083645A">
        <w:rPr>
          <w:sz w:val="16"/>
          <w:szCs w:val="16"/>
        </w:rPr>
        <w:t xml:space="preserve"> Dit doet zich vanwege de arbeidskorting vrijwel alleen voor bij huishoudens</w:t>
      </w:r>
      <w:r>
        <w:rPr>
          <w:sz w:val="16"/>
          <w:szCs w:val="16"/>
        </w:rPr>
        <w:t xml:space="preserve"> met</w:t>
      </w:r>
      <w:r w:rsidRPr="0083645A">
        <w:rPr>
          <w:sz w:val="16"/>
          <w:szCs w:val="16"/>
        </w:rPr>
        <w:t xml:space="preserve"> een inkomen waarbij geen of weinig recht op arbeidskorting bestaat</w:t>
      </w:r>
      <w:r>
        <w:rPr>
          <w:sz w:val="16"/>
          <w:szCs w:val="16"/>
        </w:rPr>
        <w:t>. D</w:t>
      </w:r>
      <w:r w:rsidRPr="0083645A">
        <w:rPr>
          <w:sz w:val="16"/>
          <w:szCs w:val="16"/>
        </w:rPr>
        <w:t>e minstverdienende belastingplichtige</w:t>
      </w:r>
      <w:r>
        <w:rPr>
          <w:sz w:val="16"/>
          <w:szCs w:val="16"/>
        </w:rPr>
        <w:t xml:space="preserve"> moet</w:t>
      </w:r>
      <w:r w:rsidRPr="0083645A">
        <w:rPr>
          <w:sz w:val="16"/>
          <w:szCs w:val="16"/>
        </w:rPr>
        <w:t xml:space="preserve"> op of na 1 januari 1963 </w:t>
      </w:r>
      <w:r>
        <w:rPr>
          <w:sz w:val="16"/>
          <w:szCs w:val="16"/>
        </w:rPr>
        <w:t xml:space="preserve">zijn </w:t>
      </w:r>
      <w:r w:rsidRPr="0083645A">
        <w:rPr>
          <w:sz w:val="16"/>
          <w:szCs w:val="16"/>
        </w:rPr>
        <w:t>geboren</w:t>
      </w:r>
      <w:r>
        <w:rPr>
          <w:sz w:val="16"/>
          <w:szCs w:val="16"/>
        </w:rPr>
        <w:t>, omdat de algemene heffingskorting voor de minstverdienende partner in stand is gehouden voor belastingplichtigen geboren voor 1963.</w:t>
      </w:r>
    </w:p>
  </w:footnote>
  <w:footnote w:id="15">
    <w:p w14:paraId="233DD2A8" w14:textId="77777777" w:rsidR="00847A62" w:rsidRPr="00EF4D74" w:rsidRDefault="00847A62" w:rsidP="00847A62">
      <w:pPr>
        <w:pStyle w:val="Voetnoottekst"/>
        <w:rPr>
          <w:sz w:val="16"/>
          <w:szCs w:val="16"/>
        </w:rPr>
      </w:pPr>
      <w:r w:rsidRPr="00EF4D74">
        <w:rPr>
          <w:rStyle w:val="Voetnootmarkering"/>
          <w:sz w:val="16"/>
          <w:szCs w:val="16"/>
        </w:rPr>
        <w:footnoteRef/>
      </w:r>
      <w:r w:rsidRPr="00EF4D74">
        <w:rPr>
          <w:sz w:val="16"/>
          <w:szCs w:val="16"/>
        </w:rPr>
        <w:t xml:space="preserve"> Zie de voortgangsbrief van 24 juni 2024 voor een nadere toelichting op de uitgangspunten van </w:t>
      </w:r>
      <w:r>
        <w:rPr>
          <w:sz w:val="16"/>
          <w:szCs w:val="16"/>
        </w:rPr>
        <w:t xml:space="preserve">en kanttekeningen bij </w:t>
      </w:r>
      <w:r w:rsidRPr="00EF4D74">
        <w:rPr>
          <w:sz w:val="16"/>
          <w:szCs w:val="16"/>
        </w:rPr>
        <w:t xml:space="preserve">beide </w:t>
      </w:r>
      <w:r>
        <w:rPr>
          <w:sz w:val="16"/>
          <w:szCs w:val="16"/>
        </w:rPr>
        <w:t>oplossingen</w:t>
      </w:r>
      <w:r w:rsidRPr="00EF4D74">
        <w:rPr>
          <w:sz w:val="16"/>
          <w:szCs w:val="16"/>
        </w:rPr>
        <w:t xml:space="preserve"> (Kamerstukken II 2023/24, 26448, nr. 673)</w:t>
      </w:r>
      <w:r>
        <w:rPr>
          <w:sz w:val="16"/>
          <w:szCs w:val="16"/>
        </w:rPr>
        <w:t xml:space="preserve">. </w:t>
      </w:r>
      <w:r w:rsidRPr="00EF4D74">
        <w:rPr>
          <w:sz w:val="16"/>
          <w:szCs w:val="16"/>
        </w:rPr>
        <w:t xml:space="preserve">De </w:t>
      </w:r>
      <w:r>
        <w:rPr>
          <w:sz w:val="16"/>
          <w:szCs w:val="16"/>
        </w:rPr>
        <w:t>regering</w:t>
      </w:r>
      <w:r w:rsidRPr="00EF4D74">
        <w:rPr>
          <w:sz w:val="16"/>
          <w:szCs w:val="16"/>
        </w:rPr>
        <w:t xml:space="preserve"> </w:t>
      </w:r>
      <w:r>
        <w:rPr>
          <w:sz w:val="16"/>
          <w:szCs w:val="16"/>
        </w:rPr>
        <w:t>heeft</w:t>
      </w:r>
      <w:r w:rsidRPr="00EF4D74">
        <w:rPr>
          <w:sz w:val="16"/>
          <w:szCs w:val="16"/>
        </w:rPr>
        <w:t xml:space="preserve"> het wetsvoorstel voor de fiscale regeling </w:t>
      </w:r>
      <w:r>
        <w:rPr>
          <w:sz w:val="16"/>
          <w:szCs w:val="16"/>
        </w:rPr>
        <w:t xml:space="preserve">als onderdeel van het </w:t>
      </w:r>
      <w:r w:rsidRPr="00EF4D74">
        <w:rPr>
          <w:sz w:val="16"/>
          <w:szCs w:val="16"/>
        </w:rPr>
        <w:t>Belastingplan 2025</w:t>
      </w:r>
      <w:r>
        <w:rPr>
          <w:sz w:val="16"/>
          <w:szCs w:val="16"/>
        </w:rPr>
        <w:t xml:space="preserve"> gelijktijdig met het onderhavige wetsvoorstel bij de Tweede Kamer ingediend</w:t>
      </w:r>
      <w:r w:rsidRPr="00EF4D74">
        <w:rPr>
          <w:sz w:val="16"/>
          <w:szCs w:val="16"/>
        </w:rPr>
        <w:t xml:space="preserve">. De </w:t>
      </w:r>
      <w:r>
        <w:rPr>
          <w:sz w:val="16"/>
          <w:szCs w:val="16"/>
        </w:rPr>
        <w:t xml:space="preserve">regering is voornemens om de </w:t>
      </w:r>
      <w:r w:rsidRPr="00EF4D74">
        <w:rPr>
          <w:sz w:val="16"/>
          <w:szCs w:val="16"/>
        </w:rPr>
        <w:t xml:space="preserve">tijdelijke regeling </w:t>
      </w:r>
      <w:r>
        <w:rPr>
          <w:sz w:val="16"/>
          <w:szCs w:val="16"/>
        </w:rPr>
        <w:t xml:space="preserve">in het </w:t>
      </w:r>
      <w:r w:rsidRPr="00EF4D74">
        <w:rPr>
          <w:sz w:val="16"/>
          <w:szCs w:val="16"/>
        </w:rPr>
        <w:t>najaar</w:t>
      </w:r>
      <w:r>
        <w:rPr>
          <w:sz w:val="16"/>
          <w:szCs w:val="16"/>
        </w:rPr>
        <w:t xml:space="preserve"> van 2024 in te dienen </w:t>
      </w:r>
      <w:r w:rsidRPr="00EF4D74">
        <w:rPr>
          <w:sz w:val="16"/>
          <w:szCs w:val="16"/>
        </w:rPr>
        <w:t>bij de Twee Kamer.</w:t>
      </w:r>
      <w:r>
        <w:rPr>
          <w:sz w:val="16"/>
          <w:szCs w:val="16"/>
        </w:rPr>
        <w:t xml:space="preserve"> In 2023 en 2024 worden huishoudens gecompenseerd door gemeenten met individuele bijzondere bijstand.</w:t>
      </w:r>
    </w:p>
  </w:footnote>
  <w:footnote w:id="16">
    <w:p w14:paraId="15C733E0" w14:textId="77777777" w:rsidR="00847A62" w:rsidRDefault="00847A62" w:rsidP="00847A62">
      <w:pPr>
        <w:pStyle w:val="Voetnoottekst"/>
      </w:pPr>
      <w:r w:rsidRPr="00F551F4">
        <w:rPr>
          <w:rStyle w:val="Voetnootmarkering"/>
          <w:sz w:val="16"/>
          <w:szCs w:val="16"/>
        </w:rPr>
        <w:footnoteRef/>
      </w:r>
      <w:r w:rsidRPr="00F551F4">
        <w:rPr>
          <w:sz w:val="16"/>
          <w:szCs w:val="16"/>
        </w:rPr>
        <w:t xml:space="preserve"> Algemene weduwen- en </w:t>
      </w:r>
      <w:proofErr w:type="spellStart"/>
      <w:r w:rsidRPr="00F551F4">
        <w:rPr>
          <w:sz w:val="16"/>
          <w:szCs w:val="16"/>
        </w:rPr>
        <w:t>wezenwet</w:t>
      </w:r>
      <w:proofErr w:type="spellEnd"/>
    </w:p>
  </w:footnote>
  <w:footnote w:id="17">
    <w:p w14:paraId="161DDEBC" w14:textId="77777777" w:rsidR="00847A62" w:rsidRDefault="00847A62" w:rsidP="00847A62">
      <w:pPr>
        <w:pStyle w:val="Voetnoottekst"/>
      </w:pPr>
      <w:r w:rsidRPr="00F551F4">
        <w:rPr>
          <w:rStyle w:val="Voetnootmarkering"/>
          <w:sz w:val="16"/>
          <w:szCs w:val="16"/>
        </w:rPr>
        <w:footnoteRef/>
      </w:r>
      <w:r w:rsidRPr="00F551F4">
        <w:rPr>
          <w:sz w:val="16"/>
          <w:szCs w:val="16"/>
        </w:rPr>
        <w:t xml:space="preserve"> Kamerstukken II 2023/23, 36410 IV, nr. 43</w:t>
      </w:r>
    </w:p>
  </w:footnote>
  <w:footnote w:id="18">
    <w:p w14:paraId="12F69B48" w14:textId="77777777" w:rsidR="00847A62" w:rsidRPr="00F551F4" w:rsidRDefault="00847A62" w:rsidP="00847A62">
      <w:pPr>
        <w:pStyle w:val="Voetnoottekst"/>
        <w:rPr>
          <w:sz w:val="16"/>
          <w:szCs w:val="16"/>
        </w:rPr>
      </w:pPr>
      <w:r w:rsidRPr="00F551F4">
        <w:rPr>
          <w:rStyle w:val="Voetnootmarkering"/>
          <w:sz w:val="16"/>
          <w:szCs w:val="16"/>
        </w:rPr>
        <w:footnoteRef/>
      </w:r>
      <w:r w:rsidRPr="00F551F4">
        <w:rPr>
          <w:sz w:val="16"/>
          <w:szCs w:val="16"/>
        </w:rPr>
        <w:t xml:space="preserve"> Wijziging van enkele belastingwetten en enige andere wetten (Belastingplan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FC97D" w14:textId="77777777" w:rsidR="00847A62" w:rsidRDefault="00847A6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72AA" w14:textId="77777777" w:rsidR="00847A62" w:rsidRDefault="00847A6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72CD" w14:textId="77777777" w:rsidR="00847A62" w:rsidRDefault="00847A62" w:rsidP="00211F78">
    <w:pPr>
      <w:pStyle w:val="Koptekst"/>
      <w:tabs>
        <w:tab w:val="center" w:pos="4536"/>
        <w:tab w:val="right" w:pos="9072"/>
      </w:tabs>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D66A40"/>
    <w:multiLevelType w:val="hybridMultilevel"/>
    <w:tmpl w:val="B8FE7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0731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A62"/>
    <w:rsid w:val="0002324C"/>
    <w:rsid w:val="00847A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4C6BF"/>
  <w15:chartTrackingRefBased/>
  <w15:docId w15:val="{8BC6406A-29A0-4C85-B1AF-26BC45C0A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7A62"/>
    <w:pPr>
      <w:autoSpaceDN w:val="0"/>
      <w:spacing w:after="0" w:line="240" w:lineRule="atLeast"/>
      <w:textAlignment w:val="baseline"/>
    </w:pPr>
    <w:rPr>
      <w:rFonts w:ascii="Verdana" w:eastAsia="DejaVu Sans" w:hAnsi="Verdana" w:cs="Lohit Hindi"/>
      <w:color w:val="000000"/>
      <w:kern w:val="0"/>
      <w:sz w:val="18"/>
      <w:szCs w:val="18"/>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847A62"/>
    <w:rPr>
      <w:color w:val="0563C1" w:themeColor="hyperlink"/>
      <w:u w:val="single"/>
    </w:rPr>
  </w:style>
  <w:style w:type="paragraph" w:styleId="Koptekst">
    <w:name w:val="header"/>
    <w:basedOn w:val="Standaard"/>
    <w:next w:val="Standaard"/>
    <w:link w:val="KoptekstChar"/>
    <w:uiPriority w:val="99"/>
    <w:rsid w:val="00847A62"/>
    <w:pPr>
      <w:spacing w:line="240" w:lineRule="exact"/>
    </w:pPr>
    <w:rPr>
      <w:sz w:val="22"/>
      <w:szCs w:val="22"/>
    </w:rPr>
  </w:style>
  <w:style w:type="character" w:customStyle="1" w:styleId="KoptekstChar">
    <w:name w:val="Koptekst Char"/>
    <w:basedOn w:val="Standaardalinea-lettertype"/>
    <w:link w:val="Koptekst"/>
    <w:uiPriority w:val="99"/>
    <w:rsid w:val="00847A62"/>
    <w:rPr>
      <w:rFonts w:ascii="Verdana" w:eastAsia="DejaVu Sans" w:hAnsi="Verdana" w:cs="Lohit Hindi"/>
      <w:color w:val="000000"/>
      <w:kern w:val="0"/>
      <w:lang w:eastAsia="nl-NL"/>
      <w14:ligatures w14:val="none"/>
    </w:rPr>
  </w:style>
  <w:style w:type="table" w:customStyle="1" w:styleId="Standaardtabelmetlijn">
    <w:name w:val="Standaardtabel met lijn"/>
    <w:rsid w:val="00847A62"/>
    <w:pPr>
      <w:autoSpaceDN w:val="0"/>
      <w:spacing w:after="0" w:line="240" w:lineRule="auto"/>
      <w:textAlignment w:val="baseline"/>
    </w:pPr>
    <w:rPr>
      <w:rFonts w:ascii="Verdana" w:eastAsia="DejaVu Sans" w:hAnsi="Verdana" w:cs="Lohit Hindi"/>
      <w:color w:val="000000"/>
      <w:kern w:val="0"/>
      <w:sz w:val="18"/>
      <w:szCs w:val="18"/>
      <w:lang w:eastAsia="nl-NL"/>
      <w14:ligatures w14:val="none"/>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styleId="Voettekst">
    <w:name w:val="footer"/>
    <w:basedOn w:val="Standaard"/>
    <w:next w:val="Standaard"/>
    <w:link w:val="VoettekstChar"/>
    <w:rsid w:val="00847A62"/>
    <w:pPr>
      <w:spacing w:line="180" w:lineRule="exact"/>
    </w:pPr>
    <w:rPr>
      <w:sz w:val="13"/>
      <w:szCs w:val="13"/>
    </w:rPr>
  </w:style>
  <w:style w:type="character" w:customStyle="1" w:styleId="VoettekstChar">
    <w:name w:val="Voettekst Char"/>
    <w:basedOn w:val="Standaardalinea-lettertype"/>
    <w:link w:val="Voettekst"/>
    <w:rsid w:val="00847A62"/>
    <w:rPr>
      <w:rFonts w:ascii="Verdana" w:eastAsia="DejaVu Sans" w:hAnsi="Verdana" w:cs="Lohit Hindi"/>
      <w:color w:val="000000"/>
      <w:kern w:val="0"/>
      <w:sz w:val="13"/>
      <w:szCs w:val="13"/>
      <w:lang w:eastAsia="nl-NL"/>
      <w14:ligatures w14:val="none"/>
    </w:rPr>
  </w:style>
  <w:style w:type="paragraph" w:styleId="Lijstalinea">
    <w:name w:val="List Paragraph"/>
    <w:basedOn w:val="Standaard"/>
    <w:uiPriority w:val="34"/>
    <w:qFormat/>
    <w:rsid w:val="00847A62"/>
    <w:pPr>
      <w:autoSpaceDN/>
      <w:spacing w:after="160" w:line="259" w:lineRule="auto"/>
      <w:ind w:left="720"/>
      <w:contextualSpacing/>
      <w:textAlignment w:val="auto"/>
    </w:pPr>
    <w:rPr>
      <w:rFonts w:eastAsiaTheme="minorHAnsi" w:cstheme="minorBidi"/>
      <w:color w:val="auto"/>
      <w:szCs w:val="22"/>
      <w:lang w:val="en-US" w:eastAsia="en-US"/>
    </w:rPr>
  </w:style>
  <w:style w:type="character" w:styleId="Voetnootmarkering">
    <w:name w:val="footnote reference"/>
    <w:basedOn w:val="Standaardalinea-lettertype"/>
    <w:uiPriority w:val="99"/>
    <w:semiHidden/>
    <w:unhideWhenUsed/>
    <w:rsid w:val="00847A62"/>
    <w:rPr>
      <w:vertAlign w:val="superscript"/>
    </w:rPr>
  </w:style>
  <w:style w:type="character" w:customStyle="1" w:styleId="VoetnoottekstChar">
    <w:name w:val="Voetnoottekst Char"/>
    <w:basedOn w:val="Standaardalinea-lettertype"/>
    <w:link w:val="Voetnoottekst"/>
    <w:uiPriority w:val="99"/>
    <w:semiHidden/>
    <w:rsid w:val="00847A62"/>
    <w:rPr>
      <w:sz w:val="20"/>
      <w:szCs w:val="20"/>
    </w:rPr>
  </w:style>
  <w:style w:type="paragraph" w:styleId="Voetnoottekst">
    <w:name w:val="footnote text"/>
    <w:basedOn w:val="Standaard"/>
    <w:link w:val="VoetnoottekstChar"/>
    <w:uiPriority w:val="99"/>
    <w:semiHidden/>
    <w:unhideWhenUsed/>
    <w:rsid w:val="00847A62"/>
    <w:pPr>
      <w:spacing w:line="240" w:lineRule="auto"/>
    </w:pPr>
    <w:rPr>
      <w:rFonts w:asciiTheme="minorHAnsi" w:eastAsiaTheme="minorHAnsi" w:hAnsiTheme="minorHAnsi" w:cstheme="minorBidi"/>
      <w:color w:val="auto"/>
      <w:kern w:val="2"/>
      <w:sz w:val="20"/>
      <w:szCs w:val="20"/>
      <w:lang w:eastAsia="en-US"/>
      <w14:ligatures w14:val="standardContextual"/>
    </w:rPr>
  </w:style>
  <w:style w:type="character" w:customStyle="1" w:styleId="VoetnoottekstChar1">
    <w:name w:val="Voetnoottekst Char1"/>
    <w:basedOn w:val="Standaardalinea-lettertype"/>
    <w:uiPriority w:val="99"/>
    <w:semiHidden/>
    <w:rsid w:val="00847A62"/>
    <w:rPr>
      <w:rFonts w:ascii="Verdana" w:eastAsia="DejaVu Sans" w:hAnsi="Verdana" w:cs="Lohit Hindi"/>
      <w:color w:val="000000"/>
      <w:kern w:val="0"/>
      <w:sz w:val="20"/>
      <w:szCs w:val="20"/>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longreads.cbs.nl/armoede-en-sociale-uitsluiting-2023/risico-op-armoede-bij-huishoudens/" TargetMode="External"/><Relationship Id="rId1" Type="http://schemas.openxmlformats.org/officeDocument/2006/relationships/hyperlink" Target="https://www.kabinetsformatie2023.nl/documenten/publicaties/2024/05/16/hoofdlijnenakkoord-tussen-de-fracties-van-pvv-vvd-nsc-en-bbb"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H:\Mijn%20documenten\PFS-Financiering\Vaststellen%20normbedragen\2024%20Wetsvoorstel%20bevriezing%20afbouw%20dubbele%20AHK%202025-2027\Analyse\2024-07-10%20Grafiek%20AH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H:\Mijn%20documenten\PFS-Financiering\Vaststellen%20normbedragen\2024%20Wetsvoorstel%20bevriezing%20afbouw%20dubbele%20AHK%202025-2027\Analyse\Kopie%20van%202024-08-04%20Grafiek%20AHK.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800">
                <a:latin typeface="Verdana" panose="020B0604030504040204" pitchFamily="34" charset="0"/>
                <a:ea typeface="Verdana" panose="020B0604030504040204" pitchFamily="34" charset="0"/>
              </a:rPr>
              <a:t>Figuur 1. Dubbele</a:t>
            </a:r>
            <a:r>
              <a:rPr lang="nl-NL" sz="800" baseline="0">
                <a:latin typeface="Verdana" panose="020B0604030504040204" pitchFamily="34" charset="0"/>
                <a:ea typeface="Verdana" panose="020B0604030504040204" pitchFamily="34" charset="0"/>
              </a:rPr>
              <a:t> algemene heffingskorting in het referentieminimumloon</a:t>
            </a:r>
            <a:endParaRPr lang="nl-NL" sz="8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autoTitleDeleted val="0"/>
    <c:plotArea>
      <c:layout/>
      <c:lineChart>
        <c:grouping val="standard"/>
        <c:varyColors val="0"/>
        <c:ser>
          <c:idx val="2"/>
          <c:order val="0"/>
          <c:tx>
            <c:strRef>
              <c:f>MvT!$G$1</c:f>
              <c:strCache>
                <c:ptCount val="1"/>
                <c:pt idx="0">
                  <c:v>Pad 2012</c:v>
                </c:pt>
              </c:strCache>
            </c:strRef>
          </c:tx>
          <c:spPr>
            <a:ln w="28575" cap="rnd">
              <a:solidFill>
                <a:schemeClr val="accent3"/>
              </a:solidFill>
              <a:prstDash val="sysDot"/>
              <a:round/>
            </a:ln>
            <a:effectLst/>
          </c:spPr>
          <c:marker>
            <c:symbol val="none"/>
          </c:marker>
          <c:cat>
            <c:numRef>
              <c:f>MvT!$C$8:$C$67</c:f>
              <c:numCache>
                <c:formatCode>General</c:formatCode>
                <c:ptCount val="60"/>
                <c:pt idx="0">
                  <c:v>2011</c:v>
                </c:pt>
                <c:pt idx="1">
                  <c:v>2011</c:v>
                </c:pt>
                <c:pt idx="2">
                  <c:v>2012</c:v>
                </c:pt>
                <c:pt idx="3">
                  <c:v>2012</c:v>
                </c:pt>
                <c:pt idx="4">
                  <c:v>2013</c:v>
                </c:pt>
                <c:pt idx="5">
                  <c:v>2013</c:v>
                </c:pt>
                <c:pt idx="6">
                  <c:v>2014</c:v>
                </c:pt>
                <c:pt idx="8">
                  <c:v>2015</c:v>
                </c:pt>
                <c:pt idx="10">
                  <c:v>2016</c:v>
                </c:pt>
                <c:pt idx="12">
                  <c:v>2017</c:v>
                </c:pt>
                <c:pt idx="14">
                  <c:v>2018</c:v>
                </c:pt>
                <c:pt idx="16">
                  <c:v>2019</c:v>
                </c:pt>
                <c:pt idx="18">
                  <c:v>2020</c:v>
                </c:pt>
                <c:pt idx="20">
                  <c:v>2021</c:v>
                </c:pt>
                <c:pt idx="22">
                  <c:v>2022</c:v>
                </c:pt>
                <c:pt idx="24">
                  <c:v>2023</c:v>
                </c:pt>
                <c:pt idx="26">
                  <c:v>2024</c:v>
                </c:pt>
                <c:pt idx="28">
                  <c:v>2025</c:v>
                </c:pt>
                <c:pt idx="30">
                  <c:v>2026</c:v>
                </c:pt>
                <c:pt idx="32">
                  <c:v>2027</c:v>
                </c:pt>
                <c:pt idx="34">
                  <c:v>2028</c:v>
                </c:pt>
                <c:pt idx="36">
                  <c:v>2029</c:v>
                </c:pt>
                <c:pt idx="38">
                  <c:v>2030</c:v>
                </c:pt>
                <c:pt idx="40">
                  <c:v>2031</c:v>
                </c:pt>
                <c:pt idx="42">
                  <c:v>2032</c:v>
                </c:pt>
                <c:pt idx="44">
                  <c:v>2033</c:v>
                </c:pt>
                <c:pt idx="46">
                  <c:v>2034</c:v>
                </c:pt>
                <c:pt idx="48">
                  <c:v>2035</c:v>
                </c:pt>
                <c:pt idx="50">
                  <c:v>2036</c:v>
                </c:pt>
                <c:pt idx="52">
                  <c:v>2037</c:v>
                </c:pt>
                <c:pt idx="54">
                  <c:v>2038</c:v>
                </c:pt>
                <c:pt idx="56">
                  <c:v>2039</c:v>
                </c:pt>
                <c:pt idx="58">
                  <c:v>2040</c:v>
                </c:pt>
              </c:numCache>
            </c:numRef>
          </c:cat>
          <c:val>
            <c:numRef>
              <c:f>MvT!$G$8:$G$63</c:f>
              <c:numCache>
                <c:formatCode>0%</c:formatCode>
                <c:ptCount val="56"/>
                <c:pt idx="0">
                  <c:v>2</c:v>
                </c:pt>
                <c:pt idx="1">
                  <c:v>2</c:v>
                </c:pt>
                <c:pt idx="2">
                  <c:v>1.9750000000000001</c:v>
                </c:pt>
                <c:pt idx="3">
                  <c:v>1.9500000000000002</c:v>
                </c:pt>
                <c:pt idx="4">
                  <c:v>1.9250000000000003</c:v>
                </c:pt>
                <c:pt idx="5">
                  <c:v>1.9000000000000004</c:v>
                </c:pt>
                <c:pt idx="6">
                  <c:v>1.8750000000000004</c:v>
                </c:pt>
                <c:pt idx="7">
                  <c:v>1.8500000000000005</c:v>
                </c:pt>
                <c:pt idx="8">
                  <c:v>1.8250000000000006</c:v>
                </c:pt>
                <c:pt idx="9">
                  <c:v>1.8000000000000007</c:v>
                </c:pt>
                <c:pt idx="10">
                  <c:v>1.7750000000000008</c:v>
                </c:pt>
                <c:pt idx="11">
                  <c:v>1.7500000000000009</c:v>
                </c:pt>
                <c:pt idx="12">
                  <c:v>1.725000000000001</c:v>
                </c:pt>
                <c:pt idx="13">
                  <c:v>1.7000000000000011</c:v>
                </c:pt>
                <c:pt idx="14">
                  <c:v>1.6750000000000012</c:v>
                </c:pt>
                <c:pt idx="15">
                  <c:v>1.6500000000000012</c:v>
                </c:pt>
                <c:pt idx="16">
                  <c:v>1.6250000000000013</c:v>
                </c:pt>
                <c:pt idx="17">
                  <c:v>1.6000000000000014</c:v>
                </c:pt>
                <c:pt idx="18">
                  <c:v>1.5750000000000015</c:v>
                </c:pt>
                <c:pt idx="19">
                  <c:v>1.5500000000000016</c:v>
                </c:pt>
                <c:pt idx="20">
                  <c:v>1.5250000000000017</c:v>
                </c:pt>
                <c:pt idx="21">
                  <c:v>1.5000000000000018</c:v>
                </c:pt>
                <c:pt idx="22">
                  <c:v>1.4750000000000019</c:v>
                </c:pt>
                <c:pt idx="23">
                  <c:v>1.450000000000002</c:v>
                </c:pt>
                <c:pt idx="24">
                  <c:v>1.425000000000002</c:v>
                </c:pt>
                <c:pt idx="25">
                  <c:v>1.4000000000000021</c:v>
                </c:pt>
                <c:pt idx="26">
                  <c:v>1.3750000000000022</c:v>
                </c:pt>
                <c:pt idx="27">
                  <c:v>1.3500000000000023</c:v>
                </c:pt>
                <c:pt idx="28">
                  <c:v>1.3250000000000024</c:v>
                </c:pt>
                <c:pt idx="29">
                  <c:v>1.3000000000000025</c:v>
                </c:pt>
                <c:pt idx="30">
                  <c:v>1.2750000000000026</c:v>
                </c:pt>
                <c:pt idx="31">
                  <c:v>1.2500000000000027</c:v>
                </c:pt>
                <c:pt idx="32">
                  <c:v>1.2250000000000028</c:v>
                </c:pt>
                <c:pt idx="33">
                  <c:v>1.2000000000000028</c:v>
                </c:pt>
                <c:pt idx="34">
                  <c:v>1.1750000000000029</c:v>
                </c:pt>
                <c:pt idx="35">
                  <c:v>1.150000000000003</c:v>
                </c:pt>
                <c:pt idx="36">
                  <c:v>1.1250000000000031</c:v>
                </c:pt>
                <c:pt idx="37">
                  <c:v>1.1000000000000032</c:v>
                </c:pt>
                <c:pt idx="38">
                  <c:v>1.0750000000000033</c:v>
                </c:pt>
                <c:pt idx="39">
                  <c:v>1.0500000000000034</c:v>
                </c:pt>
                <c:pt idx="40">
                  <c:v>1.0250000000000035</c:v>
                </c:pt>
                <c:pt idx="41">
                  <c:v>1.0000000000000036</c:v>
                </c:pt>
                <c:pt idx="42">
                  <c:v>1.0000000000000036</c:v>
                </c:pt>
                <c:pt idx="43">
                  <c:v>1.0000000000000036</c:v>
                </c:pt>
                <c:pt idx="44">
                  <c:v>1.0000000000000036</c:v>
                </c:pt>
                <c:pt idx="45">
                  <c:v>1.0000000000000036</c:v>
                </c:pt>
                <c:pt idx="46">
                  <c:v>1.0000000000000036</c:v>
                </c:pt>
                <c:pt idx="47">
                  <c:v>1.0000000000000036</c:v>
                </c:pt>
                <c:pt idx="48">
                  <c:v>1.0000000000000036</c:v>
                </c:pt>
                <c:pt idx="49">
                  <c:v>1.0000000000000036</c:v>
                </c:pt>
                <c:pt idx="50">
                  <c:v>1.0000000000000036</c:v>
                </c:pt>
                <c:pt idx="51">
                  <c:v>1.0000000000000036</c:v>
                </c:pt>
                <c:pt idx="52">
                  <c:v>1.0000000000000036</c:v>
                </c:pt>
                <c:pt idx="53">
                  <c:v>1.0000000000000036</c:v>
                </c:pt>
                <c:pt idx="54">
                  <c:v>1.0000000000000036</c:v>
                </c:pt>
                <c:pt idx="55">
                  <c:v>1.0000000000000036</c:v>
                </c:pt>
              </c:numCache>
            </c:numRef>
          </c:val>
          <c:smooth val="0"/>
          <c:extLst>
            <c:ext xmlns:c16="http://schemas.microsoft.com/office/drawing/2014/chart" uri="{C3380CC4-5D6E-409C-BE32-E72D297353CC}">
              <c16:uniqueId val="{00000000-2772-4A48-95D0-6D55ACEB20D7}"/>
            </c:ext>
          </c:extLst>
        </c:ser>
        <c:ser>
          <c:idx val="1"/>
          <c:order val="1"/>
          <c:tx>
            <c:strRef>
              <c:f>MvT!$F$1</c:f>
              <c:strCache>
                <c:ptCount val="1"/>
                <c:pt idx="0">
                  <c:v>Voorgesteld</c:v>
                </c:pt>
              </c:strCache>
            </c:strRef>
          </c:tx>
          <c:spPr>
            <a:ln w="28575" cap="rnd">
              <a:solidFill>
                <a:schemeClr val="accent2"/>
              </a:solidFill>
              <a:prstDash val="dash"/>
              <a:round/>
            </a:ln>
            <a:effectLst/>
          </c:spPr>
          <c:marker>
            <c:symbol val="none"/>
          </c:marker>
          <c:cat>
            <c:numRef>
              <c:f>MvT!$C$8:$C$67</c:f>
              <c:numCache>
                <c:formatCode>General</c:formatCode>
                <c:ptCount val="60"/>
                <c:pt idx="0">
                  <c:v>2011</c:v>
                </c:pt>
                <c:pt idx="1">
                  <c:v>2011</c:v>
                </c:pt>
                <c:pt idx="2">
                  <c:v>2012</c:v>
                </c:pt>
                <c:pt idx="3">
                  <c:v>2012</c:v>
                </c:pt>
                <c:pt idx="4">
                  <c:v>2013</c:v>
                </c:pt>
                <c:pt idx="5">
                  <c:v>2013</c:v>
                </c:pt>
                <c:pt idx="6">
                  <c:v>2014</c:v>
                </c:pt>
                <c:pt idx="8">
                  <c:v>2015</c:v>
                </c:pt>
                <c:pt idx="10">
                  <c:v>2016</c:v>
                </c:pt>
                <c:pt idx="12">
                  <c:v>2017</c:v>
                </c:pt>
                <c:pt idx="14">
                  <c:v>2018</c:v>
                </c:pt>
                <c:pt idx="16">
                  <c:v>2019</c:v>
                </c:pt>
                <c:pt idx="18">
                  <c:v>2020</c:v>
                </c:pt>
                <c:pt idx="20">
                  <c:v>2021</c:v>
                </c:pt>
                <c:pt idx="22">
                  <c:v>2022</c:v>
                </c:pt>
                <c:pt idx="24">
                  <c:v>2023</c:v>
                </c:pt>
                <c:pt idx="26">
                  <c:v>2024</c:v>
                </c:pt>
                <c:pt idx="28">
                  <c:v>2025</c:v>
                </c:pt>
                <c:pt idx="30">
                  <c:v>2026</c:v>
                </c:pt>
                <c:pt idx="32">
                  <c:v>2027</c:v>
                </c:pt>
                <c:pt idx="34">
                  <c:v>2028</c:v>
                </c:pt>
                <c:pt idx="36">
                  <c:v>2029</c:v>
                </c:pt>
                <c:pt idx="38">
                  <c:v>2030</c:v>
                </c:pt>
                <c:pt idx="40">
                  <c:v>2031</c:v>
                </c:pt>
                <c:pt idx="42">
                  <c:v>2032</c:v>
                </c:pt>
                <c:pt idx="44">
                  <c:v>2033</c:v>
                </c:pt>
                <c:pt idx="46">
                  <c:v>2034</c:v>
                </c:pt>
                <c:pt idx="48">
                  <c:v>2035</c:v>
                </c:pt>
                <c:pt idx="50">
                  <c:v>2036</c:v>
                </c:pt>
                <c:pt idx="52">
                  <c:v>2037</c:v>
                </c:pt>
                <c:pt idx="54">
                  <c:v>2038</c:v>
                </c:pt>
                <c:pt idx="56">
                  <c:v>2039</c:v>
                </c:pt>
                <c:pt idx="58">
                  <c:v>2040</c:v>
                </c:pt>
              </c:numCache>
            </c:numRef>
          </c:cat>
          <c:val>
            <c:numRef>
              <c:f>MvT!$F$8:$F$67</c:f>
              <c:numCache>
                <c:formatCode>0.00%</c:formatCode>
                <c:ptCount val="60"/>
                <c:pt idx="0">
                  <c:v>2</c:v>
                </c:pt>
                <c:pt idx="1">
                  <c:v>2</c:v>
                </c:pt>
                <c:pt idx="2">
                  <c:v>1.9750000000000001</c:v>
                </c:pt>
                <c:pt idx="3">
                  <c:v>1.95</c:v>
                </c:pt>
                <c:pt idx="4">
                  <c:v>1.925</c:v>
                </c:pt>
                <c:pt idx="5">
                  <c:v>1.9</c:v>
                </c:pt>
                <c:pt idx="6">
                  <c:v>1.8875</c:v>
                </c:pt>
                <c:pt idx="7">
                  <c:v>1.875</c:v>
                </c:pt>
                <c:pt idx="8">
                  <c:v>1.8625</c:v>
                </c:pt>
                <c:pt idx="9">
                  <c:v>1.85</c:v>
                </c:pt>
                <c:pt idx="10">
                  <c:v>1.8374999999999999</c:v>
                </c:pt>
                <c:pt idx="11">
                  <c:v>1.825</c:v>
                </c:pt>
                <c:pt idx="12">
                  <c:v>1.8125</c:v>
                </c:pt>
                <c:pt idx="13">
                  <c:v>1.8</c:v>
                </c:pt>
                <c:pt idx="14">
                  <c:v>1.7875000000000001</c:v>
                </c:pt>
                <c:pt idx="15">
                  <c:v>1.7749999999999999</c:v>
                </c:pt>
                <c:pt idx="16">
                  <c:v>1.7562500000000001</c:v>
                </c:pt>
                <c:pt idx="17">
                  <c:v>1.7375</c:v>
                </c:pt>
                <c:pt idx="18">
                  <c:v>1.71875</c:v>
                </c:pt>
                <c:pt idx="19">
                  <c:v>1.7</c:v>
                </c:pt>
                <c:pt idx="20">
                  <c:v>1.6812499999999999</c:v>
                </c:pt>
                <c:pt idx="21">
                  <c:v>1.6625000000000001</c:v>
                </c:pt>
                <c:pt idx="22">
                  <c:v>1.64375</c:v>
                </c:pt>
                <c:pt idx="23">
                  <c:v>1.625</c:v>
                </c:pt>
                <c:pt idx="24">
                  <c:v>1.6</c:v>
                </c:pt>
                <c:pt idx="25">
                  <c:v>1.575</c:v>
                </c:pt>
                <c:pt idx="26">
                  <c:v>1.575</c:v>
                </c:pt>
                <c:pt idx="27">
                  <c:v>1.575</c:v>
                </c:pt>
                <c:pt idx="28">
                  <c:v>1.575</c:v>
                </c:pt>
                <c:pt idx="29">
                  <c:v>1.575</c:v>
                </c:pt>
                <c:pt idx="30">
                  <c:v>1.575</c:v>
                </c:pt>
                <c:pt idx="31">
                  <c:v>1.575</c:v>
                </c:pt>
                <c:pt idx="32">
                  <c:v>1.575</c:v>
                </c:pt>
                <c:pt idx="33">
                  <c:v>1.575</c:v>
                </c:pt>
                <c:pt idx="34">
                  <c:v>1.55</c:v>
                </c:pt>
                <c:pt idx="35">
                  <c:v>1.5250000000000001</c:v>
                </c:pt>
                <c:pt idx="36">
                  <c:v>1.5000000000000002</c:v>
                </c:pt>
                <c:pt idx="37">
                  <c:v>1.4750000000000003</c:v>
                </c:pt>
                <c:pt idx="38">
                  <c:v>1.4500000000000004</c:v>
                </c:pt>
                <c:pt idx="39">
                  <c:v>1.4250000000000005</c:v>
                </c:pt>
                <c:pt idx="40">
                  <c:v>1.4000000000000006</c:v>
                </c:pt>
                <c:pt idx="41">
                  <c:v>1.3750000000000007</c:v>
                </c:pt>
                <c:pt idx="42">
                  <c:v>1.3500000000000008</c:v>
                </c:pt>
                <c:pt idx="43">
                  <c:v>1.3250000000000008</c:v>
                </c:pt>
                <c:pt idx="44">
                  <c:v>1.3000000000000009</c:v>
                </c:pt>
                <c:pt idx="45">
                  <c:v>1.275000000000001</c:v>
                </c:pt>
                <c:pt idx="46">
                  <c:v>1.2500000000000011</c:v>
                </c:pt>
                <c:pt idx="47">
                  <c:v>1.2250000000000012</c:v>
                </c:pt>
                <c:pt idx="48">
                  <c:v>1.2000000000000013</c:v>
                </c:pt>
                <c:pt idx="49">
                  <c:v>1.1750000000000014</c:v>
                </c:pt>
                <c:pt idx="50">
                  <c:v>1.1500000000000015</c:v>
                </c:pt>
                <c:pt idx="51">
                  <c:v>1.1250000000000016</c:v>
                </c:pt>
                <c:pt idx="52">
                  <c:v>1.1000000000000016</c:v>
                </c:pt>
                <c:pt idx="53">
                  <c:v>1.0750000000000017</c:v>
                </c:pt>
                <c:pt idx="54">
                  <c:v>1.0500000000000018</c:v>
                </c:pt>
                <c:pt idx="55">
                  <c:v>1.0250000000000019</c:v>
                </c:pt>
                <c:pt idx="56">
                  <c:v>1.000000000000002</c:v>
                </c:pt>
                <c:pt idx="57">
                  <c:v>1.000000000000002</c:v>
                </c:pt>
                <c:pt idx="58">
                  <c:v>1.000000000000002</c:v>
                </c:pt>
                <c:pt idx="59">
                  <c:v>1.000000000000002</c:v>
                </c:pt>
              </c:numCache>
            </c:numRef>
          </c:val>
          <c:smooth val="0"/>
          <c:extLst>
            <c:ext xmlns:c16="http://schemas.microsoft.com/office/drawing/2014/chart" uri="{C3380CC4-5D6E-409C-BE32-E72D297353CC}">
              <c16:uniqueId val="{00000001-2772-4A48-95D0-6D55ACEB20D7}"/>
            </c:ext>
          </c:extLst>
        </c:ser>
        <c:ser>
          <c:idx val="0"/>
          <c:order val="2"/>
          <c:tx>
            <c:strRef>
              <c:f>MvT!$E$1</c:f>
              <c:strCache>
                <c:ptCount val="1"/>
                <c:pt idx="0">
                  <c:v>Basispad</c:v>
                </c:pt>
              </c:strCache>
            </c:strRef>
          </c:tx>
          <c:spPr>
            <a:ln w="28575" cap="rnd">
              <a:solidFill>
                <a:schemeClr val="accent1"/>
              </a:solidFill>
              <a:round/>
            </a:ln>
            <a:effectLst/>
          </c:spPr>
          <c:marker>
            <c:symbol val="none"/>
          </c:marker>
          <c:cat>
            <c:numRef>
              <c:f>MvT!$C$8:$C$67</c:f>
              <c:numCache>
                <c:formatCode>General</c:formatCode>
                <c:ptCount val="60"/>
                <c:pt idx="0">
                  <c:v>2011</c:v>
                </c:pt>
                <c:pt idx="1">
                  <c:v>2011</c:v>
                </c:pt>
                <c:pt idx="2">
                  <c:v>2012</c:v>
                </c:pt>
                <c:pt idx="3">
                  <c:v>2012</c:v>
                </c:pt>
                <c:pt idx="4">
                  <c:v>2013</c:v>
                </c:pt>
                <c:pt idx="5">
                  <c:v>2013</c:v>
                </c:pt>
                <c:pt idx="6">
                  <c:v>2014</c:v>
                </c:pt>
                <c:pt idx="8">
                  <c:v>2015</c:v>
                </c:pt>
                <c:pt idx="10">
                  <c:v>2016</c:v>
                </c:pt>
                <c:pt idx="12">
                  <c:v>2017</c:v>
                </c:pt>
                <c:pt idx="14">
                  <c:v>2018</c:v>
                </c:pt>
                <c:pt idx="16">
                  <c:v>2019</c:v>
                </c:pt>
                <c:pt idx="18">
                  <c:v>2020</c:v>
                </c:pt>
                <c:pt idx="20">
                  <c:v>2021</c:v>
                </c:pt>
                <c:pt idx="22">
                  <c:v>2022</c:v>
                </c:pt>
                <c:pt idx="24">
                  <c:v>2023</c:v>
                </c:pt>
                <c:pt idx="26">
                  <c:v>2024</c:v>
                </c:pt>
                <c:pt idx="28">
                  <c:v>2025</c:v>
                </c:pt>
                <c:pt idx="30">
                  <c:v>2026</c:v>
                </c:pt>
                <c:pt idx="32">
                  <c:v>2027</c:v>
                </c:pt>
                <c:pt idx="34">
                  <c:v>2028</c:v>
                </c:pt>
                <c:pt idx="36">
                  <c:v>2029</c:v>
                </c:pt>
                <c:pt idx="38">
                  <c:v>2030</c:v>
                </c:pt>
                <c:pt idx="40">
                  <c:v>2031</c:v>
                </c:pt>
                <c:pt idx="42">
                  <c:v>2032</c:v>
                </c:pt>
                <c:pt idx="44">
                  <c:v>2033</c:v>
                </c:pt>
                <c:pt idx="46">
                  <c:v>2034</c:v>
                </c:pt>
                <c:pt idx="48">
                  <c:v>2035</c:v>
                </c:pt>
                <c:pt idx="50">
                  <c:v>2036</c:v>
                </c:pt>
                <c:pt idx="52">
                  <c:v>2037</c:v>
                </c:pt>
                <c:pt idx="54">
                  <c:v>2038</c:v>
                </c:pt>
                <c:pt idx="56">
                  <c:v>2039</c:v>
                </c:pt>
                <c:pt idx="58">
                  <c:v>2040</c:v>
                </c:pt>
              </c:numCache>
            </c:numRef>
          </c:cat>
          <c:val>
            <c:numRef>
              <c:f>MvT!$E$8:$E$67</c:f>
              <c:numCache>
                <c:formatCode>0.00%</c:formatCode>
                <c:ptCount val="60"/>
                <c:pt idx="0">
                  <c:v>2</c:v>
                </c:pt>
                <c:pt idx="1">
                  <c:v>2</c:v>
                </c:pt>
                <c:pt idx="2">
                  <c:v>1.9750000000000001</c:v>
                </c:pt>
                <c:pt idx="3">
                  <c:v>1.95</c:v>
                </c:pt>
                <c:pt idx="4">
                  <c:v>1.925</c:v>
                </c:pt>
                <c:pt idx="5">
                  <c:v>1.9</c:v>
                </c:pt>
                <c:pt idx="6">
                  <c:v>1.8875</c:v>
                </c:pt>
                <c:pt idx="7">
                  <c:v>1.875</c:v>
                </c:pt>
                <c:pt idx="8">
                  <c:v>1.8625</c:v>
                </c:pt>
                <c:pt idx="9">
                  <c:v>1.85</c:v>
                </c:pt>
                <c:pt idx="10">
                  <c:v>1.8374999999999999</c:v>
                </c:pt>
                <c:pt idx="11">
                  <c:v>1.825</c:v>
                </c:pt>
                <c:pt idx="12">
                  <c:v>1.8125</c:v>
                </c:pt>
                <c:pt idx="13">
                  <c:v>1.8</c:v>
                </c:pt>
                <c:pt idx="14">
                  <c:v>1.7875000000000001</c:v>
                </c:pt>
                <c:pt idx="15">
                  <c:v>1.7749999999999999</c:v>
                </c:pt>
                <c:pt idx="16">
                  <c:v>1.7562500000000001</c:v>
                </c:pt>
                <c:pt idx="17">
                  <c:v>1.7375</c:v>
                </c:pt>
                <c:pt idx="18">
                  <c:v>1.71875</c:v>
                </c:pt>
                <c:pt idx="19">
                  <c:v>1.7</c:v>
                </c:pt>
                <c:pt idx="20">
                  <c:v>1.6812499999999999</c:v>
                </c:pt>
                <c:pt idx="21">
                  <c:v>1.6625000000000001</c:v>
                </c:pt>
                <c:pt idx="22">
                  <c:v>1.64375</c:v>
                </c:pt>
                <c:pt idx="23">
                  <c:v>1.625</c:v>
                </c:pt>
                <c:pt idx="24">
                  <c:v>1.6</c:v>
                </c:pt>
                <c:pt idx="25">
                  <c:v>1.575</c:v>
                </c:pt>
                <c:pt idx="26">
                  <c:v>1.575</c:v>
                </c:pt>
                <c:pt idx="27">
                  <c:v>1.575</c:v>
                </c:pt>
                <c:pt idx="28">
                  <c:v>1.55</c:v>
                </c:pt>
                <c:pt idx="29">
                  <c:v>1.5250000000000001</c:v>
                </c:pt>
                <c:pt idx="30">
                  <c:v>1.5000000000000002</c:v>
                </c:pt>
                <c:pt idx="31">
                  <c:v>1.4750000000000003</c:v>
                </c:pt>
                <c:pt idx="32">
                  <c:v>1.4500000000000004</c:v>
                </c:pt>
                <c:pt idx="33">
                  <c:v>1.4250000000000005</c:v>
                </c:pt>
                <c:pt idx="34">
                  <c:v>1.4000000000000006</c:v>
                </c:pt>
                <c:pt idx="35">
                  <c:v>1.3750000000000007</c:v>
                </c:pt>
                <c:pt idx="36">
                  <c:v>1.3500000000000008</c:v>
                </c:pt>
                <c:pt idx="37">
                  <c:v>1.3250000000000008</c:v>
                </c:pt>
                <c:pt idx="38">
                  <c:v>1.3000000000000009</c:v>
                </c:pt>
                <c:pt idx="39">
                  <c:v>1.275000000000001</c:v>
                </c:pt>
                <c:pt idx="40">
                  <c:v>1.2500000000000011</c:v>
                </c:pt>
                <c:pt idx="41">
                  <c:v>1.2250000000000012</c:v>
                </c:pt>
                <c:pt idx="42">
                  <c:v>1.2000000000000013</c:v>
                </c:pt>
                <c:pt idx="43">
                  <c:v>1.1750000000000014</c:v>
                </c:pt>
                <c:pt idx="44">
                  <c:v>1.1500000000000015</c:v>
                </c:pt>
                <c:pt idx="45">
                  <c:v>1.1250000000000016</c:v>
                </c:pt>
                <c:pt idx="46">
                  <c:v>1.1000000000000016</c:v>
                </c:pt>
                <c:pt idx="47">
                  <c:v>1.0750000000000017</c:v>
                </c:pt>
                <c:pt idx="48">
                  <c:v>1.0500000000000018</c:v>
                </c:pt>
                <c:pt idx="49">
                  <c:v>1.0250000000000019</c:v>
                </c:pt>
                <c:pt idx="50">
                  <c:v>1.000000000000002</c:v>
                </c:pt>
                <c:pt idx="51">
                  <c:v>1.000000000000002</c:v>
                </c:pt>
                <c:pt idx="52">
                  <c:v>1.000000000000002</c:v>
                </c:pt>
                <c:pt idx="53">
                  <c:v>1.000000000000002</c:v>
                </c:pt>
                <c:pt idx="54">
                  <c:v>1.000000000000002</c:v>
                </c:pt>
                <c:pt idx="55">
                  <c:v>1.000000000000002</c:v>
                </c:pt>
                <c:pt idx="56">
                  <c:v>1.000000000000002</c:v>
                </c:pt>
              </c:numCache>
            </c:numRef>
          </c:val>
          <c:smooth val="0"/>
          <c:extLst>
            <c:ext xmlns:c16="http://schemas.microsoft.com/office/drawing/2014/chart" uri="{C3380CC4-5D6E-409C-BE32-E72D297353CC}">
              <c16:uniqueId val="{00000002-2772-4A48-95D0-6D55ACEB20D7}"/>
            </c:ext>
          </c:extLst>
        </c:ser>
        <c:dLbls>
          <c:showLegendKey val="0"/>
          <c:showVal val="0"/>
          <c:showCatName val="0"/>
          <c:showSerName val="0"/>
          <c:showPercent val="0"/>
          <c:showBubbleSize val="0"/>
        </c:dLbls>
        <c:smooth val="0"/>
        <c:axId val="1227077536"/>
        <c:axId val="1406226144"/>
      </c:lineChart>
      <c:catAx>
        <c:axId val="122707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406226144"/>
        <c:crosses val="autoZero"/>
        <c:auto val="1"/>
        <c:lblAlgn val="ctr"/>
        <c:lblOffset val="100"/>
        <c:tickLblSkip val="4"/>
        <c:noMultiLvlLbl val="0"/>
      </c:catAx>
      <c:valAx>
        <c:axId val="1406226144"/>
        <c:scaling>
          <c:orientation val="minMax"/>
          <c:max val="2.2000000000000002"/>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800">
                    <a:latin typeface="Verdana" panose="020B0604030504040204" pitchFamily="34" charset="0"/>
                    <a:ea typeface="Verdana" panose="020B0604030504040204" pitchFamily="34" charset="0"/>
                  </a:rPr>
                  <a:t>% AHK</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227077536"/>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800">
                <a:latin typeface="Verdana" panose="020B0604030504040204" pitchFamily="34" charset="0"/>
                <a:ea typeface="Verdana" panose="020B0604030504040204" pitchFamily="34" charset="0"/>
              </a:rPr>
              <a:t>Figuur 2. Effect ten</a:t>
            </a:r>
            <a:r>
              <a:rPr lang="nl-NL" sz="800" baseline="0">
                <a:latin typeface="Verdana" panose="020B0604030504040204" pitchFamily="34" charset="0"/>
                <a:ea typeface="Verdana" panose="020B0604030504040204" pitchFamily="34" charset="0"/>
              </a:rPr>
              <a:t> opzichte van het basispad, per halfjaar</a:t>
            </a:r>
            <a:endParaRPr lang="nl-NL" sz="800">
              <a:latin typeface="Verdana" panose="020B0604030504040204" pitchFamily="34" charset="0"/>
              <a:ea typeface="Verdana" panose="020B0604030504040204" pitchFamily="34" charset="0"/>
            </a:endParaRPr>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autoTitleDeleted val="0"/>
    <c:plotArea>
      <c:layout/>
      <c:barChart>
        <c:barDir val="col"/>
        <c:grouping val="clustered"/>
        <c:varyColors val="0"/>
        <c:ser>
          <c:idx val="0"/>
          <c:order val="0"/>
          <c:spPr>
            <a:solidFill>
              <a:schemeClr val="accent1"/>
            </a:solidFill>
            <a:ln w="53975">
              <a:solidFill>
                <a:schemeClr val="accent1"/>
              </a:solidFill>
            </a:ln>
            <a:effectLst/>
          </c:spPr>
          <c:invertIfNegative val="0"/>
          <c:cat>
            <c:numRef>
              <c:f>'MvT 2'!$C$3:$C$33</c:f>
              <c:numCache>
                <c:formatCode>General</c:formatCode>
                <c:ptCount val="31"/>
                <c:pt idx="0">
                  <c:v>2024</c:v>
                </c:pt>
                <c:pt idx="1">
                  <c:v>2024</c:v>
                </c:pt>
                <c:pt idx="2">
                  <c:v>2025</c:v>
                </c:pt>
                <c:pt idx="3">
                  <c:v>2025</c:v>
                </c:pt>
                <c:pt idx="4">
                  <c:v>2026</c:v>
                </c:pt>
                <c:pt idx="5">
                  <c:v>2026</c:v>
                </c:pt>
                <c:pt idx="6">
                  <c:v>2027</c:v>
                </c:pt>
                <c:pt idx="7">
                  <c:v>2027</c:v>
                </c:pt>
                <c:pt idx="8">
                  <c:v>2028</c:v>
                </c:pt>
                <c:pt idx="9">
                  <c:v>2028</c:v>
                </c:pt>
                <c:pt idx="10">
                  <c:v>2029</c:v>
                </c:pt>
                <c:pt idx="11">
                  <c:v>2029</c:v>
                </c:pt>
                <c:pt idx="12">
                  <c:v>2030</c:v>
                </c:pt>
                <c:pt idx="13">
                  <c:v>2030</c:v>
                </c:pt>
                <c:pt idx="14">
                  <c:v>2031</c:v>
                </c:pt>
                <c:pt idx="15">
                  <c:v>2031</c:v>
                </c:pt>
                <c:pt idx="16">
                  <c:v>2032</c:v>
                </c:pt>
                <c:pt idx="17">
                  <c:v>2032</c:v>
                </c:pt>
                <c:pt idx="18">
                  <c:v>2033</c:v>
                </c:pt>
                <c:pt idx="19">
                  <c:v>2033</c:v>
                </c:pt>
                <c:pt idx="20">
                  <c:v>2034</c:v>
                </c:pt>
                <c:pt idx="21">
                  <c:v>2034</c:v>
                </c:pt>
                <c:pt idx="22">
                  <c:v>2035</c:v>
                </c:pt>
                <c:pt idx="23">
                  <c:v>2035</c:v>
                </c:pt>
                <c:pt idx="24">
                  <c:v>2036</c:v>
                </c:pt>
                <c:pt idx="25">
                  <c:v>2036</c:v>
                </c:pt>
                <c:pt idx="26">
                  <c:v>2037</c:v>
                </c:pt>
                <c:pt idx="27">
                  <c:v>2037</c:v>
                </c:pt>
                <c:pt idx="28">
                  <c:v>2038</c:v>
                </c:pt>
                <c:pt idx="29">
                  <c:v>2038</c:v>
                </c:pt>
                <c:pt idx="30">
                  <c:v>2039</c:v>
                </c:pt>
              </c:numCache>
            </c:numRef>
          </c:cat>
          <c:val>
            <c:numRef>
              <c:f>'MvT 2'!$D$3:$D$33</c:f>
              <c:numCache>
                <c:formatCode>General</c:formatCode>
                <c:ptCount val="31"/>
                <c:pt idx="0">
                  <c:v>0</c:v>
                </c:pt>
                <c:pt idx="1">
                  <c:v>0</c:v>
                </c:pt>
                <c:pt idx="2">
                  <c:v>7</c:v>
                </c:pt>
                <c:pt idx="3">
                  <c:v>14</c:v>
                </c:pt>
                <c:pt idx="4">
                  <c:v>21</c:v>
                </c:pt>
                <c:pt idx="5">
                  <c:v>28</c:v>
                </c:pt>
                <c:pt idx="6">
                  <c:v>35</c:v>
                </c:pt>
                <c:pt idx="7">
                  <c:v>42</c:v>
                </c:pt>
                <c:pt idx="8">
                  <c:v>42</c:v>
                </c:pt>
                <c:pt idx="9">
                  <c:v>42</c:v>
                </c:pt>
                <c:pt idx="10">
                  <c:v>42</c:v>
                </c:pt>
                <c:pt idx="11">
                  <c:v>42</c:v>
                </c:pt>
                <c:pt idx="12">
                  <c:v>42</c:v>
                </c:pt>
                <c:pt idx="13">
                  <c:v>42</c:v>
                </c:pt>
                <c:pt idx="14">
                  <c:v>42</c:v>
                </c:pt>
                <c:pt idx="15">
                  <c:v>42</c:v>
                </c:pt>
                <c:pt idx="16">
                  <c:v>42</c:v>
                </c:pt>
                <c:pt idx="17">
                  <c:v>42</c:v>
                </c:pt>
                <c:pt idx="18">
                  <c:v>42</c:v>
                </c:pt>
                <c:pt idx="19">
                  <c:v>42</c:v>
                </c:pt>
                <c:pt idx="20">
                  <c:v>42</c:v>
                </c:pt>
                <c:pt idx="21">
                  <c:v>42</c:v>
                </c:pt>
                <c:pt idx="22">
                  <c:v>42</c:v>
                </c:pt>
                <c:pt idx="23">
                  <c:v>42</c:v>
                </c:pt>
                <c:pt idx="24">
                  <c:v>42</c:v>
                </c:pt>
                <c:pt idx="25">
                  <c:v>35</c:v>
                </c:pt>
                <c:pt idx="26">
                  <c:v>28</c:v>
                </c:pt>
                <c:pt idx="27">
                  <c:v>21</c:v>
                </c:pt>
                <c:pt idx="28">
                  <c:v>14</c:v>
                </c:pt>
                <c:pt idx="29">
                  <c:v>7</c:v>
                </c:pt>
                <c:pt idx="30">
                  <c:v>0</c:v>
                </c:pt>
              </c:numCache>
            </c:numRef>
          </c:val>
          <c:extLst>
            <c:ext xmlns:c16="http://schemas.microsoft.com/office/drawing/2014/chart" uri="{C3380CC4-5D6E-409C-BE32-E72D297353CC}">
              <c16:uniqueId val="{00000000-1622-425B-AE8A-D060DCBA8270}"/>
            </c:ext>
          </c:extLst>
        </c:ser>
        <c:dLbls>
          <c:showLegendKey val="0"/>
          <c:showVal val="0"/>
          <c:showCatName val="0"/>
          <c:showSerName val="0"/>
          <c:showPercent val="0"/>
          <c:showBubbleSize val="0"/>
        </c:dLbls>
        <c:gapWidth val="150"/>
        <c:axId val="1371463568"/>
        <c:axId val="1235694400"/>
      </c:barChart>
      <c:dateAx>
        <c:axId val="137146356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crossAx val="1235694400"/>
        <c:crosses val="autoZero"/>
        <c:auto val="1"/>
        <c:lblOffset val="100"/>
        <c:baseTimeUnit val="months"/>
        <c:majorUnit val="2"/>
        <c:majorTimeUnit val="months"/>
        <c:minorUnit val="1"/>
        <c:minorTimeUnit val="months"/>
      </c:dateAx>
      <c:valAx>
        <c:axId val="1235694400"/>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r>
                  <a:rPr lang="nl-NL" sz="800">
                    <a:latin typeface="Verdana" panose="020B0604030504040204" pitchFamily="34" charset="0"/>
                    <a:ea typeface="Verdana" panose="020B0604030504040204" pitchFamily="34" charset="0"/>
                  </a:rPr>
                  <a:t>Effect</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Verdana" panose="020B0604030504040204" pitchFamily="34" charset="0"/>
                  <a:ea typeface="Verdana" panose="020B0604030504040204" pitchFamily="34" charset="0"/>
                  <a:cs typeface="+mn-cs"/>
                </a:defRPr>
              </a:pPr>
              <a:endParaRPr lang="nl-NL"/>
            </a:p>
          </c:txPr>
        </c:title>
        <c:numFmt formatCode="General" sourceLinked="1"/>
        <c:majorTickMark val="none"/>
        <c:minorTickMark val="none"/>
        <c:tickLblPos val="nextTo"/>
        <c:crossAx val="13714635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3909</ap:Words>
  <ap:Characters>21503</ap:Characters>
  <ap:DocSecurity>0</ap:DocSecurity>
  <ap:Lines>179</ap:Lines>
  <ap:Paragraphs>50</ap:Paragraphs>
  <ap:ScaleCrop>false</ap:ScaleCrop>
  <ap:LinksUpToDate>false</ap:LinksUpToDate>
  <ap:CharactersWithSpaces>25362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2024-09-17T13:34:00.0000000Z</dcterms:created>
  <dcterms:modified xsi:type="dcterms:W3CDTF">2024-09-17T13:34:00.0000000Z</dcterms:modified>
  <version/>
  <category/>
</coreProperties>
</file>