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2C2" w:rsidP="000722C2" w:rsidRDefault="000722C2" w14:paraId="2BF3685D" w14:textId="77777777">
      <w:r>
        <w:t>Met deze brief informeer ik u over de toekenningsbeschikking die word</w:t>
      </w:r>
      <w:r w:rsidR="00F1231A">
        <w:t>t</w:t>
      </w:r>
      <w:r>
        <w:t xml:space="preserve"> verstrekt aan de gemeente Alphen aan den Rijn voor de woningbouw in de Gnephoek. Tijdens een plenair debat op 25 juni 2024 over de Voorjaarsnota</w:t>
      </w:r>
      <w:r>
        <w:rPr>
          <w:rStyle w:val="Voetnootmarkering"/>
        </w:rPr>
        <w:footnoteReference w:id="1"/>
      </w:r>
      <w:r>
        <w:t xml:space="preserve"> heeft Lid Maatoug (GroenLinks-PvdA) vragen gesteld over deze bijdrage. </w:t>
      </w:r>
      <w:r w:rsidR="00F1231A">
        <w:t>D</w:t>
      </w:r>
      <w:r>
        <w:t xml:space="preserve">e minister van BZK </w:t>
      </w:r>
      <w:r w:rsidR="00F1231A">
        <w:t xml:space="preserve">heeft daarop </w:t>
      </w:r>
      <w:r>
        <w:t xml:space="preserve">toegezegd de beschikking </w:t>
      </w:r>
      <w:r w:rsidR="00CC13AB">
        <w:t>ook aan</w:t>
      </w:r>
      <w:r>
        <w:t xml:space="preserve"> de Tweede Kamer te sturen</w:t>
      </w:r>
      <w:r w:rsidR="00F1231A">
        <w:t xml:space="preserve">, zodra </w:t>
      </w:r>
      <w:r>
        <w:t xml:space="preserve">deze aan de gemeente wordt gestuurd. Middels deze brief geef ik invulling aan deze toezegging. </w:t>
      </w:r>
    </w:p>
    <w:p w:rsidR="000722C2" w:rsidP="000722C2" w:rsidRDefault="000722C2" w14:paraId="33F78603" w14:textId="77777777"/>
    <w:p w:rsidRPr="005D6054" w:rsidR="005D6054" w:rsidP="000722C2" w:rsidRDefault="00805743" w14:paraId="39DCECD8" w14:textId="77777777">
      <w:pPr>
        <w:rPr>
          <w:i/>
          <w:iCs/>
        </w:rPr>
      </w:pPr>
      <w:r>
        <w:rPr>
          <w:i/>
          <w:iCs/>
        </w:rPr>
        <w:t>Gebiedsontwikkeling Gnephoekpolder</w:t>
      </w:r>
    </w:p>
    <w:p w:rsidR="005D6054" w:rsidP="005D6054" w:rsidRDefault="005D6054" w14:paraId="6B76E672" w14:textId="77777777">
      <w:r>
        <w:t>De Gnephoek</w:t>
      </w:r>
      <w:r w:rsidR="00F1231A">
        <w:t>polder</w:t>
      </w:r>
      <w:r>
        <w:t xml:space="preserve"> is een </w:t>
      </w:r>
      <w:r w:rsidR="00A53EF7">
        <w:t>v</w:t>
      </w:r>
      <w:r>
        <w:t>an de grot</w:t>
      </w:r>
      <w:r w:rsidR="00A53EF7">
        <w:t>er</w:t>
      </w:r>
      <w:r>
        <w:t>e woningbouwlocaties van Nederland. In 2022 heeft de voormalig minister van Binnenlandse Zaken en Koninkrijksrelaties de partijen aangemoedigd om samen de uitdagingen voor deze gebiedsontwikkeling</w:t>
      </w:r>
      <w:r w:rsidR="00F1231A">
        <w:t xml:space="preserve"> </w:t>
      </w:r>
      <w:r>
        <w:t>aan te pakken. De gemeente heeft een plan opgesteld voor de bouw van 5.500 woningen tot 2040, waarvan 60% betaalbaar inclusief 30% sociale huur. Om dit te realiseren</w:t>
      </w:r>
      <w:r w:rsidR="00F1231A">
        <w:t xml:space="preserve"> sluiten</w:t>
      </w:r>
      <w:r>
        <w:t xml:space="preserve"> de betrokken partijen</w:t>
      </w:r>
      <w:r w:rsidR="00F1231A">
        <w:t xml:space="preserve"> </w:t>
      </w:r>
      <w:r w:rsidRPr="00666F3E" w:rsidR="00F1231A">
        <w:t>(gemeente, provincie en hoogheemraadschap)</w:t>
      </w:r>
      <w:r>
        <w:t xml:space="preserve"> een Bestuursovereenkomst</w:t>
      </w:r>
      <w:r w:rsidR="00F1231A">
        <w:t xml:space="preserve"> (BOOG)</w:t>
      </w:r>
      <w:r>
        <w:t>.</w:t>
      </w:r>
      <w:r w:rsidR="00666F3E">
        <w:t xml:space="preserve"> </w:t>
      </w:r>
      <w:r w:rsidR="00F1231A">
        <w:t>De p</w:t>
      </w:r>
      <w:r w:rsidRPr="00666F3E" w:rsidR="00666F3E">
        <w:t>artijen hebben afgesproken om de BOOG op 21 oktober a.s. te ondertekenen.</w:t>
      </w:r>
      <w:r w:rsidR="00F1231A">
        <w:t xml:space="preserve"> Voorwaarde daarvoor is dat er een financieel haalbaar plan is. Daarvoor is een bijdrage van het rijk noodzakelijk.</w:t>
      </w:r>
    </w:p>
    <w:p w:rsidR="005D6054" w:rsidP="005D6054" w:rsidRDefault="005D6054" w14:paraId="4B73844C" w14:textId="77777777"/>
    <w:p w:rsidR="005D6054" w:rsidP="005D6054" w:rsidRDefault="005D6054" w14:paraId="29A72C35" w14:textId="77777777">
      <w:r>
        <w:t xml:space="preserve">In 2023 heeft de gemeenteraad het Contourenplan Gnephoek met ruime meerderheid goedgekeurd. Van het totale financiële tekort van € 110,8 miljoen (exclusief BTW), zal € 60,8 miljoen worden gedekt door de grondexploitatie en een gemeentelijke bijdrage. In de Eerste suppletoire begroting 2024 heeft </w:t>
      </w:r>
      <w:r w:rsidR="00805743">
        <w:t>vorige</w:t>
      </w:r>
      <w:r>
        <w:t xml:space="preserve"> kabinet aanvullend € 85,7 mln. beschikbaar stelt ten behoeve van het bijdragen aan grootschalige woningbouwlocaties.</w:t>
      </w:r>
      <w:r w:rsidRPr="000722C2">
        <w:t xml:space="preserve"> </w:t>
      </w:r>
      <w:r>
        <w:t>Hieruit is eenmalig maximaal € 50 mln. (exclusief BTW</w:t>
      </w:r>
      <w:r w:rsidR="00A53EF7">
        <w:t xml:space="preserve">, </w:t>
      </w:r>
      <w:r>
        <w:t>gelijk aan max</w:t>
      </w:r>
      <w:r w:rsidR="00F1231A">
        <w:t>imaal</w:t>
      </w:r>
      <w:r>
        <w:t xml:space="preserve"> € 60,5 mln. inclusief BTW) voor de ontwikkeling van de Gnephoek beschikbaar gesteld.</w:t>
      </w:r>
    </w:p>
    <w:p w:rsidR="005D6054" w:rsidP="000722C2" w:rsidRDefault="005D6054" w14:paraId="0D57A381" w14:textId="77777777"/>
    <w:p w:rsidR="006E2184" w:rsidP="006E2184" w:rsidRDefault="006E2184" w14:paraId="762852D1" w14:textId="77777777">
      <w:pPr>
        <w:rPr>
          <w:i/>
          <w:iCs/>
        </w:rPr>
      </w:pPr>
      <w:r>
        <w:rPr>
          <w:i/>
          <w:iCs/>
        </w:rPr>
        <w:t xml:space="preserve">Inhoud van de beschikking </w:t>
      </w:r>
    </w:p>
    <w:p w:rsidR="005D6054" w:rsidP="005D6054" w:rsidRDefault="005D6054" w14:paraId="03FE1CA8" w14:textId="77777777">
      <w:r>
        <w:t xml:space="preserve">De beschikking is opgesteld volgens de Financiële-verhoudingswet en is niet gekoppeld aan een ministeriële regeling vanwege het incidentele karakter. </w:t>
      </w:r>
      <w:r w:rsidR="00F1231A">
        <w:t>In de beschikking</w:t>
      </w:r>
      <w:r>
        <w:t xml:space="preserve"> zijn de voorwaarden voor de verstrekking van het bedrag vastgelegd:</w:t>
      </w:r>
    </w:p>
    <w:p w:rsidR="005D6054" w:rsidP="005D6054" w:rsidRDefault="005D6054" w14:paraId="469E0EE8" w14:textId="77777777">
      <w:pPr>
        <w:pStyle w:val="Lijstalinea"/>
        <w:numPr>
          <w:ilvl w:val="0"/>
          <w:numId w:val="7"/>
        </w:numPr>
      </w:pPr>
      <w:r>
        <w:t>Looptijd van het project: 2024 tot 2040.</w:t>
      </w:r>
    </w:p>
    <w:p w:rsidR="005D6054" w:rsidP="005D6054" w:rsidRDefault="005D6054" w14:paraId="38AEA4C3" w14:textId="77777777">
      <w:pPr>
        <w:pStyle w:val="Lijstalinea"/>
        <w:numPr>
          <w:ilvl w:val="0"/>
          <w:numId w:val="7"/>
        </w:numPr>
      </w:pPr>
      <w:r>
        <w:lastRenderedPageBreak/>
        <w:t>Hoogte van de bijdrage:</w:t>
      </w:r>
      <w:r w:rsidR="00F1231A">
        <w:t xml:space="preserve"> ten hoogste</w:t>
      </w:r>
      <w:r>
        <w:t xml:space="preserve"> € 50.000.000,00 exclusief btw (€ 60.500.000,00 inclusief btw).</w:t>
      </w:r>
    </w:p>
    <w:p w:rsidR="005D6054" w:rsidP="005D6054" w:rsidRDefault="005D6054" w14:paraId="1EF39573" w14:textId="77777777">
      <w:pPr>
        <w:pStyle w:val="Lijstalinea"/>
        <w:numPr>
          <w:ilvl w:val="0"/>
          <w:numId w:val="7"/>
        </w:numPr>
      </w:pPr>
      <w:r>
        <w:t>Prestatie-eis: Realisatie van 5.500 woningen, waarvan 60% betaalbaar en minimaal 30% in het sociale huursegment.</w:t>
      </w:r>
    </w:p>
    <w:p w:rsidR="005D6054" w:rsidP="005D6054" w:rsidRDefault="005D6054" w14:paraId="01B910A2" w14:textId="77777777">
      <w:pPr>
        <w:pStyle w:val="Lijstalinea"/>
        <w:numPr>
          <w:ilvl w:val="0"/>
          <w:numId w:val="7"/>
        </w:numPr>
      </w:pPr>
      <w:r>
        <w:t>Start bouw: Binnen 5 jaar na de start van de beschikkingsperiode moet de bouw van de eerste 900 woningen beginnen.</w:t>
      </w:r>
    </w:p>
    <w:p w:rsidR="006E2184" w:rsidP="000722C2" w:rsidRDefault="006E2184" w14:paraId="33BFBEA4" w14:textId="77777777"/>
    <w:p w:rsidR="006E2184" w:rsidP="005D6054" w:rsidRDefault="005D6054" w14:paraId="5E015E5D" w14:textId="77777777">
      <w:r>
        <w:t>De start van de bouw</w:t>
      </w:r>
      <w:r w:rsidR="00CC13AB">
        <w:t xml:space="preserve"> is</w:t>
      </w:r>
      <w:r>
        <w:t xml:space="preserve"> gedefinieerd als het begin van funderingswerkzaamheden, </w:t>
      </w:r>
      <w:r w:rsidR="00CC13AB">
        <w:t>zoals gebruikelijk in andere regelingen met betrekking tot woningbouw</w:t>
      </w:r>
      <w:r>
        <w:t>. De middelen mogen worden besteed volgens de kostensoortenlijst uit het Besluit ruimtelijke ordening en de plankostenscan van de Regeling plankosten exploitatieplan.</w:t>
      </w:r>
    </w:p>
    <w:p w:rsidR="005D6054" w:rsidP="005D6054" w:rsidRDefault="005D6054" w14:paraId="758DFCE2" w14:textId="77777777"/>
    <w:p w:rsidR="006E2184" w:rsidP="000722C2" w:rsidRDefault="006E2184" w14:paraId="632B67E8" w14:textId="77777777">
      <w:pPr>
        <w:rPr>
          <w:i/>
          <w:iCs/>
        </w:rPr>
      </w:pPr>
      <w:r>
        <w:rPr>
          <w:i/>
          <w:iCs/>
        </w:rPr>
        <w:t xml:space="preserve">Voortgang, monitoring en </w:t>
      </w:r>
      <w:r w:rsidR="005D6054">
        <w:rPr>
          <w:i/>
          <w:iCs/>
        </w:rPr>
        <w:t>terugvordering</w:t>
      </w:r>
    </w:p>
    <w:p w:rsidR="005D6054" w:rsidP="005D6054" w:rsidRDefault="005D6054" w14:paraId="133E0839" w14:textId="77777777">
      <w:r>
        <w:t>De gemeente moet volgens de Financiële-verhoudingswet verantwoording afleggen over de besteding van de middelen. Jaarlijks worden de ontwikkelingen besproken in een voortgangsoverleg</w:t>
      </w:r>
      <w:r w:rsidR="00F1231A">
        <w:t xml:space="preserve">. Voorafgaand aan dat overleg stelt de gemeente een voortgangsrapportage op, waarin het onder andere inzicht geeft in de planologische voortgang alsmede de grondexploitatie actualiseert. </w:t>
      </w:r>
      <w:r w:rsidR="008363DA">
        <w:t>Nieuwe inzichten over het plan op basis van de voortgangsrapportage kunnen voor mij aanleiding zijn om de bijdrage proportioneel naar beneden bij te stellen. Bijvoorbeeld, als</w:t>
      </w:r>
      <w:r>
        <w:t xml:space="preserve"> verwacht wordt dat de woningen niet binnen de beschikkingsperiode worden gerealiseerd of </w:t>
      </w:r>
      <w:r w:rsidR="008363DA">
        <w:t>als het te verwachten tekort afneemt.</w:t>
      </w:r>
      <w:r w:rsidR="00BD6C7F">
        <w:t xml:space="preserve"> </w:t>
      </w:r>
      <w:bookmarkStart w:name="_Hlk175232943" w:id="0"/>
      <w:r w:rsidR="00BD6C7F">
        <w:t>Ik zal uw kamer periodiek informeren over de voortgang van het project</w:t>
      </w:r>
      <w:r w:rsidR="00235E98">
        <w:t xml:space="preserve"> op basis van het voortgangsoverleg met de gemeente. </w:t>
      </w:r>
    </w:p>
    <w:bookmarkEnd w:id="0"/>
    <w:p w:rsidR="005D6054" w:rsidP="000722C2" w:rsidRDefault="005D6054" w14:paraId="4DCE3D7C" w14:textId="77777777">
      <w:pPr>
        <w:rPr>
          <w:i/>
          <w:iCs/>
        </w:rPr>
      </w:pPr>
    </w:p>
    <w:p w:rsidR="00235E98" w:rsidRDefault="00235E98" w14:paraId="7C19A286" w14:textId="77777777"/>
    <w:p w:rsidR="000B71EA" w:rsidRDefault="00805743" w14:paraId="7E7CDEC5" w14:textId="77777777">
      <w:r>
        <w:t>De minister van Volkshuisvesting en Ruimtelijke Ordening,</w:t>
      </w:r>
    </w:p>
    <w:p w:rsidR="00805743" w:rsidRDefault="00805743" w14:paraId="177B2195" w14:textId="77777777"/>
    <w:p w:rsidR="00805743" w:rsidRDefault="00805743" w14:paraId="69C407E6" w14:textId="77777777"/>
    <w:p w:rsidR="00805743" w:rsidRDefault="00805743" w14:paraId="206FFA4B" w14:textId="77777777"/>
    <w:p w:rsidR="00805743" w:rsidRDefault="00805743" w14:paraId="02E1CCC4" w14:textId="77777777"/>
    <w:p w:rsidR="00805743" w:rsidRDefault="00805743" w14:paraId="2B79338D" w14:textId="77777777"/>
    <w:p w:rsidR="00805743" w:rsidRDefault="00805743" w14:paraId="63BB727A" w14:textId="77777777">
      <w:r>
        <w:t xml:space="preserve">Mona Keijzer </w:t>
      </w:r>
    </w:p>
    <w:p w:rsidR="00805743" w:rsidRDefault="00805743" w14:paraId="2923A364" w14:textId="77777777"/>
    <w:p w:rsidR="00805743" w:rsidRDefault="00805743" w14:paraId="573FEA79" w14:textId="77777777"/>
    <w:sectPr w:rsidR="008057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750D" w14:textId="77777777" w:rsidR="008B39E8" w:rsidRDefault="008B39E8">
      <w:pPr>
        <w:spacing w:line="240" w:lineRule="auto"/>
      </w:pPr>
      <w:r>
        <w:separator/>
      </w:r>
    </w:p>
  </w:endnote>
  <w:endnote w:type="continuationSeparator" w:id="0">
    <w:p w14:paraId="18214C40" w14:textId="77777777" w:rsidR="008B39E8" w:rsidRDefault="008B3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F1E5" w14:textId="77777777" w:rsidR="00594441" w:rsidRDefault="005944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3F08" w14:textId="77777777" w:rsidR="00594441" w:rsidRDefault="005944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10F7" w14:textId="77777777" w:rsidR="00594441" w:rsidRDefault="005944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3F90" w14:textId="77777777" w:rsidR="008B39E8" w:rsidRDefault="008B39E8">
      <w:pPr>
        <w:spacing w:line="240" w:lineRule="auto"/>
      </w:pPr>
      <w:r>
        <w:separator/>
      </w:r>
    </w:p>
  </w:footnote>
  <w:footnote w:type="continuationSeparator" w:id="0">
    <w:p w14:paraId="5E8F7834" w14:textId="77777777" w:rsidR="008B39E8" w:rsidRDefault="008B39E8">
      <w:pPr>
        <w:spacing w:line="240" w:lineRule="auto"/>
      </w:pPr>
      <w:r>
        <w:continuationSeparator/>
      </w:r>
    </w:p>
  </w:footnote>
  <w:footnote w:id="1">
    <w:p w14:paraId="2AB15C11" w14:textId="77777777" w:rsidR="000722C2" w:rsidRDefault="000722C2" w:rsidP="000722C2">
      <w:pPr>
        <w:pStyle w:val="Voetnoottekst"/>
      </w:pPr>
      <w:r w:rsidRPr="00C01C59">
        <w:rPr>
          <w:rStyle w:val="Voetnootmarkering"/>
          <w:sz w:val="16"/>
          <w:szCs w:val="16"/>
        </w:rPr>
        <w:footnoteRef/>
      </w:r>
      <w:r w:rsidRPr="00C01C59">
        <w:rPr>
          <w:sz w:val="16"/>
          <w:szCs w:val="16"/>
        </w:rPr>
        <w:t xml:space="preserve"> </w:t>
      </w:r>
      <w:hyperlink r:id="rId1" w:history="1">
        <w:r w:rsidRPr="00BF0C80">
          <w:rPr>
            <w:rStyle w:val="Hyperlink"/>
            <w:sz w:val="16"/>
            <w:szCs w:val="16"/>
          </w:rPr>
          <w:t>Wijziging van de begrotingsstaten van het Ministerie van Binnenlandse Zaken en Koninkrijksrelaties (VII) voor het jaar 2024 (wijziging samenhangende met de Voorjaarsnota) (36550-VII)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21E6" w14:textId="77777777" w:rsidR="00594441" w:rsidRDefault="005944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822D" w14:textId="77777777" w:rsidR="000B71EA" w:rsidRDefault="0080574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C93B91B" wp14:editId="4A3143DC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419D46" w14:textId="77777777" w:rsidR="00C34746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93B91B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52419D46" w14:textId="77777777" w:rsidR="00C34746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F051CEC" wp14:editId="623366F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498C7" w14:textId="77777777" w:rsidR="000B71EA" w:rsidRDefault="00805743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14:paraId="26E5C99C" w14:textId="77777777" w:rsidR="000B71EA" w:rsidRDefault="00805743">
                          <w:pPr>
                            <w:pStyle w:val="Referentiegegevens"/>
                          </w:pPr>
                          <w:r>
                            <w:t>DGVB-WB-Ontwikkeling &amp; Realisatie</w:t>
                          </w:r>
                        </w:p>
                        <w:p w14:paraId="58742BCE" w14:textId="77777777" w:rsidR="000B71EA" w:rsidRDefault="000B71EA">
                          <w:pPr>
                            <w:pStyle w:val="WitregelW2"/>
                          </w:pPr>
                        </w:p>
                        <w:p w14:paraId="7BC15845" w14:textId="77777777" w:rsidR="000B71EA" w:rsidRDefault="00EE60C9">
                          <w:pPr>
                            <w:pStyle w:val="Referentiegegevensbold"/>
                          </w:pPr>
                          <w:r>
                            <w:t>O</w:t>
                          </w:r>
                          <w:r w:rsidR="00805743">
                            <w:t>nze referentie</w:t>
                          </w:r>
                        </w:p>
                        <w:p w14:paraId="4364587C" w14:textId="77777777" w:rsidR="00C34746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E47D5">
                              <w:t>2024-0000566774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051CEC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18498C7" w14:textId="77777777" w:rsidR="000B71EA" w:rsidRDefault="00805743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14:paraId="26E5C99C" w14:textId="77777777" w:rsidR="000B71EA" w:rsidRDefault="00805743">
                    <w:pPr>
                      <w:pStyle w:val="Referentiegegevens"/>
                    </w:pPr>
                    <w:r>
                      <w:t>DGVB-WB-Ontwikkeling &amp; Realisatie</w:t>
                    </w:r>
                  </w:p>
                  <w:p w14:paraId="58742BCE" w14:textId="77777777" w:rsidR="000B71EA" w:rsidRDefault="000B71EA">
                    <w:pPr>
                      <w:pStyle w:val="WitregelW2"/>
                    </w:pPr>
                  </w:p>
                  <w:p w14:paraId="7BC15845" w14:textId="77777777" w:rsidR="000B71EA" w:rsidRDefault="00EE60C9">
                    <w:pPr>
                      <w:pStyle w:val="Referentiegegevensbold"/>
                    </w:pPr>
                    <w:r>
                      <w:t>O</w:t>
                    </w:r>
                    <w:r w:rsidR="00805743">
                      <w:t>nze referentie</w:t>
                    </w:r>
                  </w:p>
                  <w:p w14:paraId="4364587C" w14:textId="77777777" w:rsidR="00C34746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2E47D5">
                        <w:t>2024-0000566774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9012A41" wp14:editId="6CBEDF5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725B58" w14:textId="77777777" w:rsidR="00C34746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012A41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7725B58" w14:textId="77777777" w:rsidR="00C34746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18C1E98" wp14:editId="277E9A6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23A390" w14:textId="77777777" w:rsidR="00C34746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8C1E9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A23A390" w14:textId="77777777" w:rsidR="00C34746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200E" w14:textId="77777777" w:rsidR="000B71EA" w:rsidRDefault="0080574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EF5BAD5" wp14:editId="740D424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3D4F34" w14:textId="77777777" w:rsidR="000B71EA" w:rsidRDefault="0080574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370133" wp14:editId="3935DDFD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F5BAD5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63D4F34" w14:textId="77777777" w:rsidR="000B71EA" w:rsidRDefault="0080574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370133" wp14:editId="3935DDFD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BB5D519" wp14:editId="49BCF86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8E1F9D" w14:textId="77777777" w:rsidR="000B71EA" w:rsidRDefault="00CC13A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92124B" wp14:editId="18D4A9DB">
                                <wp:extent cx="2339975" cy="1582420"/>
                                <wp:effectExtent l="0" t="0" r="3175" b="0"/>
                                <wp:docPr id="16" name="Afbeelding 16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B5D519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88E1F9D" w14:textId="77777777" w:rsidR="000B71EA" w:rsidRDefault="00CC13A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92124B" wp14:editId="18D4A9DB">
                          <wp:extent cx="2339975" cy="1582420"/>
                          <wp:effectExtent l="0" t="0" r="3175" b="0"/>
                          <wp:docPr id="16" name="Afbeelding 16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19326FD" wp14:editId="354BBD5C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8103B0" w14:textId="77777777" w:rsidR="000B71EA" w:rsidRDefault="00805743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9326FD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4F8103B0" w14:textId="77777777" w:rsidR="000B71EA" w:rsidRDefault="00805743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5AC393B" wp14:editId="2B1C58D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B58DAF" w14:textId="77777777" w:rsidR="00C34746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6E0953C1" w14:textId="77777777" w:rsidR="000B71EA" w:rsidRDefault="00805743">
                          <w:r>
                            <w:t>Aan de Voorzitter van de Tweede Kamer der Staten-Generaal</w:t>
                          </w:r>
                        </w:p>
                        <w:p w14:paraId="76DF0381" w14:textId="77777777" w:rsidR="000B71EA" w:rsidRDefault="00805743">
                          <w:r>
                            <w:t xml:space="preserve">Postbus 20018 </w:t>
                          </w:r>
                        </w:p>
                        <w:p w14:paraId="64965762" w14:textId="77777777" w:rsidR="000B71EA" w:rsidRDefault="00805743">
                          <w:r>
                            <w:t xml:space="preserve">2500 EA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AC393B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6B58DAF" w14:textId="77777777" w:rsidR="00C34746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6E0953C1" w14:textId="77777777" w:rsidR="000B71EA" w:rsidRDefault="00805743">
                    <w:r>
                      <w:t>Aan de Voorzitter van de Tweede Kamer der Staten-Generaal</w:t>
                    </w:r>
                  </w:p>
                  <w:p w14:paraId="76DF0381" w14:textId="77777777" w:rsidR="000B71EA" w:rsidRDefault="00805743">
                    <w:r>
                      <w:t xml:space="preserve">Postbus 20018 </w:t>
                    </w:r>
                  </w:p>
                  <w:p w14:paraId="64965762" w14:textId="77777777" w:rsidR="000B71EA" w:rsidRDefault="00805743">
                    <w:r>
                      <w:t xml:space="preserve">2500 EA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989D43F" wp14:editId="643E0384">
              <wp:simplePos x="0" y="0"/>
              <wp:positionH relativeFrom="page">
                <wp:posOffset>1021080</wp:posOffset>
              </wp:positionH>
              <wp:positionV relativeFrom="page">
                <wp:posOffset>3337560</wp:posOffset>
              </wp:positionV>
              <wp:extent cx="4772025" cy="67056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70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B71EA" w14:paraId="45273DC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F7FA944" w14:textId="77777777" w:rsidR="000B71EA" w:rsidRDefault="0080574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F8D9203" w14:textId="6E41FD67" w:rsidR="00EF3D23" w:rsidRDefault="002E47D5">
                                <w:r>
                                  <w:t>16 september 2024</w:t>
                                </w:r>
                              </w:p>
                            </w:tc>
                          </w:tr>
                          <w:tr w:rsidR="000B71EA" w14:paraId="65DC9A1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D78E597" w14:textId="77777777" w:rsidR="000B71EA" w:rsidRDefault="0080574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20C887A" w14:textId="77777777" w:rsidR="00C34746" w:rsidRDefault="00000000">
                                <w:fldSimple w:instr=" DOCPROPERTY  &quot;Onderwerp&quot;  \* MERGEFORMAT ">
                                  <w:r w:rsidR="002E47D5">
                                    <w:t>Beschikking Rijksbijdrage integrale gebiedsontwikkeling Gnephoekpolder</w:t>
                                  </w:r>
                                </w:fldSimple>
                              </w:p>
                            </w:tc>
                          </w:tr>
                        </w:tbl>
                        <w:p w14:paraId="5B115D05" w14:textId="77777777" w:rsidR="00805743" w:rsidRDefault="0080574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89D43F" id="1670fa0c-13cb-45ec-92be-ef1f34d237c5" o:spid="_x0000_s1034" type="#_x0000_t202" style="position:absolute;margin-left:80.4pt;margin-top:262.8pt;width:375.75pt;height:52.8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B71EA" w14:paraId="45273DC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F7FA944" w14:textId="77777777" w:rsidR="000B71EA" w:rsidRDefault="0080574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F8D9203" w14:textId="6E41FD67" w:rsidR="00EF3D23" w:rsidRDefault="002E47D5">
                          <w:r>
                            <w:t>16 september 2024</w:t>
                          </w:r>
                        </w:p>
                      </w:tc>
                    </w:tr>
                    <w:tr w:rsidR="000B71EA" w14:paraId="65DC9A1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D78E597" w14:textId="77777777" w:rsidR="000B71EA" w:rsidRDefault="0080574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20C887A" w14:textId="77777777" w:rsidR="00C34746" w:rsidRDefault="00000000">
                          <w:fldSimple w:instr=" DOCPROPERTY  &quot;Onderwerp&quot;  \* MERGEFORMAT ">
                            <w:r w:rsidR="002E47D5">
                              <w:t>Beschikking Rijksbijdrage integrale gebiedsontwikkeling Gnephoekpolder</w:t>
                            </w:r>
                          </w:fldSimple>
                        </w:p>
                      </w:tc>
                    </w:tr>
                  </w:tbl>
                  <w:p w14:paraId="5B115D05" w14:textId="77777777" w:rsidR="00805743" w:rsidRDefault="008057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2F7D6D3" wp14:editId="18F9208A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B5B198" w14:textId="77777777" w:rsidR="000B71EA" w:rsidRDefault="00805743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14:paraId="3A6ACAC4" w14:textId="77777777" w:rsidR="000B71EA" w:rsidRDefault="00805743">
                          <w:pPr>
                            <w:pStyle w:val="Referentiegegevens"/>
                          </w:pPr>
                          <w:r>
                            <w:t>DGVB-WB</w:t>
                          </w:r>
                          <w:r w:rsidR="008363DA">
                            <w:t>B-Gebiedsontwikkeling &amp; Financiering</w:t>
                          </w:r>
                        </w:p>
                        <w:p w14:paraId="2DF1A409" w14:textId="77777777" w:rsidR="000B71EA" w:rsidRDefault="000B71EA">
                          <w:pPr>
                            <w:pStyle w:val="WitregelW1"/>
                          </w:pPr>
                        </w:p>
                        <w:p w14:paraId="2A2EB727" w14:textId="77777777" w:rsidR="000B71EA" w:rsidRDefault="00805743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D350A63" w14:textId="77777777" w:rsidR="000B71EA" w:rsidRPr="00666F3E" w:rsidRDefault="00805743" w:rsidP="00594441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56DC7325" w14:textId="77777777" w:rsidR="00594441" w:rsidRDefault="00594441">
                          <w:pPr>
                            <w:pStyle w:val="Referentiegegevensbold"/>
                          </w:pPr>
                        </w:p>
                        <w:p w14:paraId="623A43F5" w14:textId="77777777" w:rsidR="000B71EA" w:rsidRDefault="0080574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04DEEF5" w14:textId="77777777" w:rsidR="00C34746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E47D5">
                              <w:t>2024-0000566774</w:t>
                            </w:r>
                          </w:fldSimple>
                        </w:p>
                        <w:p w14:paraId="78D52EDA" w14:textId="77777777" w:rsidR="000B71EA" w:rsidRDefault="000B71EA">
                          <w:pPr>
                            <w:pStyle w:val="WitregelW1"/>
                          </w:pPr>
                        </w:p>
                        <w:p w14:paraId="25735928" w14:textId="77777777" w:rsidR="000B71EA" w:rsidRDefault="00805743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5302607" w14:textId="77777777" w:rsidR="00C34746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32FB3DC" w14:textId="77777777" w:rsidR="000B71EA" w:rsidRDefault="000B71EA">
                          <w:pPr>
                            <w:pStyle w:val="WitregelW1"/>
                          </w:pPr>
                        </w:p>
                        <w:p w14:paraId="4813C62E" w14:textId="77777777" w:rsidR="000B71EA" w:rsidRDefault="0080574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9A6A296" w14:textId="77777777" w:rsidR="000B71EA" w:rsidRDefault="00805743">
                          <w:pPr>
                            <w:pStyle w:val="Referentiegegevens"/>
                          </w:pPr>
                          <w:r>
                            <w:t>Beschikking Rijksbijdrage integrale gebiedsontwikkeling Gnephoekpolder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F7D6D3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29B5B198" w14:textId="77777777" w:rsidR="000B71EA" w:rsidRDefault="00805743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14:paraId="3A6ACAC4" w14:textId="77777777" w:rsidR="000B71EA" w:rsidRDefault="00805743">
                    <w:pPr>
                      <w:pStyle w:val="Referentiegegevens"/>
                    </w:pPr>
                    <w:r>
                      <w:t>DGVB-WB</w:t>
                    </w:r>
                    <w:r w:rsidR="008363DA">
                      <w:t>B-Gebiedsontwikkeling &amp; Financiering</w:t>
                    </w:r>
                  </w:p>
                  <w:p w14:paraId="2DF1A409" w14:textId="77777777" w:rsidR="000B71EA" w:rsidRDefault="000B71EA">
                    <w:pPr>
                      <w:pStyle w:val="WitregelW1"/>
                    </w:pPr>
                  </w:p>
                  <w:p w14:paraId="2A2EB727" w14:textId="77777777" w:rsidR="000B71EA" w:rsidRDefault="00805743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D350A63" w14:textId="77777777" w:rsidR="000B71EA" w:rsidRPr="00666F3E" w:rsidRDefault="00805743" w:rsidP="00594441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56DC7325" w14:textId="77777777" w:rsidR="00594441" w:rsidRDefault="00594441">
                    <w:pPr>
                      <w:pStyle w:val="Referentiegegevensbold"/>
                    </w:pPr>
                  </w:p>
                  <w:p w14:paraId="623A43F5" w14:textId="77777777" w:rsidR="000B71EA" w:rsidRDefault="0080574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04DEEF5" w14:textId="77777777" w:rsidR="00C34746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2E47D5">
                        <w:t>2024-0000566774</w:t>
                      </w:r>
                    </w:fldSimple>
                  </w:p>
                  <w:p w14:paraId="78D52EDA" w14:textId="77777777" w:rsidR="000B71EA" w:rsidRDefault="000B71EA">
                    <w:pPr>
                      <w:pStyle w:val="WitregelW1"/>
                    </w:pPr>
                  </w:p>
                  <w:p w14:paraId="25735928" w14:textId="77777777" w:rsidR="000B71EA" w:rsidRDefault="00805743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5302607" w14:textId="77777777" w:rsidR="00C34746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32FB3DC" w14:textId="77777777" w:rsidR="000B71EA" w:rsidRDefault="000B71EA">
                    <w:pPr>
                      <w:pStyle w:val="WitregelW1"/>
                    </w:pPr>
                  </w:p>
                  <w:p w14:paraId="4813C62E" w14:textId="77777777" w:rsidR="000B71EA" w:rsidRDefault="0080574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9A6A296" w14:textId="77777777" w:rsidR="000B71EA" w:rsidRDefault="00805743">
                    <w:pPr>
                      <w:pStyle w:val="Referentiegegevens"/>
                    </w:pPr>
                    <w:r>
                      <w:t>Beschikking Rijksbijdrage integrale gebiedsontwikkeling Gnephoekpolder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8621757" wp14:editId="562629D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B41D1F" w14:textId="77777777" w:rsidR="00C34746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621757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5AB41D1F" w14:textId="77777777" w:rsidR="00C34746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11FF0A7" wp14:editId="115FFE7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6404BC" w14:textId="77777777" w:rsidR="00805743" w:rsidRDefault="008057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1FF0A7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F6404BC" w14:textId="77777777" w:rsidR="00805743" w:rsidRDefault="0080574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A36AB9"/>
    <w:multiLevelType w:val="multilevel"/>
    <w:tmpl w:val="67B4D61A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9841FE28"/>
    <w:multiLevelType w:val="multilevel"/>
    <w:tmpl w:val="282454D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9DB9C5B4"/>
    <w:multiLevelType w:val="multilevel"/>
    <w:tmpl w:val="73A9C1E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A4CD7BDA"/>
    <w:multiLevelType w:val="multilevel"/>
    <w:tmpl w:val="40CB2E37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E42FF6F2"/>
    <w:multiLevelType w:val="multilevel"/>
    <w:tmpl w:val="679D991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EE96972"/>
    <w:multiLevelType w:val="hybridMultilevel"/>
    <w:tmpl w:val="50D8D594"/>
    <w:lvl w:ilvl="0" w:tplc="E898A45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16829"/>
    <w:multiLevelType w:val="hybridMultilevel"/>
    <w:tmpl w:val="4F283F3C"/>
    <w:lvl w:ilvl="0" w:tplc="E898A45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15200">
    <w:abstractNumId w:val="0"/>
  </w:num>
  <w:num w:numId="2" w16cid:durableId="1943880983">
    <w:abstractNumId w:val="2"/>
  </w:num>
  <w:num w:numId="3" w16cid:durableId="1688097837">
    <w:abstractNumId w:val="1"/>
  </w:num>
  <w:num w:numId="4" w16cid:durableId="1362899893">
    <w:abstractNumId w:val="3"/>
  </w:num>
  <w:num w:numId="5" w16cid:durableId="2031300955">
    <w:abstractNumId w:val="4"/>
  </w:num>
  <w:num w:numId="6" w16cid:durableId="824853984">
    <w:abstractNumId w:val="5"/>
  </w:num>
  <w:num w:numId="7" w16cid:durableId="1016618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EA"/>
    <w:rsid w:val="000722C2"/>
    <w:rsid w:val="000B71EA"/>
    <w:rsid w:val="002260C1"/>
    <w:rsid w:val="00235E98"/>
    <w:rsid w:val="002E47D5"/>
    <w:rsid w:val="004F6EC6"/>
    <w:rsid w:val="00594441"/>
    <w:rsid w:val="005D5EA8"/>
    <w:rsid w:val="005D6054"/>
    <w:rsid w:val="006556CC"/>
    <w:rsid w:val="00666F3E"/>
    <w:rsid w:val="006E2184"/>
    <w:rsid w:val="00805743"/>
    <w:rsid w:val="008363DA"/>
    <w:rsid w:val="008B39E8"/>
    <w:rsid w:val="00A53EF7"/>
    <w:rsid w:val="00BD6C7F"/>
    <w:rsid w:val="00C34746"/>
    <w:rsid w:val="00CC13AB"/>
    <w:rsid w:val="00EB4553"/>
    <w:rsid w:val="00EE60C9"/>
    <w:rsid w:val="00EF3D23"/>
    <w:rsid w:val="00F1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CAA5B"/>
  <w15:docId w15:val="{5FCC57B0-7094-4DFE-BB49-EB9EF8D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722C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22C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722C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22C2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22C2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22C2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22C2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722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722C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722C2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22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22C2"/>
    <w:rPr>
      <w:rFonts w:ascii="Verdana" w:hAnsi="Verdana"/>
      <w:b/>
      <w:bCs/>
      <w:color w:val="000000"/>
    </w:rPr>
  </w:style>
  <w:style w:type="paragraph" w:styleId="Lijstalinea">
    <w:name w:val="List Paragraph"/>
    <w:basedOn w:val="Standaard"/>
    <w:uiPriority w:val="34"/>
    <w:semiHidden/>
    <w:rsid w:val="006E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8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3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weedekamer.nl/debat_en_vergadering/plenaire_vergaderingen/details/activiteit?id=2024A05151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564</ap:Words>
  <ap:Characters>3104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Beschikking Rijksbijdrage integrale gebiedsontwikkeling Gnephoekpolder</vt:lpstr>
    </vt:vector>
  </ap:TitlesOfParts>
  <ap:LinksUpToDate>false</ap:LinksUpToDate>
  <ap:CharactersWithSpaces>3661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2024-08-19T06:02:00.0000000Z</dcterms:created>
  <dcterms:modified xsi:type="dcterms:W3CDTF">2024-09-16T09:36:00.0000000Z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Beschikking Rijksbijdrage integrale gebiedsontwikkeling Gnephoekpolder</vt:lpwstr>
  </property>
  <property fmtid="{D5CDD505-2E9C-101B-9397-08002B2CF9AE}" pid="5" name="Publicatiedatum">
    <vt:lpwstr/>
  </property>
  <property fmtid="{D5CDD505-2E9C-101B-9397-08002B2CF9AE}" pid="6" name="Verantwoordelijke organisatie">
    <vt:lpwstr>DGVB-WB-Ontwikkeling &amp; Realisatie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Aan de Voorzitter van de Tweede Kamer der Staten-Generaal_x000d_
 _x000d_
Postbus 20018_x000d_
2500 EA Den Haag_x000d_
</vt:lpwstr>
  </property>
  <property fmtid="{D5CDD505-2E9C-101B-9397-08002B2CF9AE}" pid="11" name="Van">
    <vt:lpwstr/>
  </property>
  <property fmtid="{D5CDD505-2E9C-101B-9397-08002B2CF9AE}" pid="12" name="Datum">
    <vt:lpwstr>30 augustus 2024</vt:lpwstr>
  </property>
  <property fmtid="{D5CDD505-2E9C-101B-9397-08002B2CF9AE}" pid="13" name="Opgesteld door, Naam">
    <vt:lpwstr>Ijsbrand Heeringa</vt:lpwstr>
  </property>
  <property fmtid="{D5CDD505-2E9C-101B-9397-08002B2CF9AE}" pid="14" name="Opgesteld door, Telefoonnummer">
    <vt:lpwstr>0629206310</vt:lpwstr>
  </property>
  <property fmtid="{D5CDD505-2E9C-101B-9397-08002B2CF9AE}" pid="15" name="Kenmerk">
    <vt:lpwstr>2024-0000566774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Beschikking Rijksbijdrage integrale gebiedsontwikkeling Gnephoekpolder</vt:lpwstr>
  </property>
  <property fmtid="{D5CDD505-2E9C-101B-9397-08002B2CF9AE}" pid="30" name="UwKenmerk">
    <vt:lpwstr/>
  </property>
</Properties>
</file>