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247BA8" w:rsidR="006D0A06" w:rsidTr="00247BA8" w14:paraId="28EF9771" w14:textId="77777777">
        <w:trPr>
          <w:trHeight w:val="435"/>
        </w:trPr>
        <w:tc>
          <w:tcPr>
            <w:tcW w:w="1560" w:type="dxa"/>
          </w:tcPr>
          <w:p w:rsidRPr="00247BA8" w:rsidR="009F6E02" w:rsidP="00EF2BEE" w:rsidRDefault="009F6E02" w14:paraId="1E8EB7F2" w14:textId="77777777">
            <w:pPr>
              <w:pStyle w:val="Amendement"/>
              <w:rPr>
                <w:rFonts w:ascii="Verdana" w:hAnsi="Verdana" w:cs="Times New Roman"/>
                <w:color w:val="000000" w:themeColor="text1"/>
                <w:sz w:val="18"/>
                <w:szCs w:val="18"/>
              </w:rPr>
            </w:pPr>
          </w:p>
        </w:tc>
        <w:tc>
          <w:tcPr>
            <w:tcW w:w="7512" w:type="dxa"/>
          </w:tcPr>
          <w:p w:rsidRPr="00247BA8" w:rsidR="009F6E02" w:rsidP="00EF2BEE" w:rsidRDefault="009F6E02" w14:paraId="64338E86" w14:textId="77777777">
            <w:pPr>
              <w:pStyle w:val="Amendement"/>
              <w:rPr>
                <w:rFonts w:ascii="Verdana" w:hAnsi="Verdana" w:cs="Times New Roman"/>
                <w:color w:val="000000" w:themeColor="text1"/>
                <w:sz w:val="18"/>
                <w:szCs w:val="18"/>
              </w:rPr>
            </w:pPr>
          </w:p>
        </w:tc>
      </w:tr>
      <w:tr w:rsidRPr="00247BA8" w:rsidR="006D0A06" w:rsidTr="00EF2BEE" w14:paraId="01A3A075" w14:textId="77777777">
        <w:trPr>
          <w:trHeight w:val="278"/>
        </w:trPr>
        <w:tc>
          <w:tcPr>
            <w:tcW w:w="1560" w:type="dxa"/>
          </w:tcPr>
          <w:p w:rsidRPr="00247BA8" w:rsidR="009F6E02" w:rsidP="00EF2BEE" w:rsidRDefault="009F6E02" w14:paraId="0A91834D" w14:textId="602254B5">
            <w:pPr>
              <w:rPr>
                <w:rFonts w:ascii="Verdana" w:hAnsi="Verdana"/>
                <w:b/>
                <w:color w:val="000000" w:themeColor="text1"/>
                <w:sz w:val="18"/>
                <w:szCs w:val="18"/>
              </w:rPr>
            </w:pPr>
            <w:r w:rsidRPr="00247BA8">
              <w:rPr>
                <w:rFonts w:ascii="Verdana" w:hAnsi="Verdana"/>
                <w:b/>
                <w:color w:val="000000" w:themeColor="text1"/>
                <w:sz w:val="18"/>
                <w:szCs w:val="18"/>
              </w:rPr>
              <w:t>36 544</w:t>
            </w:r>
          </w:p>
        </w:tc>
        <w:tc>
          <w:tcPr>
            <w:tcW w:w="7512" w:type="dxa"/>
          </w:tcPr>
          <w:p w:rsidRPr="00247BA8" w:rsidR="009F6E02" w:rsidP="009F6E02" w:rsidRDefault="009F6E02" w14:paraId="0B66CBC3" w14:textId="3948F53A">
            <w:pPr>
              <w:rPr>
                <w:rFonts w:ascii="Verdana" w:hAnsi="Verdana"/>
                <w:b/>
                <w:color w:val="000000" w:themeColor="text1"/>
                <w:sz w:val="18"/>
                <w:szCs w:val="18"/>
              </w:rPr>
            </w:pPr>
            <w:bookmarkStart w:name="_Hlk169266544" w:id="0"/>
            <w:r w:rsidRPr="00247BA8">
              <w:rPr>
                <w:rFonts w:ascii="Verdana" w:hAnsi="Verdana"/>
                <w:b/>
                <w:bCs/>
                <w:color w:val="000000" w:themeColor="text1"/>
                <w:sz w:val="18"/>
                <w:szCs w:val="18"/>
              </w:rPr>
              <w:t>Wijziging van de Wet basisregistratieondergrond in verband met het aanwijzen van drinkwaterbedrijven als bronhouders en enkele andere wijzigingen</w:t>
            </w:r>
            <w:bookmarkEnd w:id="0"/>
          </w:p>
        </w:tc>
      </w:tr>
      <w:tr w:rsidRPr="00247BA8" w:rsidR="006D0A06" w:rsidTr="00EF2BEE" w14:paraId="5DC07A52" w14:textId="77777777">
        <w:tc>
          <w:tcPr>
            <w:tcW w:w="1560" w:type="dxa"/>
          </w:tcPr>
          <w:p w:rsidRPr="00247BA8" w:rsidR="009F6E02" w:rsidP="00EF2BEE" w:rsidRDefault="009F6E02" w14:paraId="7D4F46D9" w14:textId="77777777">
            <w:pPr>
              <w:pStyle w:val="Amendement"/>
              <w:rPr>
                <w:rFonts w:ascii="Verdana" w:hAnsi="Verdana" w:cs="Times New Roman"/>
                <w:color w:val="000000" w:themeColor="text1"/>
                <w:sz w:val="18"/>
                <w:szCs w:val="18"/>
              </w:rPr>
            </w:pPr>
          </w:p>
        </w:tc>
        <w:tc>
          <w:tcPr>
            <w:tcW w:w="7512" w:type="dxa"/>
          </w:tcPr>
          <w:p w:rsidRPr="00247BA8" w:rsidR="009F6E02" w:rsidP="00EF2BEE" w:rsidRDefault="009F6E02" w14:paraId="655DE253" w14:textId="77777777">
            <w:pPr>
              <w:pStyle w:val="Amendement"/>
              <w:rPr>
                <w:rFonts w:ascii="Verdana" w:hAnsi="Verdana" w:cs="Times New Roman"/>
                <w:color w:val="000000" w:themeColor="text1"/>
                <w:sz w:val="18"/>
                <w:szCs w:val="18"/>
              </w:rPr>
            </w:pPr>
          </w:p>
        </w:tc>
      </w:tr>
      <w:tr w:rsidRPr="00247BA8" w:rsidR="006D0A06" w:rsidTr="00EF2BEE" w14:paraId="223CFBFD" w14:textId="77777777">
        <w:tc>
          <w:tcPr>
            <w:tcW w:w="1560" w:type="dxa"/>
          </w:tcPr>
          <w:p w:rsidRPr="00247BA8" w:rsidR="009F6E02" w:rsidP="00EF2BEE" w:rsidRDefault="009F6E02" w14:paraId="3C217268" w14:textId="77777777">
            <w:pPr>
              <w:pStyle w:val="Amendement"/>
              <w:rPr>
                <w:rFonts w:ascii="Verdana" w:hAnsi="Verdana" w:cs="Times New Roman"/>
                <w:color w:val="000000" w:themeColor="text1"/>
                <w:sz w:val="18"/>
                <w:szCs w:val="18"/>
              </w:rPr>
            </w:pPr>
          </w:p>
        </w:tc>
        <w:tc>
          <w:tcPr>
            <w:tcW w:w="7512" w:type="dxa"/>
          </w:tcPr>
          <w:p w:rsidRPr="00247BA8" w:rsidR="009F6E02" w:rsidP="00EF2BEE" w:rsidRDefault="009F6E02" w14:paraId="6A2ED8B8" w14:textId="77777777">
            <w:pPr>
              <w:pStyle w:val="Amendement"/>
              <w:rPr>
                <w:rFonts w:ascii="Verdana" w:hAnsi="Verdana" w:cs="Times New Roman"/>
                <w:color w:val="000000" w:themeColor="text1"/>
                <w:sz w:val="18"/>
                <w:szCs w:val="18"/>
              </w:rPr>
            </w:pPr>
          </w:p>
        </w:tc>
      </w:tr>
      <w:tr w:rsidRPr="00247BA8" w:rsidR="006D0A06" w:rsidTr="00EF2BEE" w14:paraId="45F8DA14" w14:textId="77777777">
        <w:tc>
          <w:tcPr>
            <w:tcW w:w="1560" w:type="dxa"/>
          </w:tcPr>
          <w:p w:rsidRPr="00247BA8" w:rsidR="009F6E02" w:rsidP="00EF2BEE" w:rsidRDefault="009F6E02" w14:paraId="189BD707" w14:textId="77777777">
            <w:pPr>
              <w:pStyle w:val="Amendement"/>
              <w:rPr>
                <w:rFonts w:ascii="Verdana" w:hAnsi="Verdana" w:cs="Times New Roman"/>
                <w:color w:val="000000" w:themeColor="text1"/>
                <w:sz w:val="18"/>
                <w:szCs w:val="18"/>
              </w:rPr>
            </w:pPr>
          </w:p>
        </w:tc>
        <w:tc>
          <w:tcPr>
            <w:tcW w:w="7512" w:type="dxa"/>
          </w:tcPr>
          <w:p w:rsidRPr="00247BA8" w:rsidR="009F6E02" w:rsidP="00EF2BEE" w:rsidRDefault="009F6E02" w14:paraId="2D94F146" w14:textId="77777777">
            <w:pPr>
              <w:pStyle w:val="Amendement"/>
              <w:rPr>
                <w:rFonts w:ascii="Verdana" w:hAnsi="Verdana" w:cs="Times New Roman"/>
                <w:color w:val="000000" w:themeColor="text1"/>
                <w:sz w:val="18"/>
                <w:szCs w:val="18"/>
              </w:rPr>
            </w:pPr>
          </w:p>
        </w:tc>
      </w:tr>
      <w:tr w:rsidRPr="00247BA8" w:rsidR="006D0A06" w:rsidTr="00EF2BEE" w14:paraId="46B3FD72" w14:textId="77777777">
        <w:tc>
          <w:tcPr>
            <w:tcW w:w="1560" w:type="dxa"/>
          </w:tcPr>
          <w:p w:rsidRPr="00247BA8" w:rsidR="009F6E02" w:rsidP="00EF2BEE" w:rsidRDefault="009F6E02" w14:paraId="76D30E53" w14:textId="77777777">
            <w:pPr>
              <w:pStyle w:val="Amendement"/>
              <w:rPr>
                <w:rFonts w:ascii="Verdana" w:hAnsi="Verdana" w:cs="Times New Roman"/>
                <w:color w:val="000000" w:themeColor="text1"/>
                <w:sz w:val="18"/>
                <w:szCs w:val="18"/>
              </w:rPr>
            </w:pPr>
          </w:p>
        </w:tc>
        <w:tc>
          <w:tcPr>
            <w:tcW w:w="7512" w:type="dxa"/>
          </w:tcPr>
          <w:p w:rsidRPr="00247BA8" w:rsidR="009F6E02" w:rsidP="00EF2BEE" w:rsidRDefault="009F6E02" w14:paraId="19D976EC" w14:textId="77777777">
            <w:pPr>
              <w:pStyle w:val="Amendement"/>
              <w:rPr>
                <w:rFonts w:ascii="Verdana" w:hAnsi="Verdana" w:cs="Times New Roman"/>
                <w:color w:val="000000" w:themeColor="text1"/>
                <w:sz w:val="18"/>
                <w:szCs w:val="18"/>
              </w:rPr>
            </w:pPr>
          </w:p>
        </w:tc>
      </w:tr>
    </w:tbl>
    <w:p w:rsidRPr="00247BA8" w:rsidR="00D364E9" w:rsidP="00054419" w:rsidRDefault="009A7E9C" w14:paraId="38BFE373" w14:textId="588EBC75">
      <w:pPr>
        <w:pStyle w:val="Default"/>
        <w:rPr>
          <w:rFonts w:ascii="Verdana" w:hAnsi="Verdana" w:cs="Times New Roman"/>
          <w:color w:val="000000" w:themeColor="text1"/>
          <w:sz w:val="18"/>
          <w:szCs w:val="18"/>
        </w:rPr>
      </w:pPr>
      <w:r w:rsidRPr="00247BA8">
        <w:rPr>
          <w:rFonts w:ascii="Verdana" w:hAnsi="Verdana" w:cs="Times New Roman"/>
          <w:color w:val="000000" w:themeColor="text1"/>
          <w:sz w:val="18"/>
          <w:szCs w:val="18"/>
        </w:rPr>
        <w:t xml:space="preserve">Met belangstelling heb ik kennisgenomen van het verslag van de vaste commissie voor Binnenlandse Zaken naar aanleiding van het wetsvoorstel tot wijziging van de Wet basisregistratieondergrond in verband met het aanwijzen van drinkwaterbedrijven als bronhouders en enkele andere wijzigingen. </w:t>
      </w:r>
      <w:r w:rsidRPr="00247BA8">
        <w:rPr>
          <w:rFonts w:ascii="Verdana" w:hAnsi="Verdana" w:cs="Times New Roman"/>
          <w:color w:val="000000" w:themeColor="text1"/>
          <w:sz w:val="18"/>
          <w:szCs w:val="18"/>
        </w:rPr>
        <w:br/>
      </w:r>
      <w:r w:rsidRPr="00247BA8">
        <w:rPr>
          <w:rFonts w:ascii="Verdana" w:hAnsi="Verdana" w:cs="Times New Roman"/>
          <w:color w:val="000000" w:themeColor="text1"/>
          <w:sz w:val="18"/>
          <w:szCs w:val="18"/>
        </w:rPr>
        <w:br/>
        <w:t xml:space="preserve">Ik dank de leden van de VVD-fractie, de NSC-fractie en de BBB-fractie voor hun bijdragen. </w:t>
      </w:r>
      <w:r w:rsidRPr="00247BA8" w:rsidR="00140C89">
        <w:rPr>
          <w:rFonts w:ascii="Verdana" w:hAnsi="Verdana" w:cs="Times New Roman"/>
          <w:color w:val="000000" w:themeColor="text1"/>
          <w:sz w:val="18"/>
          <w:szCs w:val="18"/>
        </w:rPr>
        <w:br/>
      </w:r>
      <w:r w:rsidRPr="00247BA8" w:rsidR="00140C89">
        <w:rPr>
          <w:rFonts w:ascii="Verdana" w:hAnsi="Verdana" w:cs="Times New Roman"/>
          <w:color w:val="000000" w:themeColor="text1"/>
          <w:sz w:val="18"/>
          <w:szCs w:val="18"/>
        </w:rPr>
        <w:br/>
        <w:t xml:space="preserve">In deze beantwoording wordt de hoofdstukindeling van het verslag gevolgd. </w:t>
      </w:r>
    </w:p>
    <w:p w:rsidRPr="00247BA8" w:rsidR="009F6E02" w:rsidP="00054419" w:rsidRDefault="009F6E02" w14:paraId="4BEDCBF2" w14:textId="77777777">
      <w:pPr>
        <w:pStyle w:val="Default"/>
        <w:rPr>
          <w:rFonts w:ascii="Verdana" w:hAnsi="Verdana" w:cs="Times New Roman"/>
          <w:b/>
          <w:bCs/>
          <w:color w:val="000000" w:themeColor="text1"/>
          <w:sz w:val="18"/>
          <w:szCs w:val="18"/>
        </w:rPr>
      </w:pPr>
    </w:p>
    <w:p w:rsidRPr="00247BA8" w:rsidR="009F6E02" w:rsidP="00054419" w:rsidRDefault="009F6E02" w14:paraId="121A85E1" w14:textId="77777777">
      <w:pPr>
        <w:pStyle w:val="Default"/>
        <w:rPr>
          <w:rFonts w:ascii="Verdana" w:hAnsi="Verdana" w:cs="Times New Roman"/>
          <w:b/>
          <w:bCs/>
          <w:color w:val="000000" w:themeColor="text1"/>
          <w:sz w:val="18"/>
          <w:szCs w:val="18"/>
        </w:rPr>
      </w:pPr>
    </w:p>
    <w:p w:rsidRPr="00247BA8" w:rsidR="00054419" w:rsidP="00054419" w:rsidRDefault="00054419" w14:paraId="0A4FA9C6" w14:textId="01075A29">
      <w:pPr>
        <w:pStyle w:val="Default"/>
        <w:rPr>
          <w:rFonts w:ascii="Verdana" w:hAnsi="Verdana" w:cs="Times New Roman"/>
          <w:b/>
          <w:bCs/>
          <w:color w:val="000000" w:themeColor="text1"/>
          <w:sz w:val="18"/>
          <w:szCs w:val="18"/>
        </w:rPr>
      </w:pPr>
      <w:r w:rsidRPr="00247BA8">
        <w:rPr>
          <w:rFonts w:ascii="Verdana" w:hAnsi="Verdana" w:cs="Times New Roman"/>
          <w:b/>
          <w:bCs/>
          <w:color w:val="000000" w:themeColor="text1"/>
          <w:sz w:val="18"/>
          <w:szCs w:val="18"/>
        </w:rPr>
        <w:t xml:space="preserve">I. ALGEMEEN DEEL </w:t>
      </w:r>
    </w:p>
    <w:p w:rsidRPr="00247BA8" w:rsidR="00054419" w:rsidP="00054419" w:rsidRDefault="00054419" w14:paraId="760EF7D6" w14:textId="77777777">
      <w:pPr>
        <w:pStyle w:val="Default"/>
        <w:rPr>
          <w:rFonts w:ascii="Verdana" w:hAnsi="Verdana" w:cs="Times New Roman"/>
          <w:color w:val="000000" w:themeColor="text1"/>
          <w:sz w:val="18"/>
          <w:szCs w:val="18"/>
        </w:rPr>
      </w:pPr>
    </w:p>
    <w:p w:rsidRPr="00247BA8" w:rsidR="00054419" w:rsidP="00054419" w:rsidRDefault="00054419" w14:paraId="41C0A8E7" w14:textId="77777777">
      <w:pPr>
        <w:rPr>
          <w:rFonts w:ascii="Verdana" w:hAnsi="Verdana"/>
          <w:b/>
          <w:bCs/>
          <w:color w:val="000000" w:themeColor="text1"/>
          <w:sz w:val="18"/>
          <w:szCs w:val="18"/>
        </w:rPr>
      </w:pPr>
      <w:r w:rsidRPr="00247BA8">
        <w:rPr>
          <w:rFonts w:ascii="Verdana" w:hAnsi="Verdana"/>
          <w:b/>
          <w:bCs/>
          <w:color w:val="000000" w:themeColor="text1"/>
          <w:sz w:val="18"/>
          <w:szCs w:val="18"/>
        </w:rPr>
        <w:t>1. Inleiding</w:t>
      </w:r>
    </w:p>
    <w:p w:rsidRPr="00247BA8" w:rsidR="00054419" w:rsidP="00054419" w:rsidRDefault="00054419" w14:paraId="73D3013A" w14:textId="77777777">
      <w:pPr>
        <w:autoSpaceDE w:val="0"/>
        <w:autoSpaceDN w:val="0"/>
        <w:adjustRightInd w:val="0"/>
        <w:rPr>
          <w:rFonts w:ascii="Verdana" w:hAnsi="Verdana" w:eastAsiaTheme="minorHAnsi"/>
          <w:color w:val="000000" w:themeColor="text1"/>
          <w:sz w:val="18"/>
          <w:szCs w:val="18"/>
          <w:lang w:eastAsia="en-US"/>
          <w14:ligatures w14:val="standardContextual"/>
        </w:rPr>
      </w:pPr>
    </w:p>
    <w:p w:rsidRPr="00247BA8" w:rsidR="00054419" w:rsidP="00054419" w:rsidRDefault="00054419" w14:paraId="00E2FB05" w14:textId="77777777">
      <w:pPr>
        <w:rPr>
          <w:rFonts w:ascii="Verdana" w:hAnsi="Verdana" w:eastAsiaTheme="minorHAnsi"/>
          <w:i/>
          <w:iCs/>
          <w:color w:val="000000" w:themeColor="text1"/>
          <w:sz w:val="18"/>
          <w:szCs w:val="18"/>
          <w:lang w:eastAsia="en-US"/>
          <w14:ligatures w14:val="standardContextual"/>
        </w:rPr>
      </w:pPr>
      <w:r w:rsidRPr="00247BA8">
        <w:rPr>
          <w:rFonts w:ascii="Verdana" w:hAnsi="Verdana" w:eastAsiaTheme="minorHAnsi"/>
          <w:i/>
          <w:iCs/>
          <w:color w:val="000000" w:themeColor="text1"/>
          <w:sz w:val="18"/>
          <w:szCs w:val="18"/>
          <w:lang w:eastAsia="en-US"/>
          <w14:ligatures w14:val="standardContextual"/>
        </w:rPr>
        <w:t xml:space="preserve">1.1 Aanleiding </w:t>
      </w:r>
    </w:p>
    <w:p w:rsidRPr="00247BA8" w:rsidR="00054419" w:rsidP="00054419" w:rsidRDefault="00054419" w14:paraId="1EC4A67E" w14:textId="77777777">
      <w:pPr>
        <w:rPr>
          <w:rFonts w:ascii="Verdana" w:hAnsi="Verdana" w:eastAsiaTheme="minorHAnsi"/>
          <w:color w:val="000000" w:themeColor="text1"/>
          <w:sz w:val="18"/>
          <w:szCs w:val="18"/>
          <w:lang w:eastAsia="en-US"/>
        </w:rPr>
      </w:pPr>
    </w:p>
    <w:p w:rsidRPr="00247BA8" w:rsidR="00054419" w:rsidP="009F6E02" w:rsidRDefault="009F6E02" w14:paraId="56658E23" w14:textId="0078F6C1">
      <w:pPr>
        <w:rPr>
          <w:rFonts w:ascii="Verdana" w:hAnsi="Verdana" w:eastAsiaTheme="minorHAnsi"/>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t>1.1.1. Context</w:t>
      </w:r>
    </w:p>
    <w:p w:rsidRPr="00247BA8" w:rsidR="009F6E02" w:rsidP="009F6E02" w:rsidRDefault="009F6E02" w14:paraId="010DA3FD" w14:textId="77777777">
      <w:pPr>
        <w:rPr>
          <w:rFonts w:ascii="Verdana" w:hAnsi="Verdana" w:eastAsiaTheme="minorHAnsi"/>
          <w:color w:val="000000" w:themeColor="text1"/>
          <w:sz w:val="18"/>
          <w:szCs w:val="18"/>
          <w:lang w:eastAsia="en-US"/>
        </w:rPr>
      </w:pPr>
    </w:p>
    <w:p w:rsidR="006E61D9" w:rsidP="007D6679" w:rsidRDefault="00054419" w14:paraId="200E0DAE" w14:textId="77777777">
      <w:pPr>
        <w:rPr>
          <w:rFonts w:ascii="Verdana" w:hAnsi="Verdana"/>
          <w:color w:val="000000" w:themeColor="text1"/>
          <w:sz w:val="18"/>
          <w:szCs w:val="18"/>
        </w:rPr>
      </w:pPr>
      <w:r w:rsidRPr="00247BA8">
        <w:rPr>
          <w:rFonts w:ascii="Verdana" w:hAnsi="Verdana"/>
          <w:i/>
          <w:iCs/>
          <w:color w:val="000000" w:themeColor="text1"/>
          <w:sz w:val="18"/>
          <w:szCs w:val="18"/>
        </w:rPr>
        <w:t xml:space="preserve">De leden van de VVD-fractie lezen dat de informatie in de </w:t>
      </w:r>
      <w:r w:rsidRPr="00247BA8" w:rsidR="00220F1A">
        <w:rPr>
          <w:rFonts w:ascii="Verdana" w:hAnsi="Verdana"/>
          <w:i/>
          <w:iCs/>
          <w:color w:val="000000" w:themeColor="text1"/>
          <w:sz w:val="18"/>
          <w:szCs w:val="18"/>
        </w:rPr>
        <w:t xml:space="preserve">basisregistratie ondergrond (hierna: </w:t>
      </w:r>
      <w:r w:rsidRPr="00247BA8">
        <w:rPr>
          <w:rFonts w:ascii="Verdana" w:hAnsi="Verdana"/>
          <w:i/>
          <w:iCs/>
          <w:color w:val="000000" w:themeColor="text1"/>
          <w:sz w:val="18"/>
          <w:szCs w:val="18"/>
        </w:rPr>
        <w:t>BRO</w:t>
      </w:r>
      <w:r w:rsidRPr="00247BA8" w:rsidR="00220F1A">
        <w:rPr>
          <w:rFonts w:ascii="Verdana" w:hAnsi="Verdana"/>
          <w:i/>
          <w:iCs/>
          <w:color w:val="000000" w:themeColor="text1"/>
          <w:sz w:val="18"/>
          <w:szCs w:val="18"/>
        </w:rPr>
        <w:t>)</w:t>
      </w:r>
      <w:r w:rsidRPr="00247BA8">
        <w:rPr>
          <w:rFonts w:ascii="Verdana" w:hAnsi="Verdana"/>
          <w:i/>
          <w:iCs/>
          <w:color w:val="000000" w:themeColor="text1"/>
          <w:sz w:val="18"/>
          <w:szCs w:val="18"/>
        </w:rPr>
        <w:t xml:space="preserve"> gebruikt kan worden voor de inrichting van de fysieke leefomgeving. In hoeverre wordt deze informatie al ingezet voor dit doel? </w:t>
      </w:r>
      <w:r w:rsidRPr="00247BA8" w:rsidR="001325F5">
        <w:rPr>
          <w:rFonts w:ascii="Verdana" w:hAnsi="Verdana"/>
          <w:i/>
          <w:iCs/>
          <w:color w:val="000000" w:themeColor="text1"/>
          <w:sz w:val="18"/>
          <w:szCs w:val="18"/>
        </w:rPr>
        <w:br/>
      </w:r>
      <w:r w:rsidRPr="00247BA8" w:rsidR="00A2486B">
        <w:rPr>
          <w:rFonts w:ascii="Verdana" w:hAnsi="Verdana"/>
          <w:color w:val="000000" w:themeColor="text1"/>
          <w:sz w:val="18"/>
          <w:szCs w:val="18"/>
        </w:rPr>
        <w:br/>
      </w:r>
      <w:r w:rsidRPr="00247BA8" w:rsidR="00767E0F">
        <w:rPr>
          <w:rFonts w:ascii="Verdana" w:hAnsi="Verdana"/>
          <w:color w:val="000000" w:themeColor="text1"/>
          <w:sz w:val="18"/>
          <w:szCs w:val="18"/>
        </w:rPr>
        <w:t xml:space="preserve">Gegevens uit de BRO worden </w:t>
      </w:r>
      <w:r w:rsidRPr="00247BA8" w:rsidR="00317BCA">
        <w:rPr>
          <w:rFonts w:ascii="Verdana" w:hAnsi="Verdana"/>
          <w:color w:val="000000" w:themeColor="text1"/>
          <w:sz w:val="18"/>
          <w:szCs w:val="18"/>
        </w:rPr>
        <w:t>heel veel</w:t>
      </w:r>
      <w:r w:rsidRPr="00247BA8" w:rsidR="00767E0F">
        <w:rPr>
          <w:rFonts w:ascii="Verdana" w:hAnsi="Verdana"/>
          <w:color w:val="000000" w:themeColor="text1"/>
          <w:sz w:val="18"/>
          <w:szCs w:val="18"/>
        </w:rPr>
        <w:t xml:space="preserve"> gebruikt voor de inrichting van de fysieke leefomgeving. </w:t>
      </w:r>
    </w:p>
    <w:p w:rsidRPr="00247BA8" w:rsidR="006E61D9" w:rsidP="006E61D9" w:rsidRDefault="006E61D9" w14:paraId="791EFA73" w14:textId="77777777">
      <w:pPr>
        <w:rPr>
          <w:rFonts w:ascii="Verdana" w:hAnsi="Verdana"/>
          <w:color w:val="000000" w:themeColor="text1"/>
          <w:sz w:val="18"/>
          <w:szCs w:val="18"/>
        </w:rPr>
      </w:pPr>
      <w:r w:rsidRPr="00247BA8">
        <w:rPr>
          <w:rFonts w:ascii="Verdana" w:hAnsi="Verdana"/>
          <w:color w:val="000000" w:themeColor="text1"/>
          <w:sz w:val="18"/>
          <w:szCs w:val="18"/>
        </w:rPr>
        <w:t xml:space="preserve">Sinds de invoering van de Wet basisregistratie ondergrond (hierna: Wet </w:t>
      </w:r>
      <w:proofErr w:type="spellStart"/>
      <w:r w:rsidRPr="00247BA8">
        <w:rPr>
          <w:rFonts w:ascii="Verdana" w:hAnsi="Verdana"/>
          <w:color w:val="000000" w:themeColor="text1"/>
          <w:sz w:val="18"/>
          <w:szCs w:val="18"/>
        </w:rPr>
        <w:t>Bro</w:t>
      </w:r>
      <w:proofErr w:type="spellEnd"/>
      <w:r w:rsidRPr="00247BA8">
        <w:rPr>
          <w:rFonts w:ascii="Verdana" w:hAnsi="Verdana"/>
          <w:color w:val="000000" w:themeColor="text1"/>
          <w:sz w:val="18"/>
          <w:szCs w:val="18"/>
        </w:rPr>
        <w:t>) in 2018 is het aantal bevragingen per jaar gestegen van 62.000 naar ongeveer 90 miljoen in 2023. In 2022 heeft mijn ambtsvoorganger de Tweede Kamer geïnformeerd dat de praktijk aantoont dat de invoering van de BRO de maatschappij baten oplevert, ook voor de fysieke leefomgeving, die significant opwegen tegen de te maken kosten bij overheden en bedrijfsleven. Voorts blijkt dat er potentie is voor extra baten vanuit de kwalitatieve posten in het kader van de grote maatschappelijke opgaven als energietransitie, woningbouwopgave en de klimaatadaptatie. Een gevoeligheidsanalyse toont aan dat de resultaten van de kosten-batenanalyse robuust zijn.</w:t>
      </w:r>
      <w:r w:rsidRPr="00247BA8">
        <w:rPr>
          <w:rStyle w:val="Voetnootmarkering"/>
          <w:rFonts w:ascii="Verdana" w:hAnsi="Verdana"/>
          <w:color w:val="000000" w:themeColor="text1"/>
          <w:sz w:val="18"/>
          <w:szCs w:val="18"/>
        </w:rPr>
        <w:footnoteReference w:id="2"/>
      </w:r>
      <w:r w:rsidRPr="00247BA8">
        <w:rPr>
          <w:rFonts w:ascii="Verdana" w:hAnsi="Verdana"/>
          <w:color w:val="000000" w:themeColor="text1"/>
          <w:sz w:val="18"/>
          <w:szCs w:val="18"/>
        </w:rPr>
        <w:t xml:space="preserve"> </w:t>
      </w:r>
    </w:p>
    <w:p w:rsidRPr="00247BA8" w:rsidR="006E61D9" w:rsidP="006E61D9" w:rsidRDefault="006E61D9" w14:paraId="347AFDB9" w14:textId="20A7769C">
      <w:pPr>
        <w:rPr>
          <w:rFonts w:ascii="Verdana" w:hAnsi="Verdana"/>
          <w:color w:val="000000" w:themeColor="text1"/>
          <w:sz w:val="18"/>
          <w:szCs w:val="18"/>
        </w:rPr>
      </w:pPr>
      <w:r w:rsidRPr="00247BA8">
        <w:rPr>
          <w:rFonts w:ascii="Verdana" w:hAnsi="Verdana"/>
          <w:color w:val="000000" w:themeColor="text1"/>
          <w:sz w:val="18"/>
          <w:szCs w:val="18"/>
        </w:rPr>
        <w:t>Sinds het verschijnen van de Kamerbrief ‘water en bodem sturend’</w:t>
      </w:r>
      <w:r w:rsidRPr="00247BA8">
        <w:rPr>
          <w:rStyle w:val="Voetnootmarkering"/>
          <w:rFonts w:ascii="Verdana" w:hAnsi="Verdana"/>
          <w:color w:val="000000" w:themeColor="text1"/>
          <w:sz w:val="18"/>
          <w:szCs w:val="18"/>
        </w:rPr>
        <w:footnoteReference w:id="3"/>
      </w:r>
      <w:r w:rsidRPr="00247BA8">
        <w:rPr>
          <w:rFonts w:ascii="Verdana" w:hAnsi="Verdana"/>
          <w:color w:val="000000" w:themeColor="text1"/>
          <w:sz w:val="18"/>
          <w:szCs w:val="18"/>
        </w:rPr>
        <w:t xml:space="preserve"> is het aantal bevragingen verder toegenomen, vooral naar grondwatermonitoring en -gebruik. In de Kamerbrief gaven we aan dat we de regie op de inrichting van de ondergrond gaan versterken. Dit, omdat we inmiddels steeds vaker aanlopen tegen de grenzen van het water- en bodemsysteem. Om dit te kunnen doen zijn de gegevens uit de BRO </w:t>
      </w:r>
      <w:proofErr w:type="spellStart"/>
      <w:r w:rsidRPr="00247BA8">
        <w:rPr>
          <w:rFonts w:ascii="Verdana" w:hAnsi="Verdana"/>
          <w:color w:val="000000" w:themeColor="text1"/>
          <w:sz w:val="18"/>
          <w:szCs w:val="18"/>
        </w:rPr>
        <w:t>randvoorwaardelijk</w:t>
      </w:r>
      <w:proofErr w:type="spellEnd"/>
      <w:r w:rsidRPr="00247BA8">
        <w:rPr>
          <w:rFonts w:ascii="Verdana" w:hAnsi="Verdana"/>
          <w:color w:val="000000" w:themeColor="text1"/>
          <w:sz w:val="18"/>
          <w:szCs w:val="18"/>
        </w:rPr>
        <w:t xml:space="preserve">. </w:t>
      </w:r>
      <w:r w:rsidR="00177BD3">
        <w:rPr>
          <w:rFonts w:ascii="Verdana" w:hAnsi="Verdana"/>
          <w:color w:val="000000" w:themeColor="text1"/>
          <w:sz w:val="18"/>
          <w:szCs w:val="18"/>
        </w:rPr>
        <w:br/>
      </w:r>
    </w:p>
    <w:p w:rsidRPr="00247BA8" w:rsidR="00AF40CC" w:rsidP="007D6679" w:rsidRDefault="00AF40CC" w14:paraId="10919A71" w14:textId="6ADC49F4">
      <w:pPr>
        <w:rPr>
          <w:rFonts w:ascii="Verdana" w:hAnsi="Verdana"/>
          <w:color w:val="000000" w:themeColor="text1"/>
          <w:sz w:val="18"/>
          <w:szCs w:val="18"/>
        </w:rPr>
      </w:pPr>
      <w:r w:rsidRPr="00247BA8">
        <w:rPr>
          <w:rFonts w:ascii="Verdana" w:hAnsi="Verdana"/>
          <w:color w:val="000000" w:themeColor="text1"/>
          <w:sz w:val="18"/>
          <w:szCs w:val="18"/>
        </w:rPr>
        <w:t xml:space="preserve">Deze gegevens spelen een cruciale rol </w:t>
      </w:r>
      <w:r w:rsidRPr="00247BA8" w:rsidR="00CD0434">
        <w:rPr>
          <w:rFonts w:ascii="Verdana" w:hAnsi="Verdana"/>
          <w:color w:val="000000" w:themeColor="text1"/>
          <w:sz w:val="18"/>
          <w:szCs w:val="18"/>
        </w:rPr>
        <w:t>in</w:t>
      </w:r>
      <w:r w:rsidRPr="00247BA8" w:rsidR="007A765D">
        <w:rPr>
          <w:rFonts w:ascii="Verdana" w:hAnsi="Verdana"/>
          <w:color w:val="000000" w:themeColor="text1"/>
          <w:sz w:val="18"/>
          <w:szCs w:val="18"/>
        </w:rPr>
        <w:t xml:space="preserve"> de verkenning</w:t>
      </w:r>
      <w:r w:rsidRPr="00247BA8" w:rsidR="00CD0434">
        <w:rPr>
          <w:rFonts w:ascii="Verdana" w:hAnsi="Verdana"/>
          <w:color w:val="000000" w:themeColor="text1"/>
          <w:sz w:val="18"/>
          <w:szCs w:val="18"/>
        </w:rPr>
        <w:t>-</w:t>
      </w:r>
      <w:r w:rsidRPr="00247BA8" w:rsidR="007A765D">
        <w:rPr>
          <w:rFonts w:ascii="Verdana" w:hAnsi="Verdana"/>
          <w:color w:val="000000" w:themeColor="text1"/>
          <w:sz w:val="18"/>
          <w:szCs w:val="18"/>
        </w:rPr>
        <w:t xml:space="preserve"> en planfase van infrastructu</w:t>
      </w:r>
      <w:r w:rsidRPr="00247BA8" w:rsidR="00CD0434">
        <w:rPr>
          <w:rFonts w:ascii="Verdana" w:hAnsi="Verdana"/>
          <w:color w:val="000000" w:themeColor="text1"/>
          <w:sz w:val="18"/>
          <w:szCs w:val="18"/>
        </w:rPr>
        <w:t>rele</w:t>
      </w:r>
      <w:r w:rsidRPr="00247BA8" w:rsidR="007A765D">
        <w:rPr>
          <w:rFonts w:ascii="Verdana" w:hAnsi="Verdana"/>
          <w:color w:val="000000" w:themeColor="text1"/>
          <w:sz w:val="18"/>
          <w:szCs w:val="18"/>
        </w:rPr>
        <w:t xml:space="preserve"> </w:t>
      </w:r>
      <w:r w:rsidRPr="00247BA8" w:rsidR="00767E0F">
        <w:rPr>
          <w:rFonts w:ascii="Verdana" w:hAnsi="Verdana"/>
          <w:color w:val="000000" w:themeColor="text1"/>
          <w:sz w:val="18"/>
          <w:szCs w:val="18"/>
        </w:rPr>
        <w:t>en</w:t>
      </w:r>
      <w:r w:rsidRPr="00247BA8" w:rsidR="007A765D">
        <w:rPr>
          <w:rFonts w:ascii="Verdana" w:hAnsi="Verdana"/>
          <w:color w:val="000000" w:themeColor="text1"/>
          <w:sz w:val="18"/>
          <w:szCs w:val="18"/>
        </w:rPr>
        <w:t xml:space="preserve"> woningbouwprojecten</w:t>
      </w:r>
      <w:r w:rsidRPr="00247BA8" w:rsidR="00661724">
        <w:rPr>
          <w:rFonts w:ascii="Verdana" w:hAnsi="Verdana" w:eastAsiaTheme="minorHAnsi"/>
          <w:color w:val="000000" w:themeColor="text1"/>
          <w:sz w:val="18"/>
          <w:szCs w:val="18"/>
          <w:lang w:eastAsia="en-US"/>
          <w14:ligatures w14:val="standardContextual"/>
        </w:rPr>
        <w:t>.</w:t>
      </w:r>
      <w:r w:rsidRPr="00247BA8" w:rsidR="007A765D">
        <w:rPr>
          <w:rFonts w:ascii="Verdana" w:hAnsi="Verdana"/>
          <w:color w:val="000000" w:themeColor="text1"/>
          <w:sz w:val="18"/>
          <w:szCs w:val="18"/>
        </w:rPr>
        <w:t xml:space="preserve"> </w:t>
      </w:r>
      <w:r w:rsidRPr="00247BA8">
        <w:rPr>
          <w:rFonts w:ascii="Verdana" w:hAnsi="Verdana"/>
          <w:color w:val="000000" w:themeColor="text1"/>
          <w:sz w:val="18"/>
          <w:szCs w:val="18"/>
        </w:rPr>
        <w:t xml:space="preserve">Bij nieuwbouwprojecten, bijvoorbeeld, worden gegevens uit de BRO gebruikt om de sterkte van de fundering te berekenen en het juiste type fundering te bepalen. </w:t>
      </w:r>
      <w:r w:rsidRPr="00247BA8" w:rsidR="009245CD">
        <w:rPr>
          <w:rFonts w:ascii="Verdana" w:hAnsi="Verdana"/>
          <w:color w:val="000000" w:themeColor="text1"/>
          <w:sz w:val="18"/>
          <w:szCs w:val="18"/>
        </w:rPr>
        <w:t>Ook v</w:t>
      </w:r>
      <w:r w:rsidRPr="00247BA8">
        <w:rPr>
          <w:rFonts w:ascii="Verdana" w:hAnsi="Verdana"/>
          <w:color w:val="000000" w:themeColor="text1"/>
          <w:sz w:val="18"/>
          <w:szCs w:val="18"/>
        </w:rPr>
        <w:t>oor het aanpakken van funderingsproblemen bij bestaande woningen en voor het berekenen van de risico's voor funderingen die voortvloeien uit klimaatverandering, zijn gegevens uit de BRO essentieel.</w:t>
      </w:r>
      <w:r w:rsidRPr="00247BA8" w:rsidR="009245CD">
        <w:rPr>
          <w:rStyle w:val="Voetnootmarkering"/>
          <w:rFonts w:ascii="Verdana" w:hAnsi="Verdana"/>
          <w:color w:val="000000" w:themeColor="text1"/>
          <w:sz w:val="18"/>
          <w:szCs w:val="18"/>
        </w:rPr>
        <w:footnoteReference w:id="4"/>
      </w:r>
      <w:r w:rsidRPr="00247BA8">
        <w:rPr>
          <w:rFonts w:ascii="Verdana" w:hAnsi="Verdana"/>
          <w:color w:val="000000" w:themeColor="text1"/>
          <w:sz w:val="18"/>
          <w:szCs w:val="18"/>
        </w:rPr>
        <w:t xml:space="preserve"> Een </w:t>
      </w:r>
      <w:r w:rsidRPr="00247BA8" w:rsidR="00133730">
        <w:rPr>
          <w:rFonts w:ascii="Verdana" w:hAnsi="Verdana"/>
          <w:color w:val="000000" w:themeColor="text1"/>
          <w:sz w:val="18"/>
          <w:szCs w:val="18"/>
        </w:rPr>
        <w:t>ander</w:t>
      </w:r>
      <w:r w:rsidRPr="00247BA8">
        <w:rPr>
          <w:rFonts w:ascii="Verdana" w:hAnsi="Verdana"/>
          <w:color w:val="000000" w:themeColor="text1"/>
          <w:sz w:val="18"/>
          <w:szCs w:val="18"/>
        </w:rPr>
        <w:t xml:space="preserve"> voorbeeld is de aanleg van nieuwe energie- en drinkwaternetwerken</w:t>
      </w:r>
      <w:r w:rsidRPr="00247BA8" w:rsidR="008D123E">
        <w:rPr>
          <w:rFonts w:ascii="Verdana" w:hAnsi="Verdana"/>
          <w:color w:val="000000" w:themeColor="text1"/>
          <w:sz w:val="18"/>
          <w:szCs w:val="18"/>
        </w:rPr>
        <w:t xml:space="preserve">. Zo helpen </w:t>
      </w:r>
      <w:r w:rsidRPr="00247BA8">
        <w:rPr>
          <w:rFonts w:ascii="Verdana" w:hAnsi="Verdana"/>
          <w:color w:val="000000" w:themeColor="text1"/>
          <w:sz w:val="18"/>
          <w:szCs w:val="18"/>
        </w:rPr>
        <w:t xml:space="preserve">gegevens uit de BRO bij het bepalen van het optimale tracé, zoals de liggingsdiepte ten opzichte van het grondwater. Voor het prioriteren van de vervanging van bestaande netwerken </w:t>
      </w:r>
      <w:r w:rsidRPr="00247BA8" w:rsidR="009245CD">
        <w:rPr>
          <w:rFonts w:ascii="Verdana" w:hAnsi="Verdana"/>
          <w:color w:val="000000" w:themeColor="text1"/>
          <w:sz w:val="18"/>
          <w:szCs w:val="18"/>
        </w:rPr>
        <w:lastRenderedPageBreak/>
        <w:t>zetten netbeheerders</w:t>
      </w:r>
      <w:r w:rsidRPr="00247BA8">
        <w:rPr>
          <w:rFonts w:ascii="Verdana" w:hAnsi="Verdana"/>
          <w:color w:val="000000" w:themeColor="text1"/>
          <w:sz w:val="18"/>
          <w:szCs w:val="18"/>
        </w:rPr>
        <w:t xml:space="preserve"> de gegevens en modellen uit de BRO in</w:t>
      </w:r>
      <w:r w:rsidRPr="00247BA8" w:rsidR="009245CD">
        <w:rPr>
          <w:rFonts w:ascii="Verdana" w:hAnsi="Verdana"/>
          <w:color w:val="000000" w:themeColor="text1"/>
          <w:sz w:val="18"/>
          <w:szCs w:val="18"/>
        </w:rPr>
        <w:t xml:space="preserve"> </w:t>
      </w:r>
      <w:r w:rsidRPr="00247BA8">
        <w:rPr>
          <w:rFonts w:ascii="Verdana" w:hAnsi="Verdana"/>
          <w:color w:val="000000" w:themeColor="text1"/>
          <w:sz w:val="18"/>
          <w:szCs w:val="18"/>
        </w:rPr>
        <w:t>om de verwachte levensduur en het risico op leidingbreuk te berekenen</w:t>
      </w:r>
      <w:r w:rsidRPr="00247BA8" w:rsidR="009245CD">
        <w:rPr>
          <w:rFonts w:ascii="Verdana" w:hAnsi="Verdana"/>
          <w:color w:val="000000" w:themeColor="text1"/>
          <w:sz w:val="18"/>
          <w:szCs w:val="18"/>
        </w:rPr>
        <w:t xml:space="preserve"> (</w:t>
      </w:r>
      <w:proofErr w:type="spellStart"/>
      <w:r w:rsidRPr="00247BA8">
        <w:rPr>
          <w:rFonts w:ascii="Verdana" w:hAnsi="Verdana"/>
          <w:color w:val="000000" w:themeColor="text1"/>
          <w:sz w:val="18"/>
          <w:szCs w:val="18"/>
        </w:rPr>
        <w:t>risicogestuurd</w:t>
      </w:r>
      <w:proofErr w:type="spellEnd"/>
      <w:r w:rsidRPr="00247BA8">
        <w:rPr>
          <w:rFonts w:ascii="Verdana" w:hAnsi="Verdana"/>
          <w:color w:val="000000" w:themeColor="text1"/>
          <w:sz w:val="18"/>
          <w:szCs w:val="18"/>
        </w:rPr>
        <w:t xml:space="preserve"> leidingbeheer</w:t>
      </w:r>
      <w:r w:rsidRPr="00247BA8" w:rsidR="008D123E">
        <w:rPr>
          <w:rStyle w:val="Voetnootmarkering"/>
          <w:rFonts w:ascii="Verdana" w:hAnsi="Verdana"/>
          <w:color w:val="000000" w:themeColor="text1"/>
          <w:sz w:val="18"/>
          <w:szCs w:val="18"/>
        </w:rPr>
        <w:footnoteReference w:id="5"/>
      </w:r>
      <w:r w:rsidRPr="00247BA8" w:rsidR="009245CD">
        <w:rPr>
          <w:rFonts w:ascii="Verdana" w:hAnsi="Verdana"/>
          <w:color w:val="000000" w:themeColor="text1"/>
          <w:sz w:val="18"/>
          <w:szCs w:val="18"/>
        </w:rPr>
        <w:t>).</w:t>
      </w:r>
    </w:p>
    <w:p w:rsidRPr="00247BA8" w:rsidR="009245CD" w:rsidP="009245CD" w:rsidRDefault="009245CD" w14:paraId="385574C5" w14:textId="2517684B">
      <w:pPr>
        <w:rPr>
          <w:rFonts w:ascii="Verdana" w:hAnsi="Verdana"/>
          <w:color w:val="000000" w:themeColor="text1"/>
          <w:sz w:val="18"/>
          <w:szCs w:val="18"/>
        </w:rPr>
      </w:pPr>
      <w:r w:rsidRPr="00247BA8">
        <w:rPr>
          <w:rFonts w:ascii="Verdana" w:hAnsi="Verdana"/>
          <w:color w:val="000000" w:themeColor="text1"/>
          <w:sz w:val="18"/>
          <w:szCs w:val="18"/>
        </w:rPr>
        <w:t>Op de website van de basisregistratie ondergrond</w:t>
      </w:r>
      <w:r w:rsidRPr="00247BA8">
        <w:rPr>
          <w:rStyle w:val="Voetnootmarkering"/>
          <w:rFonts w:ascii="Verdana" w:hAnsi="Verdana"/>
          <w:color w:val="000000" w:themeColor="text1"/>
          <w:sz w:val="18"/>
          <w:szCs w:val="18"/>
        </w:rPr>
        <w:footnoteReference w:id="6"/>
      </w:r>
      <w:r w:rsidRPr="00247BA8">
        <w:rPr>
          <w:rFonts w:ascii="Verdana" w:hAnsi="Verdana"/>
          <w:color w:val="000000" w:themeColor="text1"/>
          <w:sz w:val="18"/>
          <w:szCs w:val="18"/>
        </w:rPr>
        <w:t xml:space="preserve"> is zichtbaar wat de betekenis van de BRO kan zijn in andere projecten zoals </w:t>
      </w:r>
      <w:r w:rsidRPr="00247BA8" w:rsidR="006A72E1">
        <w:rPr>
          <w:rFonts w:ascii="Verdana" w:hAnsi="Verdana"/>
          <w:color w:val="000000" w:themeColor="text1"/>
          <w:sz w:val="18"/>
          <w:szCs w:val="18"/>
        </w:rPr>
        <w:t xml:space="preserve">voor </w:t>
      </w:r>
      <w:r w:rsidRPr="00247BA8">
        <w:rPr>
          <w:rFonts w:ascii="Verdana" w:hAnsi="Verdana"/>
          <w:color w:val="000000" w:themeColor="text1"/>
          <w:sz w:val="18"/>
          <w:szCs w:val="18"/>
        </w:rPr>
        <w:t xml:space="preserve">het versterken van de </w:t>
      </w:r>
      <w:proofErr w:type="spellStart"/>
      <w:r w:rsidRPr="00247BA8">
        <w:rPr>
          <w:rFonts w:ascii="Verdana" w:hAnsi="Verdana"/>
          <w:color w:val="000000" w:themeColor="text1"/>
          <w:sz w:val="18"/>
          <w:szCs w:val="18"/>
        </w:rPr>
        <w:t>Lekdijk</w:t>
      </w:r>
      <w:proofErr w:type="spellEnd"/>
      <w:r w:rsidRPr="00247BA8" w:rsidR="006A72E1">
        <w:rPr>
          <w:rFonts w:ascii="Verdana" w:hAnsi="Verdana"/>
          <w:color w:val="000000" w:themeColor="text1"/>
          <w:sz w:val="18"/>
          <w:szCs w:val="18"/>
        </w:rPr>
        <w:t xml:space="preserve"> en voor agrarisch gebruik. Wat betreft deze laatste toepassing is het model Grondwaterspiegeldiepte in combinatie met de bodemsoort van cruciaal belang voor de berekening en optimalisatie van gewasopbrengsten.</w:t>
      </w:r>
    </w:p>
    <w:p w:rsidRPr="00247BA8" w:rsidR="009245CD" w:rsidP="007D6679" w:rsidRDefault="009245CD" w14:paraId="0259AFED" w14:textId="77777777">
      <w:pPr>
        <w:rPr>
          <w:rFonts w:ascii="Verdana" w:hAnsi="Verdana"/>
          <w:color w:val="000000" w:themeColor="text1"/>
          <w:sz w:val="18"/>
          <w:szCs w:val="18"/>
        </w:rPr>
      </w:pPr>
    </w:p>
    <w:p w:rsidRPr="00247BA8" w:rsidR="00AE635E" w:rsidP="00493363" w:rsidRDefault="00A2486B" w14:paraId="425D38A6" w14:textId="77777777">
      <w:pPr>
        <w:rPr>
          <w:rFonts w:ascii="Verdana" w:hAnsi="Verdana"/>
          <w:i/>
          <w:iCs/>
          <w:color w:val="000000" w:themeColor="text1"/>
          <w:sz w:val="18"/>
          <w:szCs w:val="18"/>
        </w:rPr>
      </w:pPr>
      <w:r w:rsidRPr="00247BA8">
        <w:rPr>
          <w:rFonts w:ascii="Verdana" w:hAnsi="Verdana"/>
          <w:color w:val="000000" w:themeColor="text1"/>
          <w:sz w:val="18"/>
          <w:szCs w:val="18"/>
        </w:rPr>
        <w:br/>
      </w:r>
      <w:r w:rsidRPr="00247BA8" w:rsidR="00054419">
        <w:rPr>
          <w:rFonts w:ascii="Verdana" w:hAnsi="Verdana"/>
          <w:i/>
          <w:iCs/>
          <w:color w:val="000000" w:themeColor="text1"/>
          <w:sz w:val="18"/>
          <w:szCs w:val="18"/>
        </w:rPr>
        <w:t>Indien deze informatie dus op een positieve manier ingezet kan worden, is de regering dan voornemens om het gebruik van de informatie in de BRO voor de inrichting van de fysieke leefomgeving te stimuleren?</w:t>
      </w:r>
      <w:r w:rsidRPr="00247BA8" w:rsidR="00AE635E">
        <w:rPr>
          <w:rFonts w:ascii="Verdana" w:hAnsi="Verdana"/>
          <w:i/>
          <w:iCs/>
          <w:color w:val="000000" w:themeColor="text1"/>
          <w:sz w:val="18"/>
          <w:szCs w:val="18"/>
        </w:rPr>
        <w:br/>
      </w:r>
    </w:p>
    <w:p w:rsidRPr="00247BA8" w:rsidR="002C7005" w:rsidP="7BE14E89" w:rsidRDefault="7BE14E89" w14:paraId="5814CD10" w14:textId="0EECA3D2">
      <w:pPr>
        <w:rPr>
          <w:rFonts w:ascii="Verdana" w:hAnsi="Verdana"/>
          <w:color w:val="000000" w:themeColor="text1"/>
          <w:sz w:val="18"/>
          <w:szCs w:val="18"/>
        </w:rPr>
      </w:pPr>
      <w:r w:rsidRPr="00247BA8">
        <w:rPr>
          <w:rFonts w:ascii="Verdana" w:hAnsi="Verdana"/>
          <w:color w:val="000000" w:themeColor="text1"/>
          <w:sz w:val="18"/>
          <w:szCs w:val="18"/>
        </w:rPr>
        <w:t xml:space="preserve">Gebruik van informatie in de BRO wordt al volop gestimuleerd om baten te realiseren. Op Basisregistratieondergrond.nl worden praktijkvoorbeelden gedeeld. Voorbeelden zijn Zalmhaventoren Rotterdam (stedelijke inpassing van drie verbonden woontorens midden in het centrum), Sterke </w:t>
      </w:r>
      <w:proofErr w:type="spellStart"/>
      <w:r w:rsidRPr="00247BA8">
        <w:rPr>
          <w:rFonts w:ascii="Verdana" w:hAnsi="Verdana"/>
          <w:color w:val="000000" w:themeColor="text1"/>
          <w:sz w:val="18"/>
          <w:szCs w:val="18"/>
        </w:rPr>
        <w:t>Lekdijk</w:t>
      </w:r>
      <w:proofErr w:type="spellEnd"/>
      <w:r w:rsidRPr="00247BA8">
        <w:rPr>
          <w:rFonts w:ascii="Verdana" w:hAnsi="Verdana"/>
          <w:color w:val="000000" w:themeColor="text1"/>
          <w:sz w:val="18"/>
          <w:szCs w:val="18"/>
        </w:rPr>
        <w:t xml:space="preserve"> (versnelling aanleg en reductie kosten) en energietransitie op de Noordzee (hergebruik en ontmanteling van de bestaande olie- en gasinfrastructuur). Op deze site zijn een aantal handreikingen beschikbaar zoals de handreiking voor het gebruik van de BRO bij klimaatadaptatie. Ook zijn daar verslagen van </w:t>
      </w:r>
      <w:proofErr w:type="spellStart"/>
      <w:r w:rsidRPr="00247BA8">
        <w:rPr>
          <w:rFonts w:ascii="Verdana" w:hAnsi="Verdana"/>
          <w:color w:val="000000" w:themeColor="text1"/>
          <w:sz w:val="18"/>
          <w:szCs w:val="18"/>
        </w:rPr>
        <w:t>webinars</w:t>
      </w:r>
      <w:proofErr w:type="spellEnd"/>
      <w:r w:rsidRPr="00247BA8">
        <w:rPr>
          <w:rFonts w:ascii="Verdana" w:hAnsi="Verdana"/>
          <w:color w:val="000000" w:themeColor="text1"/>
          <w:sz w:val="18"/>
          <w:szCs w:val="18"/>
        </w:rPr>
        <w:t xml:space="preserve"> te raadplegen, die worden georganiseerd om medeoverheden te laten vertellen hoe zij de gegevens over de ondergrond gebruiken in de praktijk. </w:t>
      </w:r>
    </w:p>
    <w:p w:rsidRPr="00247BA8" w:rsidR="00493363" w:rsidP="081F2A66" w:rsidRDefault="00661724" w14:paraId="5E0871E6" w14:textId="7FCC55A4">
      <w:pPr>
        <w:rPr>
          <w:rFonts w:ascii="Verdana" w:hAnsi="Verdana" w:eastAsiaTheme="minorEastAsia"/>
          <w:color w:val="000000" w:themeColor="text1"/>
          <w:sz w:val="18"/>
          <w:szCs w:val="18"/>
          <w:lang w:eastAsia="en-US"/>
        </w:rPr>
      </w:pPr>
      <w:r w:rsidRPr="081F2A66">
        <w:rPr>
          <w:rFonts w:ascii="Verdana" w:hAnsi="Verdana" w:eastAsiaTheme="minorEastAsia"/>
          <w:color w:val="000000" w:themeColor="text1"/>
          <w:sz w:val="18"/>
          <w:szCs w:val="18"/>
          <w:lang w:eastAsia="en-US"/>
          <w14:ligatures w14:val="standardContextual"/>
        </w:rPr>
        <w:t xml:space="preserve">Daarnaast </w:t>
      </w:r>
      <w:r w:rsidRPr="081F2A66" w:rsidR="00FE12C4">
        <w:rPr>
          <w:rFonts w:ascii="Verdana" w:hAnsi="Verdana" w:eastAsiaTheme="minorEastAsia"/>
          <w:color w:val="000000" w:themeColor="text1"/>
          <w:sz w:val="18"/>
          <w:szCs w:val="18"/>
          <w:lang w:eastAsia="en-US"/>
          <w14:ligatures w14:val="standardContextual"/>
        </w:rPr>
        <w:t>is begin</w:t>
      </w:r>
      <w:r w:rsidRPr="081F2A66">
        <w:rPr>
          <w:rFonts w:ascii="Verdana" w:hAnsi="Verdana" w:eastAsiaTheme="minorEastAsia"/>
          <w:color w:val="000000" w:themeColor="text1"/>
          <w:sz w:val="18"/>
          <w:szCs w:val="18"/>
          <w:lang w:eastAsia="en-US"/>
          <w14:ligatures w14:val="standardContextual"/>
        </w:rPr>
        <w:t xml:space="preserve"> dit jaar de </w:t>
      </w:r>
      <w:proofErr w:type="spellStart"/>
      <w:r w:rsidRPr="081F2A66">
        <w:rPr>
          <w:rFonts w:ascii="Verdana" w:hAnsi="Verdana" w:eastAsiaTheme="minorEastAsia"/>
          <w:i/>
          <w:iCs/>
          <w:color w:val="000000" w:themeColor="text1"/>
          <w:sz w:val="18"/>
          <w:szCs w:val="18"/>
          <w:lang w:eastAsia="en-US"/>
          <w14:ligatures w14:val="standardContextual"/>
        </w:rPr>
        <w:t>Meerjarenvisie</w:t>
      </w:r>
      <w:proofErr w:type="spellEnd"/>
      <w:r w:rsidRPr="081F2A66">
        <w:rPr>
          <w:rFonts w:ascii="Verdana" w:hAnsi="Verdana" w:eastAsiaTheme="minorEastAsia"/>
          <w:i/>
          <w:iCs/>
          <w:color w:val="000000" w:themeColor="text1"/>
          <w:sz w:val="18"/>
          <w:szCs w:val="18"/>
          <w:lang w:eastAsia="en-US"/>
          <w14:ligatures w14:val="standardContextual"/>
        </w:rPr>
        <w:t xml:space="preserve"> Beraad voor </w:t>
      </w:r>
      <w:proofErr w:type="spellStart"/>
      <w:r w:rsidRPr="081F2A66">
        <w:rPr>
          <w:rFonts w:ascii="Verdana" w:hAnsi="Verdana" w:eastAsiaTheme="minorEastAsia"/>
          <w:i/>
          <w:iCs/>
          <w:color w:val="000000" w:themeColor="text1"/>
          <w:sz w:val="18"/>
          <w:szCs w:val="18"/>
          <w:lang w:eastAsia="en-US"/>
          <w14:ligatures w14:val="standardContextual"/>
        </w:rPr>
        <w:t>Geo</w:t>
      </w:r>
      <w:proofErr w:type="spellEnd"/>
      <w:r w:rsidRPr="081F2A66">
        <w:rPr>
          <w:rFonts w:ascii="Verdana" w:hAnsi="Verdana" w:eastAsiaTheme="minorEastAsia"/>
          <w:i/>
          <w:iCs/>
          <w:color w:val="000000" w:themeColor="text1"/>
          <w:sz w:val="18"/>
          <w:szCs w:val="18"/>
          <w:lang w:eastAsia="en-US"/>
          <w14:ligatures w14:val="standardContextual"/>
        </w:rPr>
        <w:t>-informatie (2024). Zicht op Nederland</w:t>
      </w:r>
      <w:r w:rsidRPr="081F2A66">
        <w:rPr>
          <w:rStyle w:val="Voetnootmarkering"/>
          <w:rFonts w:ascii="Verdana" w:hAnsi="Verdana" w:eastAsiaTheme="minorEastAsia"/>
          <w:color w:val="000000" w:themeColor="text1"/>
          <w:sz w:val="18"/>
          <w:szCs w:val="18"/>
          <w:lang w:eastAsia="en-US"/>
          <w14:ligatures w14:val="standardContextual"/>
        </w:rPr>
        <w:footnoteReference w:id="7"/>
      </w:r>
      <w:r w:rsidRPr="081F2A66">
        <w:rPr>
          <w:rFonts w:ascii="Verdana" w:hAnsi="Verdana" w:eastAsiaTheme="minorEastAsia"/>
          <w:i/>
          <w:iCs/>
          <w:color w:val="000000" w:themeColor="text1"/>
          <w:sz w:val="18"/>
          <w:szCs w:val="18"/>
          <w:lang w:eastAsia="en-US"/>
          <w14:ligatures w14:val="standardContextual"/>
        </w:rPr>
        <w:t xml:space="preserve"> </w:t>
      </w:r>
      <w:r w:rsidRPr="081F2A66">
        <w:rPr>
          <w:rFonts w:ascii="Verdana" w:hAnsi="Verdana" w:eastAsiaTheme="minorEastAsia"/>
          <w:color w:val="000000" w:themeColor="text1"/>
          <w:sz w:val="18"/>
          <w:szCs w:val="18"/>
          <w:lang w:eastAsia="en-US"/>
          <w14:ligatures w14:val="standardContextual"/>
        </w:rPr>
        <w:t xml:space="preserve">aangeboden. Daarin wordt uiteengezet welke verder stappen </w:t>
      </w:r>
      <w:r w:rsidRPr="081F2A66" w:rsidR="00756FB9">
        <w:rPr>
          <w:rFonts w:ascii="Verdana" w:hAnsi="Verdana" w:eastAsiaTheme="minorEastAsia"/>
          <w:color w:val="000000" w:themeColor="text1"/>
          <w:sz w:val="18"/>
          <w:szCs w:val="18"/>
          <w:lang w:eastAsia="en-US"/>
          <w14:ligatures w14:val="standardContextual"/>
        </w:rPr>
        <w:t>ge</w:t>
      </w:r>
      <w:r w:rsidRPr="081F2A66">
        <w:rPr>
          <w:rFonts w:ascii="Verdana" w:hAnsi="Verdana" w:eastAsiaTheme="minorEastAsia"/>
          <w:color w:val="000000" w:themeColor="text1"/>
          <w:sz w:val="18"/>
          <w:szCs w:val="18"/>
          <w:lang w:eastAsia="en-US"/>
          <w14:ligatures w14:val="standardContextual"/>
        </w:rPr>
        <w:t>zet</w:t>
      </w:r>
      <w:r w:rsidRPr="081F2A66" w:rsidR="00756FB9">
        <w:rPr>
          <w:rFonts w:ascii="Verdana" w:hAnsi="Verdana" w:eastAsiaTheme="minorEastAsia"/>
          <w:color w:val="000000" w:themeColor="text1"/>
          <w:sz w:val="18"/>
          <w:szCs w:val="18"/>
          <w:lang w:eastAsia="en-US"/>
          <w14:ligatures w14:val="standardContextual"/>
        </w:rPr>
        <w:t xml:space="preserve"> kunnen word</w:t>
      </w:r>
      <w:r w:rsidRPr="081F2A66">
        <w:rPr>
          <w:rFonts w:ascii="Verdana" w:hAnsi="Verdana" w:eastAsiaTheme="minorEastAsia"/>
          <w:color w:val="000000" w:themeColor="text1"/>
          <w:sz w:val="18"/>
          <w:szCs w:val="18"/>
          <w:lang w:eastAsia="en-US"/>
          <w14:ligatures w14:val="standardContextual"/>
        </w:rPr>
        <w:t xml:space="preserve">en om het (gecombineerd) gebruik van gegevens uit de BRO en andere (basis- en sector)registraties te stimuleren. </w:t>
      </w:r>
      <w:r w:rsidRPr="081F2A66" w:rsidR="00493363">
        <w:rPr>
          <w:rFonts w:ascii="Verdana" w:hAnsi="Verdana" w:eastAsiaTheme="minorEastAsia"/>
          <w:color w:val="000000" w:themeColor="text1"/>
          <w:sz w:val="18"/>
          <w:szCs w:val="18"/>
          <w:lang w:eastAsia="en-US"/>
          <w14:ligatures w14:val="standardContextual"/>
        </w:rPr>
        <w:t xml:space="preserve">We </w:t>
      </w:r>
      <w:r w:rsidRPr="081F2A66" w:rsidR="005F49BF">
        <w:rPr>
          <w:rFonts w:ascii="Verdana" w:hAnsi="Verdana" w:eastAsiaTheme="minorEastAsia"/>
          <w:color w:val="000000" w:themeColor="text1"/>
          <w:sz w:val="18"/>
          <w:szCs w:val="18"/>
          <w:lang w:eastAsia="en-US"/>
          <w14:ligatures w14:val="standardContextual"/>
        </w:rPr>
        <w:t>willen</w:t>
      </w:r>
      <w:r w:rsidRPr="081F2A66" w:rsidR="00493363">
        <w:rPr>
          <w:rFonts w:ascii="Verdana" w:hAnsi="Verdana" w:eastAsiaTheme="minorEastAsia"/>
          <w:color w:val="000000" w:themeColor="text1"/>
          <w:sz w:val="18"/>
          <w:szCs w:val="18"/>
          <w:lang w:eastAsia="en-US"/>
          <w14:ligatures w14:val="standardContextual"/>
        </w:rPr>
        <w:t xml:space="preserve"> de samenwerking op lokaal, regionaal en nationaal niveau </w:t>
      </w:r>
      <w:r w:rsidRPr="081F2A66" w:rsidR="005F49BF">
        <w:rPr>
          <w:rFonts w:ascii="Verdana" w:hAnsi="Verdana" w:eastAsiaTheme="minorEastAsia"/>
          <w:color w:val="000000" w:themeColor="text1"/>
          <w:sz w:val="18"/>
          <w:szCs w:val="18"/>
          <w:lang w:eastAsia="en-US"/>
          <w14:ligatures w14:val="standardContextual"/>
        </w:rPr>
        <w:t xml:space="preserve">zo faciliteren dat </w:t>
      </w:r>
      <w:r w:rsidRPr="081F2A66" w:rsidR="00493363">
        <w:rPr>
          <w:rFonts w:ascii="Verdana" w:hAnsi="Verdana" w:eastAsiaTheme="minorEastAsia"/>
          <w:color w:val="000000" w:themeColor="text1"/>
          <w:sz w:val="18"/>
          <w:szCs w:val="18"/>
          <w:lang w:eastAsia="en-US"/>
          <w14:ligatures w14:val="standardContextual"/>
        </w:rPr>
        <w:t xml:space="preserve">in de verschillende fasen van het beleidsproces </w:t>
      </w:r>
      <w:r w:rsidRPr="081F2A66" w:rsidR="005F49BF">
        <w:rPr>
          <w:rFonts w:ascii="Verdana" w:hAnsi="Verdana" w:eastAsiaTheme="minorEastAsia"/>
          <w:color w:val="000000" w:themeColor="text1"/>
          <w:sz w:val="18"/>
          <w:szCs w:val="18"/>
          <w:lang w:eastAsia="en-US"/>
          <w14:ligatures w14:val="standardContextual"/>
        </w:rPr>
        <w:t>gewerkt wordt</w:t>
      </w:r>
      <w:r w:rsidRPr="081F2A66" w:rsidR="00493363">
        <w:rPr>
          <w:rFonts w:ascii="Verdana" w:hAnsi="Verdana" w:eastAsiaTheme="minorEastAsia"/>
          <w:color w:val="000000" w:themeColor="text1"/>
          <w:sz w:val="18"/>
          <w:szCs w:val="18"/>
          <w:lang w:eastAsia="en-US"/>
          <w14:ligatures w14:val="standardContextual"/>
        </w:rPr>
        <w:t xml:space="preserve"> vanuit een gedeelde informatiepositie.</w:t>
      </w:r>
    </w:p>
    <w:p w:rsidRPr="00247BA8" w:rsidR="00980052" w:rsidP="00054419" w:rsidRDefault="00980052" w14:paraId="4F55FD7B" w14:textId="77777777">
      <w:pPr>
        <w:rPr>
          <w:rFonts w:ascii="Verdana" w:hAnsi="Verdana" w:eastAsiaTheme="minorHAnsi"/>
          <w:color w:val="000000" w:themeColor="text1"/>
          <w:sz w:val="18"/>
          <w:szCs w:val="18"/>
          <w:lang w:eastAsia="en-US"/>
          <w14:ligatures w14:val="standardContextual"/>
        </w:rPr>
      </w:pPr>
    </w:p>
    <w:p w:rsidRPr="00247BA8" w:rsidR="0023217E" w:rsidP="00054419" w:rsidRDefault="00054419" w14:paraId="328154A1" w14:textId="77777777">
      <w:pPr>
        <w:rPr>
          <w:rFonts w:ascii="Verdana" w:hAnsi="Verdana" w:eastAsiaTheme="minorHAnsi"/>
          <w:i/>
          <w:iCs/>
          <w:color w:val="000000" w:themeColor="text1"/>
          <w:sz w:val="18"/>
          <w:szCs w:val="18"/>
          <w:lang w:eastAsia="en-US"/>
          <w14:ligatures w14:val="standardContextual"/>
        </w:rPr>
      </w:pPr>
      <w:r w:rsidRPr="00247BA8">
        <w:rPr>
          <w:rFonts w:ascii="Verdana" w:hAnsi="Verdana" w:eastAsiaTheme="minorHAnsi"/>
          <w:i/>
          <w:iCs/>
          <w:color w:val="000000" w:themeColor="text1"/>
          <w:sz w:val="18"/>
          <w:szCs w:val="18"/>
          <w:lang w:eastAsia="en-US"/>
          <w14:ligatures w14:val="standardContextual"/>
        </w:rPr>
        <w:t xml:space="preserve">De </w:t>
      </w:r>
      <w:bookmarkStart w:name="_Hlk175226831" w:id="2"/>
      <w:r w:rsidRPr="00247BA8">
        <w:rPr>
          <w:rFonts w:ascii="Verdana" w:hAnsi="Verdana" w:eastAsiaTheme="minorHAnsi"/>
          <w:i/>
          <w:iCs/>
          <w:color w:val="000000" w:themeColor="text1"/>
          <w:sz w:val="18"/>
          <w:szCs w:val="18"/>
          <w:lang w:eastAsia="en-US"/>
          <w14:ligatures w14:val="standardContextual"/>
        </w:rPr>
        <w:t xml:space="preserve">leden van de NSC-fractie </w:t>
      </w:r>
      <w:bookmarkEnd w:id="2"/>
      <w:r w:rsidRPr="00247BA8">
        <w:rPr>
          <w:rFonts w:ascii="Verdana" w:hAnsi="Verdana" w:eastAsiaTheme="minorHAnsi"/>
          <w:i/>
          <w:iCs/>
          <w:color w:val="000000" w:themeColor="text1"/>
          <w:sz w:val="18"/>
          <w:szCs w:val="18"/>
          <w:lang w:eastAsia="en-US"/>
          <w14:ligatures w14:val="standardContextual"/>
        </w:rPr>
        <w:t xml:space="preserve">vragen waarom er een vervolgfase is gestart waarin de BRO zal worden uitgebreid met </w:t>
      </w:r>
      <w:proofErr w:type="spellStart"/>
      <w:r w:rsidRPr="00247BA8">
        <w:rPr>
          <w:rFonts w:ascii="Verdana" w:hAnsi="Verdana" w:eastAsiaTheme="minorHAnsi"/>
          <w:i/>
          <w:iCs/>
          <w:color w:val="000000" w:themeColor="text1"/>
          <w:sz w:val="18"/>
          <w:szCs w:val="18"/>
          <w:lang w:eastAsia="en-US"/>
          <w14:ligatures w14:val="standardContextual"/>
        </w:rPr>
        <w:t>milieuhygiënische</w:t>
      </w:r>
      <w:proofErr w:type="spellEnd"/>
      <w:r w:rsidRPr="00247BA8">
        <w:rPr>
          <w:rFonts w:ascii="Verdana" w:hAnsi="Verdana" w:eastAsiaTheme="minorHAnsi"/>
          <w:i/>
          <w:iCs/>
          <w:color w:val="000000" w:themeColor="text1"/>
          <w:sz w:val="18"/>
          <w:szCs w:val="18"/>
          <w:lang w:eastAsia="en-US"/>
          <w14:ligatures w14:val="standardContextual"/>
        </w:rPr>
        <w:t xml:space="preserve"> gegevens. </w:t>
      </w:r>
    </w:p>
    <w:p w:rsidRPr="00247BA8" w:rsidR="00890BC5" w:rsidP="00054419" w:rsidRDefault="00890BC5" w14:paraId="70E1398D" w14:textId="77777777">
      <w:pPr>
        <w:rPr>
          <w:rFonts w:ascii="Verdana" w:hAnsi="Verdana" w:eastAsiaTheme="minorHAnsi"/>
          <w:color w:val="000000" w:themeColor="text1"/>
          <w:sz w:val="18"/>
          <w:szCs w:val="18"/>
          <w:lang w:eastAsia="en-US"/>
          <w14:ligatures w14:val="standardContextual"/>
        </w:rPr>
      </w:pPr>
    </w:p>
    <w:p w:rsidRPr="00247BA8" w:rsidR="002A3977" w:rsidP="00890BC5" w:rsidRDefault="005D18B9" w14:paraId="6A416821" w14:textId="56E13E15">
      <w:pPr>
        <w:rPr>
          <w:rFonts w:ascii="Verdana" w:hAnsi="Verdana" w:eastAsiaTheme="minorHAnsi"/>
          <w:bCs/>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t>In Nederland wordt al sinds jaar en dag veel onderzoek gedaan</w:t>
      </w:r>
      <w:r w:rsidRPr="00247BA8" w:rsidR="008C7A9B">
        <w:rPr>
          <w:rFonts w:ascii="Verdana" w:hAnsi="Verdana" w:eastAsiaTheme="minorHAnsi"/>
          <w:color w:val="000000" w:themeColor="text1"/>
          <w:sz w:val="18"/>
          <w:szCs w:val="18"/>
          <w:lang w:eastAsia="en-US"/>
          <w14:ligatures w14:val="standardContextual"/>
        </w:rPr>
        <w:t xml:space="preserve"> </w:t>
      </w:r>
      <w:r w:rsidRPr="00247BA8" w:rsidR="008C7A9B">
        <w:rPr>
          <w:rFonts w:ascii="Verdana" w:hAnsi="Verdana" w:eastAsiaTheme="minorHAnsi"/>
          <w:bCs/>
          <w:color w:val="000000" w:themeColor="text1"/>
          <w:sz w:val="18"/>
          <w:szCs w:val="18"/>
          <w:lang w:eastAsia="en-US"/>
          <w14:ligatures w14:val="standardContextual"/>
        </w:rPr>
        <w:t>naar de aard en gehalten van verontreinigende stoffen</w:t>
      </w:r>
      <w:r w:rsidRPr="00247BA8" w:rsidR="00EE6EAB">
        <w:rPr>
          <w:rFonts w:ascii="Verdana" w:hAnsi="Verdana" w:eastAsiaTheme="minorHAnsi"/>
          <w:bCs/>
          <w:color w:val="000000" w:themeColor="text1"/>
          <w:sz w:val="18"/>
          <w:szCs w:val="18"/>
          <w:lang w:eastAsia="en-US"/>
          <w14:ligatures w14:val="standardContextual"/>
        </w:rPr>
        <w:t xml:space="preserve"> zoals PFAS</w:t>
      </w:r>
      <w:r w:rsidRPr="00247BA8" w:rsidR="008C7A9B">
        <w:rPr>
          <w:rFonts w:ascii="Verdana" w:hAnsi="Verdana" w:eastAsiaTheme="minorHAnsi"/>
          <w:bCs/>
          <w:color w:val="000000" w:themeColor="text1"/>
          <w:sz w:val="18"/>
          <w:szCs w:val="18"/>
          <w:lang w:eastAsia="en-US"/>
          <w14:ligatures w14:val="standardContextual"/>
        </w:rPr>
        <w:t xml:space="preserve"> in de bodem</w:t>
      </w:r>
      <w:r w:rsidRPr="00247BA8">
        <w:rPr>
          <w:rFonts w:ascii="Verdana" w:hAnsi="Verdana" w:eastAsiaTheme="minorHAnsi"/>
          <w:color w:val="000000" w:themeColor="text1"/>
          <w:sz w:val="18"/>
          <w:szCs w:val="18"/>
          <w:lang w:eastAsia="en-US"/>
          <w14:ligatures w14:val="standardContextual"/>
        </w:rPr>
        <w:t xml:space="preserve">. Jaarlijks worden tienduizenden </w:t>
      </w:r>
      <w:r w:rsidRPr="00247BA8" w:rsidR="008C7A9B">
        <w:rPr>
          <w:rFonts w:ascii="Verdana" w:hAnsi="Verdana" w:eastAsiaTheme="minorHAnsi"/>
          <w:color w:val="000000" w:themeColor="text1"/>
          <w:sz w:val="18"/>
          <w:szCs w:val="18"/>
          <w:lang w:eastAsia="en-US"/>
          <w14:ligatures w14:val="standardContextual"/>
        </w:rPr>
        <w:t>bodem</w:t>
      </w:r>
      <w:r w:rsidRPr="00247BA8">
        <w:rPr>
          <w:rFonts w:ascii="Verdana" w:hAnsi="Verdana" w:eastAsiaTheme="minorHAnsi"/>
          <w:color w:val="000000" w:themeColor="text1"/>
          <w:sz w:val="18"/>
          <w:szCs w:val="18"/>
          <w:lang w:eastAsia="en-US"/>
          <w14:ligatures w14:val="standardContextual"/>
        </w:rPr>
        <w:t>onderzoeken uitgevoerd</w:t>
      </w:r>
      <w:r w:rsidRPr="00247BA8" w:rsidR="008C7A9B">
        <w:rPr>
          <w:rFonts w:ascii="Verdana" w:hAnsi="Verdana" w:eastAsiaTheme="minorHAnsi"/>
          <w:color w:val="000000" w:themeColor="text1"/>
          <w:sz w:val="18"/>
          <w:szCs w:val="18"/>
          <w:lang w:eastAsia="en-US"/>
          <w14:ligatures w14:val="standardContextual"/>
        </w:rPr>
        <w:t xml:space="preserve"> voor</w:t>
      </w:r>
      <w:r w:rsidRPr="00247BA8" w:rsidR="002A3977">
        <w:rPr>
          <w:rFonts w:ascii="Verdana" w:hAnsi="Verdana" w:eastAsiaTheme="minorHAnsi"/>
          <w:color w:val="000000" w:themeColor="text1"/>
          <w:sz w:val="18"/>
          <w:szCs w:val="18"/>
          <w:lang w:eastAsia="en-US"/>
          <w14:ligatures w14:val="standardContextual"/>
        </w:rPr>
        <w:t xml:space="preserve"> de verkenning- en planfase van projecten in de woningbouw, weg- en waterbouw en bij de aanleg of vervanging van kabels en leidingen voor de energietransitie</w:t>
      </w:r>
      <w:r w:rsidRPr="00247BA8">
        <w:rPr>
          <w:rFonts w:ascii="Verdana" w:hAnsi="Verdana" w:eastAsiaTheme="minorHAnsi"/>
          <w:color w:val="000000" w:themeColor="text1"/>
          <w:sz w:val="18"/>
          <w:szCs w:val="18"/>
          <w:lang w:eastAsia="en-US"/>
          <w14:ligatures w14:val="standardContextual"/>
        </w:rPr>
        <w:t xml:space="preserve">. </w:t>
      </w:r>
      <w:r w:rsidRPr="00247BA8" w:rsidR="00EE6EAB">
        <w:rPr>
          <w:rFonts w:ascii="Verdana" w:hAnsi="Verdana" w:eastAsiaTheme="minorHAnsi"/>
          <w:bCs/>
          <w:color w:val="000000" w:themeColor="text1"/>
          <w:sz w:val="18"/>
          <w:szCs w:val="18"/>
          <w:lang w:eastAsia="en-US"/>
          <w14:ligatures w14:val="standardContextual"/>
        </w:rPr>
        <w:t xml:space="preserve">Als de bodem schoon is, kan er direct worden gestart met de werkzaamheden. Als deze is verontreinigd, dan moeten aanvullende onderzoeken worden uitgevoerd - met vertraging van 3-6 maanden – om te bepalen welke aanvullende beschermingsmaatregelen nodig zijn. </w:t>
      </w:r>
      <w:r w:rsidRPr="00247BA8" w:rsidR="00587D94">
        <w:rPr>
          <w:rFonts w:ascii="Verdana" w:hAnsi="Verdana" w:eastAsiaTheme="minorHAnsi"/>
          <w:bCs/>
          <w:color w:val="000000" w:themeColor="text1"/>
          <w:sz w:val="18"/>
          <w:szCs w:val="18"/>
          <w:lang w:eastAsia="en-US"/>
          <w14:ligatures w14:val="standardContextual"/>
        </w:rPr>
        <w:t xml:space="preserve">De resultaten zijn weliswaar vaak vastgelegd in gemeentelijke en provinciale bodeminformatiesystemen, maar de toegankelijkheid en kwaliteit zijn zeer divers. </w:t>
      </w:r>
    </w:p>
    <w:p w:rsidRPr="00247BA8" w:rsidR="00665C73" w:rsidP="00890BC5" w:rsidRDefault="00665C73" w14:paraId="3B476FF7" w14:textId="01342086">
      <w:pPr>
        <w:rPr>
          <w:rFonts w:ascii="Verdana" w:hAnsi="Verdana" w:eastAsiaTheme="minorHAnsi"/>
          <w:bCs/>
          <w:color w:val="000000" w:themeColor="text1"/>
          <w:sz w:val="18"/>
          <w:szCs w:val="18"/>
          <w:lang w:eastAsia="en-US"/>
          <w14:ligatures w14:val="standardContextual"/>
        </w:rPr>
      </w:pPr>
      <w:r w:rsidRPr="00247BA8">
        <w:rPr>
          <w:rFonts w:ascii="Verdana" w:hAnsi="Verdana" w:eastAsiaTheme="minorHAnsi"/>
          <w:bCs/>
          <w:color w:val="000000" w:themeColor="text1"/>
          <w:sz w:val="18"/>
          <w:szCs w:val="18"/>
          <w:lang w:eastAsia="en-US"/>
          <w14:ligatures w14:val="standardContextual"/>
        </w:rPr>
        <w:t>Een eenduidige ontsluiting met een gegarandeerd kwaliteitsniveau zal ertoe leiden dat minder bodemonderzoeken nodig zijn</w:t>
      </w:r>
      <w:r w:rsidRPr="00247BA8" w:rsidR="002A3977">
        <w:rPr>
          <w:rFonts w:ascii="Verdana" w:hAnsi="Verdana" w:eastAsiaTheme="minorHAnsi"/>
          <w:bCs/>
          <w:color w:val="000000" w:themeColor="text1"/>
          <w:sz w:val="18"/>
          <w:szCs w:val="18"/>
          <w:lang w:eastAsia="en-US"/>
          <w14:ligatures w14:val="standardContextual"/>
        </w:rPr>
        <w:t>, omdat die kunnen worden hergebruikt</w:t>
      </w:r>
      <w:r w:rsidRPr="00247BA8">
        <w:rPr>
          <w:rFonts w:ascii="Verdana" w:hAnsi="Verdana" w:eastAsiaTheme="minorHAnsi"/>
          <w:bCs/>
          <w:color w:val="000000" w:themeColor="text1"/>
          <w:sz w:val="18"/>
          <w:szCs w:val="18"/>
          <w:lang w:eastAsia="en-US"/>
          <w14:ligatures w14:val="standardContextual"/>
        </w:rPr>
        <w:t xml:space="preserve">. </w:t>
      </w:r>
      <w:r w:rsidRPr="00247BA8" w:rsidR="002A3977">
        <w:rPr>
          <w:rFonts w:ascii="Verdana" w:hAnsi="Verdana" w:eastAsiaTheme="minorHAnsi"/>
          <w:bCs/>
          <w:color w:val="000000" w:themeColor="text1"/>
          <w:sz w:val="18"/>
          <w:szCs w:val="18"/>
          <w:lang w:eastAsia="en-US"/>
          <w14:ligatures w14:val="standardContextual"/>
        </w:rPr>
        <w:t xml:space="preserve">Daarnaast </w:t>
      </w:r>
      <w:r w:rsidRPr="00247BA8" w:rsidR="00EE6EAB">
        <w:rPr>
          <w:rFonts w:ascii="Verdana" w:hAnsi="Verdana" w:eastAsiaTheme="minorHAnsi"/>
          <w:bCs/>
          <w:color w:val="000000" w:themeColor="text1"/>
          <w:sz w:val="18"/>
          <w:szCs w:val="18"/>
          <w:lang w:eastAsia="en-US"/>
          <w14:ligatures w14:val="standardContextual"/>
        </w:rPr>
        <w:t xml:space="preserve">is hoogwaardig hergebruik van grond mogelijk, </w:t>
      </w:r>
      <w:r w:rsidRPr="00247BA8" w:rsidR="002A3977">
        <w:rPr>
          <w:rFonts w:ascii="Verdana" w:hAnsi="Verdana" w:eastAsiaTheme="minorHAnsi"/>
          <w:bCs/>
          <w:color w:val="000000" w:themeColor="text1"/>
          <w:sz w:val="18"/>
          <w:szCs w:val="18"/>
          <w:lang w:eastAsia="en-US"/>
          <w14:ligatures w14:val="standardContextual"/>
        </w:rPr>
        <w:t xml:space="preserve">als de milieukwaliteit van de afgegraven bodem vroegtijdig bekend is. Dit is onderdeel van de </w:t>
      </w:r>
      <w:r w:rsidRPr="00247BA8" w:rsidR="003816CA">
        <w:rPr>
          <w:rFonts w:ascii="Verdana" w:hAnsi="Verdana" w:eastAsiaTheme="minorHAnsi"/>
          <w:bCs/>
          <w:color w:val="000000" w:themeColor="text1"/>
          <w:sz w:val="18"/>
          <w:szCs w:val="18"/>
          <w:lang w:eastAsia="en-US"/>
          <w14:ligatures w14:val="standardContextual"/>
        </w:rPr>
        <w:t>uitwerking</w:t>
      </w:r>
      <w:r w:rsidRPr="00247BA8" w:rsidR="002A3977">
        <w:rPr>
          <w:rFonts w:ascii="Verdana" w:hAnsi="Verdana" w:eastAsiaTheme="minorHAnsi"/>
          <w:bCs/>
          <w:color w:val="000000" w:themeColor="text1"/>
          <w:sz w:val="18"/>
          <w:szCs w:val="18"/>
          <w:lang w:eastAsia="en-US"/>
          <w14:ligatures w14:val="standardContextual"/>
        </w:rPr>
        <w:t xml:space="preserve"> van </w:t>
      </w:r>
      <w:r w:rsidRPr="00247BA8" w:rsidR="003816CA">
        <w:rPr>
          <w:rFonts w:ascii="Verdana" w:hAnsi="Verdana" w:eastAsiaTheme="minorHAnsi"/>
          <w:bCs/>
          <w:color w:val="000000" w:themeColor="text1"/>
          <w:sz w:val="18"/>
          <w:szCs w:val="18"/>
          <w:lang w:eastAsia="en-US"/>
          <w14:ligatures w14:val="standardContextual"/>
        </w:rPr>
        <w:t>de Interbestuurlijke Uitvoeringsagenda</w:t>
      </w:r>
      <w:r w:rsidRPr="00247BA8" w:rsidR="002A3977">
        <w:rPr>
          <w:rFonts w:ascii="Verdana" w:hAnsi="Verdana" w:eastAsiaTheme="minorHAnsi"/>
          <w:bCs/>
          <w:color w:val="000000" w:themeColor="text1"/>
          <w:sz w:val="18"/>
          <w:szCs w:val="18"/>
          <w:lang w:eastAsia="en-US"/>
          <w14:ligatures w14:val="standardContextual"/>
        </w:rPr>
        <w:t xml:space="preserve"> Water en Bodem </w:t>
      </w:r>
      <w:r w:rsidRPr="00247BA8" w:rsidR="003816CA">
        <w:rPr>
          <w:rFonts w:ascii="Verdana" w:hAnsi="Verdana" w:eastAsiaTheme="minorHAnsi"/>
          <w:bCs/>
          <w:color w:val="000000" w:themeColor="text1"/>
          <w:sz w:val="18"/>
          <w:szCs w:val="18"/>
          <w:lang w:eastAsia="en-US"/>
          <w14:ligatures w14:val="standardContextual"/>
        </w:rPr>
        <w:t>S</w:t>
      </w:r>
      <w:r w:rsidRPr="00247BA8" w:rsidR="002A3977">
        <w:rPr>
          <w:rFonts w:ascii="Verdana" w:hAnsi="Verdana" w:eastAsiaTheme="minorHAnsi"/>
          <w:bCs/>
          <w:color w:val="000000" w:themeColor="text1"/>
          <w:sz w:val="18"/>
          <w:szCs w:val="18"/>
          <w:lang w:eastAsia="en-US"/>
          <w14:ligatures w14:val="standardContextual"/>
        </w:rPr>
        <w:t>turend</w:t>
      </w:r>
      <w:r w:rsidRPr="00247BA8" w:rsidR="003816CA">
        <w:rPr>
          <w:rStyle w:val="Voetnootmarkering"/>
          <w:rFonts w:ascii="Verdana" w:hAnsi="Verdana" w:eastAsiaTheme="minorHAnsi"/>
          <w:bCs/>
          <w:color w:val="000000" w:themeColor="text1"/>
          <w:sz w:val="18"/>
          <w:szCs w:val="18"/>
          <w:lang w:eastAsia="en-US"/>
          <w14:ligatures w14:val="standardContextual"/>
        </w:rPr>
        <w:footnoteReference w:id="8"/>
      </w:r>
      <w:r w:rsidRPr="00247BA8" w:rsidR="002A3977">
        <w:rPr>
          <w:rFonts w:ascii="Verdana" w:hAnsi="Verdana" w:eastAsiaTheme="minorHAnsi"/>
          <w:bCs/>
          <w:color w:val="000000" w:themeColor="text1"/>
          <w:sz w:val="18"/>
          <w:szCs w:val="18"/>
          <w:lang w:eastAsia="en-US"/>
          <w14:ligatures w14:val="standardContextual"/>
        </w:rPr>
        <w:t xml:space="preserve"> en geeft invulling aan het </w:t>
      </w:r>
      <w:r w:rsidRPr="00247BA8" w:rsidR="006B6097">
        <w:rPr>
          <w:rFonts w:ascii="Verdana" w:hAnsi="Verdana" w:eastAsiaTheme="minorHAnsi"/>
          <w:bCs/>
          <w:color w:val="000000" w:themeColor="text1"/>
          <w:sz w:val="18"/>
          <w:szCs w:val="18"/>
          <w:lang w:eastAsia="en-US"/>
          <w14:ligatures w14:val="standardContextual"/>
        </w:rPr>
        <w:t>Uitvoeringsprogramma Circulaire Bouw Economie</w:t>
      </w:r>
      <w:r w:rsidRPr="00247BA8" w:rsidR="002A3977">
        <w:rPr>
          <w:rFonts w:ascii="Verdana" w:hAnsi="Verdana" w:eastAsiaTheme="minorHAnsi"/>
          <w:bCs/>
          <w:color w:val="000000" w:themeColor="text1"/>
          <w:sz w:val="18"/>
          <w:szCs w:val="18"/>
          <w:lang w:eastAsia="en-US"/>
          <w14:ligatures w14:val="standardContextual"/>
        </w:rPr>
        <w:t>.</w:t>
      </w:r>
      <w:r w:rsidRPr="00247BA8" w:rsidR="006B6097">
        <w:rPr>
          <w:rStyle w:val="Voetnootmarkering"/>
          <w:rFonts w:ascii="Verdana" w:hAnsi="Verdana" w:eastAsiaTheme="minorHAnsi"/>
          <w:bCs/>
          <w:color w:val="000000" w:themeColor="text1"/>
          <w:sz w:val="18"/>
          <w:szCs w:val="18"/>
          <w:lang w:eastAsia="en-US"/>
          <w14:ligatures w14:val="standardContextual"/>
        </w:rPr>
        <w:footnoteReference w:id="9"/>
      </w:r>
      <w:r w:rsidRPr="00247BA8" w:rsidR="002A3977">
        <w:rPr>
          <w:rFonts w:ascii="Verdana" w:hAnsi="Verdana" w:eastAsiaTheme="minorHAnsi"/>
          <w:bCs/>
          <w:color w:val="000000" w:themeColor="text1"/>
          <w:sz w:val="18"/>
          <w:szCs w:val="18"/>
          <w:lang w:eastAsia="en-US"/>
          <w14:ligatures w14:val="standardContextual"/>
        </w:rPr>
        <w:t xml:space="preserve"> </w:t>
      </w:r>
      <w:r w:rsidRPr="00247BA8">
        <w:rPr>
          <w:rFonts w:ascii="Verdana" w:hAnsi="Verdana" w:eastAsiaTheme="minorHAnsi"/>
          <w:bCs/>
          <w:color w:val="000000" w:themeColor="text1"/>
          <w:sz w:val="18"/>
          <w:szCs w:val="18"/>
          <w:lang w:eastAsia="en-US"/>
          <w14:ligatures w14:val="standardContextual"/>
        </w:rPr>
        <w:t xml:space="preserve">Hiermee kunnen </w:t>
      </w:r>
      <w:r w:rsidRPr="00247BA8" w:rsidR="006B6097">
        <w:rPr>
          <w:rFonts w:ascii="Verdana" w:hAnsi="Verdana" w:eastAsiaTheme="minorHAnsi"/>
          <w:bCs/>
          <w:color w:val="000000" w:themeColor="text1"/>
          <w:sz w:val="18"/>
          <w:szCs w:val="18"/>
          <w:lang w:eastAsia="en-US"/>
          <w14:ligatures w14:val="standardContextual"/>
        </w:rPr>
        <w:t xml:space="preserve">honderden </w:t>
      </w:r>
      <w:r w:rsidRPr="00247BA8">
        <w:rPr>
          <w:rFonts w:ascii="Verdana" w:hAnsi="Verdana" w:eastAsiaTheme="minorHAnsi"/>
          <w:bCs/>
          <w:color w:val="000000" w:themeColor="text1"/>
          <w:sz w:val="18"/>
          <w:szCs w:val="18"/>
          <w:lang w:eastAsia="en-US"/>
          <w14:ligatures w14:val="standardContextual"/>
        </w:rPr>
        <w:t>miljoenen euro’s per jaar bespaard worden</w:t>
      </w:r>
      <w:r w:rsidRPr="00247BA8" w:rsidR="006B6097">
        <w:rPr>
          <w:rFonts w:ascii="Verdana" w:hAnsi="Verdana" w:eastAsiaTheme="minorHAnsi"/>
          <w:bCs/>
          <w:color w:val="000000" w:themeColor="text1"/>
          <w:sz w:val="18"/>
          <w:szCs w:val="18"/>
          <w:lang w:eastAsia="en-US"/>
          <w14:ligatures w14:val="standardContextual"/>
        </w:rPr>
        <w:t>, en de bouwopgave en energietransitie versneld gerealiseerd worden</w:t>
      </w:r>
      <w:r w:rsidRPr="00247BA8">
        <w:rPr>
          <w:rFonts w:ascii="Verdana" w:hAnsi="Verdana" w:eastAsiaTheme="minorHAnsi"/>
          <w:bCs/>
          <w:color w:val="000000" w:themeColor="text1"/>
          <w:sz w:val="18"/>
          <w:szCs w:val="18"/>
          <w:lang w:eastAsia="en-US"/>
          <w14:ligatures w14:val="standardContextual"/>
        </w:rPr>
        <w:t>.</w:t>
      </w:r>
      <w:r w:rsidRPr="00247BA8">
        <w:rPr>
          <w:rFonts w:ascii="Verdana" w:hAnsi="Verdana" w:eastAsiaTheme="minorHAnsi"/>
          <w:bCs/>
          <w:i/>
          <w:iCs/>
          <w:color w:val="000000" w:themeColor="text1"/>
          <w:sz w:val="18"/>
          <w:szCs w:val="18"/>
          <w:vertAlign w:val="superscript"/>
          <w:lang w:eastAsia="en-US"/>
          <w14:ligatures w14:val="standardContextual"/>
        </w:rPr>
        <w:footnoteReference w:id="10"/>
      </w:r>
    </w:p>
    <w:p w:rsidRPr="00247BA8" w:rsidR="00FA03F9" w:rsidP="00890BC5" w:rsidRDefault="00A2486B" w14:paraId="64ECF165" w14:textId="057C982E">
      <w:pPr>
        <w:rPr>
          <w:rFonts w:ascii="Verdana" w:hAnsi="Verdana" w:eastAsiaTheme="minorHAnsi"/>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t>Ten tijde van de</w:t>
      </w:r>
      <w:r w:rsidRPr="00247BA8" w:rsidR="0023217E">
        <w:rPr>
          <w:rFonts w:ascii="Verdana" w:hAnsi="Verdana" w:eastAsiaTheme="minorHAnsi"/>
          <w:color w:val="000000" w:themeColor="text1"/>
          <w:sz w:val="18"/>
          <w:szCs w:val="18"/>
          <w:lang w:eastAsia="en-US"/>
          <w14:ligatures w14:val="standardContextual"/>
        </w:rPr>
        <w:t xml:space="preserve"> behandeling van de Wet </w:t>
      </w:r>
      <w:proofErr w:type="spellStart"/>
      <w:r w:rsidRPr="00247BA8" w:rsidR="003B7C0D">
        <w:rPr>
          <w:rFonts w:ascii="Verdana" w:hAnsi="Verdana" w:eastAsiaTheme="minorHAnsi"/>
          <w:color w:val="000000" w:themeColor="text1"/>
          <w:sz w:val="18"/>
          <w:szCs w:val="18"/>
          <w:lang w:eastAsia="en-US"/>
          <w14:ligatures w14:val="standardContextual"/>
        </w:rPr>
        <w:t>B</w:t>
      </w:r>
      <w:r w:rsidRPr="00247BA8" w:rsidR="0023217E">
        <w:rPr>
          <w:rFonts w:ascii="Verdana" w:hAnsi="Verdana" w:eastAsiaTheme="minorHAnsi"/>
          <w:color w:val="000000" w:themeColor="text1"/>
          <w:sz w:val="18"/>
          <w:szCs w:val="18"/>
          <w:lang w:eastAsia="en-US"/>
          <w14:ligatures w14:val="standardContextual"/>
        </w:rPr>
        <w:t>ro</w:t>
      </w:r>
      <w:proofErr w:type="spellEnd"/>
      <w:r w:rsidRPr="00247BA8" w:rsidR="0023217E">
        <w:rPr>
          <w:rFonts w:ascii="Verdana" w:hAnsi="Verdana" w:eastAsiaTheme="minorHAnsi"/>
          <w:color w:val="000000" w:themeColor="text1"/>
          <w:sz w:val="18"/>
          <w:szCs w:val="18"/>
          <w:lang w:eastAsia="en-US"/>
          <w14:ligatures w14:val="standardContextual"/>
        </w:rPr>
        <w:t xml:space="preserve"> in de T</w:t>
      </w:r>
      <w:r w:rsidRPr="00247BA8" w:rsidR="003B7C0D">
        <w:rPr>
          <w:rFonts w:ascii="Verdana" w:hAnsi="Verdana" w:eastAsiaTheme="minorHAnsi"/>
          <w:color w:val="000000" w:themeColor="text1"/>
          <w:sz w:val="18"/>
          <w:szCs w:val="18"/>
          <w:lang w:eastAsia="en-US"/>
          <w14:ligatures w14:val="standardContextual"/>
        </w:rPr>
        <w:t xml:space="preserve">weede </w:t>
      </w:r>
      <w:r w:rsidRPr="00247BA8" w:rsidR="0023217E">
        <w:rPr>
          <w:rFonts w:ascii="Verdana" w:hAnsi="Verdana" w:eastAsiaTheme="minorHAnsi"/>
          <w:color w:val="000000" w:themeColor="text1"/>
          <w:sz w:val="18"/>
          <w:szCs w:val="18"/>
          <w:lang w:eastAsia="en-US"/>
          <w14:ligatures w14:val="standardContextual"/>
        </w:rPr>
        <w:t>K</w:t>
      </w:r>
      <w:r w:rsidRPr="00247BA8" w:rsidR="003B7C0D">
        <w:rPr>
          <w:rFonts w:ascii="Verdana" w:hAnsi="Verdana" w:eastAsiaTheme="minorHAnsi"/>
          <w:color w:val="000000" w:themeColor="text1"/>
          <w:sz w:val="18"/>
          <w:szCs w:val="18"/>
          <w:lang w:eastAsia="en-US"/>
          <w14:ligatures w14:val="standardContextual"/>
        </w:rPr>
        <w:t>amer</w:t>
      </w:r>
      <w:r w:rsidRPr="00247BA8" w:rsidR="0023217E">
        <w:rPr>
          <w:rFonts w:ascii="Verdana" w:hAnsi="Verdana" w:eastAsiaTheme="minorHAnsi"/>
          <w:color w:val="000000" w:themeColor="text1"/>
          <w:sz w:val="18"/>
          <w:szCs w:val="18"/>
          <w:lang w:eastAsia="en-US"/>
          <w14:ligatures w14:val="standardContextual"/>
        </w:rPr>
        <w:t xml:space="preserve"> </w:t>
      </w:r>
      <w:r w:rsidRPr="00247BA8">
        <w:rPr>
          <w:rFonts w:ascii="Verdana" w:hAnsi="Verdana" w:eastAsiaTheme="minorHAnsi"/>
          <w:color w:val="000000" w:themeColor="text1"/>
          <w:sz w:val="18"/>
          <w:szCs w:val="18"/>
          <w:lang w:eastAsia="en-US"/>
          <w14:ligatures w14:val="standardContextual"/>
        </w:rPr>
        <w:t xml:space="preserve">liep </w:t>
      </w:r>
      <w:r w:rsidRPr="00247BA8" w:rsidR="00587D94">
        <w:rPr>
          <w:rFonts w:ascii="Verdana" w:hAnsi="Verdana" w:eastAsiaTheme="minorHAnsi"/>
          <w:color w:val="000000" w:themeColor="text1"/>
          <w:sz w:val="18"/>
          <w:szCs w:val="18"/>
          <w:lang w:eastAsia="en-US"/>
          <w14:ligatures w14:val="standardContextual"/>
        </w:rPr>
        <w:t xml:space="preserve">daarom </w:t>
      </w:r>
      <w:r w:rsidRPr="00247BA8">
        <w:rPr>
          <w:rFonts w:ascii="Verdana" w:hAnsi="Verdana" w:eastAsiaTheme="minorHAnsi"/>
          <w:color w:val="000000" w:themeColor="text1"/>
          <w:sz w:val="18"/>
          <w:szCs w:val="18"/>
          <w:lang w:eastAsia="en-US"/>
          <w14:ligatures w14:val="standardContextual"/>
        </w:rPr>
        <w:t xml:space="preserve">een initiatief </w:t>
      </w:r>
      <w:r w:rsidRPr="00247BA8" w:rsidR="008C5CD7">
        <w:rPr>
          <w:rFonts w:ascii="Verdana" w:hAnsi="Verdana" w:eastAsiaTheme="minorHAnsi"/>
          <w:color w:val="000000" w:themeColor="text1"/>
          <w:sz w:val="18"/>
          <w:szCs w:val="18"/>
          <w:lang w:eastAsia="en-US"/>
          <w14:ligatures w14:val="standardContextual"/>
        </w:rPr>
        <w:t xml:space="preserve">van </w:t>
      </w:r>
      <w:r w:rsidRPr="00247BA8" w:rsidR="00833E3B">
        <w:rPr>
          <w:rFonts w:ascii="Verdana" w:hAnsi="Verdana" w:eastAsiaTheme="minorHAnsi"/>
          <w:color w:val="000000" w:themeColor="text1"/>
          <w:sz w:val="18"/>
          <w:szCs w:val="18"/>
          <w:lang w:eastAsia="en-US"/>
          <w14:ligatures w14:val="standardContextual"/>
        </w:rPr>
        <w:t xml:space="preserve">de </w:t>
      </w:r>
      <w:r w:rsidRPr="00247BA8" w:rsidR="008C5CD7">
        <w:rPr>
          <w:rFonts w:ascii="Verdana" w:hAnsi="Verdana" w:eastAsiaTheme="minorHAnsi"/>
          <w:color w:val="000000" w:themeColor="text1"/>
          <w:sz w:val="18"/>
          <w:szCs w:val="18"/>
          <w:lang w:eastAsia="en-US"/>
          <w14:ligatures w14:val="standardContextual"/>
        </w:rPr>
        <w:t xml:space="preserve">overheid en netbeheerders </w:t>
      </w:r>
      <w:r w:rsidRPr="00247BA8">
        <w:rPr>
          <w:rFonts w:ascii="Verdana" w:hAnsi="Verdana" w:eastAsiaTheme="minorHAnsi"/>
          <w:color w:val="000000" w:themeColor="text1"/>
          <w:sz w:val="18"/>
          <w:szCs w:val="18"/>
          <w:lang w:eastAsia="en-US"/>
          <w14:ligatures w14:val="standardContextual"/>
        </w:rPr>
        <w:t xml:space="preserve">voor een centrale registratie van bodemkwaliteitsgegevens </w:t>
      </w:r>
      <w:r w:rsidRPr="00247BA8" w:rsidR="005D18B9">
        <w:rPr>
          <w:rFonts w:ascii="Verdana" w:hAnsi="Verdana" w:eastAsiaTheme="minorHAnsi"/>
          <w:color w:val="000000" w:themeColor="text1"/>
          <w:sz w:val="18"/>
          <w:szCs w:val="18"/>
          <w:lang w:eastAsia="en-US"/>
          <w14:ligatures w14:val="standardContextual"/>
        </w:rPr>
        <w:t>om tot een beter ontsluiting van deze gegevens te komen door het invoeren van een centraal register</w:t>
      </w:r>
      <w:r w:rsidRPr="00247BA8" w:rsidR="0023217E">
        <w:rPr>
          <w:rFonts w:ascii="Verdana" w:hAnsi="Verdana" w:eastAsiaTheme="minorHAnsi"/>
          <w:color w:val="000000" w:themeColor="text1"/>
          <w:sz w:val="18"/>
          <w:szCs w:val="18"/>
          <w:lang w:eastAsia="en-US"/>
          <w14:ligatures w14:val="standardContextual"/>
        </w:rPr>
        <w:t>.</w:t>
      </w:r>
      <w:r w:rsidRPr="00247BA8" w:rsidR="005D18B9">
        <w:rPr>
          <w:rStyle w:val="Voetnootmarkering"/>
          <w:rFonts w:ascii="Verdana" w:hAnsi="Verdana" w:eastAsiaTheme="minorHAnsi"/>
          <w:color w:val="000000" w:themeColor="text1"/>
          <w:sz w:val="18"/>
          <w:szCs w:val="18"/>
          <w:lang w:eastAsia="en-US"/>
          <w14:ligatures w14:val="standardContextual"/>
        </w:rPr>
        <w:footnoteReference w:id="11"/>
      </w:r>
      <w:r w:rsidRPr="00247BA8" w:rsidR="0023217E">
        <w:rPr>
          <w:rFonts w:ascii="Verdana" w:hAnsi="Verdana" w:eastAsiaTheme="minorHAnsi"/>
          <w:color w:val="000000" w:themeColor="text1"/>
          <w:sz w:val="18"/>
          <w:szCs w:val="18"/>
          <w:lang w:eastAsia="en-US"/>
          <w14:ligatures w14:val="standardContextual"/>
        </w:rPr>
        <w:t xml:space="preserve"> </w:t>
      </w:r>
      <w:r w:rsidRPr="00247BA8" w:rsidR="005D18B9">
        <w:rPr>
          <w:rFonts w:ascii="Verdana" w:hAnsi="Verdana" w:eastAsiaTheme="minorHAnsi"/>
          <w:color w:val="000000" w:themeColor="text1"/>
          <w:sz w:val="18"/>
          <w:szCs w:val="18"/>
          <w:lang w:eastAsia="en-US"/>
          <w14:ligatures w14:val="standardContextual"/>
        </w:rPr>
        <w:lastRenderedPageBreak/>
        <w:t>Bedoeling was dat register op enig moment op te nemen in</w:t>
      </w:r>
      <w:r w:rsidRPr="00247BA8" w:rsidR="00C3570E">
        <w:rPr>
          <w:rFonts w:ascii="Verdana" w:hAnsi="Verdana" w:eastAsiaTheme="minorHAnsi"/>
          <w:color w:val="000000" w:themeColor="text1"/>
          <w:sz w:val="18"/>
          <w:szCs w:val="18"/>
          <w:lang w:eastAsia="en-US"/>
          <w14:ligatures w14:val="standardContextual"/>
        </w:rPr>
        <w:t xml:space="preserve"> </w:t>
      </w:r>
      <w:r w:rsidRPr="00247BA8" w:rsidR="005D18B9">
        <w:rPr>
          <w:rFonts w:ascii="Verdana" w:hAnsi="Verdana" w:eastAsiaTheme="minorHAnsi"/>
          <w:color w:val="000000" w:themeColor="text1"/>
          <w:sz w:val="18"/>
          <w:szCs w:val="18"/>
          <w:lang w:eastAsia="en-US"/>
          <w14:ligatures w14:val="standardContextual"/>
        </w:rPr>
        <w:t>de BRO. Toen di</w:t>
      </w:r>
      <w:r w:rsidRPr="00247BA8" w:rsidR="004555C5">
        <w:rPr>
          <w:rFonts w:ascii="Verdana" w:hAnsi="Verdana" w:eastAsiaTheme="minorHAnsi"/>
          <w:color w:val="000000" w:themeColor="text1"/>
          <w:sz w:val="18"/>
          <w:szCs w:val="18"/>
          <w:lang w:eastAsia="en-US"/>
          <w14:ligatures w14:val="standardContextual"/>
        </w:rPr>
        <w:t>t</w:t>
      </w:r>
      <w:r w:rsidRPr="00247BA8">
        <w:rPr>
          <w:rFonts w:ascii="Verdana" w:hAnsi="Verdana" w:eastAsiaTheme="minorHAnsi"/>
          <w:color w:val="000000" w:themeColor="text1"/>
          <w:sz w:val="18"/>
          <w:szCs w:val="18"/>
          <w:lang w:eastAsia="en-US"/>
          <w14:ligatures w14:val="standardContextual"/>
        </w:rPr>
        <w:t xml:space="preserve"> initiatief </w:t>
      </w:r>
      <w:r w:rsidRPr="00247BA8" w:rsidR="004555C5">
        <w:rPr>
          <w:rFonts w:ascii="Verdana" w:hAnsi="Verdana" w:eastAsiaTheme="minorHAnsi"/>
          <w:color w:val="000000" w:themeColor="text1"/>
          <w:sz w:val="18"/>
          <w:szCs w:val="18"/>
          <w:lang w:eastAsia="en-US"/>
          <w14:ligatures w14:val="standardContextual"/>
        </w:rPr>
        <w:t>vastl</w:t>
      </w:r>
      <w:r w:rsidRPr="00247BA8" w:rsidR="005D18B9">
        <w:rPr>
          <w:rFonts w:ascii="Verdana" w:hAnsi="Verdana" w:eastAsiaTheme="minorHAnsi"/>
          <w:color w:val="000000" w:themeColor="text1"/>
          <w:sz w:val="18"/>
          <w:szCs w:val="18"/>
          <w:lang w:eastAsia="en-US"/>
          <w14:ligatures w14:val="standardContextual"/>
        </w:rPr>
        <w:t>ie</w:t>
      </w:r>
      <w:r w:rsidRPr="00247BA8" w:rsidR="004555C5">
        <w:rPr>
          <w:rFonts w:ascii="Verdana" w:hAnsi="Verdana" w:eastAsiaTheme="minorHAnsi"/>
          <w:color w:val="000000" w:themeColor="text1"/>
          <w:sz w:val="18"/>
          <w:szCs w:val="18"/>
          <w:lang w:eastAsia="en-US"/>
          <w14:ligatures w14:val="standardContextual"/>
        </w:rPr>
        <w:t>p</w:t>
      </w:r>
      <w:r w:rsidRPr="00247BA8" w:rsidR="005D18B9">
        <w:rPr>
          <w:rFonts w:ascii="Verdana" w:hAnsi="Verdana" w:eastAsiaTheme="minorHAnsi"/>
          <w:color w:val="000000" w:themeColor="text1"/>
          <w:sz w:val="18"/>
          <w:szCs w:val="18"/>
          <w:lang w:eastAsia="en-US"/>
          <w14:ligatures w14:val="standardContextual"/>
        </w:rPr>
        <w:t>, heeft de</w:t>
      </w:r>
      <w:r w:rsidRPr="00247BA8">
        <w:rPr>
          <w:rFonts w:ascii="Verdana" w:hAnsi="Verdana" w:eastAsiaTheme="minorHAnsi"/>
          <w:color w:val="000000" w:themeColor="text1"/>
          <w:sz w:val="18"/>
          <w:szCs w:val="18"/>
          <w:lang w:eastAsia="en-US"/>
          <w14:ligatures w14:val="standardContextual"/>
        </w:rPr>
        <w:t xml:space="preserve"> Tweede Kamer </w:t>
      </w:r>
      <w:r w:rsidRPr="00247BA8" w:rsidR="005D18B9">
        <w:rPr>
          <w:rFonts w:ascii="Verdana" w:hAnsi="Verdana" w:eastAsiaTheme="minorHAnsi"/>
          <w:color w:val="000000" w:themeColor="text1"/>
          <w:sz w:val="18"/>
          <w:szCs w:val="18"/>
          <w:lang w:eastAsia="en-US"/>
          <w14:ligatures w14:val="standardContextual"/>
        </w:rPr>
        <w:t xml:space="preserve">de </w:t>
      </w:r>
      <w:r w:rsidRPr="00247BA8">
        <w:rPr>
          <w:rFonts w:ascii="Verdana" w:hAnsi="Verdana" w:eastAsiaTheme="minorHAnsi"/>
          <w:color w:val="000000" w:themeColor="text1"/>
          <w:sz w:val="18"/>
          <w:szCs w:val="18"/>
          <w:lang w:eastAsia="en-US"/>
          <w14:ligatures w14:val="standardContextual"/>
        </w:rPr>
        <w:t xml:space="preserve">motie </w:t>
      </w:r>
      <w:proofErr w:type="spellStart"/>
      <w:r w:rsidRPr="00247BA8">
        <w:rPr>
          <w:rFonts w:ascii="Verdana" w:hAnsi="Verdana" w:eastAsiaTheme="minorHAnsi"/>
          <w:color w:val="000000" w:themeColor="text1"/>
          <w:sz w:val="18"/>
          <w:szCs w:val="18"/>
          <w:lang w:eastAsia="en-US"/>
          <w14:ligatures w14:val="standardContextual"/>
        </w:rPr>
        <w:t>Ronnes</w:t>
      </w:r>
      <w:proofErr w:type="spellEnd"/>
      <w:r w:rsidRPr="00247BA8">
        <w:rPr>
          <w:rFonts w:ascii="Verdana" w:hAnsi="Verdana" w:eastAsiaTheme="minorHAnsi"/>
          <w:color w:val="000000" w:themeColor="text1"/>
          <w:sz w:val="18"/>
          <w:szCs w:val="18"/>
          <w:lang w:eastAsia="en-US"/>
          <w14:ligatures w14:val="standardContextual"/>
        </w:rPr>
        <w:t>-Van Gerven</w:t>
      </w:r>
      <w:r w:rsidRPr="00247BA8" w:rsidR="003B7C0D">
        <w:rPr>
          <w:rStyle w:val="Voetnootmarkering"/>
          <w:rFonts w:ascii="Verdana" w:hAnsi="Verdana" w:eastAsiaTheme="minorHAnsi"/>
          <w:color w:val="000000" w:themeColor="text1"/>
          <w:sz w:val="18"/>
          <w:szCs w:val="18"/>
          <w:lang w:eastAsia="en-US"/>
          <w14:ligatures w14:val="standardContextual"/>
        </w:rPr>
        <w:footnoteReference w:id="12"/>
      </w:r>
      <w:r w:rsidRPr="00247BA8" w:rsidR="005D18B9">
        <w:rPr>
          <w:rFonts w:ascii="Verdana" w:hAnsi="Verdana" w:eastAsiaTheme="minorHAnsi"/>
          <w:color w:val="000000" w:themeColor="text1"/>
          <w:sz w:val="18"/>
          <w:szCs w:val="18"/>
          <w:lang w:eastAsia="en-US"/>
          <w14:ligatures w14:val="standardContextual"/>
        </w:rPr>
        <w:t xml:space="preserve"> aangenomen, waarin de regering wordt opgeroepen om bodemkwaliteitsgegevens op te nemen in de BRO. Aan die motie wordt nu uitvoering gegeven</w:t>
      </w:r>
      <w:r w:rsidRPr="00247BA8">
        <w:rPr>
          <w:rFonts w:ascii="Verdana" w:hAnsi="Verdana" w:eastAsiaTheme="minorHAnsi"/>
          <w:color w:val="000000" w:themeColor="text1"/>
          <w:sz w:val="18"/>
          <w:szCs w:val="18"/>
          <w:lang w:eastAsia="en-US"/>
          <w14:ligatures w14:val="standardContextual"/>
        </w:rPr>
        <w:t>.</w:t>
      </w:r>
      <w:r w:rsidRPr="00247BA8" w:rsidR="007720AA">
        <w:rPr>
          <w:rStyle w:val="Voetnootmarkering"/>
          <w:rFonts w:ascii="Verdana" w:hAnsi="Verdana" w:eastAsiaTheme="minorHAnsi"/>
          <w:color w:val="000000" w:themeColor="text1"/>
          <w:sz w:val="18"/>
          <w:szCs w:val="18"/>
          <w:lang w:eastAsia="en-US"/>
          <w14:ligatures w14:val="standardContextual"/>
        </w:rPr>
        <w:footnoteReference w:id="13"/>
      </w:r>
    </w:p>
    <w:p w:rsidRPr="00247BA8" w:rsidR="00054419" w:rsidP="00054419" w:rsidRDefault="00A2486B" w14:paraId="110AC6AF" w14:textId="427DEA6C">
      <w:pPr>
        <w:rPr>
          <w:rFonts w:ascii="Verdana" w:hAnsi="Verdana" w:eastAsiaTheme="minorHAnsi"/>
          <w:i/>
          <w:iCs/>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br/>
      </w:r>
      <w:r w:rsidRPr="00247BA8" w:rsidR="00054419">
        <w:rPr>
          <w:rFonts w:ascii="Verdana" w:hAnsi="Verdana" w:eastAsiaTheme="minorHAnsi"/>
          <w:i/>
          <w:iCs/>
          <w:color w:val="000000" w:themeColor="text1"/>
          <w:sz w:val="18"/>
          <w:szCs w:val="18"/>
          <w:lang w:eastAsia="en-US"/>
          <w14:ligatures w14:val="standardContextual"/>
        </w:rPr>
        <w:t>Deze leden vragen of hier sprake is van een voorgenomen Nederlandse kop op Europees beleid.</w:t>
      </w:r>
    </w:p>
    <w:p w:rsidRPr="00247BA8" w:rsidR="00890BC5" w:rsidP="00054419" w:rsidRDefault="00890BC5" w14:paraId="3657929E" w14:textId="77777777">
      <w:pPr>
        <w:rPr>
          <w:rFonts w:ascii="Verdana" w:hAnsi="Verdana" w:eastAsiaTheme="minorHAnsi"/>
          <w:i/>
          <w:iCs/>
          <w:color w:val="000000" w:themeColor="text1"/>
          <w:sz w:val="18"/>
          <w:szCs w:val="18"/>
          <w:lang w:eastAsia="en-US"/>
          <w14:ligatures w14:val="standardContextual"/>
        </w:rPr>
      </w:pPr>
    </w:p>
    <w:p w:rsidRPr="00247BA8" w:rsidR="003960AE" w:rsidP="003960AE" w:rsidRDefault="003960AE" w14:paraId="098B0E43" w14:textId="3F23A2B2">
      <w:pPr>
        <w:rPr>
          <w:rFonts w:ascii="Verdana" w:hAnsi="Verdana" w:eastAsiaTheme="minorHAnsi"/>
          <w:b/>
          <w:bCs/>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t xml:space="preserve">Nee, </w:t>
      </w:r>
      <w:r w:rsidRPr="00247BA8" w:rsidR="00F01BF4">
        <w:rPr>
          <w:rFonts w:ascii="Verdana" w:hAnsi="Verdana" w:eastAsiaTheme="minorHAnsi"/>
          <w:color w:val="000000" w:themeColor="text1"/>
          <w:sz w:val="18"/>
          <w:szCs w:val="18"/>
          <w:lang w:eastAsia="en-US"/>
          <w14:ligatures w14:val="standardContextual"/>
        </w:rPr>
        <w:t xml:space="preserve">dat is niet het geval. De BRO </w:t>
      </w:r>
      <w:r w:rsidRPr="00247BA8" w:rsidR="008854BF">
        <w:rPr>
          <w:rFonts w:ascii="Verdana" w:hAnsi="Verdana" w:eastAsiaTheme="minorHAnsi"/>
          <w:color w:val="000000" w:themeColor="text1"/>
          <w:sz w:val="18"/>
          <w:szCs w:val="18"/>
          <w:lang w:eastAsia="en-US"/>
          <w14:ligatures w14:val="standardContextual"/>
        </w:rPr>
        <w:t>geeft invulling aan</w:t>
      </w:r>
      <w:r w:rsidRPr="00247BA8" w:rsidR="00832D79">
        <w:rPr>
          <w:rFonts w:ascii="Verdana" w:hAnsi="Verdana" w:eastAsiaTheme="minorHAnsi"/>
          <w:color w:val="000000" w:themeColor="text1"/>
          <w:sz w:val="18"/>
          <w:szCs w:val="18"/>
          <w:lang w:eastAsia="en-US"/>
          <w14:ligatures w14:val="standardContextual"/>
        </w:rPr>
        <w:t xml:space="preserve"> </w:t>
      </w:r>
      <w:r w:rsidRPr="00247BA8" w:rsidR="00647510">
        <w:rPr>
          <w:rFonts w:ascii="Verdana" w:hAnsi="Verdana" w:eastAsiaTheme="minorHAnsi"/>
          <w:color w:val="000000" w:themeColor="text1"/>
          <w:sz w:val="18"/>
          <w:szCs w:val="18"/>
          <w:lang w:eastAsia="en-US"/>
          <w14:ligatures w14:val="standardContextual"/>
        </w:rPr>
        <w:t xml:space="preserve">meer dan </w:t>
      </w:r>
      <w:r w:rsidRPr="00247BA8" w:rsidR="00832D79">
        <w:rPr>
          <w:rFonts w:ascii="Verdana" w:hAnsi="Verdana" w:eastAsiaTheme="minorHAnsi"/>
          <w:color w:val="000000" w:themeColor="text1"/>
          <w:sz w:val="18"/>
          <w:szCs w:val="18"/>
          <w:lang w:eastAsia="en-US"/>
          <w14:ligatures w14:val="standardContextual"/>
        </w:rPr>
        <w:t xml:space="preserve">50 jaar </w:t>
      </w:r>
      <w:r w:rsidRPr="00247BA8" w:rsidR="00C221DB">
        <w:rPr>
          <w:rFonts w:ascii="Verdana" w:hAnsi="Verdana" w:eastAsiaTheme="minorHAnsi"/>
          <w:color w:val="000000" w:themeColor="text1"/>
          <w:sz w:val="18"/>
          <w:szCs w:val="18"/>
          <w:lang w:eastAsia="en-US"/>
          <w14:ligatures w14:val="standardContextual"/>
        </w:rPr>
        <w:t>nationaal</w:t>
      </w:r>
      <w:r w:rsidRPr="00247BA8" w:rsidR="00832D79">
        <w:rPr>
          <w:rFonts w:ascii="Verdana" w:hAnsi="Verdana" w:eastAsiaTheme="minorHAnsi"/>
          <w:color w:val="000000" w:themeColor="text1"/>
          <w:sz w:val="18"/>
          <w:szCs w:val="18"/>
          <w:lang w:eastAsia="en-US"/>
          <w14:ligatures w14:val="standardContextual"/>
        </w:rPr>
        <w:t xml:space="preserve"> milieu</w:t>
      </w:r>
      <w:r w:rsidRPr="00247BA8" w:rsidR="00C221DB">
        <w:rPr>
          <w:rFonts w:ascii="Verdana" w:hAnsi="Verdana" w:eastAsiaTheme="minorHAnsi"/>
          <w:color w:val="000000" w:themeColor="text1"/>
          <w:sz w:val="18"/>
          <w:szCs w:val="18"/>
          <w:lang w:eastAsia="en-US"/>
          <w14:ligatures w14:val="standardContextual"/>
        </w:rPr>
        <w:t>be</w:t>
      </w:r>
      <w:r w:rsidRPr="00247BA8" w:rsidR="006B36AD">
        <w:rPr>
          <w:rFonts w:ascii="Verdana" w:hAnsi="Verdana" w:eastAsiaTheme="minorHAnsi"/>
          <w:color w:val="000000" w:themeColor="text1"/>
          <w:sz w:val="18"/>
          <w:szCs w:val="18"/>
          <w:lang w:eastAsia="en-US"/>
          <w14:ligatures w14:val="standardContextual"/>
        </w:rPr>
        <w:t>leid</w:t>
      </w:r>
      <w:r w:rsidRPr="00247BA8" w:rsidR="00C221DB">
        <w:rPr>
          <w:rFonts w:ascii="Verdana" w:hAnsi="Verdana" w:eastAsiaTheme="minorHAnsi"/>
          <w:color w:val="000000" w:themeColor="text1"/>
          <w:sz w:val="18"/>
          <w:szCs w:val="18"/>
          <w:lang w:eastAsia="en-US"/>
          <w14:ligatures w14:val="standardContextual"/>
        </w:rPr>
        <w:t>.</w:t>
      </w:r>
      <w:r w:rsidRPr="00247BA8" w:rsidR="00F41ADA">
        <w:rPr>
          <w:rStyle w:val="Voetnootmarkering"/>
          <w:rFonts w:ascii="Verdana" w:hAnsi="Verdana" w:eastAsiaTheme="minorHAnsi"/>
          <w:color w:val="000000" w:themeColor="text1"/>
          <w:sz w:val="18"/>
          <w:szCs w:val="18"/>
          <w:lang w:eastAsia="en-US"/>
          <w14:ligatures w14:val="standardContextual"/>
        </w:rPr>
        <w:footnoteReference w:id="14"/>
      </w:r>
      <w:r w:rsidRPr="00247BA8" w:rsidR="008854BF">
        <w:rPr>
          <w:rFonts w:ascii="Verdana" w:hAnsi="Verdana" w:eastAsiaTheme="minorHAnsi"/>
          <w:color w:val="000000" w:themeColor="text1"/>
          <w:sz w:val="18"/>
          <w:szCs w:val="18"/>
          <w:lang w:eastAsia="en-US"/>
          <w14:ligatures w14:val="standardContextual"/>
        </w:rPr>
        <w:t xml:space="preserve"> </w:t>
      </w:r>
      <w:r w:rsidRPr="00247BA8" w:rsidR="00C221DB">
        <w:rPr>
          <w:rFonts w:ascii="Verdana" w:hAnsi="Verdana" w:eastAsiaTheme="minorHAnsi"/>
          <w:color w:val="000000" w:themeColor="text1"/>
          <w:sz w:val="18"/>
          <w:szCs w:val="18"/>
          <w:lang w:eastAsia="en-US"/>
          <w14:ligatures w14:val="standardContextual"/>
        </w:rPr>
        <w:t>D</w:t>
      </w:r>
      <w:r w:rsidRPr="00247BA8" w:rsidR="008854BF">
        <w:rPr>
          <w:rFonts w:ascii="Verdana" w:hAnsi="Verdana" w:eastAsiaTheme="minorHAnsi"/>
          <w:color w:val="000000" w:themeColor="text1"/>
          <w:sz w:val="18"/>
          <w:szCs w:val="18"/>
          <w:lang w:eastAsia="en-US"/>
          <w14:ligatures w14:val="standardContextual"/>
        </w:rPr>
        <w:t>e uitvoering van al sinds 1987 bestaand bodembeleid (</w:t>
      </w:r>
      <w:r w:rsidRPr="00247BA8" w:rsidR="008854BF">
        <w:rPr>
          <w:rFonts w:ascii="Verdana" w:hAnsi="Verdana" w:eastAsiaTheme="minorHAnsi"/>
          <w:color w:val="000000" w:themeColor="text1"/>
          <w:sz w:val="18"/>
          <w:szCs w:val="18"/>
        </w:rPr>
        <w:t>Wet bodembescherming</w:t>
      </w:r>
      <w:r w:rsidRPr="00247BA8" w:rsidR="008854BF">
        <w:rPr>
          <w:rFonts w:ascii="Verdana" w:hAnsi="Verdana" w:eastAsiaTheme="minorHAnsi"/>
          <w:color w:val="000000" w:themeColor="text1"/>
          <w:sz w:val="18"/>
          <w:szCs w:val="18"/>
          <w:lang w:eastAsia="en-US"/>
          <w14:ligatures w14:val="standardContextual"/>
        </w:rPr>
        <w:t xml:space="preserve"> </w:t>
      </w:r>
      <w:r w:rsidRPr="00247BA8" w:rsidR="00272541">
        <w:rPr>
          <w:rFonts w:ascii="Verdana" w:hAnsi="Verdana" w:eastAsiaTheme="minorHAnsi"/>
          <w:color w:val="000000" w:themeColor="text1"/>
          <w:sz w:val="18"/>
          <w:szCs w:val="18"/>
          <w:lang w:eastAsia="en-US"/>
          <w14:ligatures w14:val="standardContextual"/>
        </w:rPr>
        <w:t>(</w:t>
      </w:r>
      <w:proofErr w:type="spellStart"/>
      <w:r w:rsidRPr="00247BA8" w:rsidR="008854BF">
        <w:rPr>
          <w:rFonts w:ascii="Verdana" w:hAnsi="Verdana" w:eastAsiaTheme="minorHAnsi"/>
          <w:color w:val="000000" w:themeColor="text1"/>
          <w:sz w:val="18"/>
          <w:szCs w:val="18"/>
          <w:lang w:eastAsia="en-US"/>
          <w14:ligatures w14:val="standardContextual"/>
        </w:rPr>
        <w:t>Wbb</w:t>
      </w:r>
      <w:proofErr w:type="spellEnd"/>
      <w:r w:rsidRPr="00247BA8" w:rsidR="00272541">
        <w:rPr>
          <w:rFonts w:ascii="Verdana" w:hAnsi="Verdana" w:eastAsiaTheme="minorHAnsi"/>
          <w:color w:val="000000" w:themeColor="text1"/>
          <w:sz w:val="18"/>
          <w:szCs w:val="18"/>
          <w:lang w:eastAsia="en-US"/>
          <w14:ligatures w14:val="standardContextual"/>
        </w:rPr>
        <w:t>), inmiddels opgevolgd door de Omgevingswet</w:t>
      </w:r>
      <w:r w:rsidRPr="00247BA8" w:rsidR="008854BF">
        <w:rPr>
          <w:rFonts w:ascii="Verdana" w:hAnsi="Verdana" w:eastAsiaTheme="minorHAnsi"/>
          <w:color w:val="000000" w:themeColor="text1"/>
          <w:sz w:val="18"/>
          <w:szCs w:val="18"/>
          <w:lang w:eastAsia="en-US"/>
          <w14:ligatures w14:val="standardContextual"/>
        </w:rPr>
        <w:t>)</w:t>
      </w:r>
      <w:r w:rsidRPr="00247BA8" w:rsidR="00F41ADA">
        <w:rPr>
          <w:rFonts w:ascii="Verdana" w:hAnsi="Verdana" w:eastAsiaTheme="minorHAnsi"/>
          <w:color w:val="000000" w:themeColor="text1"/>
          <w:sz w:val="18"/>
          <w:szCs w:val="18"/>
          <w:lang w:eastAsia="en-US"/>
          <w14:ligatures w14:val="standardContextual"/>
        </w:rPr>
        <w:t xml:space="preserve"> </w:t>
      </w:r>
      <w:r w:rsidRPr="00247BA8" w:rsidR="008854BF">
        <w:rPr>
          <w:rFonts w:ascii="Verdana" w:hAnsi="Verdana" w:eastAsiaTheme="minorHAnsi"/>
          <w:color w:val="000000" w:themeColor="text1"/>
          <w:sz w:val="18"/>
          <w:szCs w:val="18"/>
          <w:lang w:eastAsia="en-US"/>
          <w14:ligatures w14:val="standardContextual"/>
        </w:rPr>
        <w:t xml:space="preserve">en </w:t>
      </w:r>
      <w:proofErr w:type="spellStart"/>
      <w:r w:rsidRPr="00247BA8" w:rsidR="008854BF">
        <w:rPr>
          <w:rFonts w:ascii="Verdana" w:hAnsi="Verdana" w:eastAsiaTheme="minorHAnsi"/>
          <w:color w:val="000000" w:themeColor="text1"/>
          <w:sz w:val="18"/>
          <w:szCs w:val="18"/>
          <w:lang w:eastAsia="en-US"/>
          <w14:ligatures w14:val="standardContextual"/>
        </w:rPr>
        <w:t>Arbo</w:t>
      </w:r>
      <w:r w:rsidRPr="00247BA8" w:rsidR="00960DF4">
        <w:rPr>
          <w:rFonts w:ascii="Verdana" w:hAnsi="Verdana" w:eastAsiaTheme="minorHAnsi"/>
          <w:color w:val="000000" w:themeColor="text1"/>
          <w:sz w:val="18"/>
          <w:szCs w:val="18"/>
          <w:lang w:eastAsia="en-US"/>
          <w14:ligatures w14:val="standardContextual"/>
        </w:rPr>
        <w:t>-</w:t>
      </w:r>
      <w:r w:rsidRPr="00247BA8" w:rsidR="008854BF">
        <w:rPr>
          <w:rFonts w:ascii="Verdana" w:hAnsi="Verdana" w:eastAsiaTheme="minorHAnsi"/>
          <w:color w:val="000000" w:themeColor="text1"/>
          <w:sz w:val="18"/>
          <w:szCs w:val="18"/>
          <w:lang w:eastAsia="en-US"/>
          <w14:ligatures w14:val="standardContextual"/>
        </w:rPr>
        <w:t>beleid</w:t>
      </w:r>
      <w:proofErr w:type="spellEnd"/>
      <w:r w:rsidRPr="00247BA8" w:rsidR="008854BF">
        <w:rPr>
          <w:rFonts w:ascii="Verdana" w:hAnsi="Verdana" w:eastAsiaTheme="minorHAnsi"/>
          <w:color w:val="000000" w:themeColor="text1"/>
          <w:sz w:val="18"/>
          <w:szCs w:val="18"/>
          <w:lang w:eastAsia="en-US"/>
          <w14:ligatures w14:val="standardContextual"/>
        </w:rPr>
        <w:t xml:space="preserve"> </w:t>
      </w:r>
      <w:r w:rsidRPr="00247BA8" w:rsidR="00D50505">
        <w:rPr>
          <w:rFonts w:ascii="Verdana" w:hAnsi="Verdana" w:eastAsiaTheme="minorHAnsi"/>
          <w:color w:val="000000" w:themeColor="text1"/>
          <w:sz w:val="18"/>
          <w:szCs w:val="18"/>
          <w:lang w:eastAsia="en-US"/>
          <w14:ligatures w14:val="standardContextual"/>
        </w:rPr>
        <w:t>met</w:t>
      </w:r>
      <w:r w:rsidRPr="00247BA8" w:rsidR="008854BF">
        <w:rPr>
          <w:rFonts w:ascii="Verdana" w:hAnsi="Verdana" w:eastAsiaTheme="minorHAnsi"/>
          <w:color w:val="000000" w:themeColor="text1"/>
          <w:sz w:val="18"/>
          <w:szCs w:val="18"/>
          <w:lang w:eastAsia="en-US"/>
          <w14:ligatures w14:val="standardContextual"/>
        </w:rPr>
        <w:t xml:space="preserve"> de </w:t>
      </w:r>
      <w:r w:rsidRPr="00247BA8" w:rsidR="00B53FBA">
        <w:rPr>
          <w:rFonts w:ascii="Verdana" w:hAnsi="Verdana" w:eastAsiaTheme="minorHAnsi"/>
          <w:color w:val="000000" w:themeColor="text1"/>
          <w:sz w:val="18"/>
          <w:szCs w:val="18"/>
          <w:lang w:eastAsia="en-US"/>
          <w14:ligatures w14:val="standardContextual"/>
        </w:rPr>
        <w:t xml:space="preserve">daaruit voortvloeiende </w:t>
      </w:r>
      <w:r w:rsidRPr="00247BA8" w:rsidR="00E03537">
        <w:rPr>
          <w:rFonts w:ascii="Verdana" w:hAnsi="Verdana" w:eastAsiaTheme="minorHAnsi"/>
          <w:color w:val="000000" w:themeColor="text1"/>
          <w:sz w:val="18"/>
          <w:szCs w:val="18"/>
          <w:lang w:eastAsia="en-US"/>
          <w14:ligatures w14:val="standardContextual"/>
        </w:rPr>
        <w:t>richtlijn CROW-400</w:t>
      </w:r>
      <w:r w:rsidRPr="00247BA8" w:rsidR="00801A8E">
        <w:rPr>
          <w:rFonts w:ascii="Verdana" w:hAnsi="Verdana" w:eastAsiaTheme="minorHAnsi"/>
          <w:color w:val="000000" w:themeColor="text1"/>
          <w:sz w:val="18"/>
          <w:szCs w:val="18"/>
          <w:lang w:eastAsia="en-US"/>
          <w14:ligatures w14:val="standardContextual"/>
        </w:rPr>
        <w:t>.</w:t>
      </w:r>
      <w:r w:rsidRPr="00247BA8" w:rsidR="00B53FBA">
        <w:rPr>
          <w:rStyle w:val="Voetnootmarkering"/>
          <w:rFonts w:ascii="Verdana" w:hAnsi="Verdana" w:eastAsiaTheme="minorHAnsi"/>
          <w:color w:val="000000" w:themeColor="text1"/>
          <w:sz w:val="18"/>
          <w:szCs w:val="18"/>
          <w:lang w:eastAsia="en-US"/>
          <w14:ligatures w14:val="standardContextual"/>
        </w:rPr>
        <w:footnoteReference w:id="15"/>
      </w:r>
      <w:r w:rsidRPr="00247BA8" w:rsidR="00801A8E">
        <w:rPr>
          <w:rFonts w:ascii="Verdana" w:hAnsi="Verdana" w:eastAsiaTheme="minorHAnsi"/>
          <w:color w:val="000000" w:themeColor="text1"/>
          <w:sz w:val="18"/>
          <w:szCs w:val="18"/>
          <w:lang w:eastAsia="en-US"/>
          <w14:ligatures w14:val="standardContextual"/>
        </w:rPr>
        <w:t xml:space="preserve"> De</w:t>
      </w:r>
      <w:r w:rsidRPr="00247BA8" w:rsidR="00B53FBA">
        <w:rPr>
          <w:rFonts w:ascii="Verdana" w:hAnsi="Verdana" w:eastAsiaTheme="minorHAnsi"/>
          <w:color w:val="000000" w:themeColor="text1"/>
          <w:sz w:val="18"/>
          <w:szCs w:val="18"/>
          <w:lang w:eastAsia="en-US"/>
          <w14:ligatures w14:val="standardContextual"/>
        </w:rPr>
        <w:t>ze</w:t>
      </w:r>
      <w:r w:rsidRPr="00247BA8" w:rsidR="00801A8E">
        <w:rPr>
          <w:rFonts w:ascii="Verdana" w:hAnsi="Verdana" w:eastAsiaTheme="minorHAnsi"/>
          <w:color w:val="000000" w:themeColor="text1"/>
          <w:sz w:val="18"/>
          <w:szCs w:val="18"/>
          <w:lang w:eastAsia="en-US"/>
          <w14:ligatures w14:val="standardContextual"/>
        </w:rPr>
        <w:t xml:space="preserve"> richtlijn CROW-400 beschrijft een methodiek voor het veilig, zorgvuldig en </w:t>
      </w:r>
      <w:proofErr w:type="spellStart"/>
      <w:r w:rsidRPr="00247BA8" w:rsidR="00801A8E">
        <w:rPr>
          <w:rFonts w:ascii="Verdana" w:hAnsi="Verdana" w:eastAsiaTheme="minorHAnsi"/>
          <w:color w:val="000000" w:themeColor="text1"/>
          <w:sz w:val="18"/>
          <w:szCs w:val="18"/>
          <w:lang w:eastAsia="en-US"/>
          <w14:ligatures w14:val="standardContextual"/>
        </w:rPr>
        <w:t>risicogestuurd</w:t>
      </w:r>
      <w:proofErr w:type="spellEnd"/>
      <w:r w:rsidRPr="00247BA8" w:rsidR="00801A8E">
        <w:rPr>
          <w:rFonts w:ascii="Verdana" w:hAnsi="Verdana" w:eastAsiaTheme="minorHAnsi"/>
          <w:color w:val="000000" w:themeColor="text1"/>
          <w:sz w:val="18"/>
          <w:szCs w:val="18"/>
          <w:lang w:eastAsia="en-US"/>
          <w14:ligatures w14:val="standardContextual"/>
        </w:rPr>
        <w:t xml:space="preserve"> werken met verontreinigde (water)bodem, baggerspecie en grondwater. De methodiek heeft tot doel met passende beheersmaatregelen de veiligheid van medewerkers te borgen, de leefomgeving te beschermen en de naleving van milieuregelgeving te bevorderen. </w:t>
      </w:r>
      <w:r w:rsidRPr="00247BA8" w:rsidR="00587D94">
        <w:rPr>
          <w:rFonts w:ascii="Verdana" w:hAnsi="Verdana" w:eastAsiaTheme="minorHAnsi"/>
          <w:color w:val="000000" w:themeColor="text1"/>
          <w:sz w:val="18"/>
          <w:szCs w:val="18"/>
          <w:lang w:eastAsia="en-US"/>
          <w14:ligatures w14:val="standardContextual"/>
        </w:rPr>
        <w:br/>
        <w:t xml:space="preserve">Als de BRO wordt uitgebreid met bodemkwaliteitsgegevens, schrijft de Catalogus </w:t>
      </w:r>
      <w:proofErr w:type="spellStart"/>
      <w:r w:rsidRPr="00247BA8" w:rsidR="00587D94">
        <w:rPr>
          <w:rFonts w:ascii="Verdana" w:hAnsi="Verdana" w:eastAsiaTheme="minorHAnsi"/>
          <w:color w:val="000000" w:themeColor="text1"/>
          <w:sz w:val="18"/>
          <w:szCs w:val="18"/>
          <w:lang w:eastAsia="en-US"/>
          <w14:ligatures w14:val="standardContextual"/>
        </w:rPr>
        <w:t>Milieuhygiënisch</w:t>
      </w:r>
      <w:proofErr w:type="spellEnd"/>
      <w:r w:rsidRPr="00247BA8" w:rsidR="00587D94">
        <w:rPr>
          <w:rFonts w:ascii="Verdana" w:hAnsi="Verdana" w:eastAsiaTheme="minorHAnsi"/>
          <w:color w:val="000000" w:themeColor="text1"/>
          <w:sz w:val="18"/>
          <w:szCs w:val="18"/>
          <w:lang w:eastAsia="en-US"/>
          <w14:ligatures w14:val="standardContextual"/>
        </w:rPr>
        <w:t xml:space="preserve"> Bodemonderzoek</w:t>
      </w:r>
      <w:r w:rsidRPr="00247BA8" w:rsidR="00587D94">
        <w:rPr>
          <w:rFonts w:ascii="Verdana" w:hAnsi="Verdana" w:eastAsiaTheme="minorHAnsi"/>
          <w:color w:val="000000" w:themeColor="text1"/>
          <w:sz w:val="18"/>
          <w:szCs w:val="18"/>
          <w:vertAlign w:val="superscript"/>
          <w:lang w:eastAsia="en-US"/>
          <w14:ligatures w14:val="standardContextual"/>
        </w:rPr>
        <w:footnoteReference w:id="16"/>
      </w:r>
      <w:r w:rsidRPr="00247BA8" w:rsidR="00587D94">
        <w:rPr>
          <w:rFonts w:ascii="Verdana" w:hAnsi="Verdana" w:eastAsiaTheme="minorHAnsi"/>
          <w:color w:val="000000" w:themeColor="text1"/>
          <w:sz w:val="18"/>
          <w:szCs w:val="18"/>
          <w:lang w:eastAsia="en-US"/>
          <w14:ligatures w14:val="standardContextual"/>
        </w:rPr>
        <w:t xml:space="preserve">, vast te stellen bij wijziging van de Regeling </w:t>
      </w:r>
      <w:proofErr w:type="spellStart"/>
      <w:r w:rsidRPr="00247BA8" w:rsidR="00587D94">
        <w:rPr>
          <w:rFonts w:ascii="Verdana" w:hAnsi="Verdana" w:eastAsiaTheme="minorHAnsi"/>
          <w:color w:val="000000" w:themeColor="text1"/>
          <w:sz w:val="18"/>
          <w:szCs w:val="18"/>
          <w:lang w:eastAsia="en-US"/>
          <w14:ligatures w14:val="standardContextual"/>
        </w:rPr>
        <w:t>Bro</w:t>
      </w:r>
      <w:proofErr w:type="spellEnd"/>
      <w:r w:rsidRPr="00247BA8" w:rsidR="00587D94">
        <w:rPr>
          <w:rFonts w:ascii="Verdana" w:hAnsi="Verdana" w:eastAsiaTheme="minorHAnsi"/>
          <w:color w:val="000000" w:themeColor="text1"/>
          <w:sz w:val="18"/>
          <w:szCs w:val="18"/>
          <w:lang w:eastAsia="en-US"/>
          <w14:ligatures w14:val="standardContextual"/>
        </w:rPr>
        <w:t>, het gebruik van d</w:t>
      </w:r>
      <w:r w:rsidRPr="00247BA8" w:rsidR="00396610">
        <w:rPr>
          <w:rFonts w:ascii="Verdana" w:hAnsi="Verdana" w:eastAsiaTheme="minorHAnsi"/>
          <w:color w:val="000000" w:themeColor="text1"/>
          <w:sz w:val="18"/>
          <w:szCs w:val="18"/>
          <w:lang w:eastAsia="en-US"/>
          <w14:ligatures w14:val="standardContextual"/>
        </w:rPr>
        <w:t>e</w:t>
      </w:r>
      <w:r w:rsidRPr="00247BA8" w:rsidR="007C0BC7">
        <w:rPr>
          <w:rFonts w:ascii="Verdana" w:hAnsi="Verdana" w:eastAsiaTheme="minorHAnsi"/>
          <w:color w:val="000000" w:themeColor="text1"/>
          <w:sz w:val="18"/>
          <w:szCs w:val="18"/>
          <w:lang w:eastAsia="en-US"/>
          <w14:ligatures w14:val="standardContextual"/>
        </w:rPr>
        <w:t xml:space="preserve"> standaard voor milieutechnische bodeminformatie,</w:t>
      </w:r>
      <w:r w:rsidRPr="00247BA8" w:rsidR="00396610">
        <w:rPr>
          <w:rFonts w:ascii="Verdana" w:hAnsi="Verdana" w:eastAsiaTheme="minorHAnsi"/>
          <w:color w:val="000000" w:themeColor="text1"/>
          <w:sz w:val="18"/>
          <w:szCs w:val="18"/>
          <w:lang w:eastAsia="en-US"/>
          <w14:ligatures w14:val="standardContextual"/>
        </w:rPr>
        <w:t xml:space="preserve"> SIKB0101</w:t>
      </w:r>
      <w:r w:rsidRPr="00247BA8" w:rsidR="007C0BC7">
        <w:rPr>
          <w:rFonts w:ascii="Verdana" w:hAnsi="Verdana" w:eastAsiaTheme="minorHAnsi"/>
          <w:color w:val="000000" w:themeColor="text1"/>
          <w:sz w:val="18"/>
          <w:szCs w:val="18"/>
          <w:lang w:eastAsia="en-US"/>
          <w14:ligatures w14:val="standardContextual"/>
        </w:rPr>
        <w:t>,</w:t>
      </w:r>
      <w:r w:rsidRPr="00247BA8" w:rsidR="00396610">
        <w:rPr>
          <w:rFonts w:ascii="Verdana" w:hAnsi="Verdana" w:eastAsiaTheme="minorHAnsi"/>
          <w:color w:val="000000" w:themeColor="text1"/>
          <w:sz w:val="18"/>
          <w:szCs w:val="18"/>
          <w:lang w:eastAsia="en-US"/>
          <w14:ligatures w14:val="standardContextual"/>
        </w:rPr>
        <w:t xml:space="preserve"> </w:t>
      </w:r>
      <w:r w:rsidRPr="00247BA8" w:rsidR="00587D94">
        <w:rPr>
          <w:rFonts w:ascii="Verdana" w:hAnsi="Verdana" w:eastAsiaTheme="minorHAnsi"/>
          <w:color w:val="000000" w:themeColor="text1"/>
          <w:sz w:val="18"/>
          <w:szCs w:val="18"/>
          <w:lang w:eastAsia="en-US"/>
          <w14:ligatures w14:val="standardContextual"/>
        </w:rPr>
        <w:t>voor. Dit is een</w:t>
      </w:r>
      <w:r w:rsidRPr="00247BA8" w:rsidR="00396610">
        <w:rPr>
          <w:rFonts w:ascii="Verdana" w:hAnsi="Verdana" w:eastAsiaTheme="minorHAnsi"/>
          <w:color w:val="000000" w:themeColor="text1"/>
          <w:sz w:val="18"/>
          <w:szCs w:val="18"/>
          <w:lang w:eastAsia="en-US"/>
          <w14:ligatures w14:val="standardContextual"/>
        </w:rPr>
        <w:t xml:space="preserve"> </w:t>
      </w:r>
      <w:r w:rsidRPr="00247BA8" w:rsidR="00B857A1">
        <w:rPr>
          <w:rFonts w:ascii="Verdana" w:hAnsi="Verdana" w:eastAsiaTheme="minorHAnsi"/>
          <w:color w:val="000000" w:themeColor="text1"/>
          <w:sz w:val="18"/>
          <w:szCs w:val="18"/>
          <w:lang w:eastAsia="en-US"/>
          <w14:ligatures w14:val="standardContextual"/>
        </w:rPr>
        <w:t xml:space="preserve">verplichte </w:t>
      </w:r>
      <w:r w:rsidRPr="00247BA8" w:rsidR="00396610">
        <w:rPr>
          <w:rFonts w:ascii="Verdana" w:hAnsi="Verdana" w:eastAsiaTheme="minorHAnsi"/>
          <w:color w:val="000000" w:themeColor="text1"/>
          <w:sz w:val="18"/>
          <w:szCs w:val="18"/>
          <w:lang w:eastAsia="en-US"/>
          <w14:ligatures w14:val="standardContextual"/>
        </w:rPr>
        <w:t xml:space="preserve">open standaard van </w:t>
      </w:r>
      <w:r w:rsidRPr="00247BA8" w:rsidR="00587D94">
        <w:rPr>
          <w:rFonts w:ascii="Verdana" w:hAnsi="Verdana" w:eastAsiaTheme="minorHAnsi"/>
          <w:color w:val="000000" w:themeColor="text1"/>
          <w:sz w:val="18"/>
          <w:szCs w:val="18"/>
          <w:lang w:eastAsia="en-US"/>
          <w14:ligatures w14:val="standardContextual"/>
        </w:rPr>
        <w:t xml:space="preserve">het </w:t>
      </w:r>
      <w:r w:rsidRPr="00247BA8" w:rsidR="00396610">
        <w:rPr>
          <w:rFonts w:ascii="Verdana" w:hAnsi="Verdana" w:eastAsiaTheme="minorHAnsi"/>
          <w:color w:val="000000" w:themeColor="text1"/>
          <w:sz w:val="18"/>
          <w:szCs w:val="18"/>
          <w:lang w:eastAsia="en-US"/>
          <w14:ligatures w14:val="standardContextual"/>
        </w:rPr>
        <w:t xml:space="preserve">Forum </w:t>
      </w:r>
      <w:r w:rsidRPr="00247BA8" w:rsidR="001143B2">
        <w:rPr>
          <w:rFonts w:ascii="Verdana" w:hAnsi="Verdana" w:eastAsiaTheme="minorHAnsi"/>
          <w:color w:val="000000" w:themeColor="text1"/>
          <w:sz w:val="18"/>
          <w:szCs w:val="18"/>
          <w:lang w:eastAsia="en-US"/>
          <w14:ligatures w14:val="standardContextual"/>
        </w:rPr>
        <w:t>Standaardisatie</w:t>
      </w:r>
      <w:r w:rsidRPr="00247BA8" w:rsidR="00396610">
        <w:rPr>
          <w:rFonts w:ascii="Verdana" w:hAnsi="Verdana" w:eastAsiaTheme="minorHAnsi"/>
          <w:color w:val="000000" w:themeColor="text1"/>
          <w:sz w:val="18"/>
          <w:szCs w:val="18"/>
          <w:lang w:eastAsia="en-US"/>
          <w14:ligatures w14:val="standardContextual"/>
        </w:rPr>
        <w:t>.</w:t>
      </w:r>
      <w:r w:rsidRPr="00247BA8" w:rsidR="00B857A1">
        <w:rPr>
          <w:rStyle w:val="Voetnootmarkering"/>
          <w:rFonts w:ascii="Verdana" w:hAnsi="Verdana" w:eastAsiaTheme="minorHAnsi"/>
          <w:color w:val="000000" w:themeColor="text1"/>
          <w:sz w:val="18"/>
          <w:szCs w:val="18"/>
          <w:lang w:eastAsia="en-US"/>
          <w14:ligatures w14:val="standardContextual"/>
        </w:rPr>
        <w:footnoteReference w:id="17"/>
      </w:r>
      <w:r w:rsidRPr="00247BA8" w:rsidR="00587D94">
        <w:rPr>
          <w:rFonts w:ascii="Verdana" w:hAnsi="Verdana" w:eastAsiaTheme="minorHAnsi"/>
          <w:color w:val="000000" w:themeColor="text1"/>
          <w:sz w:val="18"/>
          <w:szCs w:val="18"/>
          <w:lang w:eastAsia="en-US"/>
          <w14:ligatures w14:val="standardContextual"/>
        </w:rPr>
        <w:t xml:space="preserve"> </w:t>
      </w:r>
      <w:r w:rsidRPr="00247BA8" w:rsidR="00801A8E">
        <w:rPr>
          <w:rFonts w:ascii="Verdana" w:hAnsi="Verdana" w:eastAsiaTheme="minorHAnsi"/>
          <w:color w:val="000000" w:themeColor="text1"/>
          <w:sz w:val="18"/>
          <w:szCs w:val="18"/>
          <w:lang w:eastAsia="en-US"/>
          <w14:ligatures w14:val="standardContextual"/>
        </w:rPr>
        <w:t xml:space="preserve">SIKB0101 </w:t>
      </w:r>
      <w:r w:rsidRPr="00247BA8">
        <w:rPr>
          <w:rFonts w:ascii="Verdana" w:hAnsi="Verdana" w:eastAsiaTheme="minorHAnsi"/>
          <w:color w:val="000000" w:themeColor="text1"/>
          <w:sz w:val="18"/>
          <w:szCs w:val="18"/>
          <w:lang w:eastAsia="en-US"/>
          <w14:ligatures w14:val="standardContextual"/>
        </w:rPr>
        <w:t>is geen internationale, maar een nationale standaard</w:t>
      </w:r>
      <w:r w:rsidRPr="00247BA8" w:rsidR="006E2FF0">
        <w:rPr>
          <w:rFonts w:ascii="Verdana" w:hAnsi="Verdana" w:eastAsiaTheme="minorHAnsi"/>
          <w:color w:val="000000" w:themeColor="text1"/>
          <w:sz w:val="18"/>
          <w:szCs w:val="18"/>
          <w:lang w:eastAsia="en-US"/>
          <w14:ligatures w14:val="standardContextual"/>
        </w:rPr>
        <w:t>, die aan</w:t>
      </w:r>
      <w:r w:rsidRPr="00247BA8" w:rsidR="00396610">
        <w:rPr>
          <w:rFonts w:ascii="Verdana" w:hAnsi="Verdana" w:eastAsiaTheme="minorHAnsi"/>
          <w:color w:val="000000" w:themeColor="text1"/>
          <w:sz w:val="18"/>
          <w:szCs w:val="18"/>
          <w:lang w:eastAsia="en-US"/>
          <w14:ligatures w14:val="standardContextual"/>
        </w:rPr>
        <w:t xml:space="preserve">sluit </w:t>
      </w:r>
      <w:r w:rsidRPr="00247BA8">
        <w:rPr>
          <w:rFonts w:ascii="Verdana" w:hAnsi="Verdana" w:eastAsiaTheme="minorHAnsi"/>
          <w:color w:val="000000" w:themeColor="text1"/>
          <w:sz w:val="18"/>
          <w:szCs w:val="18"/>
          <w:lang w:eastAsia="en-US"/>
          <w14:ligatures w14:val="standardContextual"/>
        </w:rPr>
        <w:t xml:space="preserve">bij relevante internationale </w:t>
      </w:r>
      <w:proofErr w:type="spellStart"/>
      <w:r w:rsidRPr="00247BA8" w:rsidR="006E2FF0">
        <w:rPr>
          <w:rFonts w:ascii="Verdana" w:hAnsi="Verdana" w:eastAsiaTheme="minorHAnsi"/>
          <w:color w:val="000000" w:themeColor="text1"/>
          <w:sz w:val="18"/>
          <w:szCs w:val="18"/>
          <w:lang w:eastAsia="en-US"/>
          <w14:ligatures w14:val="standardContextual"/>
        </w:rPr>
        <w:t>industrie</w:t>
      </w:r>
      <w:r w:rsidRPr="00247BA8">
        <w:rPr>
          <w:rFonts w:ascii="Verdana" w:hAnsi="Verdana" w:eastAsiaTheme="minorHAnsi"/>
          <w:color w:val="000000" w:themeColor="text1"/>
          <w:sz w:val="18"/>
          <w:szCs w:val="18"/>
          <w:lang w:eastAsia="en-US"/>
          <w14:ligatures w14:val="standardContextual"/>
        </w:rPr>
        <w:t>standaarden</w:t>
      </w:r>
      <w:proofErr w:type="spellEnd"/>
      <w:r w:rsidRPr="00247BA8" w:rsidR="006E2FF0">
        <w:rPr>
          <w:rStyle w:val="Voetnootmarkering"/>
          <w:rFonts w:ascii="Verdana" w:hAnsi="Verdana" w:eastAsiaTheme="minorHAnsi"/>
          <w:color w:val="000000" w:themeColor="text1"/>
          <w:sz w:val="18"/>
          <w:szCs w:val="18"/>
          <w:lang w:eastAsia="en-US"/>
          <w14:ligatures w14:val="standardContextual"/>
        </w:rPr>
        <w:footnoteReference w:id="18"/>
      </w:r>
      <w:r w:rsidRPr="00247BA8" w:rsidR="006E2FF0">
        <w:rPr>
          <w:rFonts w:ascii="Verdana" w:hAnsi="Verdana" w:eastAsiaTheme="minorHAnsi"/>
          <w:color w:val="000000" w:themeColor="text1"/>
          <w:sz w:val="18"/>
          <w:szCs w:val="18"/>
          <w:lang w:eastAsia="en-US"/>
          <w14:ligatures w14:val="standardContextual"/>
        </w:rPr>
        <w:t xml:space="preserve"> en</w:t>
      </w:r>
      <w:r w:rsidRPr="00247BA8">
        <w:rPr>
          <w:rFonts w:ascii="Verdana" w:hAnsi="Verdana" w:eastAsiaTheme="minorHAnsi"/>
          <w:color w:val="000000" w:themeColor="text1"/>
          <w:sz w:val="18"/>
          <w:szCs w:val="18"/>
          <w:lang w:eastAsia="en-US"/>
          <w14:ligatures w14:val="standardContextual"/>
        </w:rPr>
        <w:t xml:space="preserve"> </w:t>
      </w:r>
      <w:r w:rsidRPr="00247BA8" w:rsidR="006E2FF0">
        <w:rPr>
          <w:rFonts w:ascii="Verdana" w:hAnsi="Verdana" w:eastAsiaTheme="minorHAnsi"/>
          <w:color w:val="000000" w:themeColor="text1"/>
          <w:sz w:val="18"/>
          <w:szCs w:val="18"/>
          <w:lang w:eastAsia="en-US"/>
          <w14:ligatures w14:val="standardContextual"/>
        </w:rPr>
        <w:t>de</w:t>
      </w:r>
      <w:r w:rsidRPr="00247BA8" w:rsidR="00396610">
        <w:rPr>
          <w:rFonts w:ascii="Verdana" w:hAnsi="Verdana" w:eastAsiaTheme="minorHAnsi"/>
          <w:color w:val="000000" w:themeColor="text1"/>
          <w:sz w:val="18"/>
          <w:szCs w:val="18"/>
          <w:lang w:eastAsia="en-US"/>
          <w14:ligatures w14:val="standardContextual"/>
        </w:rPr>
        <w:t xml:space="preserve"> EU</w:t>
      </w:r>
      <w:r w:rsidRPr="00247BA8" w:rsidR="0099485A">
        <w:rPr>
          <w:rFonts w:ascii="Verdana" w:hAnsi="Verdana"/>
          <w:color w:val="000000" w:themeColor="text1"/>
          <w:sz w:val="18"/>
          <w:szCs w:val="18"/>
        </w:rPr>
        <w:t xml:space="preserve">-richtlijn </w:t>
      </w:r>
      <w:proofErr w:type="spellStart"/>
      <w:r w:rsidRPr="00247BA8" w:rsidR="0099485A">
        <w:rPr>
          <w:rFonts w:ascii="Verdana" w:hAnsi="Verdana" w:eastAsiaTheme="minorHAnsi"/>
          <w:color w:val="000000" w:themeColor="text1"/>
          <w:sz w:val="18"/>
          <w:szCs w:val="18"/>
          <w:lang w:eastAsia="en-US"/>
          <w14:ligatures w14:val="standardContextual"/>
        </w:rPr>
        <w:t>Inspire</w:t>
      </w:r>
      <w:proofErr w:type="spellEnd"/>
      <w:r w:rsidRPr="00247BA8">
        <w:rPr>
          <w:rFonts w:ascii="Verdana" w:hAnsi="Verdana" w:eastAsiaTheme="minorHAnsi"/>
          <w:color w:val="000000" w:themeColor="text1"/>
          <w:sz w:val="18"/>
          <w:szCs w:val="18"/>
          <w:lang w:eastAsia="en-US"/>
          <w14:ligatures w14:val="standardContextual"/>
        </w:rPr>
        <w:t>.</w:t>
      </w:r>
      <w:r w:rsidRPr="00247BA8" w:rsidR="0099485A">
        <w:rPr>
          <w:rStyle w:val="Voetnootmarkering"/>
          <w:rFonts w:ascii="Verdana" w:hAnsi="Verdana" w:eastAsiaTheme="minorHAnsi"/>
          <w:color w:val="000000" w:themeColor="text1"/>
          <w:sz w:val="18"/>
          <w:szCs w:val="18"/>
          <w:lang w:eastAsia="en-US"/>
          <w14:ligatures w14:val="standardContextual"/>
        </w:rPr>
        <w:footnoteReference w:id="19"/>
      </w:r>
    </w:p>
    <w:p w:rsidRPr="00247BA8" w:rsidR="00054419" w:rsidP="00054419" w:rsidRDefault="00054419" w14:paraId="6574E59D" w14:textId="77777777">
      <w:pPr>
        <w:rPr>
          <w:rFonts w:ascii="Verdana" w:hAnsi="Verdana" w:eastAsiaTheme="minorHAnsi"/>
          <w:color w:val="000000" w:themeColor="text1"/>
          <w:sz w:val="18"/>
          <w:szCs w:val="18"/>
          <w:lang w:eastAsia="en-US"/>
          <w14:ligatures w14:val="standardContextual"/>
        </w:rPr>
      </w:pPr>
    </w:p>
    <w:p w:rsidRPr="00247BA8" w:rsidR="00054419" w:rsidP="00054419" w:rsidRDefault="00054419" w14:paraId="5099A129" w14:textId="3E7B9ECB">
      <w:pPr>
        <w:rPr>
          <w:rFonts w:ascii="Verdana" w:hAnsi="Verdana" w:eastAsiaTheme="minorHAnsi"/>
          <w:i/>
          <w:iCs/>
          <w:color w:val="000000" w:themeColor="text1"/>
          <w:sz w:val="18"/>
          <w:szCs w:val="18"/>
          <w:lang w:eastAsia="en-US"/>
          <w14:ligatures w14:val="standardContextual"/>
        </w:rPr>
      </w:pPr>
      <w:r w:rsidRPr="00247BA8">
        <w:rPr>
          <w:rFonts w:ascii="Verdana" w:hAnsi="Verdana" w:eastAsiaTheme="minorHAnsi"/>
          <w:i/>
          <w:iCs/>
          <w:color w:val="000000" w:themeColor="text1"/>
          <w:sz w:val="18"/>
          <w:szCs w:val="18"/>
          <w:lang w:eastAsia="en-US"/>
          <w14:ligatures w14:val="standardContextual"/>
        </w:rPr>
        <w:t xml:space="preserve">De leden van de NSC-fractie merken op dat in de memorie van toelichting van 2013-2014 BRO wordt gesproken over </w:t>
      </w:r>
      <w:r w:rsidRPr="00247BA8" w:rsidR="00220F1A">
        <w:rPr>
          <w:rFonts w:ascii="Verdana" w:hAnsi="Verdana" w:eastAsiaTheme="minorHAnsi"/>
          <w:i/>
          <w:iCs/>
          <w:color w:val="000000" w:themeColor="text1"/>
          <w:sz w:val="18"/>
          <w:szCs w:val="18"/>
          <w:lang w:eastAsia="en-US"/>
          <w14:ligatures w14:val="standardContextual"/>
        </w:rPr>
        <w:t>twee</w:t>
      </w:r>
      <w:r w:rsidRPr="00247BA8">
        <w:rPr>
          <w:rFonts w:ascii="Verdana" w:hAnsi="Verdana" w:eastAsiaTheme="minorHAnsi"/>
          <w:i/>
          <w:iCs/>
          <w:color w:val="000000" w:themeColor="text1"/>
          <w:sz w:val="18"/>
          <w:szCs w:val="18"/>
          <w:lang w:eastAsia="en-US"/>
          <w14:ligatures w14:val="standardContextual"/>
        </w:rPr>
        <w:t xml:space="preserve"> onderzoeken (archeologie en milieukwaliteit). In de voorliggende memorie van toelichting komt alleen de milieukwaliteit terug. Deze leden vragen of het onderzoek naar archeologie gegevens uitgevoerd is en wat de bevindingen daarvan waren.</w:t>
      </w:r>
    </w:p>
    <w:p w:rsidRPr="00247BA8" w:rsidR="00890BC5" w:rsidP="00054419" w:rsidRDefault="00890BC5" w14:paraId="70709FC3" w14:textId="77777777">
      <w:pPr>
        <w:rPr>
          <w:rFonts w:ascii="Verdana" w:hAnsi="Verdana" w:eastAsiaTheme="minorHAnsi"/>
          <w:color w:val="000000" w:themeColor="text1"/>
          <w:sz w:val="18"/>
          <w:szCs w:val="18"/>
          <w:lang w:eastAsia="en-US"/>
          <w14:ligatures w14:val="standardContextual"/>
        </w:rPr>
      </w:pPr>
    </w:p>
    <w:p w:rsidRPr="00247BA8" w:rsidR="001D77BC" w:rsidP="081F2A66" w:rsidRDefault="000073DA" w14:paraId="2FF43FD4" w14:textId="3FA63B00">
      <w:pPr>
        <w:rPr>
          <w:rFonts w:ascii="Verdana" w:hAnsi="Verdana" w:eastAsiaTheme="minorEastAsia"/>
          <w:color w:val="000000" w:themeColor="text1"/>
          <w:sz w:val="18"/>
          <w:szCs w:val="18"/>
          <w:lang w:eastAsia="en-US"/>
        </w:rPr>
      </w:pPr>
      <w:r>
        <w:rPr>
          <w:rFonts w:ascii="Verdana" w:hAnsi="Verdana" w:eastAsiaTheme="minorEastAsia"/>
          <w:color w:val="000000" w:themeColor="text1"/>
          <w:sz w:val="18"/>
          <w:szCs w:val="18"/>
          <w:lang w:eastAsia="en-US"/>
          <w14:ligatures w14:val="standardContextual"/>
        </w:rPr>
        <w:t>In een</w:t>
      </w:r>
      <w:r w:rsidRPr="081F2A66" w:rsidR="00395F42">
        <w:rPr>
          <w:rFonts w:ascii="Verdana" w:hAnsi="Verdana" w:eastAsiaTheme="minorEastAsia"/>
          <w:color w:val="000000" w:themeColor="text1"/>
          <w:sz w:val="18"/>
          <w:szCs w:val="18"/>
          <w:lang w:eastAsia="en-US"/>
          <w14:ligatures w14:val="standardContextual"/>
        </w:rPr>
        <w:t xml:space="preserve"> </w:t>
      </w:r>
      <w:r w:rsidRPr="081F2A66" w:rsidR="00040F64">
        <w:rPr>
          <w:rFonts w:ascii="Verdana" w:hAnsi="Verdana" w:eastAsiaTheme="minorEastAsia"/>
          <w:color w:val="000000" w:themeColor="text1"/>
          <w:sz w:val="18"/>
          <w:szCs w:val="18"/>
          <w:lang w:eastAsia="en-US"/>
          <w14:ligatures w14:val="standardContextual"/>
        </w:rPr>
        <w:t>n</w:t>
      </w:r>
      <w:r w:rsidRPr="081F2A66" w:rsidR="00395F42">
        <w:rPr>
          <w:rFonts w:ascii="Verdana" w:hAnsi="Verdana" w:eastAsiaTheme="minorEastAsia"/>
          <w:color w:val="000000" w:themeColor="text1"/>
          <w:sz w:val="18"/>
          <w:szCs w:val="18"/>
          <w:lang w:eastAsia="en-US"/>
          <w14:ligatures w14:val="standardContextual"/>
        </w:rPr>
        <w:t xml:space="preserve">ota naar </w:t>
      </w:r>
      <w:r w:rsidRPr="081F2A66" w:rsidR="004606ED">
        <w:rPr>
          <w:rFonts w:ascii="Verdana" w:hAnsi="Verdana" w:eastAsiaTheme="minorEastAsia"/>
          <w:color w:val="000000" w:themeColor="text1"/>
          <w:sz w:val="18"/>
          <w:szCs w:val="18"/>
          <w:lang w:eastAsia="en-US"/>
          <w14:ligatures w14:val="standardContextual"/>
        </w:rPr>
        <w:t>a</w:t>
      </w:r>
      <w:r w:rsidRPr="081F2A66" w:rsidR="00395F42">
        <w:rPr>
          <w:rFonts w:ascii="Verdana" w:hAnsi="Verdana" w:eastAsiaTheme="minorEastAsia"/>
          <w:color w:val="000000" w:themeColor="text1"/>
          <w:sz w:val="18"/>
          <w:szCs w:val="18"/>
          <w:lang w:eastAsia="en-US"/>
          <w14:ligatures w14:val="standardContextual"/>
        </w:rPr>
        <w:t xml:space="preserve">anleiding van het </w:t>
      </w:r>
      <w:r w:rsidRPr="081F2A66" w:rsidR="004606ED">
        <w:rPr>
          <w:rFonts w:ascii="Verdana" w:hAnsi="Verdana" w:eastAsiaTheme="minorEastAsia"/>
          <w:color w:val="000000" w:themeColor="text1"/>
          <w:sz w:val="18"/>
          <w:szCs w:val="18"/>
          <w:lang w:eastAsia="en-US"/>
          <w14:ligatures w14:val="standardContextual"/>
        </w:rPr>
        <w:t>v</w:t>
      </w:r>
      <w:r w:rsidRPr="081F2A66" w:rsidR="00395F42">
        <w:rPr>
          <w:rFonts w:ascii="Verdana" w:hAnsi="Verdana" w:eastAsiaTheme="minorEastAsia"/>
          <w:color w:val="000000" w:themeColor="text1"/>
          <w:sz w:val="18"/>
          <w:szCs w:val="18"/>
          <w:lang w:eastAsia="en-US"/>
          <w14:ligatures w14:val="standardContextual"/>
        </w:rPr>
        <w:t>erslag</w:t>
      </w:r>
      <w:r w:rsidRPr="081F2A66" w:rsidR="004606ED">
        <w:rPr>
          <w:rFonts w:ascii="Verdana" w:hAnsi="Verdana" w:eastAsiaTheme="minorEastAsia"/>
          <w:color w:val="000000" w:themeColor="text1"/>
          <w:sz w:val="18"/>
          <w:szCs w:val="18"/>
          <w:vertAlign w:val="superscript"/>
          <w:lang w:eastAsia="en-US"/>
          <w14:ligatures w14:val="standardContextual"/>
        </w:rPr>
        <w:footnoteReference w:id="20"/>
      </w:r>
      <w:r w:rsidRPr="081F2A66" w:rsidR="00395F42">
        <w:rPr>
          <w:rFonts w:ascii="Verdana" w:hAnsi="Verdana" w:eastAsiaTheme="minorEastAsia"/>
          <w:color w:val="000000" w:themeColor="text1"/>
          <w:sz w:val="18"/>
          <w:szCs w:val="18"/>
          <w:lang w:eastAsia="en-US"/>
          <w14:ligatures w14:val="standardContextual"/>
        </w:rPr>
        <w:t xml:space="preserve"> in 2015 </w:t>
      </w:r>
      <w:r>
        <w:rPr>
          <w:rFonts w:ascii="Verdana" w:hAnsi="Verdana" w:eastAsiaTheme="minorEastAsia"/>
          <w:color w:val="000000" w:themeColor="text1"/>
          <w:sz w:val="18"/>
          <w:szCs w:val="18"/>
          <w:lang w:eastAsia="en-US"/>
          <w14:ligatures w14:val="standardContextual"/>
        </w:rPr>
        <w:t xml:space="preserve">is </w:t>
      </w:r>
      <w:r w:rsidRPr="081F2A66" w:rsidR="00395F42">
        <w:rPr>
          <w:rFonts w:ascii="Verdana" w:hAnsi="Verdana" w:eastAsiaTheme="minorEastAsia"/>
          <w:color w:val="000000" w:themeColor="text1"/>
          <w:sz w:val="18"/>
          <w:szCs w:val="18"/>
          <w:lang w:eastAsia="en-US"/>
          <w14:ligatures w14:val="standardContextual"/>
        </w:rPr>
        <w:t xml:space="preserve">toegezegd </w:t>
      </w:r>
      <w:r w:rsidRPr="081F2A66" w:rsidR="004606ED">
        <w:rPr>
          <w:rFonts w:ascii="Verdana" w:hAnsi="Verdana" w:eastAsiaTheme="minorEastAsia"/>
          <w:color w:val="000000" w:themeColor="text1"/>
          <w:sz w:val="18"/>
          <w:szCs w:val="18"/>
          <w:lang w:eastAsia="en-US"/>
          <w14:ligatures w14:val="standardContextual"/>
        </w:rPr>
        <w:t xml:space="preserve">om - </w:t>
      </w:r>
      <w:r w:rsidRPr="081F2A66" w:rsidR="00395F42">
        <w:rPr>
          <w:rFonts w:ascii="Verdana" w:hAnsi="Verdana" w:eastAsiaTheme="minorEastAsia"/>
          <w:color w:val="000000" w:themeColor="text1"/>
          <w:sz w:val="18"/>
          <w:szCs w:val="18"/>
          <w:lang w:eastAsia="en-US"/>
          <w14:ligatures w14:val="standardContextual"/>
        </w:rPr>
        <w:t>na succesvolle afronding van BRO Fase 1</w:t>
      </w:r>
      <w:r w:rsidRPr="081F2A66" w:rsidR="004606ED">
        <w:rPr>
          <w:rFonts w:ascii="Verdana" w:hAnsi="Verdana" w:eastAsiaTheme="minorEastAsia"/>
          <w:color w:val="000000" w:themeColor="text1"/>
          <w:sz w:val="18"/>
          <w:szCs w:val="18"/>
          <w:lang w:eastAsia="en-US"/>
          <w14:ligatures w14:val="standardContextual"/>
        </w:rPr>
        <w:t xml:space="preserve"> -</w:t>
      </w:r>
      <w:r w:rsidRPr="081F2A66" w:rsidR="00395F42">
        <w:rPr>
          <w:rFonts w:ascii="Verdana" w:hAnsi="Verdana" w:eastAsiaTheme="minorEastAsia"/>
          <w:color w:val="000000" w:themeColor="text1"/>
          <w:sz w:val="18"/>
          <w:szCs w:val="18"/>
          <w:lang w:eastAsia="en-US"/>
          <w14:ligatures w14:val="standardContextual"/>
        </w:rPr>
        <w:t xml:space="preserve"> te zullen onderzoeken </w:t>
      </w:r>
      <w:r w:rsidRPr="081F2A66" w:rsidR="004606ED">
        <w:rPr>
          <w:rFonts w:ascii="Verdana" w:hAnsi="Verdana" w:eastAsiaTheme="minorEastAsia"/>
          <w:color w:val="000000" w:themeColor="text1"/>
          <w:sz w:val="18"/>
          <w:szCs w:val="18"/>
          <w:lang w:eastAsia="en-US"/>
          <w14:ligatures w14:val="standardContextual"/>
        </w:rPr>
        <w:t>of</w:t>
      </w:r>
      <w:r w:rsidRPr="081F2A66" w:rsidR="00395F42">
        <w:rPr>
          <w:rFonts w:ascii="Verdana" w:hAnsi="Verdana" w:eastAsiaTheme="minorEastAsia"/>
          <w:color w:val="000000" w:themeColor="text1"/>
          <w:sz w:val="18"/>
          <w:szCs w:val="18"/>
          <w:lang w:eastAsia="en-US"/>
          <w14:ligatures w14:val="standardContextual"/>
        </w:rPr>
        <w:t xml:space="preserve"> </w:t>
      </w:r>
      <w:r w:rsidRPr="081F2A66" w:rsidR="003537F7">
        <w:rPr>
          <w:rFonts w:ascii="Verdana" w:hAnsi="Verdana" w:eastAsiaTheme="minorEastAsia"/>
          <w:color w:val="000000" w:themeColor="text1"/>
          <w:sz w:val="18"/>
          <w:szCs w:val="18"/>
          <w:lang w:eastAsia="en-US"/>
          <w14:ligatures w14:val="standardContextual"/>
        </w:rPr>
        <w:t xml:space="preserve">ten eerste </w:t>
      </w:r>
      <w:r w:rsidRPr="081F2A66" w:rsidR="00395F42">
        <w:rPr>
          <w:rFonts w:ascii="Verdana" w:hAnsi="Verdana" w:eastAsiaTheme="minorEastAsia"/>
          <w:color w:val="000000" w:themeColor="text1"/>
          <w:sz w:val="18"/>
          <w:szCs w:val="18"/>
          <w:lang w:eastAsia="en-US"/>
          <w14:ligatures w14:val="standardContextual"/>
        </w:rPr>
        <w:t xml:space="preserve">milieukwaliteit </w:t>
      </w:r>
      <w:r w:rsidRPr="081F2A66" w:rsidR="003537F7">
        <w:rPr>
          <w:rFonts w:ascii="Verdana" w:hAnsi="Verdana" w:eastAsiaTheme="minorEastAsia"/>
          <w:color w:val="000000" w:themeColor="text1"/>
          <w:sz w:val="18"/>
          <w:szCs w:val="18"/>
          <w:lang w:eastAsia="en-US"/>
          <w14:ligatures w14:val="standardContextual"/>
        </w:rPr>
        <w:t xml:space="preserve">vanwege de PFAS problematiek en vervolgens </w:t>
      </w:r>
      <w:r w:rsidRPr="081F2A66" w:rsidR="00395F42">
        <w:rPr>
          <w:rFonts w:ascii="Verdana" w:hAnsi="Verdana" w:eastAsiaTheme="minorEastAsia"/>
          <w:color w:val="000000" w:themeColor="text1"/>
          <w:sz w:val="18"/>
          <w:szCs w:val="18"/>
          <w:lang w:eastAsia="en-US"/>
          <w14:ligatures w14:val="standardContextual"/>
        </w:rPr>
        <w:t xml:space="preserve">archeologie aan de BRO </w:t>
      </w:r>
      <w:r w:rsidRPr="081F2A66" w:rsidR="004606ED">
        <w:rPr>
          <w:rFonts w:ascii="Verdana" w:hAnsi="Verdana" w:eastAsiaTheme="minorEastAsia"/>
          <w:color w:val="000000" w:themeColor="text1"/>
          <w:sz w:val="18"/>
          <w:szCs w:val="18"/>
          <w:lang w:eastAsia="en-US"/>
          <w14:ligatures w14:val="standardContextual"/>
        </w:rPr>
        <w:t>kunnen</w:t>
      </w:r>
      <w:r w:rsidRPr="081F2A66" w:rsidR="00395F42">
        <w:rPr>
          <w:rFonts w:ascii="Verdana" w:hAnsi="Verdana" w:eastAsiaTheme="minorEastAsia"/>
          <w:color w:val="000000" w:themeColor="text1"/>
          <w:sz w:val="18"/>
          <w:szCs w:val="18"/>
          <w:lang w:eastAsia="en-US"/>
          <w14:ligatures w14:val="standardContextual"/>
        </w:rPr>
        <w:t xml:space="preserve"> worden toegevoegd</w:t>
      </w:r>
      <w:r w:rsidRPr="081F2A66" w:rsidR="00CD0434">
        <w:rPr>
          <w:rFonts w:ascii="Verdana" w:hAnsi="Verdana" w:eastAsiaTheme="minorEastAsia"/>
          <w:color w:val="000000" w:themeColor="text1"/>
          <w:sz w:val="18"/>
          <w:szCs w:val="18"/>
          <w:lang w:eastAsia="en-US"/>
          <w14:ligatures w14:val="standardContextual"/>
        </w:rPr>
        <w:t>. Dit,</w:t>
      </w:r>
      <w:r w:rsidRPr="081F2A66" w:rsidR="003537F7">
        <w:rPr>
          <w:rFonts w:ascii="Verdana" w:hAnsi="Verdana" w:eastAsiaTheme="minorEastAsia"/>
          <w:color w:val="000000" w:themeColor="text1"/>
          <w:sz w:val="18"/>
          <w:szCs w:val="18"/>
          <w:lang w:eastAsia="en-US"/>
          <w14:ligatures w14:val="standardContextual"/>
        </w:rPr>
        <w:t xml:space="preserve"> in lijn </w:t>
      </w:r>
      <w:r w:rsidRPr="081F2A66" w:rsidR="00A55C0E">
        <w:rPr>
          <w:rFonts w:ascii="Verdana" w:hAnsi="Verdana" w:eastAsiaTheme="minorEastAsia"/>
          <w:color w:val="000000" w:themeColor="text1"/>
          <w:sz w:val="18"/>
          <w:szCs w:val="18"/>
          <w:lang w:eastAsia="en-US"/>
          <w14:ligatures w14:val="standardContextual"/>
        </w:rPr>
        <w:t xml:space="preserve">met </w:t>
      </w:r>
      <w:r w:rsidRPr="081F2A66" w:rsidR="003537F7">
        <w:rPr>
          <w:rFonts w:ascii="Verdana" w:hAnsi="Verdana" w:eastAsiaTheme="minorEastAsia"/>
          <w:color w:val="000000" w:themeColor="text1"/>
          <w:sz w:val="18"/>
          <w:szCs w:val="18"/>
          <w:lang w:eastAsia="en-US"/>
          <w14:ligatures w14:val="standardContextual"/>
        </w:rPr>
        <w:t>de stap-voor-stap benadering inzake de ontwikkeling van deze basisregistratie</w:t>
      </w:r>
      <w:r w:rsidRPr="081F2A66" w:rsidR="00395F42">
        <w:rPr>
          <w:rFonts w:ascii="Verdana" w:hAnsi="Verdana" w:eastAsiaTheme="minorEastAsia"/>
          <w:color w:val="000000" w:themeColor="text1"/>
          <w:sz w:val="18"/>
          <w:szCs w:val="18"/>
          <w:lang w:eastAsia="en-US"/>
          <w14:ligatures w14:val="standardContextual"/>
        </w:rPr>
        <w:t xml:space="preserve">. </w:t>
      </w:r>
    </w:p>
    <w:p w:rsidRPr="00AF4F4C" w:rsidR="00AF4F4C" w:rsidP="00AF4F4C" w:rsidRDefault="00A55C0E" w14:paraId="688008F3" w14:textId="1F59BDBA">
      <w:pPr>
        <w:rPr>
          <w:rFonts w:ascii="Verdana" w:hAnsi="Verdana" w:eastAsiaTheme="minorEastAsia"/>
          <w:color w:val="000000" w:themeColor="text1"/>
          <w:sz w:val="18"/>
          <w:szCs w:val="18"/>
        </w:rPr>
      </w:pPr>
      <w:r w:rsidRPr="00247BA8">
        <w:rPr>
          <w:rFonts w:ascii="Verdana" w:hAnsi="Verdana" w:eastAsiaTheme="minorEastAsia"/>
          <w:color w:val="000000" w:themeColor="text1"/>
          <w:sz w:val="18"/>
          <w:szCs w:val="18"/>
          <w:lang w:eastAsia="en-US"/>
          <w14:ligatures w14:val="standardContextual"/>
        </w:rPr>
        <w:t xml:space="preserve">In 2018 heeft de Tweede Kamer </w:t>
      </w:r>
      <w:r w:rsidRPr="00247BA8" w:rsidR="001D77BC">
        <w:rPr>
          <w:rFonts w:ascii="Verdana" w:hAnsi="Verdana" w:eastAsiaTheme="minorEastAsia"/>
          <w:color w:val="000000" w:themeColor="text1"/>
          <w:sz w:val="18"/>
          <w:szCs w:val="18"/>
          <w:lang w:eastAsia="en-US"/>
          <w14:ligatures w14:val="standardContextual"/>
        </w:rPr>
        <w:t>bovengenoem</w:t>
      </w:r>
      <w:r w:rsidRPr="00247BA8">
        <w:rPr>
          <w:rFonts w:ascii="Verdana" w:hAnsi="Verdana" w:eastAsiaTheme="minorEastAsia"/>
          <w:color w:val="000000" w:themeColor="text1"/>
          <w:sz w:val="18"/>
          <w:szCs w:val="18"/>
          <w:lang w:eastAsia="en-US"/>
          <w14:ligatures w14:val="standardContextual"/>
        </w:rPr>
        <w:t xml:space="preserve">de motie </w:t>
      </w:r>
      <w:proofErr w:type="spellStart"/>
      <w:r w:rsidRPr="00247BA8">
        <w:rPr>
          <w:rFonts w:ascii="Verdana" w:hAnsi="Verdana" w:eastAsiaTheme="minorEastAsia"/>
          <w:color w:val="000000" w:themeColor="text1"/>
          <w:sz w:val="18"/>
          <w:szCs w:val="18"/>
          <w:lang w:eastAsia="en-US"/>
          <w14:ligatures w14:val="standardContextual"/>
        </w:rPr>
        <w:t>Ronnes</w:t>
      </w:r>
      <w:proofErr w:type="spellEnd"/>
      <w:r w:rsidRPr="00247BA8">
        <w:rPr>
          <w:rFonts w:ascii="Verdana" w:hAnsi="Verdana" w:eastAsiaTheme="minorEastAsia"/>
          <w:color w:val="000000" w:themeColor="text1"/>
          <w:sz w:val="18"/>
          <w:szCs w:val="18"/>
          <w:lang w:eastAsia="en-US"/>
          <w14:ligatures w14:val="standardContextual"/>
        </w:rPr>
        <w:t>-van-Gerven aangenomen</w:t>
      </w:r>
      <w:r w:rsidRPr="00247BA8" w:rsidR="000B5906">
        <w:rPr>
          <w:rFonts w:ascii="Verdana" w:hAnsi="Verdana" w:eastAsiaTheme="minorEastAsia"/>
          <w:color w:val="000000" w:themeColor="text1"/>
          <w:sz w:val="18"/>
          <w:szCs w:val="18"/>
          <w:lang w:eastAsia="en-US"/>
          <w14:ligatures w14:val="standardContextual"/>
        </w:rPr>
        <w:t>. Daarom wil ik</w:t>
      </w:r>
      <w:r w:rsidRPr="00247BA8">
        <w:rPr>
          <w:rFonts w:ascii="Verdana" w:hAnsi="Verdana" w:eastAsiaTheme="minorEastAsia"/>
          <w:color w:val="000000" w:themeColor="text1"/>
          <w:sz w:val="18"/>
          <w:szCs w:val="18"/>
          <w:lang w:eastAsia="en-US"/>
          <w14:ligatures w14:val="standardContextual"/>
        </w:rPr>
        <w:t xml:space="preserve"> nu eerst </w:t>
      </w:r>
      <w:bookmarkStart w:name="_Hlk174009950" w:id="3"/>
      <w:r w:rsidRPr="00247BA8" w:rsidR="00CD0434">
        <w:rPr>
          <w:rFonts w:ascii="Verdana" w:hAnsi="Verdana"/>
          <w:color w:val="000000" w:themeColor="text1"/>
          <w:sz w:val="18"/>
          <w:szCs w:val="18"/>
        </w:rPr>
        <w:t>milieukwaliteit aan de BRO toevoeg</w:t>
      </w:r>
      <w:r w:rsidRPr="00247BA8" w:rsidR="000B5906">
        <w:rPr>
          <w:rFonts w:ascii="Verdana" w:hAnsi="Verdana"/>
          <w:color w:val="000000" w:themeColor="text1"/>
          <w:sz w:val="18"/>
          <w:szCs w:val="18"/>
        </w:rPr>
        <w:t xml:space="preserve">en. </w:t>
      </w:r>
      <w:bookmarkEnd w:id="3"/>
      <w:r w:rsidRPr="00247BA8" w:rsidR="00F01BF4">
        <w:rPr>
          <w:rFonts w:ascii="Verdana" w:hAnsi="Verdana" w:eastAsiaTheme="minorEastAsia"/>
          <w:color w:val="000000" w:themeColor="text1"/>
          <w:sz w:val="18"/>
          <w:szCs w:val="18"/>
        </w:rPr>
        <w:t xml:space="preserve">Onder voorbehoud van structurele financiering voor het beheer, verwacht ik dat halverwege 2025 milieukwaliteit wordt opgenomen als nieuw domein binnen de BRO. </w:t>
      </w:r>
      <w:r w:rsidRPr="00AF4F4C" w:rsidR="00AF4F4C">
        <w:rPr>
          <w:rFonts w:ascii="Verdana" w:hAnsi="Verdana" w:eastAsiaTheme="minorEastAsia"/>
          <w:color w:val="000000" w:themeColor="text1"/>
          <w:sz w:val="18"/>
          <w:szCs w:val="18"/>
        </w:rPr>
        <w:t xml:space="preserve">Daarna zal ik bezien of onderzoek naar het verbinden van de bestaande sectorale registratie met archeologische gegevens met de BRO mogelijk is binnen de bredere kaders van het Federatief Datastelsel van de Nederlandse overheid. De sectorale </w:t>
      </w:r>
      <w:r w:rsidR="00AF4F4C">
        <w:rPr>
          <w:rFonts w:ascii="Verdana" w:hAnsi="Verdana" w:eastAsiaTheme="minorEastAsia"/>
          <w:color w:val="000000" w:themeColor="text1"/>
          <w:sz w:val="18"/>
          <w:szCs w:val="18"/>
        </w:rPr>
        <w:t xml:space="preserve">registratie </w:t>
      </w:r>
      <w:r w:rsidRPr="00AF4F4C" w:rsidR="00AF4F4C">
        <w:rPr>
          <w:rFonts w:ascii="Verdana" w:hAnsi="Verdana" w:eastAsiaTheme="minorEastAsia"/>
          <w:color w:val="000000" w:themeColor="text1"/>
          <w:sz w:val="18"/>
          <w:szCs w:val="18"/>
        </w:rPr>
        <w:t>wordt geschikt geacht voor deze verbinding vanwege de hoge mate van standaardisatie in zowel de werkprocessen als de gegevensuitwisseling. De intentie hierbij is om de administratieve lastendruk en implementatiekosten te verlagen in de vergelijking </w:t>
      </w:r>
      <w:r w:rsidRPr="00AF4F4C" w:rsidR="00AF4F4C">
        <w:rPr>
          <w:rFonts w:ascii="Arial" w:hAnsi="Arial" w:cs="Arial" w:eastAsiaTheme="minorEastAsia"/>
          <w:color w:val="000000" w:themeColor="text1"/>
          <w:sz w:val="18"/>
          <w:szCs w:val="18"/>
        </w:rPr>
        <w:t>​</w:t>
      </w:r>
      <w:r w:rsidRPr="00AF4F4C" w:rsidR="00AF4F4C">
        <w:rPr>
          <w:rFonts w:ascii="Verdana" w:hAnsi="Verdana" w:eastAsiaTheme="minorEastAsia"/>
          <w:color w:val="000000" w:themeColor="text1"/>
          <w:sz w:val="18"/>
          <w:szCs w:val="18"/>
        </w:rPr>
        <w:t>met de opname als authentiek gegeven in de BRO.</w:t>
      </w:r>
    </w:p>
    <w:p w:rsidRPr="00247BA8" w:rsidR="004606ED" w:rsidP="00054419" w:rsidRDefault="004606ED" w14:paraId="06E178FD" w14:textId="12E45149">
      <w:pPr>
        <w:rPr>
          <w:rFonts w:ascii="Verdana" w:hAnsi="Verdana"/>
          <w:color w:val="000000" w:themeColor="text1"/>
          <w:sz w:val="18"/>
          <w:szCs w:val="18"/>
        </w:rPr>
      </w:pPr>
    </w:p>
    <w:p w:rsidRPr="00247BA8" w:rsidR="00D50505" w:rsidP="00054419" w:rsidRDefault="00D50505" w14:paraId="2F6F92F6" w14:textId="77777777">
      <w:pPr>
        <w:rPr>
          <w:rFonts w:ascii="Verdana" w:hAnsi="Verdana"/>
          <w:color w:val="000000" w:themeColor="text1"/>
          <w:sz w:val="18"/>
          <w:szCs w:val="18"/>
        </w:rPr>
      </w:pPr>
    </w:p>
    <w:p w:rsidRPr="00247BA8" w:rsidR="00054419" w:rsidP="00054419" w:rsidRDefault="00054419" w14:paraId="1556D772" w14:textId="77777777">
      <w:pPr>
        <w:rPr>
          <w:rFonts w:ascii="Verdana" w:hAnsi="Verdana"/>
          <w:i/>
          <w:iCs/>
          <w:color w:val="000000" w:themeColor="text1"/>
          <w:sz w:val="18"/>
          <w:szCs w:val="18"/>
        </w:rPr>
      </w:pPr>
      <w:r w:rsidRPr="00247BA8">
        <w:rPr>
          <w:rFonts w:ascii="Verdana" w:hAnsi="Verdana"/>
          <w:i/>
          <w:iCs/>
          <w:color w:val="000000" w:themeColor="text1"/>
          <w:sz w:val="18"/>
          <w:szCs w:val="18"/>
        </w:rPr>
        <w:t>1.1.2 Aanleiding voor de wetswijziging</w:t>
      </w:r>
    </w:p>
    <w:p w:rsidRPr="00247BA8" w:rsidR="00054419" w:rsidP="00054419" w:rsidRDefault="00054419" w14:paraId="3F93FE57" w14:textId="77777777">
      <w:pPr>
        <w:rPr>
          <w:rFonts w:ascii="Verdana" w:hAnsi="Verdana"/>
          <w:i/>
          <w:iCs/>
          <w:color w:val="000000" w:themeColor="text1"/>
          <w:sz w:val="18"/>
          <w:szCs w:val="18"/>
        </w:rPr>
      </w:pPr>
    </w:p>
    <w:p w:rsidRPr="00247BA8" w:rsidR="003A34A6" w:rsidP="00054419" w:rsidRDefault="00054419" w14:paraId="1B237476"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NSC-fractie merken op dat drinkwaterbedrijven vaak </w:t>
      </w:r>
      <w:r w:rsidRPr="00247BA8" w:rsidR="00D33033">
        <w:rPr>
          <w:rFonts w:ascii="Verdana" w:hAnsi="Verdana"/>
          <w:i/>
          <w:iCs/>
          <w:color w:val="000000" w:themeColor="text1"/>
          <w:sz w:val="18"/>
          <w:szCs w:val="18"/>
        </w:rPr>
        <w:t xml:space="preserve">naamloze </w:t>
      </w:r>
      <w:r w:rsidRPr="00247BA8" w:rsidR="003A6BCB">
        <w:rPr>
          <w:rFonts w:ascii="Verdana" w:hAnsi="Verdana"/>
          <w:i/>
          <w:iCs/>
          <w:color w:val="000000" w:themeColor="text1"/>
          <w:sz w:val="18"/>
          <w:szCs w:val="18"/>
        </w:rPr>
        <w:t>vennootschappen</w:t>
      </w:r>
      <w:r w:rsidRPr="00247BA8">
        <w:rPr>
          <w:rFonts w:ascii="Verdana" w:hAnsi="Verdana"/>
          <w:i/>
          <w:iCs/>
          <w:color w:val="000000" w:themeColor="text1"/>
          <w:sz w:val="18"/>
          <w:szCs w:val="18"/>
        </w:rPr>
        <w:t xml:space="preserve"> zijn met provincies en gemeenten als aandeelhouders. Kan de regering nader toelichten waarom wordt gekozen om drinkwaterbedrijven als bronhouder toe te voegen, terwijl zij feitelijk al ‘van de overheid’ zijn? </w:t>
      </w:r>
    </w:p>
    <w:p w:rsidRPr="00247BA8" w:rsidR="00890BC5" w:rsidP="00054419" w:rsidRDefault="00890BC5" w14:paraId="4D8DDE74" w14:textId="77777777">
      <w:pPr>
        <w:rPr>
          <w:rFonts w:ascii="Verdana" w:hAnsi="Verdana"/>
          <w:color w:val="000000" w:themeColor="text1"/>
          <w:sz w:val="18"/>
          <w:szCs w:val="18"/>
        </w:rPr>
      </w:pPr>
    </w:p>
    <w:p w:rsidRPr="00247BA8" w:rsidR="003A34A6" w:rsidP="081F2A66" w:rsidRDefault="081F2A66" w14:paraId="76FF7428" w14:textId="67324910">
      <w:pPr>
        <w:rPr>
          <w:rFonts w:ascii="Verdana" w:hAnsi="Verdana"/>
          <w:color w:val="000000" w:themeColor="text1"/>
          <w:sz w:val="18"/>
          <w:szCs w:val="18"/>
        </w:rPr>
      </w:pPr>
      <w:r w:rsidRPr="081F2A66">
        <w:rPr>
          <w:rFonts w:ascii="Verdana" w:hAnsi="Verdana"/>
          <w:color w:val="000000" w:themeColor="text1"/>
          <w:sz w:val="18"/>
          <w:szCs w:val="18"/>
        </w:rPr>
        <w:lastRenderedPageBreak/>
        <w:t xml:space="preserve">Drinkwaterbedrijven zijn </w:t>
      </w:r>
      <w:r w:rsidR="0070016A">
        <w:rPr>
          <w:rFonts w:ascii="Verdana" w:hAnsi="Verdana"/>
          <w:color w:val="000000" w:themeColor="text1"/>
          <w:sz w:val="18"/>
          <w:szCs w:val="18"/>
        </w:rPr>
        <w:t>in formele zin</w:t>
      </w:r>
      <w:r w:rsidRPr="081F2A66" w:rsidR="0070016A">
        <w:rPr>
          <w:rFonts w:ascii="Verdana" w:hAnsi="Verdana"/>
          <w:color w:val="000000" w:themeColor="text1"/>
          <w:sz w:val="18"/>
          <w:szCs w:val="18"/>
        </w:rPr>
        <w:t xml:space="preserve"> </w:t>
      </w:r>
      <w:r w:rsidRPr="081F2A66">
        <w:rPr>
          <w:rFonts w:ascii="Verdana" w:hAnsi="Verdana"/>
          <w:color w:val="000000" w:themeColor="text1"/>
          <w:sz w:val="18"/>
          <w:szCs w:val="18"/>
        </w:rPr>
        <w:t xml:space="preserve">private partijen </w:t>
      </w:r>
      <w:r w:rsidR="0070016A">
        <w:rPr>
          <w:rFonts w:ascii="Verdana" w:hAnsi="Verdana"/>
          <w:color w:val="000000" w:themeColor="text1"/>
          <w:sz w:val="18"/>
          <w:szCs w:val="18"/>
        </w:rPr>
        <w:t xml:space="preserve">en om die reden </w:t>
      </w:r>
      <w:r w:rsidRPr="081F2A66">
        <w:rPr>
          <w:rFonts w:ascii="Verdana" w:hAnsi="Verdana"/>
          <w:color w:val="000000" w:themeColor="text1"/>
          <w:sz w:val="18"/>
          <w:szCs w:val="18"/>
        </w:rPr>
        <w:t>nu niet gehouden gegevens te leveren</w:t>
      </w:r>
      <w:r w:rsidR="0070016A">
        <w:rPr>
          <w:rFonts w:ascii="Verdana" w:hAnsi="Verdana"/>
          <w:color w:val="000000" w:themeColor="text1"/>
          <w:sz w:val="18"/>
          <w:szCs w:val="18"/>
        </w:rPr>
        <w:t xml:space="preserve"> aan de BRO</w:t>
      </w:r>
      <w:r w:rsidRPr="081F2A66">
        <w:rPr>
          <w:rFonts w:ascii="Verdana" w:hAnsi="Verdana"/>
          <w:color w:val="000000" w:themeColor="text1"/>
          <w:sz w:val="18"/>
          <w:szCs w:val="18"/>
        </w:rPr>
        <w:t>. Dat het aandeelhouderschap is voorbehouden aan publieke bestuursorganen doet daar niet aan af.</w:t>
      </w:r>
    </w:p>
    <w:p w:rsidRPr="00247BA8" w:rsidR="003A34A6" w:rsidP="00054419" w:rsidRDefault="003A34A6" w14:paraId="5D399C30" w14:textId="77777777">
      <w:pPr>
        <w:rPr>
          <w:rFonts w:ascii="Verdana" w:hAnsi="Verdana"/>
          <w:color w:val="000000" w:themeColor="text1"/>
          <w:sz w:val="18"/>
          <w:szCs w:val="18"/>
        </w:rPr>
      </w:pPr>
    </w:p>
    <w:p w:rsidRPr="00247BA8" w:rsidR="004606ED" w:rsidP="00054419" w:rsidRDefault="00054419" w14:paraId="192D11E8" w14:textId="19B95BB2">
      <w:pPr>
        <w:rPr>
          <w:rFonts w:ascii="Verdana" w:hAnsi="Verdana"/>
          <w:i/>
          <w:iCs/>
          <w:color w:val="000000" w:themeColor="text1"/>
          <w:sz w:val="18"/>
          <w:szCs w:val="18"/>
        </w:rPr>
      </w:pPr>
      <w:r w:rsidRPr="00247BA8">
        <w:rPr>
          <w:rFonts w:ascii="Verdana" w:hAnsi="Verdana"/>
          <w:i/>
          <w:iCs/>
          <w:color w:val="000000" w:themeColor="text1"/>
          <w:sz w:val="18"/>
          <w:szCs w:val="18"/>
        </w:rPr>
        <w:t>Is het niet mogelijk om de gegevens via de provincie te leveren (zoals dat nu al is) voor de BRO? Wat zijn hier voordelen en/of nadelen van?</w:t>
      </w:r>
      <w:r w:rsidRPr="00247BA8" w:rsidR="00A2486B">
        <w:rPr>
          <w:rFonts w:ascii="Verdana" w:hAnsi="Verdana"/>
          <w:i/>
          <w:iCs/>
          <w:color w:val="000000" w:themeColor="text1"/>
          <w:sz w:val="18"/>
          <w:szCs w:val="18"/>
        </w:rPr>
        <w:t xml:space="preserve"> </w:t>
      </w:r>
    </w:p>
    <w:p w:rsidRPr="00247BA8" w:rsidR="00890BC5" w:rsidP="00054419" w:rsidRDefault="00890BC5" w14:paraId="5DDCAF1F" w14:textId="77777777">
      <w:pPr>
        <w:rPr>
          <w:rFonts w:ascii="Verdana" w:hAnsi="Verdana"/>
          <w:color w:val="000000" w:themeColor="text1"/>
          <w:sz w:val="18"/>
          <w:szCs w:val="18"/>
        </w:rPr>
      </w:pPr>
    </w:p>
    <w:p w:rsidRPr="00247BA8" w:rsidR="00B05E8E" w:rsidP="00B43FE8" w:rsidRDefault="00276EB1" w14:paraId="03248BEF" w14:textId="25170E3C">
      <w:pPr>
        <w:rPr>
          <w:rFonts w:ascii="Verdana" w:hAnsi="Verdana"/>
          <w:color w:val="000000" w:themeColor="text1"/>
          <w:sz w:val="18"/>
          <w:szCs w:val="18"/>
        </w:rPr>
      </w:pPr>
      <w:r w:rsidRPr="00247BA8">
        <w:rPr>
          <w:rFonts w:ascii="Verdana" w:hAnsi="Verdana"/>
          <w:color w:val="000000" w:themeColor="text1"/>
          <w:sz w:val="18"/>
          <w:szCs w:val="18"/>
        </w:rPr>
        <w:t>Er zijn geen voordelen van het leveren van de gegevens via de provincie.</w:t>
      </w:r>
      <w:r w:rsidRPr="00247BA8">
        <w:rPr>
          <w:rFonts w:ascii="Verdana" w:hAnsi="Verdana"/>
          <w:color w:val="000000" w:themeColor="text1"/>
          <w:sz w:val="18"/>
          <w:szCs w:val="18"/>
        </w:rPr>
        <w:br/>
      </w:r>
      <w:r w:rsidRPr="00247BA8" w:rsidR="00B43FE8">
        <w:rPr>
          <w:rFonts w:ascii="Verdana" w:hAnsi="Verdana"/>
          <w:color w:val="000000" w:themeColor="text1"/>
          <w:sz w:val="18"/>
          <w:szCs w:val="18"/>
        </w:rPr>
        <w:t>Een deel van de gegevens in bezit van drinkwaterbedrijven valt buiten de vergunning-</w:t>
      </w:r>
      <w:r w:rsidRPr="00247BA8" w:rsidR="00EC4399">
        <w:rPr>
          <w:rFonts w:ascii="Verdana" w:hAnsi="Verdana"/>
          <w:color w:val="000000" w:themeColor="text1"/>
          <w:sz w:val="18"/>
          <w:szCs w:val="18"/>
        </w:rPr>
        <w:t>, melding-</w:t>
      </w:r>
      <w:r w:rsidRPr="00247BA8" w:rsidR="00B43FE8">
        <w:rPr>
          <w:rFonts w:ascii="Verdana" w:hAnsi="Verdana"/>
          <w:color w:val="000000" w:themeColor="text1"/>
          <w:sz w:val="18"/>
          <w:szCs w:val="18"/>
        </w:rPr>
        <w:t xml:space="preserve"> en rapportageplicht en komt dus niet bij de provincies terecht. Zo zijn circa 20.000 grondwater</w:t>
      </w:r>
      <w:r w:rsidRPr="00247BA8" w:rsidR="00323477">
        <w:rPr>
          <w:rFonts w:ascii="Verdana" w:hAnsi="Verdana"/>
          <w:color w:val="000000" w:themeColor="text1"/>
          <w:sz w:val="18"/>
          <w:szCs w:val="18"/>
        </w:rPr>
        <w:t>(monitoring)</w:t>
      </w:r>
      <w:r w:rsidRPr="00247BA8" w:rsidR="00B43FE8">
        <w:rPr>
          <w:rFonts w:ascii="Verdana" w:hAnsi="Verdana"/>
          <w:color w:val="000000" w:themeColor="text1"/>
          <w:sz w:val="18"/>
          <w:szCs w:val="18"/>
        </w:rPr>
        <w:t xml:space="preserve">putten in Nederland niet geregistreerd in de BRO, omdat collectieven van winputten als geheel vergund worden in plaats van individuele locaties. </w:t>
      </w:r>
    </w:p>
    <w:p w:rsidRPr="00247BA8" w:rsidR="00B43FE8" w:rsidP="00054419" w:rsidRDefault="00B43FE8" w14:paraId="73D6A8AD" w14:textId="6802226B">
      <w:pPr>
        <w:rPr>
          <w:rFonts w:ascii="Verdana" w:hAnsi="Verdana"/>
          <w:color w:val="000000" w:themeColor="text1"/>
          <w:sz w:val="18"/>
          <w:szCs w:val="18"/>
        </w:rPr>
      </w:pPr>
      <w:r w:rsidRPr="00247BA8">
        <w:rPr>
          <w:rFonts w:ascii="Verdana" w:hAnsi="Verdana"/>
          <w:color w:val="000000" w:themeColor="text1"/>
          <w:sz w:val="18"/>
          <w:szCs w:val="18"/>
        </w:rPr>
        <w:t>Voordelen</w:t>
      </w:r>
      <w:r w:rsidRPr="00247BA8" w:rsidR="00CD0434">
        <w:rPr>
          <w:rFonts w:ascii="Verdana" w:hAnsi="Verdana"/>
          <w:color w:val="000000" w:themeColor="text1"/>
          <w:sz w:val="18"/>
          <w:szCs w:val="18"/>
        </w:rPr>
        <w:t xml:space="preserve"> van levering van de gegevens door de drinkwaterbedrijven</w:t>
      </w:r>
      <w:r w:rsidRPr="00247BA8">
        <w:rPr>
          <w:rFonts w:ascii="Verdana" w:hAnsi="Verdana"/>
          <w:color w:val="000000" w:themeColor="text1"/>
          <w:sz w:val="18"/>
          <w:szCs w:val="18"/>
        </w:rPr>
        <w:t xml:space="preserve"> zijn ten eerste dat met deze extra gegevens van de drinkwaterbedrijven een veel completer beeld ontstaat dan wanneer alleen gegevens die onder de vergunning-</w:t>
      </w:r>
      <w:r w:rsidRPr="00247BA8" w:rsidR="00CB54BF">
        <w:rPr>
          <w:rFonts w:ascii="Verdana" w:hAnsi="Verdana"/>
          <w:color w:val="000000" w:themeColor="text1"/>
          <w:sz w:val="18"/>
          <w:szCs w:val="18"/>
        </w:rPr>
        <w:t>, melding-</w:t>
      </w:r>
      <w:r w:rsidRPr="00247BA8">
        <w:rPr>
          <w:rFonts w:ascii="Verdana" w:hAnsi="Verdana"/>
          <w:color w:val="000000" w:themeColor="text1"/>
          <w:sz w:val="18"/>
          <w:szCs w:val="18"/>
        </w:rPr>
        <w:t xml:space="preserve"> en rapportageplicht worden aangeleverd</w:t>
      </w:r>
      <w:r w:rsidRPr="00247BA8" w:rsidR="00CB54BF">
        <w:rPr>
          <w:rFonts w:ascii="Verdana" w:hAnsi="Verdana"/>
          <w:color w:val="000000" w:themeColor="text1"/>
          <w:sz w:val="18"/>
          <w:szCs w:val="18"/>
        </w:rPr>
        <w:t xml:space="preserve"> aan de BRO</w:t>
      </w:r>
      <w:r w:rsidRPr="00247BA8">
        <w:rPr>
          <w:rFonts w:ascii="Verdana" w:hAnsi="Verdana"/>
          <w:color w:val="000000" w:themeColor="text1"/>
          <w:sz w:val="18"/>
          <w:szCs w:val="18"/>
        </w:rPr>
        <w:t>.</w:t>
      </w:r>
    </w:p>
    <w:p w:rsidRPr="00247BA8" w:rsidR="00054419" w:rsidP="00054419" w:rsidRDefault="00B43FE8" w14:paraId="7A65D24A" w14:textId="791B37B0">
      <w:pPr>
        <w:rPr>
          <w:rFonts w:ascii="Verdana" w:hAnsi="Verdana"/>
          <w:color w:val="000000" w:themeColor="text1"/>
          <w:sz w:val="18"/>
          <w:szCs w:val="18"/>
        </w:rPr>
      </w:pPr>
      <w:r w:rsidRPr="00247BA8">
        <w:rPr>
          <w:rFonts w:ascii="Verdana" w:hAnsi="Verdana"/>
          <w:color w:val="000000" w:themeColor="text1"/>
          <w:sz w:val="18"/>
          <w:szCs w:val="18"/>
        </w:rPr>
        <w:t>Ten tweede, de gebieden waarin drinkwaterbedrijven hun activiteiten uitvoeren gaan over provinciegrenzen heen. D</w:t>
      </w:r>
      <w:r w:rsidRPr="00247BA8" w:rsidR="00EA5FCC">
        <w:rPr>
          <w:rFonts w:ascii="Verdana" w:hAnsi="Verdana"/>
          <w:color w:val="000000" w:themeColor="text1"/>
          <w:sz w:val="18"/>
          <w:szCs w:val="18"/>
        </w:rPr>
        <w:t xml:space="preserve">rinkwaterbedrijven </w:t>
      </w:r>
      <w:r w:rsidRPr="00247BA8">
        <w:rPr>
          <w:rFonts w:ascii="Verdana" w:hAnsi="Verdana"/>
          <w:color w:val="000000" w:themeColor="text1"/>
          <w:sz w:val="18"/>
          <w:szCs w:val="18"/>
        </w:rPr>
        <w:t xml:space="preserve">hebben </w:t>
      </w:r>
      <w:r w:rsidRPr="00247BA8" w:rsidR="00EA5FCC">
        <w:rPr>
          <w:rFonts w:ascii="Verdana" w:hAnsi="Verdana"/>
          <w:color w:val="000000" w:themeColor="text1"/>
          <w:sz w:val="18"/>
          <w:szCs w:val="18"/>
        </w:rPr>
        <w:t>nu te maken met verschillende eisen per provincie</w:t>
      </w:r>
      <w:r w:rsidRPr="00247BA8" w:rsidR="00A2486B">
        <w:rPr>
          <w:rFonts w:ascii="Verdana" w:hAnsi="Verdana"/>
          <w:color w:val="000000" w:themeColor="text1"/>
          <w:sz w:val="18"/>
          <w:szCs w:val="18"/>
        </w:rPr>
        <w:t>.</w:t>
      </w:r>
      <w:r w:rsidRPr="00247BA8">
        <w:rPr>
          <w:rFonts w:ascii="Verdana" w:hAnsi="Verdana"/>
          <w:color w:val="000000" w:themeColor="text1"/>
          <w:sz w:val="18"/>
          <w:szCs w:val="18"/>
        </w:rPr>
        <w:t xml:space="preserve"> </w:t>
      </w:r>
      <w:r w:rsidRPr="00247BA8" w:rsidR="00CD0434">
        <w:rPr>
          <w:rFonts w:ascii="Verdana" w:hAnsi="Verdana"/>
          <w:color w:val="000000" w:themeColor="text1"/>
          <w:sz w:val="18"/>
          <w:szCs w:val="18"/>
        </w:rPr>
        <w:t>Door op een uniforme wijze te gaan leveren aan de BRO wordt de kwaliteit van de gegevens in de BRO verhoogd</w:t>
      </w:r>
      <w:r w:rsidRPr="00247BA8">
        <w:rPr>
          <w:rFonts w:ascii="Verdana" w:hAnsi="Verdana"/>
          <w:color w:val="000000" w:themeColor="text1"/>
          <w:sz w:val="18"/>
          <w:szCs w:val="18"/>
        </w:rPr>
        <w:t xml:space="preserve">. </w:t>
      </w:r>
      <w:r w:rsidRPr="00247BA8" w:rsidR="00B34CB8">
        <w:rPr>
          <w:rFonts w:ascii="Verdana" w:hAnsi="Verdana"/>
          <w:color w:val="000000" w:themeColor="text1"/>
          <w:sz w:val="18"/>
          <w:szCs w:val="18"/>
        </w:rPr>
        <w:br/>
      </w:r>
      <w:r w:rsidRPr="00247BA8" w:rsidR="00A2486B">
        <w:rPr>
          <w:rFonts w:ascii="Verdana" w:hAnsi="Verdana"/>
          <w:color w:val="000000" w:themeColor="text1"/>
          <w:sz w:val="18"/>
          <w:szCs w:val="18"/>
        </w:rPr>
        <w:t xml:space="preserve">Ten slotte, gedeputeerde staten </w:t>
      </w:r>
      <w:r w:rsidRPr="00247BA8" w:rsidR="00EC4399">
        <w:rPr>
          <w:rFonts w:ascii="Verdana" w:hAnsi="Verdana"/>
          <w:color w:val="000000" w:themeColor="text1"/>
          <w:sz w:val="18"/>
          <w:szCs w:val="18"/>
        </w:rPr>
        <w:t xml:space="preserve">hoeven </w:t>
      </w:r>
      <w:r w:rsidRPr="00247BA8" w:rsidR="00A2486B">
        <w:rPr>
          <w:rFonts w:ascii="Verdana" w:hAnsi="Verdana"/>
          <w:color w:val="000000" w:themeColor="text1"/>
          <w:sz w:val="18"/>
          <w:szCs w:val="18"/>
        </w:rPr>
        <w:t>brondocumenten niet meer aan te leveren aan de BRO, als een drinkwaterbedrijf deze brondocumenten levert aan de provincie in het kader van een vergunningprocedure, een melding of rapportageplicht.</w:t>
      </w:r>
      <w:r w:rsidRPr="00247BA8" w:rsidR="00EC4399">
        <w:rPr>
          <w:rStyle w:val="Voetnootmarkering"/>
          <w:rFonts w:ascii="Verdana" w:hAnsi="Verdana"/>
          <w:color w:val="000000" w:themeColor="text1"/>
          <w:sz w:val="18"/>
          <w:szCs w:val="18"/>
        </w:rPr>
        <w:footnoteReference w:id="21"/>
      </w:r>
      <w:r w:rsidRPr="00247BA8" w:rsidR="00A2486B">
        <w:rPr>
          <w:rFonts w:ascii="Verdana" w:hAnsi="Verdana"/>
          <w:color w:val="000000" w:themeColor="text1"/>
          <w:sz w:val="18"/>
          <w:szCs w:val="18"/>
        </w:rPr>
        <w:t xml:space="preserve"> Dubbele levering aan de BRO wordt dus voork</w:t>
      </w:r>
      <w:r w:rsidRPr="00247BA8" w:rsidR="00707FEF">
        <w:rPr>
          <w:rFonts w:ascii="Verdana" w:hAnsi="Verdana"/>
          <w:color w:val="000000" w:themeColor="text1"/>
          <w:sz w:val="18"/>
          <w:szCs w:val="18"/>
        </w:rPr>
        <w:t>o</w:t>
      </w:r>
      <w:r w:rsidRPr="00247BA8" w:rsidR="00A2486B">
        <w:rPr>
          <w:rFonts w:ascii="Verdana" w:hAnsi="Verdana"/>
          <w:color w:val="000000" w:themeColor="text1"/>
          <w:sz w:val="18"/>
          <w:szCs w:val="18"/>
        </w:rPr>
        <w:t>men.</w:t>
      </w:r>
    </w:p>
    <w:p w:rsidRPr="00247BA8" w:rsidR="00B05E8E" w:rsidP="00054419" w:rsidRDefault="00B05E8E" w14:paraId="4863454B" w14:textId="77777777">
      <w:pPr>
        <w:rPr>
          <w:rFonts w:ascii="Verdana" w:hAnsi="Verdana"/>
          <w:color w:val="000000" w:themeColor="text1"/>
          <w:sz w:val="18"/>
          <w:szCs w:val="18"/>
        </w:rPr>
      </w:pPr>
    </w:p>
    <w:p w:rsidRPr="00247BA8" w:rsidR="00A72651" w:rsidP="00054419" w:rsidRDefault="00054419" w14:paraId="4C8507B5"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w:t>
      </w:r>
      <w:bookmarkStart w:name="_Hlk174528138" w:id="4"/>
      <w:r w:rsidRPr="00247BA8">
        <w:rPr>
          <w:rFonts w:ascii="Verdana" w:hAnsi="Verdana"/>
          <w:i/>
          <w:iCs/>
          <w:color w:val="000000" w:themeColor="text1"/>
          <w:sz w:val="18"/>
          <w:szCs w:val="18"/>
        </w:rPr>
        <w:t xml:space="preserve">leden van de NSC-fractie </w:t>
      </w:r>
      <w:bookmarkEnd w:id="4"/>
      <w:r w:rsidRPr="00247BA8">
        <w:rPr>
          <w:rFonts w:ascii="Verdana" w:hAnsi="Verdana"/>
          <w:i/>
          <w:iCs/>
          <w:color w:val="000000" w:themeColor="text1"/>
          <w:sz w:val="18"/>
          <w:szCs w:val="18"/>
        </w:rPr>
        <w:t>merken tevens op dat drinkwaterbedrijven investeringen te doen hebben in, bijvoorbeeld, de uitbreiding van hun capaciteit horend bij hun primaire en wettelijke taak. Is het niet beter als drinkwaterbedrijven al hun middelen voor die wettelijke taak behouden? Immers, hun leencapaciteit is door de WACC behoorlijk beperkt waardoor zij begrensd worden in hun toegang tot de kapitaalmarkt. De</w:t>
      </w:r>
      <w:r w:rsidRPr="00247BA8" w:rsidR="003A6BCB">
        <w:rPr>
          <w:rFonts w:ascii="Verdana" w:hAnsi="Verdana"/>
          <w:i/>
          <w:iCs/>
          <w:color w:val="000000" w:themeColor="text1"/>
          <w:sz w:val="18"/>
          <w:szCs w:val="18"/>
        </w:rPr>
        <w:t xml:space="preserve">ze leden willen </w:t>
      </w:r>
      <w:r w:rsidRPr="00247BA8">
        <w:rPr>
          <w:rFonts w:ascii="Verdana" w:hAnsi="Verdana"/>
          <w:i/>
          <w:iCs/>
          <w:color w:val="000000" w:themeColor="text1"/>
          <w:sz w:val="18"/>
          <w:szCs w:val="18"/>
        </w:rPr>
        <w:t>voorkomen dat middelen naar secundaire taken gaan. Hoe kijkt de regering hier</w:t>
      </w:r>
      <w:r w:rsidRPr="00247BA8" w:rsidR="00D33033">
        <w:rPr>
          <w:rFonts w:ascii="Verdana" w:hAnsi="Verdana"/>
          <w:i/>
          <w:iCs/>
          <w:color w:val="000000" w:themeColor="text1"/>
          <w:sz w:val="18"/>
          <w:szCs w:val="18"/>
        </w:rPr>
        <w:t xml:space="preserve"> </w:t>
      </w:r>
      <w:r w:rsidRPr="00247BA8">
        <w:rPr>
          <w:rFonts w:ascii="Verdana" w:hAnsi="Verdana"/>
          <w:i/>
          <w:iCs/>
          <w:color w:val="000000" w:themeColor="text1"/>
          <w:sz w:val="18"/>
          <w:szCs w:val="18"/>
        </w:rPr>
        <w:t xml:space="preserve">tegenaan? </w:t>
      </w:r>
    </w:p>
    <w:p w:rsidRPr="00247BA8" w:rsidR="00890BC5" w:rsidP="00054419" w:rsidRDefault="00890BC5" w14:paraId="34E67091" w14:textId="77777777">
      <w:pPr>
        <w:rPr>
          <w:rFonts w:ascii="Verdana" w:hAnsi="Verdana"/>
          <w:color w:val="000000" w:themeColor="text1"/>
          <w:sz w:val="18"/>
          <w:szCs w:val="18"/>
        </w:rPr>
      </w:pPr>
    </w:p>
    <w:p w:rsidRPr="00247BA8" w:rsidR="00CE2199" w:rsidP="00D50F8B" w:rsidRDefault="00EC4399" w14:paraId="0C041D1E" w14:textId="05F42231">
      <w:pPr>
        <w:rPr>
          <w:rFonts w:ascii="Verdana" w:hAnsi="Verdana"/>
          <w:i/>
          <w:iCs/>
          <w:color w:val="000000" w:themeColor="text1"/>
          <w:sz w:val="18"/>
          <w:szCs w:val="18"/>
        </w:rPr>
      </w:pPr>
      <w:r w:rsidRPr="00247BA8">
        <w:rPr>
          <w:rFonts w:ascii="Verdana" w:hAnsi="Verdana"/>
          <w:color w:val="000000" w:themeColor="text1"/>
          <w:sz w:val="18"/>
          <w:szCs w:val="18"/>
        </w:rPr>
        <w:t>Aanlevering van gegevens aan de BRO is ook van belang voor de uitvoering van de primaire taken van de drinkwaterbedrijven</w:t>
      </w:r>
      <w:r w:rsidRPr="00247BA8" w:rsidR="007A6CB6">
        <w:rPr>
          <w:rFonts w:ascii="Verdana" w:hAnsi="Verdana"/>
          <w:color w:val="000000" w:themeColor="text1"/>
          <w:sz w:val="18"/>
          <w:szCs w:val="18"/>
        </w:rPr>
        <w:t>: de baten zijn, ook voor de drinkwaterbedrijven, groter dan de kosten</w:t>
      </w:r>
      <w:r w:rsidRPr="00247BA8" w:rsidR="008D653F">
        <w:rPr>
          <w:rFonts w:ascii="Verdana" w:hAnsi="Verdana"/>
          <w:color w:val="000000" w:themeColor="text1"/>
          <w:sz w:val="18"/>
          <w:szCs w:val="18"/>
        </w:rPr>
        <w:t>.</w:t>
      </w:r>
      <w:r w:rsidRPr="00247BA8" w:rsidR="00CD0434">
        <w:rPr>
          <w:rFonts w:ascii="Verdana" w:hAnsi="Verdana"/>
          <w:color w:val="000000" w:themeColor="text1"/>
          <w:sz w:val="18"/>
          <w:szCs w:val="18"/>
          <w:vertAlign w:val="superscript"/>
        </w:rPr>
        <w:footnoteReference w:id="22"/>
      </w:r>
      <w:r w:rsidRPr="00247BA8" w:rsidR="008D653F">
        <w:rPr>
          <w:rFonts w:ascii="Verdana" w:hAnsi="Verdana"/>
          <w:color w:val="000000" w:themeColor="text1"/>
          <w:sz w:val="18"/>
          <w:szCs w:val="18"/>
        </w:rPr>
        <w:t xml:space="preserve"> </w:t>
      </w:r>
      <w:r w:rsidR="00D50F8B">
        <w:rPr>
          <w:rFonts w:ascii="Verdana" w:hAnsi="Verdana"/>
          <w:color w:val="000000" w:themeColor="text1"/>
          <w:sz w:val="18"/>
          <w:szCs w:val="18"/>
        </w:rPr>
        <w:br/>
        <w:t xml:space="preserve">In de brief geeft de </w:t>
      </w:r>
      <w:proofErr w:type="spellStart"/>
      <w:r w:rsidR="00D50F8B">
        <w:rPr>
          <w:rFonts w:ascii="Verdana" w:hAnsi="Verdana"/>
          <w:color w:val="000000" w:themeColor="text1"/>
          <w:sz w:val="18"/>
          <w:szCs w:val="18"/>
        </w:rPr>
        <w:t>Vewin</w:t>
      </w:r>
      <w:proofErr w:type="spellEnd"/>
      <w:r w:rsidR="00D50F8B">
        <w:rPr>
          <w:rFonts w:ascii="Verdana" w:hAnsi="Verdana"/>
          <w:color w:val="000000" w:themeColor="text1"/>
          <w:sz w:val="18"/>
          <w:szCs w:val="18"/>
        </w:rPr>
        <w:t xml:space="preserve"> aan: “</w:t>
      </w:r>
      <w:r w:rsidRPr="00194182" w:rsidR="00D50F8B">
        <w:rPr>
          <w:rFonts w:ascii="Verdana" w:hAnsi="Verdana"/>
          <w:color w:val="000000" w:themeColor="text1"/>
          <w:sz w:val="18"/>
          <w:szCs w:val="18"/>
        </w:rPr>
        <w:t>De drinkwatersector onderkent de nationale belangen van een goed gevulde BRO voor maatschappelijke ontwikkelingen die oplossingen zoeken in de ondergrond. Het is duidelijk dat extra data van de drinkwaterbedrijven van toegevoegde waarde is, o.a. voor uitvoering van de Kaderrichtlijn Water, studies m.b.t. nationale grondwaterreserves en m.b.t. Europese wetgeving die verplichtingen schept in de zoektocht naar alternatieve natuurlijke hulpbronnen bij het ontstaan van mogelijke tekorten (zowel voor energie als drinkwater). Ook voor</w:t>
      </w:r>
      <w:r w:rsidR="00D50F8B">
        <w:rPr>
          <w:rFonts w:ascii="Verdana" w:hAnsi="Verdana"/>
          <w:color w:val="000000" w:themeColor="text1"/>
          <w:sz w:val="18"/>
          <w:szCs w:val="18"/>
        </w:rPr>
        <w:t xml:space="preserve"> </w:t>
      </w:r>
      <w:r w:rsidRPr="00194182" w:rsidR="00D50F8B">
        <w:rPr>
          <w:rFonts w:ascii="Verdana" w:hAnsi="Verdana"/>
          <w:color w:val="000000" w:themeColor="text1"/>
          <w:sz w:val="18"/>
          <w:szCs w:val="18"/>
        </w:rPr>
        <w:t>de sector zelf zijn er grote belangen m.b.t. bescherming van de grondstof, i.r.t. klimaatontwikkelingen, vraagstukken rondom verzilting, toenemende droogte en de stijgende energie- en drinkwatervraag. Het is van belang om bij dergelijke beleidsontwikkelingen alle essentiële data te benutten. Daarnaast bestaat ook de behoefte om betrouwbare data op één plek te borgen en te kunnen raadplegen</w:t>
      </w:r>
      <w:r w:rsidR="00D50F8B">
        <w:rPr>
          <w:rFonts w:ascii="Verdana" w:hAnsi="Verdana"/>
          <w:color w:val="000000" w:themeColor="text1"/>
          <w:sz w:val="18"/>
          <w:szCs w:val="18"/>
        </w:rPr>
        <w:t xml:space="preserve">.’ Daarom doet de </w:t>
      </w:r>
      <w:proofErr w:type="spellStart"/>
      <w:r w:rsidR="00D50F8B">
        <w:rPr>
          <w:rFonts w:ascii="Verdana" w:hAnsi="Verdana"/>
          <w:color w:val="000000" w:themeColor="text1"/>
          <w:sz w:val="18"/>
          <w:szCs w:val="18"/>
        </w:rPr>
        <w:t>Vewin</w:t>
      </w:r>
      <w:proofErr w:type="spellEnd"/>
      <w:r w:rsidR="00D50F8B">
        <w:rPr>
          <w:rFonts w:ascii="Verdana" w:hAnsi="Verdana"/>
          <w:color w:val="000000" w:themeColor="text1"/>
          <w:sz w:val="18"/>
          <w:szCs w:val="18"/>
        </w:rPr>
        <w:t xml:space="preserve"> het aanbod onder voorwaarden om gegevens te leveren aan de BRO. </w:t>
      </w:r>
      <w:r w:rsidRPr="00247BA8" w:rsidR="00D50F8B">
        <w:rPr>
          <w:rFonts w:ascii="Verdana" w:hAnsi="Verdana"/>
          <w:color w:val="000000" w:themeColor="text1"/>
          <w:sz w:val="18"/>
          <w:szCs w:val="18"/>
        </w:rPr>
        <w:t xml:space="preserve">Aan deze voorwaarden wordt voldaan bij inwerkingtreding van </w:t>
      </w:r>
      <w:r w:rsidR="00D50F8B">
        <w:rPr>
          <w:rFonts w:ascii="Verdana" w:hAnsi="Verdana"/>
          <w:color w:val="000000" w:themeColor="text1"/>
          <w:sz w:val="18"/>
          <w:szCs w:val="18"/>
        </w:rPr>
        <w:t>het onderhavige wetsvoorstel</w:t>
      </w:r>
      <w:r w:rsidRPr="00247BA8" w:rsidR="00D50F8B">
        <w:rPr>
          <w:rFonts w:ascii="Verdana" w:hAnsi="Verdana"/>
          <w:color w:val="000000" w:themeColor="text1"/>
          <w:sz w:val="18"/>
          <w:szCs w:val="18"/>
        </w:rPr>
        <w:t xml:space="preserve"> en de onderliggende wijziging van het Besluit </w:t>
      </w:r>
      <w:proofErr w:type="spellStart"/>
      <w:r w:rsidRPr="00247BA8" w:rsidR="00D50F8B">
        <w:rPr>
          <w:rFonts w:ascii="Verdana" w:hAnsi="Verdana"/>
          <w:color w:val="000000" w:themeColor="text1"/>
          <w:sz w:val="18"/>
          <w:szCs w:val="18"/>
        </w:rPr>
        <w:t>Bro</w:t>
      </w:r>
      <w:proofErr w:type="spellEnd"/>
      <w:r w:rsidR="00D50F8B">
        <w:rPr>
          <w:rFonts w:ascii="Verdana" w:hAnsi="Verdana"/>
          <w:color w:val="000000" w:themeColor="text1"/>
          <w:sz w:val="18"/>
          <w:szCs w:val="18"/>
        </w:rPr>
        <w:t>.</w:t>
      </w:r>
      <w:r w:rsidR="00D50F8B">
        <w:rPr>
          <w:rFonts w:ascii="Verdana" w:hAnsi="Verdana"/>
          <w:color w:val="000000" w:themeColor="text1"/>
          <w:sz w:val="18"/>
          <w:szCs w:val="18"/>
        </w:rPr>
        <w:br/>
      </w:r>
    </w:p>
    <w:p w:rsidRPr="00247BA8" w:rsidR="00501926" w:rsidP="009577FF" w:rsidRDefault="00501926" w14:paraId="7FB1BF33" w14:textId="77777777">
      <w:pPr>
        <w:rPr>
          <w:rFonts w:ascii="Verdana" w:hAnsi="Verdana"/>
          <w:i/>
          <w:iCs/>
          <w:color w:val="000000" w:themeColor="text1"/>
          <w:sz w:val="18"/>
          <w:szCs w:val="18"/>
        </w:rPr>
      </w:pPr>
    </w:p>
    <w:p w:rsidRPr="00247BA8" w:rsidR="00CB54BF" w:rsidP="009577FF" w:rsidRDefault="009577FF" w14:paraId="1C19C28C"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w:t>
      </w:r>
      <w:r w:rsidRPr="00247BA8" w:rsidR="00D33033">
        <w:rPr>
          <w:rFonts w:ascii="Verdana" w:hAnsi="Verdana"/>
          <w:i/>
          <w:iCs/>
          <w:color w:val="000000" w:themeColor="text1"/>
          <w:sz w:val="18"/>
          <w:szCs w:val="18"/>
        </w:rPr>
        <w:t>BBB-fractie</w:t>
      </w:r>
      <w:r w:rsidRPr="00247BA8">
        <w:rPr>
          <w:rFonts w:ascii="Verdana" w:hAnsi="Verdana"/>
          <w:i/>
          <w:iCs/>
          <w:color w:val="000000" w:themeColor="text1"/>
          <w:sz w:val="18"/>
          <w:szCs w:val="18"/>
        </w:rPr>
        <w:t xml:space="preserve"> </w:t>
      </w:r>
      <w:r w:rsidRPr="00247BA8" w:rsidR="00764A79">
        <w:rPr>
          <w:rFonts w:ascii="Verdana" w:hAnsi="Verdana"/>
          <w:i/>
          <w:iCs/>
          <w:color w:val="000000" w:themeColor="text1"/>
          <w:sz w:val="18"/>
          <w:szCs w:val="18"/>
        </w:rPr>
        <w:t xml:space="preserve">lezen in de memorie van toelichting het volgende: “Dit vermindert de kans dat er op grond van cijfers uit verschillende bronnen conclusies worden getrokken die strijdig kunnen zijn met de winning en distributie van drinkwater.” Deze leden </w:t>
      </w:r>
      <w:r w:rsidRPr="00247BA8">
        <w:rPr>
          <w:rFonts w:ascii="Verdana" w:hAnsi="Verdana"/>
          <w:i/>
          <w:iCs/>
          <w:color w:val="000000" w:themeColor="text1"/>
          <w:sz w:val="18"/>
          <w:szCs w:val="18"/>
        </w:rPr>
        <w:t>vragen zich af op basis van welke gegevens er nu conclusies worden getrokken</w:t>
      </w:r>
      <w:r w:rsidRPr="00247BA8" w:rsidR="003A6BCB">
        <w:rPr>
          <w:rFonts w:ascii="Verdana" w:hAnsi="Verdana"/>
          <w:i/>
          <w:iCs/>
          <w:color w:val="000000" w:themeColor="text1"/>
          <w:sz w:val="18"/>
          <w:szCs w:val="18"/>
        </w:rPr>
        <w:t>.</w:t>
      </w:r>
      <w:r w:rsidRPr="00247BA8">
        <w:rPr>
          <w:rFonts w:ascii="Verdana" w:hAnsi="Verdana"/>
          <w:i/>
          <w:iCs/>
          <w:color w:val="000000" w:themeColor="text1"/>
          <w:sz w:val="18"/>
          <w:szCs w:val="18"/>
        </w:rPr>
        <w:t xml:space="preserve"> </w:t>
      </w:r>
      <w:r w:rsidRPr="00247BA8" w:rsidR="00CB54BF">
        <w:rPr>
          <w:rFonts w:ascii="Verdana" w:hAnsi="Verdana"/>
          <w:i/>
          <w:iCs/>
          <w:color w:val="000000" w:themeColor="text1"/>
          <w:sz w:val="18"/>
          <w:szCs w:val="18"/>
        </w:rPr>
        <w:br/>
      </w:r>
    </w:p>
    <w:p w:rsidRPr="00247BA8" w:rsidR="00CB54BF" w:rsidP="009577FF" w:rsidRDefault="00CD0434" w14:paraId="55F14B3C" w14:textId="0DDC40E6">
      <w:pPr>
        <w:rPr>
          <w:rFonts w:ascii="Verdana" w:hAnsi="Verdana"/>
          <w:color w:val="000000" w:themeColor="text1"/>
          <w:sz w:val="18"/>
          <w:szCs w:val="18"/>
        </w:rPr>
      </w:pPr>
      <w:r w:rsidRPr="00247BA8">
        <w:rPr>
          <w:rFonts w:ascii="Verdana" w:hAnsi="Verdana"/>
          <w:color w:val="000000" w:themeColor="text1"/>
          <w:sz w:val="18"/>
          <w:szCs w:val="18"/>
        </w:rPr>
        <w:t>De BRO is een belangrijke bron van gegevens voor p</w:t>
      </w:r>
      <w:r w:rsidRPr="00247BA8" w:rsidR="00DE5236">
        <w:rPr>
          <w:rFonts w:ascii="Verdana" w:hAnsi="Verdana"/>
          <w:color w:val="000000" w:themeColor="text1"/>
          <w:sz w:val="18"/>
          <w:szCs w:val="18"/>
        </w:rPr>
        <w:t>rovincies en k</w:t>
      </w:r>
      <w:r w:rsidRPr="00247BA8" w:rsidR="00CB54BF">
        <w:rPr>
          <w:rFonts w:ascii="Verdana" w:hAnsi="Verdana"/>
          <w:color w:val="000000" w:themeColor="text1"/>
          <w:sz w:val="18"/>
          <w:szCs w:val="18"/>
        </w:rPr>
        <w:t xml:space="preserve">ennisinstituten. De BRO voorziet nu echter niet altijd in alle benodigde gegevens. Een </w:t>
      </w:r>
      <w:r w:rsidRPr="00247BA8" w:rsidR="00581B7E">
        <w:rPr>
          <w:rFonts w:ascii="Verdana" w:hAnsi="Verdana"/>
          <w:color w:val="000000" w:themeColor="text1"/>
          <w:sz w:val="18"/>
          <w:szCs w:val="18"/>
        </w:rPr>
        <w:t xml:space="preserve">substantieel </w:t>
      </w:r>
      <w:r w:rsidRPr="00247BA8" w:rsidR="00CB54BF">
        <w:rPr>
          <w:rFonts w:ascii="Verdana" w:hAnsi="Verdana"/>
          <w:color w:val="000000" w:themeColor="text1"/>
          <w:sz w:val="18"/>
          <w:szCs w:val="18"/>
        </w:rPr>
        <w:t xml:space="preserve">deel van de gegevens van </w:t>
      </w:r>
      <w:r w:rsidRPr="00247BA8" w:rsidR="00CB54BF">
        <w:rPr>
          <w:rFonts w:ascii="Verdana" w:hAnsi="Verdana"/>
          <w:color w:val="000000" w:themeColor="text1"/>
          <w:sz w:val="18"/>
          <w:szCs w:val="18"/>
        </w:rPr>
        <w:lastRenderedPageBreak/>
        <w:t>drinkwaterbedrijven valt</w:t>
      </w:r>
      <w:r w:rsidRPr="00247BA8" w:rsidR="007B32D6">
        <w:rPr>
          <w:rFonts w:ascii="Verdana" w:hAnsi="Verdana"/>
          <w:color w:val="000000" w:themeColor="text1"/>
          <w:sz w:val="18"/>
          <w:szCs w:val="18"/>
        </w:rPr>
        <w:t xml:space="preserve"> nu</w:t>
      </w:r>
      <w:r w:rsidRPr="00247BA8" w:rsidR="00CB54BF">
        <w:rPr>
          <w:rFonts w:ascii="Verdana" w:hAnsi="Verdana"/>
          <w:color w:val="000000" w:themeColor="text1"/>
          <w:sz w:val="18"/>
          <w:szCs w:val="18"/>
        </w:rPr>
        <w:t xml:space="preserve"> </w:t>
      </w:r>
      <w:r w:rsidRPr="00247BA8" w:rsidR="007B32D6">
        <w:rPr>
          <w:rFonts w:ascii="Verdana" w:hAnsi="Verdana"/>
          <w:color w:val="000000" w:themeColor="text1"/>
          <w:sz w:val="18"/>
          <w:szCs w:val="18"/>
        </w:rPr>
        <w:t xml:space="preserve">niet </w:t>
      </w:r>
      <w:r w:rsidRPr="00247BA8" w:rsidR="00CB54BF">
        <w:rPr>
          <w:rFonts w:ascii="Verdana" w:hAnsi="Verdana"/>
          <w:color w:val="000000" w:themeColor="text1"/>
          <w:sz w:val="18"/>
          <w:szCs w:val="18"/>
        </w:rPr>
        <w:t xml:space="preserve">onder vergunning-, melding- of rapportageplicht en komt dus niet bij de provincies en uiteindelijk bij de BRO terecht. </w:t>
      </w:r>
      <w:r w:rsidRPr="00247BA8">
        <w:rPr>
          <w:rFonts w:ascii="Verdana" w:hAnsi="Verdana"/>
          <w:color w:val="000000" w:themeColor="text1"/>
          <w:sz w:val="18"/>
          <w:szCs w:val="18"/>
        </w:rPr>
        <w:t>Ervaring wijst uit dat als uiteenlopende bronnen worden gebruikt in plaats van een uniforme bron, dit het risico met zich meebrengt dat er verschillende conclusies worden getrokken.</w:t>
      </w:r>
    </w:p>
    <w:p w:rsidRPr="00247BA8" w:rsidR="00DE5236" w:rsidP="009577FF" w:rsidRDefault="00CB54BF" w14:paraId="6DFCE8F3" w14:textId="57739175">
      <w:pPr>
        <w:rPr>
          <w:rFonts w:ascii="Verdana" w:hAnsi="Verdana"/>
          <w:i/>
          <w:iCs/>
          <w:color w:val="000000" w:themeColor="text1"/>
          <w:sz w:val="18"/>
          <w:szCs w:val="18"/>
        </w:rPr>
      </w:pPr>
      <w:r w:rsidRPr="00247BA8">
        <w:rPr>
          <w:rFonts w:ascii="Verdana" w:hAnsi="Verdana"/>
          <w:color w:val="000000" w:themeColor="text1"/>
          <w:sz w:val="18"/>
          <w:szCs w:val="18"/>
        </w:rPr>
        <w:br/>
      </w:r>
      <w:r w:rsidRPr="00247BA8" w:rsidR="00764A79">
        <w:rPr>
          <w:rFonts w:ascii="Verdana" w:hAnsi="Verdana"/>
          <w:i/>
          <w:iCs/>
          <w:color w:val="000000" w:themeColor="text1"/>
          <w:sz w:val="18"/>
          <w:szCs w:val="18"/>
        </w:rPr>
        <w:t>I</w:t>
      </w:r>
      <w:r w:rsidRPr="00247BA8" w:rsidR="009577FF">
        <w:rPr>
          <w:rFonts w:ascii="Verdana" w:hAnsi="Verdana"/>
          <w:i/>
          <w:iCs/>
          <w:color w:val="000000" w:themeColor="text1"/>
          <w:sz w:val="18"/>
          <w:szCs w:val="18"/>
        </w:rPr>
        <w:t xml:space="preserve">n hoeverre is er sprake van dat er strijdige conclusies zijn getrokken in de afgelopen </w:t>
      </w:r>
      <w:r w:rsidRPr="00247BA8" w:rsidR="00D33033">
        <w:rPr>
          <w:rFonts w:ascii="Verdana" w:hAnsi="Verdana"/>
          <w:i/>
          <w:iCs/>
          <w:color w:val="000000" w:themeColor="text1"/>
          <w:sz w:val="18"/>
          <w:szCs w:val="18"/>
        </w:rPr>
        <w:t>vijf</w:t>
      </w:r>
      <w:r w:rsidRPr="00247BA8" w:rsidR="009577FF">
        <w:rPr>
          <w:rFonts w:ascii="Verdana" w:hAnsi="Verdana"/>
          <w:i/>
          <w:iCs/>
          <w:color w:val="000000" w:themeColor="text1"/>
          <w:sz w:val="18"/>
          <w:szCs w:val="18"/>
        </w:rPr>
        <w:t xml:space="preserve"> jaar, wat is het exacte aantal daarvan? </w:t>
      </w:r>
    </w:p>
    <w:p w:rsidRPr="00247BA8" w:rsidR="00DE5236" w:rsidP="009577FF" w:rsidRDefault="00DE5236" w14:paraId="391646D8" w14:textId="77777777">
      <w:pPr>
        <w:rPr>
          <w:rFonts w:ascii="Verdana" w:hAnsi="Verdana"/>
          <w:color w:val="000000" w:themeColor="text1"/>
          <w:sz w:val="18"/>
          <w:szCs w:val="18"/>
        </w:rPr>
      </w:pPr>
    </w:p>
    <w:p w:rsidRPr="00247BA8" w:rsidR="00DE5236" w:rsidP="00DE5236" w:rsidRDefault="00DC0744" w14:paraId="2DF62097" w14:textId="72966ABC">
      <w:pPr>
        <w:rPr>
          <w:rFonts w:ascii="Verdana" w:hAnsi="Verdana"/>
          <w:color w:val="000000" w:themeColor="text1"/>
          <w:sz w:val="18"/>
          <w:szCs w:val="18"/>
        </w:rPr>
      </w:pPr>
      <w:r w:rsidRPr="00247BA8">
        <w:rPr>
          <w:rFonts w:ascii="Verdana" w:hAnsi="Verdana"/>
          <w:color w:val="000000" w:themeColor="text1"/>
          <w:sz w:val="18"/>
          <w:szCs w:val="18"/>
        </w:rPr>
        <w:t>Omdat de diverse provincies niet over alle gegevens konden beschikken van de drinkwaterbedrijven</w:t>
      </w:r>
      <w:r w:rsidRPr="00247BA8" w:rsidR="00CD0434">
        <w:rPr>
          <w:rFonts w:ascii="Verdana" w:hAnsi="Verdana"/>
          <w:color w:val="000000" w:themeColor="text1"/>
          <w:sz w:val="18"/>
          <w:szCs w:val="18"/>
        </w:rPr>
        <w:t>, is het voorgekomen dat bij</w:t>
      </w:r>
      <w:r w:rsidRPr="00247BA8">
        <w:rPr>
          <w:rFonts w:ascii="Verdana" w:hAnsi="Verdana"/>
          <w:color w:val="000000" w:themeColor="text1"/>
          <w:sz w:val="18"/>
          <w:szCs w:val="18"/>
        </w:rPr>
        <w:t xml:space="preserve"> de berekeningen van drinkwaterreserves verschillende conclusies</w:t>
      </w:r>
      <w:r w:rsidRPr="00247BA8" w:rsidR="00CD0434">
        <w:rPr>
          <w:rFonts w:ascii="Verdana" w:hAnsi="Verdana"/>
          <w:color w:val="000000" w:themeColor="text1"/>
          <w:sz w:val="18"/>
          <w:szCs w:val="18"/>
        </w:rPr>
        <w:t xml:space="preserve"> zijn</w:t>
      </w:r>
      <w:r w:rsidRPr="00247BA8">
        <w:rPr>
          <w:rFonts w:ascii="Verdana" w:hAnsi="Verdana"/>
          <w:color w:val="000000" w:themeColor="text1"/>
          <w:sz w:val="18"/>
          <w:szCs w:val="18"/>
        </w:rPr>
        <w:t xml:space="preserve"> getrokken. Het exacte aantal is moeilijk te bepalen, omdat het om een groot aantal berekeningen gaat. </w:t>
      </w:r>
      <w:r w:rsidRPr="00247BA8" w:rsidR="00DE5236">
        <w:rPr>
          <w:rFonts w:ascii="Verdana" w:hAnsi="Verdana"/>
          <w:color w:val="000000" w:themeColor="text1"/>
          <w:sz w:val="18"/>
          <w:szCs w:val="18"/>
        </w:rPr>
        <w:t xml:space="preserve">Door meer gegevens </w:t>
      </w:r>
      <w:r w:rsidRPr="00247BA8">
        <w:rPr>
          <w:rFonts w:ascii="Verdana" w:hAnsi="Verdana" w:eastAsiaTheme="minorHAnsi"/>
          <w:bCs/>
          <w:color w:val="000000" w:themeColor="text1"/>
          <w:sz w:val="18"/>
          <w:szCs w:val="18"/>
          <w:lang w:eastAsia="en-US"/>
          <w14:ligatures w14:val="standardContextual"/>
        </w:rPr>
        <w:t xml:space="preserve">met een wettelijk gegarandeerd </w:t>
      </w:r>
      <w:r w:rsidRPr="00247BA8" w:rsidR="006E2FF0">
        <w:rPr>
          <w:rFonts w:ascii="Verdana" w:hAnsi="Verdana" w:eastAsiaTheme="minorHAnsi"/>
          <w:bCs/>
          <w:color w:val="000000" w:themeColor="text1"/>
          <w:sz w:val="18"/>
          <w:szCs w:val="18"/>
          <w:lang w:eastAsia="en-US"/>
          <w14:ligatures w14:val="standardContextual"/>
        </w:rPr>
        <w:t xml:space="preserve">kwaliteitsniveau beschikbaar te stellen via één uniforme bron </w:t>
      </w:r>
      <w:r w:rsidRPr="00247BA8" w:rsidR="00DE5236">
        <w:rPr>
          <w:rFonts w:ascii="Verdana" w:hAnsi="Verdana"/>
          <w:color w:val="000000" w:themeColor="text1"/>
          <w:sz w:val="18"/>
          <w:szCs w:val="18"/>
        </w:rPr>
        <w:t xml:space="preserve">wordt de kans vergroot dat er betrouwbare conclusies worden getrokken. </w:t>
      </w:r>
    </w:p>
    <w:p w:rsidRPr="00247BA8" w:rsidR="00DE5236" w:rsidP="009577FF" w:rsidRDefault="00DE5236" w14:paraId="0214EAC9" w14:textId="77777777">
      <w:pPr>
        <w:rPr>
          <w:rFonts w:ascii="Verdana" w:hAnsi="Verdana"/>
          <w:color w:val="000000" w:themeColor="text1"/>
          <w:sz w:val="18"/>
          <w:szCs w:val="18"/>
        </w:rPr>
      </w:pPr>
    </w:p>
    <w:p w:rsidRPr="00247BA8" w:rsidR="00501926" w:rsidP="009577FF" w:rsidRDefault="009577FF" w14:paraId="233A0EB3" w14:textId="78F8F67C">
      <w:pPr>
        <w:rPr>
          <w:rFonts w:ascii="Verdana" w:hAnsi="Verdana"/>
          <w:i/>
          <w:iCs/>
          <w:color w:val="000000" w:themeColor="text1"/>
          <w:sz w:val="18"/>
          <w:szCs w:val="18"/>
        </w:rPr>
      </w:pPr>
      <w:r w:rsidRPr="00247BA8">
        <w:rPr>
          <w:rFonts w:ascii="Verdana" w:hAnsi="Verdana"/>
          <w:i/>
          <w:iCs/>
          <w:color w:val="000000" w:themeColor="text1"/>
          <w:sz w:val="18"/>
          <w:szCs w:val="18"/>
        </w:rPr>
        <w:t>Welke partijen leveren nu deze gegevens, en welke partijen kunnen deze gegevens nu gebruiken?</w:t>
      </w:r>
    </w:p>
    <w:p w:rsidRPr="00247BA8" w:rsidR="008725A3" w:rsidP="009577FF" w:rsidRDefault="008725A3" w14:paraId="0458369B" w14:textId="77777777">
      <w:pPr>
        <w:rPr>
          <w:rFonts w:ascii="Verdana" w:hAnsi="Verdana"/>
          <w:color w:val="000000" w:themeColor="text1"/>
          <w:sz w:val="18"/>
          <w:szCs w:val="18"/>
        </w:rPr>
      </w:pPr>
    </w:p>
    <w:p w:rsidRPr="00247BA8" w:rsidR="00AF339A" w:rsidP="00F64D4D" w:rsidRDefault="00AF339A" w14:paraId="151F2FF2" w14:textId="407FC3F2">
      <w:pPr>
        <w:rPr>
          <w:rFonts w:ascii="Verdana" w:hAnsi="Verdana"/>
          <w:color w:val="000000" w:themeColor="text1"/>
          <w:sz w:val="18"/>
          <w:szCs w:val="18"/>
        </w:rPr>
      </w:pPr>
      <w:r w:rsidRPr="00247BA8">
        <w:rPr>
          <w:rFonts w:ascii="Verdana" w:hAnsi="Verdana"/>
          <w:color w:val="000000" w:themeColor="text1"/>
          <w:sz w:val="18"/>
          <w:szCs w:val="18"/>
        </w:rPr>
        <w:t xml:space="preserve">Alle bestuursorganen die meetgegevens over grondwatermonitoringputten, grondwatermonitoringnetten, grondwaterstandonderzoeken, </w:t>
      </w:r>
      <w:proofErr w:type="spellStart"/>
      <w:r w:rsidRPr="00247BA8">
        <w:rPr>
          <w:rFonts w:ascii="Verdana" w:hAnsi="Verdana"/>
          <w:color w:val="000000" w:themeColor="text1"/>
          <w:sz w:val="18"/>
          <w:szCs w:val="18"/>
        </w:rPr>
        <w:t>grondwatersamenstellings</w:t>
      </w:r>
      <w:proofErr w:type="spellEnd"/>
      <w:r w:rsidRPr="00247BA8" w:rsidR="00581B7E">
        <w:rPr>
          <w:rFonts w:ascii="Verdana" w:hAnsi="Verdana"/>
          <w:color w:val="000000" w:themeColor="text1"/>
          <w:sz w:val="18"/>
          <w:szCs w:val="18"/>
        </w:rPr>
        <w:t>-</w:t>
      </w:r>
      <w:r w:rsidRPr="00247BA8">
        <w:rPr>
          <w:rFonts w:ascii="Verdana" w:hAnsi="Verdana"/>
          <w:color w:val="000000" w:themeColor="text1"/>
          <w:sz w:val="18"/>
          <w:szCs w:val="18"/>
        </w:rPr>
        <w:t xml:space="preserve">onderzoeken en </w:t>
      </w:r>
      <w:proofErr w:type="spellStart"/>
      <w:r w:rsidRPr="00247BA8">
        <w:rPr>
          <w:rFonts w:ascii="Verdana" w:hAnsi="Verdana"/>
          <w:color w:val="000000" w:themeColor="text1"/>
          <w:sz w:val="18"/>
          <w:szCs w:val="18"/>
        </w:rPr>
        <w:t>formatieweerstandonderzoeken</w:t>
      </w:r>
      <w:proofErr w:type="spellEnd"/>
      <w:r w:rsidRPr="00247BA8">
        <w:rPr>
          <w:rFonts w:ascii="Verdana" w:hAnsi="Verdana"/>
          <w:color w:val="000000" w:themeColor="text1"/>
          <w:sz w:val="18"/>
          <w:szCs w:val="18"/>
        </w:rPr>
        <w:t xml:space="preserve"> inwinnen leveren deze aan de BRO. Tot op heden leveren de d</w:t>
      </w:r>
      <w:r w:rsidRPr="00247BA8" w:rsidR="00DE5236">
        <w:rPr>
          <w:rFonts w:ascii="Verdana" w:hAnsi="Verdana"/>
          <w:color w:val="000000" w:themeColor="text1"/>
          <w:sz w:val="18"/>
          <w:szCs w:val="18"/>
        </w:rPr>
        <w:t xml:space="preserve">rinkwaterbedrijven </w:t>
      </w:r>
      <w:r w:rsidRPr="00247BA8">
        <w:rPr>
          <w:rFonts w:ascii="Verdana" w:hAnsi="Verdana"/>
          <w:color w:val="000000" w:themeColor="text1"/>
          <w:sz w:val="18"/>
          <w:szCs w:val="18"/>
        </w:rPr>
        <w:t xml:space="preserve">slechts </w:t>
      </w:r>
      <w:r w:rsidRPr="00247BA8" w:rsidR="00581B7E">
        <w:rPr>
          <w:rFonts w:ascii="Verdana" w:hAnsi="Verdana"/>
          <w:color w:val="000000" w:themeColor="text1"/>
          <w:sz w:val="18"/>
          <w:szCs w:val="18"/>
        </w:rPr>
        <w:t xml:space="preserve">een beperkt aantal </w:t>
      </w:r>
      <w:r w:rsidRPr="00247BA8" w:rsidR="00DE5236">
        <w:rPr>
          <w:rFonts w:ascii="Verdana" w:hAnsi="Verdana"/>
          <w:color w:val="000000" w:themeColor="text1"/>
          <w:sz w:val="18"/>
          <w:szCs w:val="18"/>
        </w:rPr>
        <w:t>gegevens die onder de vergunning-, melding- en rapportageplicht vallen, aan</w:t>
      </w:r>
      <w:r w:rsidRPr="00247BA8" w:rsidR="00581B7E">
        <w:rPr>
          <w:rFonts w:ascii="Verdana" w:hAnsi="Verdana"/>
          <w:color w:val="000000" w:themeColor="text1"/>
          <w:sz w:val="18"/>
          <w:szCs w:val="18"/>
        </w:rPr>
        <w:t xml:space="preserve"> de</w:t>
      </w:r>
      <w:r w:rsidRPr="00247BA8" w:rsidR="00DE5236">
        <w:rPr>
          <w:rFonts w:ascii="Verdana" w:hAnsi="Verdana"/>
          <w:color w:val="000000" w:themeColor="text1"/>
          <w:sz w:val="18"/>
          <w:szCs w:val="18"/>
        </w:rPr>
        <w:t xml:space="preserve"> provincie, die de</w:t>
      </w:r>
      <w:r w:rsidRPr="00247BA8" w:rsidR="00581B7E">
        <w:rPr>
          <w:rFonts w:ascii="Verdana" w:hAnsi="Verdana"/>
          <w:color w:val="000000" w:themeColor="text1"/>
          <w:sz w:val="18"/>
          <w:szCs w:val="18"/>
        </w:rPr>
        <w:t>ze</w:t>
      </w:r>
      <w:r w:rsidRPr="00247BA8" w:rsidR="00DE5236">
        <w:rPr>
          <w:rFonts w:ascii="Verdana" w:hAnsi="Verdana"/>
          <w:color w:val="000000" w:themeColor="text1"/>
          <w:sz w:val="18"/>
          <w:szCs w:val="18"/>
        </w:rPr>
        <w:t xml:space="preserve"> gegevens </w:t>
      </w:r>
      <w:r w:rsidRPr="00247BA8" w:rsidR="00581B7E">
        <w:rPr>
          <w:rFonts w:ascii="Verdana" w:hAnsi="Verdana"/>
          <w:color w:val="000000" w:themeColor="text1"/>
          <w:sz w:val="18"/>
          <w:szCs w:val="18"/>
        </w:rPr>
        <w:t xml:space="preserve">nu </w:t>
      </w:r>
      <w:r w:rsidRPr="00247BA8" w:rsidR="00DE5236">
        <w:rPr>
          <w:rFonts w:ascii="Verdana" w:hAnsi="Verdana"/>
          <w:color w:val="000000" w:themeColor="text1"/>
          <w:sz w:val="18"/>
          <w:szCs w:val="18"/>
        </w:rPr>
        <w:t>doorlever</w:t>
      </w:r>
      <w:r w:rsidRPr="00247BA8" w:rsidR="00581B7E">
        <w:rPr>
          <w:rFonts w:ascii="Verdana" w:hAnsi="Verdana"/>
          <w:color w:val="000000" w:themeColor="text1"/>
          <w:sz w:val="18"/>
          <w:szCs w:val="18"/>
        </w:rPr>
        <w:t>en</w:t>
      </w:r>
      <w:r w:rsidRPr="00247BA8" w:rsidR="00DE5236">
        <w:rPr>
          <w:rFonts w:ascii="Verdana" w:hAnsi="Verdana"/>
          <w:color w:val="000000" w:themeColor="text1"/>
          <w:sz w:val="18"/>
          <w:szCs w:val="18"/>
        </w:rPr>
        <w:t xml:space="preserve"> aan de BRO. </w:t>
      </w:r>
    </w:p>
    <w:p w:rsidRPr="00247BA8" w:rsidR="00AF339A" w:rsidP="00F64D4D" w:rsidRDefault="00AF339A" w14:paraId="2111B3F6" w14:textId="77777777">
      <w:pPr>
        <w:rPr>
          <w:rFonts w:ascii="Verdana" w:hAnsi="Verdana"/>
          <w:color w:val="000000" w:themeColor="text1"/>
          <w:sz w:val="18"/>
          <w:szCs w:val="18"/>
        </w:rPr>
      </w:pPr>
    </w:p>
    <w:p w:rsidRPr="00247BA8" w:rsidR="007423BF" w:rsidP="00F64D4D" w:rsidRDefault="00F64D4D" w14:paraId="46DA1AB9" w14:textId="3C51D715">
      <w:pPr>
        <w:rPr>
          <w:rFonts w:ascii="Verdana" w:hAnsi="Verdana"/>
          <w:color w:val="000000" w:themeColor="text1"/>
          <w:sz w:val="18"/>
          <w:szCs w:val="18"/>
        </w:rPr>
      </w:pPr>
      <w:r w:rsidRPr="00247BA8">
        <w:rPr>
          <w:rFonts w:ascii="Verdana" w:hAnsi="Verdana"/>
          <w:color w:val="000000" w:themeColor="text1"/>
          <w:sz w:val="18"/>
          <w:szCs w:val="18"/>
        </w:rPr>
        <w:t xml:space="preserve">Provincies en kennisinstituten zoals </w:t>
      </w:r>
      <w:proofErr w:type="spellStart"/>
      <w:r w:rsidRPr="00247BA8">
        <w:rPr>
          <w:rFonts w:ascii="Verdana" w:hAnsi="Verdana"/>
          <w:color w:val="000000" w:themeColor="text1"/>
          <w:sz w:val="18"/>
          <w:szCs w:val="18"/>
        </w:rPr>
        <w:t>Deltares</w:t>
      </w:r>
      <w:proofErr w:type="spellEnd"/>
      <w:r w:rsidRPr="00247BA8">
        <w:rPr>
          <w:rFonts w:ascii="Verdana" w:hAnsi="Verdana"/>
          <w:color w:val="000000" w:themeColor="text1"/>
          <w:sz w:val="18"/>
          <w:szCs w:val="18"/>
        </w:rPr>
        <w:t xml:space="preserve">, TNO en RIVM die in opdracht van het Rijk onderzoek verrichten naar </w:t>
      </w:r>
      <w:r w:rsidRPr="00247BA8" w:rsidR="008D635D">
        <w:rPr>
          <w:rFonts w:ascii="Verdana" w:hAnsi="Verdana"/>
          <w:color w:val="000000" w:themeColor="text1"/>
          <w:sz w:val="18"/>
          <w:szCs w:val="18"/>
        </w:rPr>
        <w:t>bijvoorbeeld</w:t>
      </w:r>
      <w:r w:rsidRPr="00247BA8">
        <w:rPr>
          <w:rFonts w:ascii="Verdana" w:hAnsi="Verdana"/>
          <w:color w:val="000000" w:themeColor="text1"/>
          <w:sz w:val="18"/>
          <w:szCs w:val="18"/>
        </w:rPr>
        <w:t xml:space="preserve"> verdroging of vernatting</w:t>
      </w:r>
      <w:r w:rsidRPr="00247BA8" w:rsidR="00105B10">
        <w:rPr>
          <w:rFonts w:ascii="Verdana" w:hAnsi="Verdana"/>
          <w:color w:val="000000" w:themeColor="text1"/>
          <w:sz w:val="18"/>
          <w:szCs w:val="18"/>
        </w:rPr>
        <w:t xml:space="preserve">, </w:t>
      </w:r>
      <w:r w:rsidRPr="00247BA8" w:rsidR="008D635D">
        <w:rPr>
          <w:rFonts w:ascii="Verdana" w:hAnsi="Verdana"/>
          <w:color w:val="000000" w:themeColor="text1"/>
          <w:sz w:val="18"/>
          <w:szCs w:val="18"/>
        </w:rPr>
        <w:t xml:space="preserve">en </w:t>
      </w:r>
      <w:r w:rsidRPr="00247BA8" w:rsidR="00850042">
        <w:rPr>
          <w:rFonts w:ascii="Verdana" w:hAnsi="Verdana"/>
          <w:color w:val="000000" w:themeColor="text1"/>
          <w:sz w:val="18"/>
          <w:szCs w:val="18"/>
        </w:rPr>
        <w:t>bereken</w:t>
      </w:r>
      <w:r w:rsidRPr="00247BA8" w:rsidR="00105B10">
        <w:rPr>
          <w:rFonts w:ascii="Verdana" w:hAnsi="Verdana"/>
          <w:color w:val="000000" w:themeColor="text1"/>
          <w:sz w:val="18"/>
          <w:szCs w:val="18"/>
        </w:rPr>
        <w:t xml:space="preserve">ingen uitvoeren naar </w:t>
      </w:r>
      <w:r w:rsidRPr="00247BA8" w:rsidR="00850042">
        <w:rPr>
          <w:rFonts w:ascii="Verdana" w:hAnsi="Verdana"/>
          <w:color w:val="000000" w:themeColor="text1"/>
          <w:sz w:val="18"/>
          <w:szCs w:val="18"/>
        </w:rPr>
        <w:t xml:space="preserve">grondwaterreserves </w:t>
      </w:r>
      <w:r w:rsidRPr="00247BA8" w:rsidR="00105B10">
        <w:rPr>
          <w:rFonts w:ascii="Verdana" w:hAnsi="Verdana"/>
          <w:color w:val="000000" w:themeColor="text1"/>
          <w:sz w:val="18"/>
          <w:szCs w:val="18"/>
        </w:rPr>
        <w:t>voor drinkwater op regionale of landelijke schaal</w:t>
      </w:r>
      <w:r w:rsidRPr="00247BA8" w:rsidR="007C74A9">
        <w:rPr>
          <w:rFonts w:ascii="Verdana" w:hAnsi="Verdana"/>
          <w:color w:val="000000" w:themeColor="text1"/>
          <w:sz w:val="18"/>
          <w:szCs w:val="18"/>
        </w:rPr>
        <w:t xml:space="preserve">, kunnen deze gegevens gebruiken. </w:t>
      </w:r>
      <w:r w:rsidRPr="00247BA8" w:rsidR="00EF46AC">
        <w:rPr>
          <w:rFonts w:ascii="Verdana" w:hAnsi="Verdana"/>
          <w:color w:val="000000" w:themeColor="text1"/>
          <w:sz w:val="18"/>
          <w:szCs w:val="18"/>
        </w:rPr>
        <w:t>Iedereen</w:t>
      </w:r>
      <w:r w:rsidRPr="00247BA8" w:rsidR="00AF339A">
        <w:rPr>
          <w:rFonts w:ascii="Verdana" w:hAnsi="Verdana"/>
          <w:color w:val="000000" w:themeColor="text1"/>
          <w:sz w:val="18"/>
          <w:szCs w:val="18"/>
        </w:rPr>
        <w:t xml:space="preserve"> kan de openbare gegevens raadplegen</w:t>
      </w:r>
      <w:r w:rsidRPr="00247BA8" w:rsidR="00EF46AC">
        <w:rPr>
          <w:rFonts w:ascii="Verdana" w:hAnsi="Verdana"/>
          <w:color w:val="000000" w:themeColor="text1"/>
          <w:sz w:val="18"/>
          <w:szCs w:val="18"/>
        </w:rPr>
        <w:t>, ook burgers en (agrarische) bedrijven: zij krijgen</w:t>
      </w:r>
      <w:r w:rsidRPr="00247BA8" w:rsidR="00581B7E">
        <w:rPr>
          <w:rFonts w:ascii="Verdana" w:hAnsi="Verdana"/>
          <w:color w:val="000000" w:themeColor="text1"/>
          <w:sz w:val="18"/>
          <w:szCs w:val="18"/>
        </w:rPr>
        <w:t xml:space="preserve"> hierdoor</w:t>
      </w:r>
      <w:r w:rsidRPr="00247BA8" w:rsidR="00EF46AC">
        <w:rPr>
          <w:rFonts w:ascii="Verdana" w:hAnsi="Verdana"/>
          <w:color w:val="000000" w:themeColor="text1"/>
          <w:sz w:val="18"/>
          <w:szCs w:val="18"/>
        </w:rPr>
        <w:t xml:space="preserve"> een gelijkwaardige informatiepositie over </w:t>
      </w:r>
      <w:r w:rsidRPr="00247BA8" w:rsidR="00581B7E">
        <w:rPr>
          <w:rFonts w:ascii="Verdana" w:hAnsi="Verdana"/>
          <w:color w:val="000000" w:themeColor="text1"/>
          <w:sz w:val="18"/>
          <w:szCs w:val="18"/>
        </w:rPr>
        <w:t xml:space="preserve">de </w:t>
      </w:r>
      <w:r w:rsidRPr="00247BA8" w:rsidR="00FA6176">
        <w:rPr>
          <w:rFonts w:ascii="Verdana" w:hAnsi="Verdana"/>
          <w:color w:val="000000" w:themeColor="text1"/>
          <w:sz w:val="18"/>
          <w:szCs w:val="18"/>
        </w:rPr>
        <w:t xml:space="preserve">actuele </w:t>
      </w:r>
      <w:r w:rsidRPr="00247BA8" w:rsidR="00581B7E">
        <w:rPr>
          <w:rFonts w:ascii="Verdana" w:hAnsi="Verdana"/>
          <w:color w:val="000000" w:themeColor="text1"/>
          <w:sz w:val="18"/>
          <w:szCs w:val="18"/>
        </w:rPr>
        <w:t xml:space="preserve">toestand van het </w:t>
      </w:r>
      <w:r w:rsidRPr="00247BA8" w:rsidR="00EF46AC">
        <w:rPr>
          <w:rFonts w:ascii="Verdana" w:hAnsi="Verdana"/>
          <w:color w:val="000000" w:themeColor="text1"/>
          <w:sz w:val="18"/>
          <w:szCs w:val="18"/>
        </w:rPr>
        <w:t>grondwater</w:t>
      </w:r>
      <w:r w:rsidRPr="00247BA8" w:rsidR="00FA6176">
        <w:rPr>
          <w:rFonts w:ascii="Verdana" w:hAnsi="Verdana"/>
          <w:color w:val="000000" w:themeColor="text1"/>
          <w:sz w:val="18"/>
          <w:szCs w:val="18"/>
        </w:rPr>
        <w:t xml:space="preserve"> (kwantiteit als kwaliteit)</w:t>
      </w:r>
      <w:r w:rsidRPr="00247BA8" w:rsidR="00EF46AC">
        <w:rPr>
          <w:rFonts w:ascii="Verdana" w:hAnsi="Verdana"/>
          <w:color w:val="000000" w:themeColor="text1"/>
          <w:sz w:val="18"/>
          <w:szCs w:val="18"/>
        </w:rPr>
        <w:t xml:space="preserve">, </w:t>
      </w:r>
      <w:r w:rsidRPr="00247BA8" w:rsidR="00FA6176">
        <w:rPr>
          <w:rFonts w:ascii="Verdana" w:hAnsi="Verdana"/>
          <w:color w:val="000000" w:themeColor="text1"/>
          <w:sz w:val="18"/>
          <w:szCs w:val="18"/>
        </w:rPr>
        <w:t xml:space="preserve">wat zeker relevant is </w:t>
      </w:r>
      <w:r w:rsidRPr="00247BA8" w:rsidR="00EF46AC">
        <w:rPr>
          <w:rFonts w:ascii="Verdana" w:hAnsi="Verdana"/>
          <w:color w:val="000000" w:themeColor="text1"/>
          <w:sz w:val="18"/>
          <w:szCs w:val="18"/>
        </w:rPr>
        <w:t xml:space="preserve">vanwege de klimaatverandering en de daarbij optredende verdroging en vernatting. </w:t>
      </w:r>
    </w:p>
    <w:p w:rsidRPr="00247BA8" w:rsidR="00186E07" w:rsidP="00F64D4D" w:rsidRDefault="00186E07" w14:paraId="1E9CE67D" w14:textId="77777777">
      <w:pPr>
        <w:rPr>
          <w:rFonts w:ascii="Verdana" w:hAnsi="Verdana"/>
          <w:color w:val="000000" w:themeColor="text1"/>
          <w:sz w:val="18"/>
          <w:szCs w:val="18"/>
        </w:rPr>
      </w:pPr>
    </w:p>
    <w:p w:rsidRPr="00247BA8" w:rsidR="005C0743" w:rsidP="009577FF" w:rsidRDefault="009577FF" w14:paraId="3F8A18D9" w14:textId="4C8522BA">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w:t>
      </w:r>
      <w:r w:rsidRPr="00247BA8" w:rsidR="00764A79">
        <w:rPr>
          <w:rFonts w:ascii="Verdana" w:hAnsi="Verdana"/>
          <w:i/>
          <w:iCs/>
          <w:color w:val="000000" w:themeColor="text1"/>
          <w:sz w:val="18"/>
          <w:szCs w:val="18"/>
        </w:rPr>
        <w:t>BBB-</w:t>
      </w:r>
      <w:r w:rsidRPr="00247BA8">
        <w:rPr>
          <w:rFonts w:ascii="Verdana" w:hAnsi="Verdana"/>
          <w:i/>
          <w:iCs/>
          <w:color w:val="000000" w:themeColor="text1"/>
          <w:sz w:val="18"/>
          <w:szCs w:val="18"/>
        </w:rPr>
        <w:t xml:space="preserve">fractie vragen in hoeverre de huidige gegevens die nodig zijn voor de uitvoering van de Kaderrichtlijn Water en de Europese </w:t>
      </w:r>
      <w:r w:rsidRPr="00247BA8" w:rsidR="003A6BCB">
        <w:rPr>
          <w:rFonts w:ascii="Verdana" w:hAnsi="Verdana"/>
          <w:i/>
          <w:iCs/>
          <w:color w:val="000000" w:themeColor="text1"/>
          <w:sz w:val="18"/>
          <w:szCs w:val="18"/>
        </w:rPr>
        <w:t>w</w:t>
      </w:r>
      <w:r w:rsidRPr="00247BA8">
        <w:rPr>
          <w:rFonts w:ascii="Verdana" w:hAnsi="Verdana"/>
          <w:i/>
          <w:iCs/>
          <w:color w:val="000000" w:themeColor="text1"/>
          <w:sz w:val="18"/>
          <w:szCs w:val="18"/>
        </w:rPr>
        <w:t>etgeving nu niet toereikend zijn</w:t>
      </w:r>
      <w:r w:rsidRPr="00247BA8" w:rsidR="003A6BCB">
        <w:rPr>
          <w:rFonts w:ascii="Verdana" w:hAnsi="Verdana"/>
          <w:i/>
          <w:iCs/>
          <w:color w:val="000000" w:themeColor="text1"/>
          <w:sz w:val="18"/>
          <w:szCs w:val="18"/>
        </w:rPr>
        <w:t>.</w:t>
      </w:r>
      <w:r w:rsidRPr="00247BA8">
        <w:rPr>
          <w:rFonts w:ascii="Verdana" w:hAnsi="Verdana"/>
          <w:i/>
          <w:iCs/>
          <w:color w:val="000000" w:themeColor="text1"/>
          <w:sz w:val="18"/>
          <w:szCs w:val="18"/>
        </w:rPr>
        <w:t xml:space="preserve"> </w:t>
      </w:r>
      <w:r w:rsidRPr="00247BA8" w:rsidR="00764A79">
        <w:rPr>
          <w:rFonts w:ascii="Verdana" w:hAnsi="Verdana"/>
          <w:i/>
          <w:iCs/>
          <w:color w:val="000000" w:themeColor="text1"/>
          <w:sz w:val="18"/>
          <w:szCs w:val="18"/>
        </w:rPr>
        <w:t>Ook vragen deze leden</w:t>
      </w:r>
      <w:r w:rsidRPr="00247BA8">
        <w:rPr>
          <w:rFonts w:ascii="Verdana" w:hAnsi="Verdana"/>
          <w:i/>
          <w:iCs/>
          <w:color w:val="000000" w:themeColor="text1"/>
          <w:sz w:val="18"/>
          <w:szCs w:val="18"/>
        </w:rPr>
        <w:t xml:space="preserve"> in hoeverre deze wet er voor zorgt dat iedere stakeholder die gebruik maakt van water nu gegevens aanlevert voor de Kaderrichtlijn Water en de Europese </w:t>
      </w:r>
      <w:r w:rsidRPr="00247BA8" w:rsidR="003A6BCB">
        <w:rPr>
          <w:rFonts w:ascii="Verdana" w:hAnsi="Verdana"/>
          <w:i/>
          <w:iCs/>
          <w:color w:val="000000" w:themeColor="text1"/>
          <w:sz w:val="18"/>
          <w:szCs w:val="18"/>
        </w:rPr>
        <w:t>w</w:t>
      </w:r>
      <w:r w:rsidRPr="00247BA8">
        <w:rPr>
          <w:rFonts w:ascii="Verdana" w:hAnsi="Verdana"/>
          <w:i/>
          <w:iCs/>
          <w:color w:val="000000" w:themeColor="text1"/>
          <w:sz w:val="18"/>
          <w:szCs w:val="18"/>
        </w:rPr>
        <w:t>etgeving</w:t>
      </w:r>
      <w:r w:rsidRPr="00247BA8" w:rsidR="00764A79">
        <w:rPr>
          <w:rFonts w:ascii="Verdana" w:hAnsi="Verdana"/>
          <w:i/>
          <w:iCs/>
          <w:color w:val="000000" w:themeColor="text1"/>
          <w:sz w:val="18"/>
          <w:szCs w:val="18"/>
        </w:rPr>
        <w:t>.</w:t>
      </w:r>
    </w:p>
    <w:p w:rsidRPr="00247BA8" w:rsidR="002A2641" w:rsidP="009577FF" w:rsidRDefault="002A2641" w14:paraId="15B2FD3D" w14:textId="77777777">
      <w:pPr>
        <w:rPr>
          <w:rFonts w:ascii="Verdana" w:hAnsi="Verdana"/>
          <w:color w:val="000000" w:themeColor="text1"/>
          <w:sz w:val="18"/>
          <w:szCs w:val="18"/>
        </w:rPr>
      </w:pPr>
    </w:p>
    <w:p w:rsidRPr="00247BA8" w:rsidR="00B55871" w:rsidP="081F2A66" w:rsidRDefault="003E37A4" w14:paraId="4CDD7D4B" w14:textId="06A4DACA">
      <w:pPr>
        <w:rPr>
          <w:rFonts w:ascii="Verdana" w:hAnsi="Verdana"/>
          <w:color w:val="000000" w:themeColor="text1"/>
          <w:sz w:val="18"/>
          <w:szCs w:val="18"/>
        </w:rPr>
      </w:pPr>
      <w:r w:rsidRPr="00247BA8">
        <w:rPr>
          <w:rFonts w:ascii="Verdana" w:hAnsi="Verdana"/>
          <w:color w:val="000000" w:themeColor="text1"/>
          <w:sz w:val="18"/>
          <w:szCs w:val="18"/>
        </w:rPr>
        <w:t>De BRO is niet in het leven geroepen om uitvoering te kunnen geven aan de Kaderrichtlijn Water (KRW)</w:t>
      </w:r>
      <w:r w:rsidRPr="00247BA8" w:rsidR="00163A6B">
        <w:rPr>
          <w:rFonts w:ascii="Verdana" w:hAnsi="Verdana"/>
          <w:color w:val="000000" w:themeColor="text1"/>
          <w:sz w:val="18"/>
          <w:szCs w:val="18"/>
          <w:vertAlign w:val="superscript"/>
        </w:rPr>
        <w:footnoteReference w:id="23"/>
      </w:r>
      <w:r w:rsidRPr="00247BA8">
        <w:rPr>
          <w:rFonts w:ascii="Verdana" w:hAnsi="Verdana"/>
          <w:color w:val="000000" w:themeColor="text1"/>
          <w:sz w:val="18"/>
          <w:szCs w:val="18"/>
        </w:rPr>
        <w:t xml:space="preserve"> en Europese wetgeving. Het doel van de </w:t>
      </w:r>
      <w:r w:rsidRPr="00247BA8" w:rsidR="00276EB1">
        <w:rPr>
          <w:rFonts w:ascii="Verdana" w:hAnsi="Verdana"/>
          <w:color w:val="000000" w:themeColor="text1"/>
          <w:sz w:val="18"/>
          <w:szCs w:val="18"/>
        </w:rPr>
        <w:t xml:space="preserve">basisregistraties zoals de </w:t>
      </w:r>
      <w:r w:rsidRPr="00247BA8">
        <w:rPr>
          <w:rFonts w:ascii="Verdana" w:hAnsi="Verdana"/>
          <w:color w:val="000000" w:themeColor="text1"/>
          <w:sz w:val="18"/>
          <w:szCs w:val="18"/>
        </w:rPr>
        <w:t xml:space="preserve">BRO is om een eind te maken aan </w:t>
      </w:r>
      <w:r w:rsidRPr="00247BA8" w:rsidR="00276EB1">
        <w:rPr>
          <w:rFonts w:ascii="Verdana" w:hAnsi="Verdana"/>
          <w:color w:val="000000" w:themeColor="text1"/>
          <w:sz w:val="18"/>
          <w:szCs w:val="18"/>
        </w:rPr>
        <w:t xml:space="preserve">de </w:t>
      </w:r>
      <w:r w:rsidRPr="00247BA8">
        <w:rPr>
          <w:rFonts w:ascii="Verdana" w:hAnsi="Verdana"/>
          <w:color w:val="000000" w:themeColor="text1"/>
          <w:sz w:val="18"/>
          <w:szCs w:val="18"/>
        </w:rPr>
        <w:t xml:space="preserve">praktijk waarin in Nederland vaak benodigde gegevens niet gestandaardiseerd en </w:t>
      </w:r>
      <w:proofErr w:type="spellStart"/>
      <w:r w:rsidRPr="00247BA8">
        <w:rPr>
          <w:rFonts w:ascii="Verdana" w:hAnsi="Verdana"/>
          <w:color w:val="000000" w:themeColor="text1"/>
          <w:sz w:val="18"/>
          <w:szCs w:val="18"/>
        </w:rPr>
        <w:t>landsdekkend</w:t>
      </w:r>
      <w:proofErr w:type="spellEnd"/>
      <w:r w:rsidRPr="00247BA8">
        <w:rPr>
          <w:rFonts w:ascii="Verdana" w:hAnsi="Verdana"/>
          <w:color w:val="000000" w:themeColor="text1"/>
          <w:sz w:val="18"/>
          <w:szCs w:val="18"/>
        </w:rPr>
        <w:t xml:space="preserve"> voor hergebruik beschikbaar zijn. Zoals hergebruik voor de uitvoering van </w:t>
      </w:r>
      <w:r w:rsidRPr="00247BA8" w:rsidR="00163A6B">
        <w:rPr>
          <w:rFonts w:ascii="Verdana" w:hAnsi="Verdana"/>
          <w:color w:val="000000" w:themeColor="text1"/>
          <w:sz w:val="18"/>
          <w:szCs w:val="18"/>
        </w:rPr>
        <w:t xml:space="preserve">onderzoek naar uitbreiding van een </w:t>
      </w:r>
      <w:proofErr w:type="spellStart"/>
      <w:r w:rsidRPr="00247BA8" w:rsidR="00163A6B">
        <w:rPr>
          <w:rFonts w:ascii="Verdana" w:hAnsi="Verdana"/>
          <w:color w:val="000000" w:themeColor="text1"/>
          <w:sz w:val="18"/>
          <w:szCs w:val="18"/>
        </w:rPr>
        <w:t>drinkwaterwinlocatie</w:t>
      </w:r>
      <w:proofErr w:type="spellEnd"/>
      <w:r w:rsidR="001F6E42">
        <w:rPr>
          <w:rFonts w:ascii="Verdana" w:hAnsi="Verdana"/>
          <w:color w:val="000000" w:themeColor="text1"/>
          <w:sz w:val="18"/>
          <w:szCs w:val="18"/>
        </w:rPr>
        <w:t>, voor woningbouw,</w:t>
      </w:r>
      <w:r w:rsidRPr="00247BA8" w:rsidR="00163A6B">
        <w:rPr>
          <w:rFonts w:ascii="Verdana" w:hAnsi="Verdana"/>
          <w:color w:val="000000" w:themeColor="text1"/>
          <w:sz w:val="18"/>
          <w:szCs w:val="18"/>
        </w:rPr>
        <w:t xml:space="preserve"> of </w:t>
      </w:r>
      <w:r w:rsidRPr="00247BA8" w:rsidR="00276EB1">
        <w:rPr>
          <w:rFonts w:ascii="Verdana" w:hAnsi="Verdana"/>
          <w:color w:val="000000" w:themeColor="text1"/>
          <w:sz w:val="18"/>
          <w:szCs w:val="18"/>
        </w:rPr>
        <w:t xml:space="preserve">voor </w:t>
      </w:r>
      <w:r w:rsidRPr="00247BA8" w:rsidR="00163A6B">
        <w:rPr>
          <w:rFonts w:ascii="Verdana" w:hAnsi="Verdana"/>
          <w:color w:val="000000" w:themeColor="text1"/>
          <w:sz w:val="18"/>
          <w:szCs w:val="18"/>
        </w:rPr>
        <w:t>andere civieltechnische werkzaamheden, bijvoorbeeld de aanleg van een snelweg</w:t>
      </w:r>
      <w:r w:rsidR="001F6E42">
        <w:rPr>
          <w:rFonts w:ascii="Verdana" w:hAnsi="Verdana"/>
          <w:color w:val="000000" w:themeColor="text1"/>
          <w:sz w:val="18"/>
          <w:szCs w:val="18"/>
        </w:rPr>
        <w:t xml:space="preserve"> of een dijkversterking</w:t>
      </w:r>
      <w:r w:rsidRPr="00247BA8" w:rsidR="00163A6B">
        <w:rPr>
          <w:rFonts w:ascii="Verdana" w:hAnsi="Verdana"/>
          <w:color w:val="000000" w:themeColor="text1"/>
          <w:sz w:val="18"/>
          <w:szCs w:val="18"/>
        </w:rPr>
        <w:t xml:space="preserve">. </w:t>
      </w:r>
      <w:r w:rsidR="00610325">
        <w:rPr>
          <w:rFonts w:ascii="Verdana" w:hAnsi="Verdana"/>
          <w:color w:val="000000" w:themeColor="text1"/>
          <w:sz w:val="18"/>
          <w:szCs w:val="18"/>
        </w:rPr>
        <w:t>Zie het</w:t>
      </w:r>
      <w:r w:rsidRPr="00247BA8" w:rsidR="00610325">
        <w:rPr>
          <w:rFonts w:ascii="Verdana" w:hAnsi="Verdana"/>
          <w:color w:val="000000" w:themeColor="text1"/>
          <w:sz w:val="18"/>
          <w:szCs w:val="18"/>
        </w:rPr>
        <w:t xml:space="preserve"> antwoord op de vraag van de leden van de </w:t>
      </w:r>
      <w:r w:rsidR="00610325">
        <w:rPr>
          <w:rFonts w:ascii="Verdana" w:hAnsi="Verdana"/>
          <w:color w:val="000000" w:themeColor="text1"/>
          <w:sz w:val="18"/>
          <w:szCs w:val="18"/>
        </w:rPr>
        <w:t>VVD</w:t>
      </w:r>
      <w:r w:rsidRPr="00247BA8" w:rsidR="00610325">
        <w:rPr>
          <w:rFonts w:ascii="Verdana" w:hAnsi="Verdana"/>
          <w:color w:val="000000" w:themeColor="text1"/>
          <w:sz w:val="18"/>
          <w:szCs w:val="18"/>
        </w:rPr>
        <w:t>-fractie in paragraaf 1.1.1</w:t>
      </w:r>
      <w:r w:rsidR="00610325">
        <w:rPr>
          <w:rFonts w:ascii="Verdana" w:hAnsi="Verdana"/>
          <w:color w:val="000000" w:themeColor="text1"/>
          <w:sz w:val="18"/>
          <w:szCs w:val="18"/>
        </w:rPr>
        <w:t>,</w:t>
      </w:r>
      <w:r w:rsidRPr="00835B33" w:rsidR="00610325">
        <w:rPr>
          <w:rFonts w:ascii="Verdana" w:hAnsi="Verdana"/>
          <w:color w:val="000000" w:themeColor="text1"/>
          <w:sz w:val="18"/>
          <w:szCs w:val="18"/>
        </w:rPr>
        <w:t xml:space="preserve"> </w:t>
      </w:r>
      <w:r w:rsidR="00610325">
        <w:rPr>
          <w:rFonts w:ascii="Verdana" w:hAnsi="Verdana"/>
          <w:color w:val="000000" w:themeColor="text1"/>
          <w:sz w:val="18"/>
          <w:szCs w:val="18"/>
        </w:rPr>
        <w:t>‘</w:t>
      </w:r>
      <w:r w:rsidRPr="00835B33" w:rsidR="00610325">
        <w:rPr>
          <w:rFonts w:ascii="Verdana" w:hAnsi="Verdana"/>
          <w:color w:val="000000" w:themeColor="text1"/>
          <w:sz w:val="18"/>
          <w:szCs w:val="18"/>
        </w:rPr>
        <w:t>In hoeverre wordt deze informatie al ingezet voor dit doel?</w:t>
      </w:r>
      <w:r w:rsidR="00610325">
        <w:rPr>
          <w:rFonts w:ascii="Verdana" w:hAnsi="Verdana"/>
          <w:color w:val="000000" w:themeColor="text1"/>
          <w:sz w:val="18"/>
          <w:szCs w:val="18"/>
        </w:rPr>
        <w:t xml:space="preserve">’ </w:t>
      </w:r>
      <w:r w:rsidR="00610325">
        <w:rPr>
          <w:rFonts w:ascii="Verdana" w:hAnsi="Verdana"/>
          <w:color w:val="000000" w:themeColor="text1"/>
          <w:sz w:val="18"/>
          <w:szCs w:val="18"/>
        </w:rPr>
        <w:br/>
      </w:r>
      <w:r w:rsidR="00CC7EAF">
        <w:rPr>
          <w:rFonts w:ascii="Verdana" w:hAnsi="Verdana"/>
          <w:color w:val="000000" w:themeColor="text1"/>
          <w:sz w:val="18"/>
          <w:szCs w:val="18"/>
        </w:rPr>
        <w:t xml:space="preserve">In het </w:t>
      </w:r>
      <w:r w:rsidRPr="00CC7EAF" w:rsidR="00CC7EAF">
        <w:rPr>
          <w:rFonts w:ascii="Verdana" w:hAnsi="Verdana"/>
          <w:i/>
          <w:iCs/>
          <w:color w:val="000000" w:themeColor="text1"/>
          <w:sz w:val="18"/>
          <w:szCs w:val="18"/>
        </w:rPr>
        <w:t>Totaalrapport kosten en baten Basisregistratie Ondergrond (BRO)</w:t>
      </w:r>
      <w:r w:rsidRPr="00CC7EAF" w:rsidR="00CC7EAF">
        <w:rPr>
          <w:rFonts w:ascii="Verdana" w:hAnsi="Verdana"/>
          <w:color w:val="000000" w:themeColor="text1"/>
          <w:sz w:val="18"/>
          <w:szCs w:val="18"/>
        </w:rPr>
        <w:t xml:space="preserve"> </w:t>
      </w:r>
      <w:r w:rsidR="00CC7EAF">
        <w:rPr>
          <w:rFonts w:ascii="Verdana" w:hAnsi="Verdana"/>
          <w:color w:val="000000" w:themeColor="text1"/>
          <w:sz w:val="18"/>
          <w:szCs w:val="18"/>
        </w:rPr>
        <w:t>wordt ten aanzien van de BRO geconcludeerd: “</w:t>
      </w:r>
      <w:r w:rsidRPr="00203D6C" w:rsidR="00610325">
        <w:rPr>
          <w:rFonts w:ascii="Verdana" w:hAnsi="Verdana"/>
          <w:color w:val="000000" w:themeColor="text1"/>
          <w:sz w:val="18"/>
          <w:szCs w:val="18"/>
        </w:rPr>
        <w:t>Na het tegen elkaar afzetten van de kosten en baten resulteert een saldo van +€ 231,5 miljoen + PM (</w:t>
      </w:r>
      <w:r w:rsidRPr="00607EA2" w:rsidR="00610325">
        <w:rPr>
          <w:rFonts w:ascii="Verdana" w:hAnsi="Verdana"/>
          <w:color w:val="000000" w:themeColor="text1"/>
          <w:sz w:val="18"/>
          <w:szCs w:val="18"/>
        </w:rPr>
        <w:t>netto contante waarde</w:t>
      </w:r>
      <w:r w:rsidRPr="00203D6C" w:rsidR="00610325">
        <w:rPr>
          <w:rFonts w:ascii="Verdana" w:hAnsi="Verdana"/>
          <w:color w:val="000000" w:themeColor="text1"/>
          <w:sz w:val="18"/>
          <w:szCs w:val="18"/>
        </w:rPr>
        <w:t>), wat betekent dat de invoering van de BRO tot een aanzienlijke maatschappelijke baat leidt. Daarnaast is het aannemelijk dat dit positieve saldo in werkelijkheid nog groter is als gevolg van de niet gekwantificeerde baten (de PM-posten)</w:t>
      </w:r>
      <w:r w:rsidR="00CC7EAF">
        <w:rPr>
          <w:rFonts w:ascii="Verdana" w:hAnsi="Verdana"/>
          <w:color w:val="000000" w:themeColor="text1"/>
          <w:sz w:val="18"/>
          <w:szCs w:val="18"/>
        </w:rPr>
        <w:t>”</w:t>
      </w:r>
      <w:r w:rsidR="00610325">
        <w:rPr>
          <w:rFonts w:ascii="Verdana" w:hAnsi="Verdana"/>
          <w:color w:val="000000" w:themeColor="text1"/>
          <w:sz w:val="18"/>
          <w:szCs w:val="18"/>
        </w:rPr>
        <w:t>.</w:t>
      </w:r>
      <w:r w:rsidRPr="008D4771" w:rsidR="00610325">
        <w:rPr>
          <w:rStyle w:val="Voetnootmarkering"/>
          <w:rFonts w:ascii="Verdana" w:hAnsi="Verdana"/>
          <w:color w:val="000000" w:themeColor="text1"/>
          <w:sz w:val="18"/>
          <w:szCs w:val="18"/>
        </w:rPr>
        <w:t xml:space="preserve"> </w:t>
      </w:r>
      <w:r w:rsidRPr="00247BA8" w:rsidR="00610325">
        <w:rPr>
          <w:rStyle w:val="Voetnootmarkering"/>
          <w:rFonts w:ascii="Verdana" w:hAnsi="Verdana"/>
          <w:color w:val="000000" w:themeColor="text1"/>
          <w:sz w:val="18"/>
          <w:szCs w:val="18"/>
        </w:rPr>
        <w:footnoteReference w:id="24"/>
      </w:r>
      <w:r w:rsidR="00610325">
        <w:rPr>
          <w:rFonts w:ascii="Verdana" w:hAnsi="Verdana"/>
          <w:color w:val="000000" w:themeColor="text1"/>
          <w:sz w:val="18"/>
          <w:szCs w:val="18"/>
        </w:rPr>
        <w:t xml:space="preserve"> </w:t>
      </w:r>
      <w:r w:rsidR="00610325">
        <w:rPr>
          <w:rFonts w:ascii="Verdana" w:hAnsi="Verdana"/>
          <w:color w:val="000000" w:themeColor="text1"/>
          <w:sz w:val="18"/>
          <w:szCs w:val="18"/>
        </w:rPr>
        <w:br/>
      </w:r>
      <w:r w:rsidRPr="00247BA8" w:rsidR="00163A6B">
        <w:rPr>
          <w:rFonts w:ascii="Verdana" w:hAnsi="Verdana"/>
          <w:color w:val="000000" w:themeColor="text1"/>
          <w:sz w:val="18"/>
          <w:szCs w:val="18"/>
        </w:rPr>
        <w:t xml:space="preserve">De gegevens kunnen bovendien hergebruikt worden voor Europese verplichtingen zoals </w:t>
      </w:r>
      <w:r w:rsidRPr="00247BA8">
        <w:rPr>
          <w:rFonts w:ascii="Verdana" w:hAnsi="Verdana"/>
          <w:color w:val="000000" w:themeColor="text1"/>
          <w:sz w:val="18"/>
          <w:szCs w:val="18"/>
        </w:rPr>
        <w:t>de KRW en de risicoanalyse en het risicobeheer om winningen te beschermen vanwege de Drinkwaterrichtlijn.</w:t>
      </w:r>
      <w:r w:rsidRPr="00247BA8">
        <w:rPr>
          <w:rStyle w:val="Voetnootmarkering"/>
          <w:rFonts w:ascii="Verdana" w:hAnsi="Verdana"/>
          <w:color w:val="000000" w:themeColor="text1"/>
          <w:sz w:val="18"/>
          <w:szCs w:val="18"/>
        </w:rPr>
        <w:footnoteReference w:id="25"/>
      </w:r>
    </w:p>
    <w:p w:rsidRPr="00247BA8" w:rsidR="00472A39" w:rsidP="00054419" w:rsidRDefault="00472A39" w14:paraId="3CBA1AE4" w14:textId="77777777">
      <w:pPr>
        <w:rPr>
          <w:rFonts w:ascii="Verdana" w:hAnsi="Verdana"/>
          <w:color w:val="000000" w:themeColor="text1"/>
          <w:sz w:val="18"/>
          <w:szCs w:val="18"/>
        </w:rPr>
      </w:pPr>
    </w:p>
    <w:p w:rsidRPr="00247BA8" w:rsidR="00CE6368" w:rsidP="00054419" w:rsidRDefault="00CE6368" w14:paraId="56C51C58" w14:textId="77777777">
      <w:pPr>
        <w:rPr>
          <w:rFonts w:ascii="Verdana" w:hAnsi="Verdana"/>
          <w:color w:val="000000" w:themeColor="text1"/>
          <w:sz w:val="18"/>
          <w:szCs w:val="18"/>
        </w:rPr>
      </w:pPr>
    </w:p>
    <w:p w:rsidRPr="00247BA8" w:rsidR="00054419" w:rsidP="00054419" w:rsidRDefault="00054419" w14:paraId="2B319B9F" w14:textId="77777777">
      <w:pPr>
        <w:rPr>
          <w:rFonts w:ascii="Verdana" w:hAnsi="Verdana"/>
          <w:b/>
          <w:bCs/>
          <w:color w:val="000000" w:themeColor="text1"/>
          <w:sz w:val="18"/>
          <w:szCs w:val="18"/>
        </w:rPr>
      </w:pPr>
      <w:r w:rsidRPr="00247BA8">
        <w:rPr>
          <w:rFonts w:ascii="Verdana" w:hAnsi="Verdana"/>
          <w:b/>
          <w:bCs/>
          <w:color w:val="000000" w:themeColor="text1"/>
          <w:sz w:val="18"/>
          <w:szCs w:val="18"/>
        </w:rPr>
        <w:t xml:space="preserve">2. Inhoud </w:t>
      </w:r>
    </w:p>
    <w:p w:rsidRPr="00247BA8" w:rsidR="00054419" w:rsidP="00054419" w:rsidRDefault="00054419" w14:paraId="292BFAE1" w14:textId="77777777">
      <w:pPr>
        <w:rPr>
          <w:rFonts w:ascii="Verdana" w:hAnsi="Verdana"/>
          <w:b/>
          <w:bCs/>
          <w:color w:val="000000" w:themeColor="text1"/>
          <w:sz w:val="18"/>
          <w:szCs w:val="18"/>
        </w:rPr>
      </w:pPr>
    </w:p>
    <w:p w:rsidRPr="00247BA8" w:rsidR="00054419" w:rsidP="00054419" w:rsidRDefault="00054419" w14:paraId="17445498" w14:textId="77777777">
      <w:pPr>
        <w:rPr>
          <w:rFonts w:ascii="Verdana" w:hAnsi="Verdana"/>
          <w:i/>
          <w:iCs/>
          <w:color w:val="000000" w:themeColor="text1"/>
          <w:sz w:val="18"/>
          <w:szCs w:val="18"/>
        </w:rPr>
      </w:pPr>
      <w:r w:rsidRPr="00247BA8">
        <w:rPr>
          <w:rFonts w:ascii="Verdana" w:hAnsi="Verdana"/>
          <w:i/>
          <w:iCs/>
          <w:color w:val="000000" w:themeColor="text1"/>
          <w:sz w:val="18"/>
          <w:szCs w:val="18"/>
        </w:rPr>
        <w:t>2.1 Objecten met betrekking tot grondwater</w:t>
      </w:r>
    </w:p>
    <w:p w:rsidRPr="00247BA8" w:rsidR="00764A79" w:rsidP="00054419" w:rsidRDefault="00764A79" w14:paraId="40DAE7EB" w14:textId="77777777">
      <w:pPr>
        <w:rPr>
          <w:rFonts w:ascii="Verdana" w:hAnsi="Verdana"/>
          <w:i/>
          <w:iCs/>
          <w:color w:val="000000" w:themeColor="text1"/>
          <w:sz w:val="18"/>
          <w:szCs w:val="18"/>
        </w:rPr>
      </w:pPr>
    </w:p>
    <w:p w:rsidRPr="00247BA8" w:rsidR="002A2641" w:rsidP="00A928D6" w:rsidRDefault="00054419" w14:paraId="6524349A"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NSC-fractie merken op dat er gezinspeeld wordt op een toekomstige uitbreiding van de BRO met het type </w:t>
      </w:r>
      <w:r w:rsidRPr="00247BA8" w:rsidR="00764A79">
        <w:rPr>
          <w:rFonts w:ascii="Verdana" w:hAnsi="Verdana"/>
          <w:i/>
          <w:iCs/>
          <w:color w:val="000000" w:themeColor="text1"/>
          <w:sz w:val="18"/>
          <w:szCs w:val="18"/>
        </w:rPr>
        <w:t>«</w:t>
      </w:r>
      <w:r w:rsidRPr="00247BA8">
        <w:rPr>
          <w:rFonts w:ascii="Verdana" w:hAnsi="Verdana"/>
          <w:i/>
          <w:iCs/>
          <w:color w:val="000000" w:themeColor="text1"/>
          <w:sz w:val="18"/>
          <w:szCs w:val="18"/>
        </w:rPr>
        <w:t>toegepast booronderzoek</w:t>
      </w:r>
      <w:r w:rsidRPr="00247BA8" w:rsidR="00764A79">
        <w:rPr>
          <w:rFonts w:ascii="Verdana" w:hAnsi="Verdana"/>
          <w:i/>
          <w:iCs/>
          <w:color w:val="000000" w:themeColor="text1"/>
          <w:sz w:val="18"/>
          <w:szCs w:val="18"/>
        </w:rPr>
        <w:t>»</w:t>
      </w:r>
      <w:r w:rsidRPr="00247BA8">
        <w:rPr>
          <w:rFonts w:ascii="Verdana" w:hAnsi="Verdana"/>
          <w:i/>
          <w:iCs/>
          <w:color w:val="000000" w:themeColor="text1"/>
          <w:sz w:val="18"/>
          <w:szCs w:val="18"/>
        </w:rPr>
        <w:t>. Deze leden vragen waarom er niet voor gekozen is om deze wijziging bij dit wetsvoorstel te betrekken en welke andere wijzigingen de regering voornemens is nog door te voeren in de BRO</w:t>
      </w:r>
      <w:r w:rsidRPr="00247BA8" w:rsidR="00764A79">
        <w:rPr>
          <w:rFonts w:ascii="Verdana" w:hAnsi="Verdana"/>
          <w:i/>
          <w:iCs/>
          <w:color w:val="000000" w:themeColor="text1"/>
          <w:sz w:val="18"/>
          <w:szCs w:val="18"/>
        </w:rPr>
        <w:t>,</w:t>
      </w:r>
      <w:r w:rsidRPr="00247BA8">
        <w:rPr>
          <w:rFonts w:ascii="Verdana" w:hAnsi="Verdana"/>
          <w:i/>
          <w:iCs/>
          <w:color w:val="000000" w:themeColor="text1"/>
          <w:sz w:val="18"/>
          <w:szCs w:val="18"/>
        </w:rPr>
        <w:t xml:space="preserve"> en op welke termijn.</w:t>
      </w:r>
    </w:p>
    <w:p w:rsidRPr="00247BA8" w:rsidR="002A2641" w:rsidP="00A928D6" w:rsidRDefault="002A2641" w14:paraId="3F223C11" w14:textId="77777777">
      <w:pPr>
        <w:rPr>
          <w:rFonts w:ascii="Verdana" w:hAnsi="Verdana"/>
          <w:color w:val="000000" w:themeColor="text1"/>
          <w:sz w:val="18"/>
          <w:szCs w:val="18"/>
        </w:rPr>
      </w:pPr>
    </w:p>
    <w:p w:rsidRPr="00247BA8" w:rsidR="002A2641" w:rsidP="004E2B4D" w:rsidRDefault="00FA2A09" w14:paraId="7A6B86DF" w14:textId="73C0517E">
      <w:pPr>
        <w:rPr>
          <w:rFonts w:ascii="Verdana" w:hAnsi="Verdana"/>
          <w:color w:val="000000" w:themeColor="text1"/>
          <w:sz w:val="18"/>
          <w:szCs w:val="18"/>
        </w:rPr>
      </w:pPr>
      <w:r w:rsidRPr="00247BA8">
        <w:rPr>
          <w:rFonts w:ascii="Verdana" w:hAnsi="Verdana"/>
          <w:color w:val="000000" w:themeColor="text1"/>
          <w:sz w:val="18"/>
          <w:szCs w:val="18"/>
        </w:rPr>
        <w:t xml:space="preserve">De BRO wordt nog niet uitgebreid met het type «toegepast booronderzoek», omdat stakeholders </w:t>
      </w:r>
      <w:r w:rsidRPr="00247BA8" w:rsidR="00420230">
        <w:rPr>
          <w:rFonts w:ascii="Verdana" w:hAnsi="Verdana"/>
          <w:color w:val="000000" w:themeColor="text1"/>
          <w:sz w:val="18"/>
          <w:szCs w:val="18"/>
        </w:rPr>
        <w:t xml:space="preserve">in de milieusector </w:t>
      </w:r>
      <w:r w:rsidRPr="00247BA8" w:rsidR="004E2B4D">
        <w:rPr>
          <w:rFonts w:ascii="Verdana" w:hAnsi="Verdana"/>
          <w:color w:val="000000" w:themeColor="text1"/>
          <w:sz w:val="18"/>
          <w:szCs w:val="18"/>
        </w:rPr>
        <w:t>wil</w:t>
      </w:r>
      <w:r w:rsidRPr="00247BA8" w:rsidR="00DE7867">
        <w:rPr>
          <w:rFonts w:ascii="Verdana" w:hAnsi="Verdana"/>
          <w:color w:val="000000" w:themeColor="text1"/>
          <w:sz w:val="18"/>
          <w:szCs w:val="18"/>
        </w:rPr>
        <w:t>len</w:t>
      </w:r>
      <w:r w:rsidRPr="00247BA8" w:rsidR="004E2B4D">
        <w:rPr>
          <w:rFonts w:ascii="Verdana" w:hAnsi="Verdana"/>
          <w:color w:val="000000" w:themeColor="text1"/>
          <w:sz w:val="18"/>
          <w:szCs w:val="18"/>
        </w:rPr>
        <w:t xml:space="preserve"> gaan </w:t>
      </w:r>
      <w:r w:rsidRPr="00247BA8" w:rsidR="002A2641">
        <w:rPr>
          <w:rFonts w:ascii="Verdana" w:hAnsi="Verdana"/>
          <w:color w:val="000000" w:themeColor="text1"/>
          <w:sz w:val="18"/>
          <w:szCs w:val="18"/>
        </w:rPr>
        <w:t xml:space="preserve">werken met de op dit moment in voorbereiding zijnde norm NEN 6693. </w:t>
      </w:r>
      <w:r w:rsidRPr="00247BA8">
        <w:rPr>
          <w:rFonts w:ascii="Verdana" w:hAnsi="Verdana"/>
          <w:color w:val="000000" w:themeColor="text1"/>
          <w:sz w:val="18"/>
          <w:szCs w:val="18"/>
        </w:rPr>
        <w:t>Deze</w:t>
      </w:r>
      <w:r w:rsidRPr="00247BA8" w:rsidR="002A2641">
        <w:rPr>
          <w:rFonts w:ascii="Verdana" w:hAnsi="Verdana"/>
          <w:color w:val="000000" w:themeColor="text1"/>
          <w:sz w:val="18"/>
          <w:szCs w:val="18"/>
        </w:rPr>
        <w:t xml:space="preserve"> </w:t>
      </w:r>
      <w:r w:rsidRPr="00247BA8" w:rsidR="004E2B4D">
        <w:rPr>
          <w:rFonts w:ascii="Verdana" w:hAnsi="Verdana"/>
          <w:color w:val="000000" w:themeColor="text1"/>
          <w:sz w:val="18"/>
          <w:szCs w:val="18"/>
        </w:rPr>
        <w:t xml:space="preserve">sectorale </w:t>
      </w:r>
      <w:r w:rsidRPr="00247BA8" w:rsidR="002A2641">
        <w:rPr>
          <w:rFonts w:ascii="Verdana" w:hAnsi="Verdana"/>
          <w:color w:val="000000" w:themeColor="text1"/>
          <w:sz w:val="18"/>
          <w:szCs w:val="18"/>
        </w:rPr>
        <w:t>norm</w:t>
      </w:r>
      <w:r w:rsidRPr="00247BA8">
        <w:rPr>
          <w:rFonts w:ascii="Verdana" w:hAnsi="Verdana"/>
          <w:color w:val="000000" w:themeColor="text1"/>
          <w:sz w:val="18"/>
          <w:szCs w:val="18"/>
        </w:rPr>
        <w:t xml:space="preserve"> is</w:t>
      </w:r>
      <w:r w:rsidRPr="00247BA8" w:rsidR="002A2641">
        <w:rPr>
          <w:rFonts w:ascii="Verdana" w:hAnsi="Verdana"/>
          <w:color w:val="000000" w:themeColor="text1"/>
          <w:sz w:val="18"/>
          <w:szCs w:val="18"/>
        </w:rPr>
        <w:t xml:space="preserve"> nog in voorbereiding</w:t>
      </w:r>
      <w:r w:rsidRPr="00247BA8" w:rsidR="004E2B4D">
        <w:rPr>
          <w:rFonts w:ascii="Verdana" w:hAnsi="Verdana"/>
          <w:color w:val="000000" w:themeColor="text1"/>
          <w:sz w:val="18"/>
          <w:szCs w:val="18"/>
        </w:rPr>
        <w:t xml:space="preserve"> en dient nog te worden verwerkt in de standaard voor toegepast booronderzoek. </w:t>
      </w:r>
      <w:r w:rsidRPr="00247BA8" w:rsidR="002A2641">
        <w:rPr>
          <w:rFonts w:ascii="Verdana" w:hAnsi="Verdana"/>
          <w:color w:val="000000" w:themeColor="text1"/>
          <w:sz w:val="18"/>
          <w:szCs w:val="18"/>
        </w:rPr>
        <w:t xml:space="preserve">Het moment van inwerkingtreding is daarmee nog niet bekend. </w:t>
      </w:r>
    </w:p>
    <w:p w:rsidRPr="00247BA8" w:rsidR="00420230" w:rsidP="00FA2A09" w:rsidRDefault="00420230" w14:paraId="3F8EB3D4" w14:textId="77777777">
      <w:pPr>
        <w:rPr>
          <w:rFonts w:ascii="Verdana" w:hAnsi="Verdana"/>
          <w:color w:val="000000" w:themeColor="text1"/>
          <w:sz w:val="18"/>
          <w:szCs w:val="18"/>
        </w:rPr>
      </w:pPr>
    </w:p>
    <w:p w:rsidRPr="00247BA8" w:rsidR="00420230" w:rsidP="00FA2A09" w:rsidRDefault="00420230" w14:paraId="79EE60AA" w14:textId="2478A3E0">
      <w:pPr>
        <w:rPr>
          <w:rFonts w:ascii="Verdana" w:hAnsi="Verdana"/>
          <w:color w:val="000000" w:themeColor="text1"/>
          <w:sz w:val="18"/>
          <w:szCs w:val="18"/>
        </w:rPr>
      </w:pPr>
      <w:r w:rsidRPr="00247BA8">
        <w:rPr>
          <w:rFonts w:ascii="Verdana" w:hAnsi="Verdana"/>
          <w:color w:val="000000" w:themeColor="text1"/>
          <w:sz w:val="18"/>
          <w:szCs w:val="18"/>
        </w:rPr>
        <w:t xml:space="preserve">Op de korte </w:t>
      </w:r>
      <w:r w:rsidRPr="00247BA8" w:rsidR="00DE7867">
        <w:rPr>
          <w:rFonts w:ascii="Verdana" w:hAnsi="Verdana"/>
          <w:color w:val="000000" w:themeColor="text1"/>
          <w:sz w:val="18"/>
          <w:szCs w:val="18"/>
        </w:rPr>
        <w:t>t</w:t>
      </w:r>
      <w:r w:rsidRPr="00247BA8">
        <w:rPr>
          <w:rFonts w:ascii="Verdana" w:hAnsi="Verdana"/>
          <w:color w:val="000000" w:themeColor="text1"/>
          <w:sz w:val="18"/>
          <w:szCs w:val="18"/>
        </w:rPr>
        <w:t>ermijn</w:t>
      </w:r>
      <w:r w:rsidRPr="00247BA8" w:rsidR="00DE7867">
        <w:rPr>
          <w:rFonts w:ascii="Verdana" w:hAnsi="Verdana"/>
          <w:color w:val="000000" w:themeColor="text1"/>
          <w:sz w:val="18"/>
          <w:szCs w:val="18"/>
        </w:rPr>
        <w:t xml:space="preserve"> </w:t>
      </w:r>
      <w:r w:rsidRPr="00247BA8" w:rsidR="000928D2">
        <w:rPr>
          <w:rFonts w:ascii="Verdana" w:hAnsi="Verdana" w:eastAsiaTheme="minorHAnsi"/>
          <w:color w:val="000000" w:themeColor="text1"/>
          <w:sz w:val="18"/>
          <w:szCs w:val="18"/>
          <w:lang w:eastAsia="en-US"/>
          <w14:ligatures w14:val="standardContextual"/>
        </w:rPr>
        <w:t xml:space="preserve">wil ik nu eerst </w:t>
      </w:r>
      <w:r w:rsidRPr="00247BA8" w:rsidR="00DE7867">
        <w:rPr>
          <w:rFonts w:ascii="Verdana" w:hAnsi="Verdana"/>
          <w:color w:val="000000" w:themeColor="text1"/>
          <w:sz w:val="18"/>
          <w:szCs w:val="18"/>
        </w:rPr>
        <w:t>milieukwaliteit toevoegen aan de BRO</w:t>
      </w:r>
      <w:r w:rsidRPr="00247BA8" w:rsidR="004E2B4D">
        <w:rPr>
          <w:rFonts w:ascii="Verdana" w:hAnsi="Verdana"/>
          <w:color w:val="000000" w:themeColor="text1"/>
          <w:sz w:val="18"/>
          <w:szCs w:val="18"/>
        </w:rPr>
        <w:t xml:space="preserve"> </w:t>
      </w:r>
      <w:r w:rsidRPr="00247BA8" w:rsidR="00163A6B">
        <w:rPr>
          <w:rFonts w:ascii="Verdana" w:hAnsi="Verdana"/>
          <w:color w:val="000000" w:themeColor="text1"/>
          <w:sz w:val="18"/>
          <w:szCs w:val="18"/>
        </w:rPr>
        <w:t xml:space="preserve">(zie </w:t>
      </w:r>
      <w:r w:rsidR="00373E7A">
        <w:rPr>
          <w:rFonts w:ascii="Verdana" w:hAnsi="Verdana"/>
          <w:color w:val="000000" w:themeColor="text1"/>
          <w:sz w:val="18"/>
          <w:szCs w:val="18"/>
        </w:rPr>
        <w:t xml:space="preserve">het </w:t>
      </w:r>
      <w:r w:rsidRPr="00247BA8" w:rsidR="00163A6B">
        <w:rPr>
          <w:rFonts w:ascii="Verdana" w:hAnsi="Verdana"/>
          <w:color w:val="000000" w:themeColor="text1"/>
          <w:sz w:val="18"/>
          <w:szCs w:val="18"/>
        </w:rPr>
        <w:t>antwoord op de vraag</w:t>
      </w:r>
      <w:r w:rsidRPr="00247BA8" w:rsidR="00767F09">
        <w:rPr>
          <w:rFonts w:ascii="Verdana" w:hAnsi="Verdana"/>
          <w:color w:val="000000" w:themeColor="text1"/>
          <w:sz w:val="18"/>
          <w:szCs w:val="18"/>
        </w:rPr>
        <w:t xml:space="preserve"> van de</w:t>
      </w:r>
      <w:r w:rsidRPr="00247BA8" w:rsidR="00163A6B">
        <w:rPr>
          <w:rFonts w:ascii="Verdana" w:hAnsi="Verdana"/>
          <w:color w:val="000000" w:themeColor="text1"/>
          <w:sz w:val="18"/>
          <w:szCs w:val="18"/>
        </w:rPr>
        <w:t xml:space="preserve"> </w:t>
      </w:r>
      <w:r w:rsidRPr="00247BA8" w:rsidR="00767F09">
        <w:rPr>
          <w:rFonts w:ascii="Verdana" w:hAnsi="Verdana"/>
          <w:color w:val="000000" w:themeColor="text1"/>
          <w:sz w:val="18"/>
          <w:szCs w:val="18"/>
        </w:rPr>
        <w:t xml:space="preserve">leden van de NSC-fractie </w:t>
      </w:r>
      <w:r w:rsidRPr="00247BA8" w:rsidR="00163A6B">
        <w:rPr>
          <w:rFonts w:ascii="Verdana" w:hAnsi="Verdana"/>
          <w:color w:val="000000" w:themeColor="text1"/>
          <w:sz w:val="18"/>
          <w:szCs w:val="18"/>
        </w:rPr>
        <w:t>in paragraaf 1.1.1</w:t>
      </w:r>
      <w:r w:rsidR="00373E7A">
        <w:rPr>
          <w:rFonts w:ascii="Verdana" w:hAnsi="Verdana"/>
          <w:color w:val="000000" w:themeColor="text1"/>
          <w:sz w:val="18"/>
          <w:szCs w:val="18"/>
        </w:rPr>
        <w:t xml:space="preserve"> voor een onderbouwing </w:t>
      </w:r>
      <w:r w:rsidRPr="008D4771" w:rsidR="00373E7A">
        <w:rPr>
          <w:rFonts w:ascii="Verdana" w:hAnsi="Verdana"/>
          <w:color w:val="000000" w:themeColor="text1"/>
          <w:sz w:val="18"/>
          <w:szCs w:val="18"/>
        </w:rPr>
        <w:t xml:space="preserve">waarom er een vervolgfase is gestart waarin de BRO zal worden uitgebreid met </w:t>
      </w:r>
      <w:proofErr w:type="spellStart"/>
      <w:r w:rsidRPr="008D4771" w:rsidR="00373E7A">
        <w:rPr>
          <w:rFonts w:ascii="Verdana" w:hAnsi="Verdana"/>
          <w:color w:val="000000" w:themeColor="text1"/>
          <w:sz w:val="18"/>
          <w:szCs w:val="18"/>
        </w:rPr>
        <w:t>milieuhygiënische</w:t>
      </w:r>
      <w:proofErr w:type="spellEnd"/>
      <w:r w:rsidRPr="008D4771" w:rsidR="00373E7A">
        <w:rPr>
          <w:rFonts w:ascii="Verdana" w:hAnsi="Verdana"/>
          <w:color w:val="000000" w:themeColor="text1"/>
          <w:sz w:val="18"/>
          <w:szCs w:val="18"/>
        </w:rPr>
        <w:t xml:space="preserve"> gegevens</w:t>
      </w:r>
      <w:r w:rsidRPr="00247BA8" w:rsidR="00163A6B">
        <w:rPr>
          <w:rFonts w:ascii="Verdana" w:hAnsi="Verdana"/>
          <w:color w:val="000000" w:themeColor="text1"/>
          <w:sz w:val="18"/>
          <w:szCs w:val="18"/>
        </w:rPr>
        <w:t xml:space="preserve">). Daarnaast worden jaarlijks </w:t>
      </w:r>
      <w:r w:rsidRPr="00247BA8" w:rsidR="004E2B4D">
        <w:rPr>
          <w:rFonts w:ascii="Verdana" w:hAnsi="Verdana"/>
          <w:color w:val="000000" w:themeColor="text1"/>
          <w:sz w:val="18"/>
          <w:szCs w:val="18"/>
        </w:rPr>
        <w:t xml:space="preserve">verzoeken </w:t>
      </w:r>
      <w:r w:rsidRPr="00247BA8" w:rsidR="00163A6B">
        <w:rPr>
          <w:rFonts w:ascii="Verdana" w:hAnsi="Verdana"/>
          <w:color w:val="000000" w:themeColor="text1"/>
          <w:sz w:val="18"/>
          <w:szCs w:val="18"/>
        </w:rPr>
        <w:t>van het werkveld</w:t>
      </w:r>
      <w:r w:rsidRPr="00247BA8" w:rsidR="004E2B4D">
        <w:rPr>
          <w:rFonts w:ascii="Verdana" w:hAnsi="Verdana"/>
          <w:color w:val="000000" w:themeColor="text1"/>
          <w:sz w:val="18"/>
          <w:szCs w:val="18"/>
        </w:rPr>
        <w:t xml:space="preserve"> om correcties en verbetering</w:t>
      </w:r>
      <w:r w:rsidRPr="00247BA8" w:rsidR="00DE7867">
        <w:rPr>
          <w:rFonts w:ascii="Verdana" w:hAnsi="Verdana"/>
          <w:color w:val="000000" w:themeColor="text1"/>
          <w:sz w:val="18"/>
          <w:szCs w:val="18"/>
        </w:rPr>
        <w:t>en</w:t>
      </w:r>
      <w:r w:rsidRPr="00247BA8" w:rsidR="004E2B4D">
        <w:rPr>
          <w:rFonts w:ascii="Verdana" w:hAnsi="Verdana"/>
          <w:color w:val="000000" w:themeColor="text1"/>
          <w:sz w:val="18"/>
          <w:szCs w:val="18"/>
        </w:rPr>
        <w:t xml:space="preserve"> van de bestaande</w:t>
      </w:r>
      <w:r w:rsidRPr="00247BA8" w:rsidR="00DE7867">
        <w:rPr>
          <w:rFonts w:ascii="Verdana" w:hAnsi="Verdana"/>
          <w:color w:val="000000" w:themeColor="text1"/>
          <w:sz w:val="18"/>
          <w:szCs w:val="18"/>
        </w:rPr>
        <w:t xml:space="preserve"> catalogi</w:t>
      </w:r>
      <w:r w:rsidRPr="00247BA8" w:rsidR="00163A6B">
        <w:rPr>
          <w:rFonts w:ascii="Verdana" w:hAnsi="Verdana"/>
          <w:color w:val="000000" w:themeColor="text1"/>
          <w:sz w:val="18"/>
          <w:szCs w:val="18"/>
        </w:rPr>
        <w:t xml:space="preserve"> beoordeeld en</w:t>
      </w:r>
      <w:r w:rsidRPr="00247BA8" w:rsidR="00DE7867">
        <w:rPr>
          <w:rFonts w:ascii="Verdana" w:hAnsi="Verdana"/>
          <w:color w:val="000000" w:themeColor="text1"/>
          <w:sz w:val="18"/>
          <w:szCs w:val="18"/>
        </w:rPr>
        <w:t xml:space="preserve"> verwerkt in een wijziging van de Regeling </w:t>
      </w:r>
      <w:proofErr w:type="spellStart"/>
      <w:r w:rsidRPr="00247BA8" w:rsidR="00DE7867">
        <w:rPr>
          <w:rFonts w:ascii="Verdana" w:hAnsi="Verdana"/>
          <w:color w:val="000000" w:themeColor="text1"/>
          <w:sz w:val="18"/>
          <w:szCs w:val="18"/>
        </w:rPr>
        <w:t>Bro</w:t>
      </w:r>
      <w:proofErr w:type="spellEnd"/>
      <w:r w:rsidRPr="00247BA8" w:rsidR="00DE7867">
        <w:rPr>
          <w:rFonts w:ascii="Verdana" w:hAnsi="Verdana"/>
          <w:color w:val="000000" w:themeColor="text1"/>
          <w:sz w:val="18"/>
          <w:szCs w:val="18"/>
        </w:rPr>
        <w:t xml:space="preserve">. </w:t>
      </w:r>
    </w:p>
    <w:p w:rsidRPr="00247BA8" w:rsidR="002A2641" w:rsidP="00A928D6" w:rsidRDefault="002A2641" w14:paraId="554CD13F" w14:textId="77777777">
      <w:pPr>
        <w:rPr>
          <w:rFonts w:ascii="Verdana" w:hAnsi="Verdana"/>
          <w:color w:val="000000" w:themeColor="text1"/>
          <w:sz w:val="18"/>
          <w:szCs w:val="18"/>
        </w:rPr>
      </w:pPr>
    </w:p>
    <w:p w:rsidRPr="00247BA8" w:rsidR="00A928D6" w:rsidP="00054419" w:rsidRDefault="00A928D6" w14:paraId="7DD8C7D6" w14:textId="77777777">
      <w:pPr>
        <w:rPr>
          <w:rFonts w:ascii="Verdana" w:hAnsi="Verdana"/>
          <w:i/>
          <w:iCs/>
          <w:color w:val="000000" w:themeColor="text1"/>
          <w:sz w:val="18"/>
          <w:szCs w:val="18"/>
        </w:rPr>
      </w:pPr>
    </w:p>
    <w:p w:rsidRPr="00247BA8" w:rsidR="00054419" w:rsidP="00054419" w:rsidRDefault="00054419" w14:paraId="53808FBB" w14:textId="1051CF76">
      <w:pPr>
        <w:rPr>
          <w:rFonts w:ascii="Verdana" w:hAnsi="Verdana"/>
          <w:i/>
          <w:iCs/>
          <w:color w:val="000000" w:themeColor="text1"/>
          <w:sz w:val="18"/>
          <w:szCs w:val="18"/>
        </w:rPr>
      </w:pPr>
      <w:r w:rsidRPr="00247BA8">
        <w:rPr>
          <w:rFonts w:ascii="Verdana" w:hAnsi="Verdana"/>
          <w:i/>
          <w:iCs/>
          <w:color w:val="000000" w:themeColor="text1"/>
          <w:sz w:val="18"/>
          <w:szCs w:val="18"/>
        </w:rPr>
        <w:t>2.</w:t>
      </w:r>
      <w:r w:rsidRPr="00247BA8" w:rsidR="00B558D6">
        <w:rPr>
          <w:rFonts w:ascii="Verdana" w:hAnsi="Verdana"/>
          <w:i/>
          <w:iCs/>
          <w:color w:val="000000" w:themeColor="text1"/>
          <w:sz w:val="18"/>
          <w:szCs w:val="18"/>
        </w:rPr>
        <w:t>2</w:t>
      </w:r>
      <w:r w:rsidRPr="00247BA8">
        <w:rPr>
          <w:rFonts w:ascii="Verdana" w:hAnsi="Verdana"/>
          <w:i/>
          <w:iCs/>
          <w:color w:val="000000" w:themeColor="text1"/>
          <w:sz w:val="18"/>
          <w:szCs w:val="18"/>
        </w:rPr>
        <w:t xml:space="preserve"> Vertrouwelijkheid en niet-openbaarheid</w:t>
      </w:r>
    </w:p>
    <w:p w:rsidRPr="00247BA8" w:rsidR="00054419" w:rsidP="00054419" w:rsidRDefault="00054419" w14:paraId="0616E2D0" w14:textId="77777777">
      <w:pPr>
        <w:rPr>
          <w:rFonts w:ascii="Verdana" w:hAnsi="Verdana"/>
          <w:i/>
          <w:iCs/>
          <w:color w:val="000000" w:themeColor="text1"/>
          <w:sz w:val="18"/>
          <w:szCs w:val="18"/>
        </w:rPr>
      </w:pPr>
    </w:p>
    <w:p w:rsidRPr="00247BA8" w:rsidR="008751C2" w:rsidP="00054419" w:rsidRDefault="00054419" w14:paraId="3759CB39" w14:textId="5F92B482">
      <w:pPr>
        <w:rPr>
          <w:rFonts w:ascii="Verdana" w:hAnsi="Verdana"/>
          <w:i/>
          <w:iCs/>
          <w:color w:val="000000" w:themeColor="text1"/>
          <w:sz w:val="18"/>
          <w:szCs w:val="18"/>
        </w:rPr>
      </w:pPr>
      <w:r w:rsidRPr="00247BA8">
        <w:rPr>
          <w:rFonts w:ascii="Verdana" w:hAnsi="Verdana"/>
          <w:i/>
          <w:iCs/>
          <w:color w:val="000000" w:themeColor="text1"/>
          <w:sz w:val="18"/>
          <w:szCs w:val="18"/>
        </w:rPr>
        <w:t>De leden van de NSC-fractie lezen dat de drinkwaterbedrijven toegang zullen krijgen tot alle gegevens. Deze leden vragen welke gegevens hiermee bedoeld worden en of de gegevens van de domeinen ‘modellen’ en ‘mijnbouw’ hier ook onder vallen. Graag zien deze leden een toelichting hoe en waarom deze afweging gemaakt is.</w:t>
      </w:r>
    </w:p>
    <w:p w:rsidRPr="00247BA8" w:rsidR="001D39E0" w:rsidP="009577FF" w:rsidRDefault="001D39E0" w14:paraId="70FD8CFB" w14:textId="77777777">
      <w:pPr>
        <w:rPr>
          <w:rFonts w:ascii="Verdana" w:hAnsi="Verdana"/>
          <w:i/>
          <w:iCs/>
          <w:color w:val="000000" w:themeColor="text1"/>
          <w:sz w:val="18"/>
          <w:szCs w:val="18"/>
        </w:rPr>
      </w:pPr>
    </w:p>
    <w:p w:rsidRPr="00247BA8" w:rsidR="007C1011" w:rsidP="00054419" w:rsidRDefault="009577FF" w14:paraId="461F4B82"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w:t>
      </w:r>
      <w:r w:rsidRPr="00247BA8" w:rsidR="00764A79">
        <w:rPr>
          <w:rFonts w:ascii="Verdana" w:hAnsi="Verdana"/>
          <w:i/>
          <w:iCs/>
          <w:color w:val="000000" w:themeColor="text1"/>
          <w:sz w:val="18"/>
          <w:szCs w:val="18"/>
        </w:rPr>
        <w:t xml:space="preserve">BBB-fractie </w:t>
      </w:r>
      <w:r w:rsidRPr="00247BA8" w:rsidR="007A6975">
        <w:rPr>
          <w:rFonts w:ascii="Verdana" w:hAnsi="Verdana"/>
          <w:i/>
          <w:iCs/>
          <w:color w:val="000000" w:themeColor="text1"/>
          <w:sz w:val="18"/>
          <w:szCs w:val="18"/>
        </w:rPr>
        <w:t>lezen in de memorie van toelichting het volgende</w:t>
      </w:r>
      <w:r w:rsidRPr="00247BA8" w:rsidR="00DF0A35">
        <w:rPr>
          <w:rFonts w:ascii="Verdana" w:hAnsi="Verdana"/>
          <w:i/>
          <w:iCs/>
          <w:color w:val="000000" w:themeColor="text1"/>
          <w:sz w:val="18"/>
          <w:szCs w:val="18"/>
        </w:rPr>
        <w:t>:</w:t>
      </w:r>
      <w:r w:rsidRPr="00247BA8" w:rsidR="00764A79">
        <w:rPr>
          <w:rFonts w:ascii="Verdana" w:hAnsi="Verdana"/>
          <w:i/>
          <w:iCs/>
          <w:color w:val="000000" w:themeColor="text1"/>
          <w:sz w:val="18"/>
          <w:szCs w:val="18"/>
        </w:rPr>
        <w:t xml:space="preserve"> “Voor als niet-openbaar aangemerkte gegevens geldt dat bronhouders wel</w:t>
      </w:r>
      <w:r w:rsidRPr="00247BA8" w:rsidR="00220835">
        <w:rPr>
          <w:rFonts w:ascii="Verdana" w:hAnsi="Verdana"/>
          <w:i/>
          <w:iCs/>
          <w:color w:val="000000" w:themeColor="text1"/>
          <w:sz w:val="18"/>
          <w:szCs w:val="18"/>
        </w:rPr>
        <w:t xml:space="preserve"> </w:t>
      </w:r>
      <w:r w:rsidRPr="00247BA8" w:rsidR="00764A79">
        <w:rPr>
          <w:rFonts w:ascii="Verdana" w:hAnsi="Verdana"/>
          <w:i/>
          <w:iCs/>
          <w:color w:val="000000" w:themeColor="text1"/>
          <w:sz w:val="18"/>
          <w:szCs w:val="18"/>
        </w:rPr>
        <w:t>inzage krijgen in de volledige brondocumenten, wanneer dat noodzakelijk</w:t>
      </w:r>
      <w:r w:rsidRPr="00247BA8" w:rsidR="00DF0A35">
        <w:rPr>
          <w:rFonts w:ascii="Verdana" w:hAnsi="Verdana"/>
          <w:i/>
          <w:iCs/>
          <w:color w:val="000000" w:themeColor="text1"/>
          <w:sz w:val="18"/>
          <w:szCs w:val="18"/>
        </w:rPr>
        <w:t xml:space="preserve"> </w:t>
      </w:r>
      <w:r w:rsidRPr="00247BA8" w:rsidR="00764A79">
        <w:rPr>
          <w:rFonts w:ascii="Verdana" w:hAnsi="Verdana"/>
          <w:i/>
          <w:iCs/>
          <w:color w:val="000000" w:themeColor="text1"/>
          <w:sz w:val="18"/>
          <w:szCs w:val="18"/>
        </w:rPr>
        <w:t xml:space="preserve">is voor de vervulling van hun publiekrechtelijke taak.” Deze leden </w:t>
      </w:r>
      <w:r w:rsidRPr="00247BA8">
        <w:rPr>
          <w:rFonts w:ascii="Verdana" w:hAnsi="Verdana"/>
          <w:i/>
          <w:iCs/>
          <w:color w:val="000000" w:themeColor="text1"/>
          <w:sz w:val="18"/>
          <w:szCs w:val="18"/>
        </w:rPr>
        <w:t xml:space="preserve">vragen of </w:t>
      </w:r>
      <w:r w:rsidRPr="00247BA8">
        <w:rPr>
          <w:rFonts w:ascii="Verdana" w:hAnsi="Verdana"/>
          <w:i/>
          <w:iCs/>
          <w:color w:val="000000" w:themeColor="text1"/>
          <w:sz w:val="18"/>
          <w:szCs w:val="18"/>
          <w:u w:val="single"/>
        </w:rPr>
        <w:t>alle</w:t>
      </w:r>
      <w:r w:rsidRPr="00247BA8">
        <w:rPr>
          <w:rFonts w:ascii="Verdana" w:hAnsi="Verdana"/>
          <w:i/>
          <w:iCs/>
          <w:color w:val="000000" w:themeColor="text1"/>
          <w:sz w:val="18"/>
          <w:szCs w:val="18"/>
        </w:rPr>
        <w:t xml:space="preserve"> bronhouders inzage in </w:t>
      </w:r>
      <w:r w:rsidRPr="00247BA8">
        <w:rPr>
          <w:rFonts w:ascii="Verdana" w:hAnsi="Verdana"/>
          <w:i/>
          <w:iCs/>
          <w:color w:val="000000" w:themeColor="text1"/>
          <w:sz w:val="18"/>
          <w:szCs w:val="18"/>
          <w:u w:val="single"/>
        </w:rPr>
        <w:t>alle</w:t>
      </w:r>
      <w:r w:rsidRPr="00247BA8">
        <w:rPr>
          <w:rFonts w:ascii="Verdana" w:hAnsi="Verdana"/>
          <w:i/>
          <w:iCs/>
          <w:color w:val="000000" w:themeColor="text1"/>
          <w:sz w:val="18"/>
          <w:szCs w:val="18"/>
        </w:rPr>
        <w:t xml:space="preserve"> volledige brondocumenten verkrijgen</w:t>
      </w:r>
      <w:r w:rsidRPr="00247BA8" w:rsidR="00DF0A35">
        <w:rPr>
          <w:rFonts w:ascii="Verdana" w:hAnsi="Verdana"/>
          <w:i/>
          <w:iCs/>
          <w:color w:val="000000" w:themeColor="text1"/>
          <w:sz w:val="18"/>
          <w:szCs w:val="18"/>
        </w:rPr>
        <w:t xml:space="preserve">. </w:t>
      </w:r>
    </w:p>
    <w:p w:rsidRPr="00247BA8" w:rsidR="00557B5C" w:rsidP="00054419" w:rsidRDefault="00557B5C" w14:paraId="6042E46A" w14:textId="77777777">
      <w:pPr>
        <w:rPr>
          <w:rFonts w:ascii="Verdana" w:hAnsi="Verdana"/>
          <w:color w:val="000000" w:themeColor="text1"/>
          <w:sz w:val="18"/>
          <w:szCs w:val="18"/>
        </w:rPr>
      </w:pPr>
    </w:p>
    <w:p w:rsidRPr="00247BA8" w:rsidR="001D67A6" w:rsidP="001D67A6" w:rsidRDefault="001D67A6" w14:paraId="69C6AE47" w14:textId="5C840B7E">
      <w:pPr>
        <w:rPr>
          <w:rFonts w:ascii="Verdana" w:hAnsi="Verdana"/>
          <w:color w:val="000000" w:themeColor="text1"/>
          <w:sz w:val="18"/>
          <w:szCs w:val="18"/>
        </w:rPr>
      </w:pPr>
      <w:r w:rsidRPr="00247BA8">
        <w:rPr>
          <w:rFonts w:ascii="Verdana" w:hAnsi="Verdana"/>
          <w:color w:val="000000" w:themeColor="text1"/>
          <w:sz w:val="18"/>
          <w:szCs w:val="18"/>
        </w:rPr>
        <w:t xml:space="preserve">Het doel van basisregistraties was en is niet alleen om de kwaliteit van gegevens die van belang zijn voor verschillende publieke taken op orde te brengen, maar ook dat </w:t>
      </w:r>
      <w:r w:rsidRPr="00247BA8" w:rsidR="00163A6B">
        <w:rPr>
          <w:rFonts w:ascii="Verdana" w:hAnsi="Verdana"/>
          <w:color w:val="000000" w:themeColor="text1"/>
          <w:sz w:val="18"/>
          <w:szCs w:val="18"/>
        </w:rPr>
        <w:t>iedereen</w:t>
      </w:r>
      <w:r w:rsidRPr="00247BA8">
        <w:rPr>
          <w:rFonts w:ascii="Verdana" w:hAnsi="Verdana"/>
          <w:color w:val="000000" w:themeColor="text1"/>
          <w:sz w:val="18"/>
          <w:szCs w:val="18"/>
        </w:rPr>
        <w:t xml:space="preserve"> deze gegevens k</w:t>
      </w:r>
      <w:r w:rsidRPr="00247BA8" w:rsidR="00163A6B">
        <w:rPr>
          <w:rFonts w:ascii="Verdana" w:hAnsi="Verdana"/>
          <w:color w:val="000000" w:themeColor="text1"/>
          <w:sz w:val="18"/>
          <w:szCs w:val="18"/>
        </w:rPr>
        <w:t>a</w:t>
      </w:r>
      <w:r w:rsidRPr="00247BA8">
        <w:rPr>
          <w:rFonts w:ascii="Verdana" w:hAnsi="Verdana"/>
          <w:color w:val="000000" w:themeColor="text1"/>
          <w:sz w:val="18"/>
          <w:szCs w:val="18"/>
        </w:rPr>
        <w:t>n hergebruiken, tenzij een uitzonderingsgrond van toepassing is. Onder deze uitzonderingsgronden vallen persoonsgegevens</w:t>
      </w:r>
      <w:r w:rsidRPr="00247BA8">
        <w:rPr>
          <w:rFonts w:ascii="Verdana" w:hAnsi="Verdana"/>
          <w:color w:val="000000" w:themeColor="text1"/>
          <w:sz w:val="18"/>
          <w:szCs w:val="18"/>
          <w:vertAlign w:val="superscript"/>
        </w:rPr>
        <w:footnoteReference w:id="26"/>
      </w:r>
      <w:r w:rsidRPr="00247BA8">
        <w:rPr>
          <w:rFonts w:ascii="Verdana" w:hAnsi="Verdana"/>
          <w:color w:val="000000" w:themeColor="text1"/>
          <w:sz w:val="18"/>
          <w:szCs w:val="18"/>
        </w:rPr>
        <w:t xml:space="preserve"> en die als genoemd in artikel 5.1 van de Wet open overheid (</w:t>
      </w:r>
      <w:proofErr w:type="spellStart"/>
      <w:r w:rsidRPr="00247BA8">
        <w:rPr>
          <w:rFonts w:ascii="Verdana" w:hAnsi="Verdana"/>
          <w:color w:val="000000" w:themeColor="text1"/>
          <w:sz w:val="18"/>
          <w:szCs w:val="18"/>
        </w:rPr>
        <w:t>Woo</w:t>
      </w:r>
      <w:proofErr w:type="spellEnd"/>
      <w:r w:rsidRPr="00247BA8">
        <w:rPr>
          <w:rFonts w:ascii="Verdana" w:hAnsi="Verdana"/>
          <w:color w:val="000000" w:themeColor="text1"/>
          <w:sz w:val="18"/>
          <w:szCs w:val="18"/>
        </w:rPr>
        <w:t xml:space="preserve">; artikel 24, tweede lid, van de Wet </w:t>
      </w:r>
      <w:proofErr w:type="spellStart"/>
      <w:r w:rsidRPr="00247BA8">
        <w:rPr>
          <w:rFonts w:ascii="Verdana" w:hAnsi="Verdana"/>
          <w:color w:val="000000" w:themeColor="text1"/>
          <w:sz w:val="18"/>
          <w:szCs w:val="18"/>
        </w:rPr>
        <w:t>Bro</w:t>
      </w:r>
      <w:proofErr w:type="spellEnd"/>
      <w:r w:rsidRPr="00247BA8">
        <w:rPr>
          <w:rFonts w:ascii="Verdana" w:hAnsi="Verdana"/>
          <w:color w:val="000000" w:themeColor="text1"/>
          <w:sz w:val="18"/>
          <w:szCs w:val="18"/>
        </w:rPr>
        <w:t xml:space="preserve">). </w:t>
      </w:r>
    </w:p>
    <w:p w:rsidRPr="00247BA8" w:rsidR="001D67A6" w:rsidP="001D67A6" w:rsidRDefault="00163A6B" w14:paraId="0618BBF5" w14:textId="00BD24C3">
      <w:pPr>
        <w:rPr>
          <w:rFonts w:ascii="Verdana" w:hAnsi="Verdana"/>
          <w:color w:val="000000" w:themeColor="text1"/>
          <w:sz w:val="18"/>
          <w:szCs w:val="18"/>
        </w:rPr>
      </w:pPr>
      <w:r w:rsidRPr="00247BA8">
        <w:rPr>
          <w:rFonts w:ascii="Verdana" w:hAnsi="Verdana"/>
          <w:color w:val="000000" w:themeColor="text1"/>
          <w:sz w:val="18"/>
          <w:szCs w:val="18"/>
        </w:rPr>
        <w:t>Daarnaast zijn a</w:t>
      </w:r>
      <w:r w:rsidRPr="00247BA8" w:rsidR="001D67A6">
        <w:rPr>
          <w:rFonts w:ascii="Verdana" w:hAnsi="Verdana"/>
          <w:color w:val="000000" w:themeColor="text1"/>
          <w:sz w:val="18"/>
          <w:szCs w:val="18"/>
        </w:rPr>
        <w:t>lle mijnbouwgegevens gedurende vijf jaar vertrouwelijk (artikel 116, tweede lid, en artikel 109 van het Mijnbouwbesluit).</w:t>
      </w:r>
      <w:r w:rsidRPr="00247BA8" w:rsidR="001D67A6">
        <w:rPr>
          <w:rFonts w:ascii="Verdana" w:hAnsi="Verdana"/>
          <w:color w:val="000000" w:themeColor="text1"/>
          <w:sz w:val="18"/>
          <w:szCs w:val="18"/>
          <w:vertAlign w:val="superscript"/>
        </w:rPr>
        <w:footnoteReference w:id="27"/>
      </w:r>
      <w:r w:rsidRPr="00247BA8" w:rsidR="001D67A6">
        <w:rPr>
          <w:rFonts w:ascii="Verdana" w:hAnsi="Verdana"/>
          <w:color w:val="000000" w:themeColor="text1"/>
          <w:sz w:val="18"/>
          <w:szCs w:val="18"/>
        </w:rPr>
        <w:t xml:space="preserve"> </w:t>
      </w:r>
    </w:p>
    <w:p w:rsidRPr="00247BA8" w:rsidR="001D67A6" w:rsidP="001D67A6" w:rsidRDefault="00163A6B" w14:paraId="7DEF482B" w14:textId="3629B622">
      <w:pPr>
        <w:rPr>
          <w:rFonts w:ascii="Verdana" w:hAnsi="Verdana"/>
          <w:color w:val="000000" w:themeColor="text1"/>
          <w:sz w:val="18"/>
          <w:szCs w:val="18"/>
        </w:rPr>
      </w:pPr>
      <w:r w:rsidRPr="00247BA8">
        <w:rPr>
          <w:rFonts w:ascii="Verdana" w:hAnsi="Verdana"/>
          <w:color w:val="000000" w:themeColor="text1"/>
          <w:sz w:val="18"/>
          <w:szCs w:val="18"/>
        </w:rPr>
        <w:t>Verder zijn</w:t>
      </w:r>
      <w:r w:rsidRPr="00247BA8" w:rsidR="001D67A6">
        <w:rPr>
          <w:rFonts w:ascii="Verdana" w:hAnsi="Verdana"/>
          <w:color w:val="000000" w:themeColor="text1"/>
          <w:sz w:val="18"/>
          <w:szCs w:val="18"/>
        </w:rPr>
        <w:t xml:space="preserve"> specifieke gegevens van de domeinen grondwater en mijnbouw als kritieke sectoren energie en drinkwater</w:t>
      </w:r>
      <w:r w:rsidRPr="00247BA8" w:rsidR="001D67A6">
        <w:rPr>
          <w:rFonts w:ascii="Verdana" w:hAnsi="Verdana"/>
          <w:color w:val="000000" w:themeColor="text1"/>
          <w:sz w:val="18"/>
          <w:szCs w:val="18"/>
          <w:vertAlign w:val="superscript"/>
        </w:rPr>
        <w:footnoteReference w:id="28"/>
      </w:r>
      <w:r w:rsidRPr="00247BA8" w:rsidR="001D67A6">
        <w:rPr>
          <w:rFonts w:ascii="Verdana" w:hAnsi="Verdana"/>
          <w:color w:val="000000" w:themeColor="text1"/>
          <w:sz w:val="18"/>
          <w:szCs w:val="18"/>
        </w:rPr>
        <w:t xml:space="preserve"> </w:t>
      </w:r>
      <w:r w:rsidRPr="00247BA8">
        <w:rPr>
          <w:rFonts w:ascii="Verdana" w:hAnsi="Verdana"/>
          <w:color w:val="000000" w:themeColor="text1"/>
          <w:sz w:val="18"/>
          <w:szCs w:val="18"/>
        </w:rPr>
        <w:t>niet openbaar</w:t>
      </w:r>
      <w:r w:rsidRPr="00247BA8" w:rsidR="001D67A6">
        <w:rPr>
          <w:rFonts w:ascii="Verdana" w:hAnsi="Verdana"/>
          <w:color w:val="000000" w:themeColor="text1"/>
          <w:sz w:val="18"/>
          <w:szCs w:val="18"/>
        </w:rPr>
        <w:t xml:space="preserve"> </w:t>
      </w:r>
      <w:r w:rsidRPr="00247BA8">
        <w:rPr>
          <w:rFonts w:ascii="Verdana" w:hAnsi="Verdana"/>
          <w:color w:val="000000" w:themeColor="text1"/>
          <w:sz w:val="18"/>
          <w:szCs w:val="18"/>
        </w:rPr>
        <w:t>(</w:t>
      </w:r>
      <w:r w:rsidRPr="00247BA8" w:rsidR="001D67A6">
        <w:rPr>
          <w:rFonts w:ascii="Verdana" w:hAnsi="Verdana"/>
          <w:color w:val="000000" w:themeColor="text1"/>
          <w:sz w:val="18"/>
          <w:szCs w:val="18"/>
        </w:rPr>
        <w:t>Wet beveiliging netwerk- en informatiesystemen (</w:t>
      </w:r>
      <w:r w:rsidRPr="00247BA8" w:rsidR="00395A3A">
        <w:rPr>
          <w:rFonts w:ascii="Verdana" w:hAnsi="Verdana"/>
          <w:color w:val="000000" w:themeColor="text1"/>
          <w:sz w:val="18"/>
          <w:szCs w:val="18"/>
        </w:rPr>
        <w:t xml:space="preserve">hierna: </w:t>
      </w:r>
      <w:proofErr w:type="spellStart"/>
      <w:r w:rsidRPr="00247BA8" w:rsidR="001D67A6">
        <w:rPr>
          <w:rFonts w:ascii="Verdana" w:hAnsi="Verdana"/>
          <w:color w:val="000000" w:themeColor="text1"/>
          <w:sz w:val="18"/>
          <w:szCs w:val="18"/>
        </w:rPr>
        <w:t>Wbni</w:t>
      </w:r>
      <w:proofErr w:type="spellEnd"/>
      <w:r w:rsidRPr="00247BA8" w:rsidR="001D67A6">
        <w:rPr>
          <w:rFonts w:ascii="Verdana" w:hAnsi="Verdana"/>
          <w:color w:val="000000" w:themeColor="text1"/>
          <w:sz w:val="18"/>
          <w:szCs w:val="18"/>
        </w:rPr>
        <w:t>)</w:t>
      </w:r>
      <w:r w:rsidRPr="00247BA8">
        <w:rPr>
          <w:rFonts w:ascii="Verdana" w:hAnsi="Verdana"/>
          <w:color w:val="000000" w:themeColor="text1"/>
          <w:sz w:val="18"/>
          <w:szCs w:val="18"/>
        </w:rPr>
        <w:t>;</w:t>
      </w:r>
      <w:r w:rsidRPr="00247BA8" w:rsidR="001D67A6">
        <w:rPr>
          <w:rFonts w:ascii="Verdana" w:hAnsi="Verdana"/>
          <w:color w:val="000000" w:themeColor="text1"/>
          <w:sz w:val="18"/>
          <w:szCs w:val="18"/>
          <w:vertAlign w:val="superscript"/>
        </w:rPr>
        <w:footnoteReference w:id="29"/>
      </w:r>
      <w:r w:rsidRPr="00247BA8" w:rsidR="001D67A6">
        <w:rPr>
          <w:rFonts w:ascii="Verdana" w:hAnsi="Verdana"/>
          <w:color w:val="000000" w:themeColor="text1"/>
          <w:sz w:val="18"/>
          <w:szCs w:val="18"/>
        </w:rPr>
        <w:t xml:space="preserve"> Bijlage bij artikel 8.8 van de </w:t>
      </w:r>
      <w:proofErr w:type="spellStart"/>
      <w:r w:rsidRPr="00247BA8" w:rsidR="001D67A6">
        <w:rPr>
          <w:rFonts w:ascii="Verdana" w:hAnsi="Verdana"/>
          <w:color w:val="000000" w:themeColor="text1"/>
          <w:sz w:val="18"/>
          <w:szCs w:val="18"/>
        </w:rPr>
        <w:t>Woo</w:t>
      </w:r>
      <w:proofErr w:type="spellEnd"/>
      <w:r w:rsidRPr="00247BA8" w:rsidR="001D67A6">
        <w:rPr>
          <w:rFonts w:ascii="Verdana" w:hAnsi="Verdana"/>
          <w:color w:val="000000" w:themeColor="text1"/>
          <w:sz w:val="18"/>
          <w:szCs w:val="18"/>
        </w:rPr>
        <w:t>).</w:t>
      </w:r>
    </w:p>
    <w:p w:rsidRPr="00247BA8" w:rsidR="001D67A6" w:rsidP="001D67A6" w:rsidRDefault="001D67A6" w14:paraId="5FB0933A" w14:textId="77777777">
      <w:pPr>
        <w:rPr>
          <w:rFonts w:ascii="Verdana" w:hAnsi="Verdana"/>
          <w:color w:val="000000" w:themeColor="text1"/>
          <w:sz w:val="18"/>
          <w:szCs w:val="18"/>
        </w:rPr>
      </w:pPr>
      <w:r w:rsidRPr="00247BA8">
        <w:rPr>
          <w:rFonts w:ascii="Verdana" w:hAnsi="Verdana"/>
          <w:color w:val="000000" w:themeColor="text1"/>
          <w:sz w:val="18"/>
          <w:szCs w:val="18"/>
        </w:rPr>
        <w:t>Een bronhouder, bestuursorgaan of drinkwaterbedrijf, mag niet-openbare gegevens raadplegen voor zover deze gegevens noodzakelijk zijn voor de goede vervulling van zijn publiekrechtelijke taak. Ook drinkwaterbedrijven vervullen publiekrechtelijke taken.</w:t>
      </w:r>
      <w:r w:rsidRPr="00247BA8">
        <w:rPr>
          <w:rFonts w:ascii="Verdana" w:hAnsi="Verdana"/>
          <w:color w:val="000000" w:themeColor="text1"/>
          <w:sz w:val="18"/>
          <w:szCs w:val="18"/>
          <w:vertAlign w:val="superscript"/>
        </w:rPr>
        <w:footnoteReference w:id="30"/>
      </w:r>
      <w:r w:rsidRPr="00247BA8">
        <w:rPr>
          <w:rFonts w:ascii="Verdana" w:hAnsi="Verdana"/>
          <w:color w:val="000000" w:themeColor="text1"/>
          <w:sz w:val="18"/>
          <w:szCs w:val="18"/>
        </w:rPr>
        <w:t xml:space="preserve"> </w:t>
      </w:r>
    </w:p>
    <w:p w:rsidRPr="00247BA8" w:rsidR="001D67A6" w:rsidP="001D67A6" w:rsidRDefault="001D67A6" w14:paraId="140D10C8" w14:textId="77777777">
      <w:pPr>
        <w:rPr>
          <w:rFonts w:ascii="Verdana" w:hAnsi="Verdana"/>
          <w:color w:val="000000" w:themeColor="text1"/>
          <w:sz w:val="18"/>
          <w:szCs w:val="18"/>
        </w:rPr>
      </w:pPr>
    </w:p>
    <w:p w:rsidRPr="00247BA8" w:rsidR="00557B5C" w:rsidP="081F2A66" w:rsidRDefault="081F2A66" w14:paraId="269352AD" w14:textId="43B847E1">
      <w:pPr>
        <w:rPr>
          <w:rFonts w:ascii="Verdana" w:hAnsi="Verdana"/>
          <w:color w:val="000000" w:themeColor="text1"/>
          <w:sz w:val="18"/>
          <w:szCs w:val="18"/>
        </w:rPr>
      </w:pPr>
      <w:r w:rsidRPr="081F2A66">
        <w:rPr>
          <w:rFonts w:ascii="Verdana" w:hAnsi="Verdana"/>
          <w:color w:val="000000" w:themeColor="text1"/>
          <w:sz w:val="18"/>
          <w:szCs w:val="18"/>
        </w:rPr>
        <w:t xml:space="preserve">Gegevens uit modellen zijn openbaar, omdat deze geaggregeerd zijn en dus niet te herleiden zijn tot een exacte coördinaat. </w:t>
      </w:r>
      <w:r w:rsidR="00421198">
        <w:rPr>
          <w:rFonts w:ascii="Verdana" w:hAnsi="Verdana"/>
          <w:color w:val="000000" w:themeColor="text1"/>
          <w:sz w:val="18"/>
          <w:szCs w:val="18"/>
        </w:rPr>
        <w:t>Dus iedereen kan deze modellen raadplegen.</w:t>
      </w:r>
    </w:p>
    <w:p w:rsidRPr="00247BA8" w:rsidR="003B5152" w:rsidP="00054419" w:rsidRDefault="0074322D" w14:paraId="6F27ADD1" w14:textId="52F78B06">
      <w:pPr>
        <w:rPr>
          <w:rFonts w:ascii="Verdana" w:hAnsi="Verdana"/>
          <w:i/>
          <w:iCs/>
          <w:color w:val="000000" w:themeColor="text1"/>
          <w:sz w:val="18"/>
          <w:szCs w:val="18"/>
        </w:rPr>
      </w:pPr>
      <w:r w:rsidRPr="00247BA8">
        <w:rPr>
          <w:rFonts w:ascii="Verdana" w:hAnsi="Verdana"/>
          <w:color w:val="000000" w:themeColor="text1"/>
          <w:sz w:val="18"/>
          <w:szCs w:val="18"/>
        </w:rPr>
        <w:br/>
      </w:r>
      <w:r w:rsidRPr="00247BA8" w:rsidR="009577FF">
        <w:rPr>
          <w:rFonts w:ascii="Verdana" w:hAnsi="Verdana"/>
          <w:i/>
          <w:iCs/>
          <w:color w:val="000000" w:themeColor="text1"/>
          <w:sz w:val="18"/>
          <w:szCs w:val="18"/>
        </w:rPr>
        <w:t>In het licht van recente data</w:t>
      </w:r>
      <w:r w:rsidRPr="00247BA8" w:rsidR="00DF0A35">
        <w:rPr>
          <w:rFonts w:ascii="Verdana" w:hAnsi="Verdana"/>
          <w:i/>
          <w:iCs/>
          <w:color w:val="000000" w:themeColor="text1"/>
          <w:sz w:val="18"/>
          <w:szCs w:val="18"/>
        </w:rPr>
        <w:t xml:space="preserve"> </w:t>
      </w:r>
      <w:proofErr w:type="spellStart"/>
      <w:r w:rsidRPr="00247BA8" w:rsidR="009577FF">
        <w:rPr>
          <w:rFonts w:ascii="Verdana" w:hAnsi="Verdana"/>
          <w:i/>
          <w:iCs/>
          <w:color w:val="000000" w:themeColor="text1"/>
          <w:sz w:val="18"/>
          <w:szCs w:val="18"/>
        </w:rPr>
        <w:t>hacks</w:t>
      </w:r>
      <w:proofErr w:type="spellEnd"/>
      <w:r w:rsidRPr="00247BA8" w:rsidR="009577FF">
        <w:rPr>
          <w:rFonts w:ascii="Verdana" w:hAnsi="Verdana"/>
          <w:i/>
          <w:iCs/>
          <w:color w:val="000000" w:themeColor="text1"/>
          <w:sz w:val="18"/>
          <w:szCs w:val="18"/>
        </w:rPr>
        <w:t xml:space="preserve"> waarbij grote hoeveelheid persoonlijke gegevens buit zijn gemaakt, </w:t>
      </w:r>
      <w:r w:rsidRPr="00247BA8" w:rsidR="00DF0A35">
        <w:rPr>
          <w:rFonts w:ascii="Verdana" w:hAnsi="Verdana"/>
          <w:i/>
          <w:iCs/>
          <w:color w:val="000000" w:themeColor="text1"/>
          <w:sz w:val="18"/>
          <w:szCs w:val="18"/>
        </w:rPr>
        <w:t>vragen zij of</w:t>
      </w:r>
      <w:r w:rsidRPr="00247BA8" w:rsidR="009577FF">
        <w:rPr>
          <w:rFonts w:ascii="Verdana" w:hAnsi="Verdana"/>
          <w:i/>
          <w:iCs/>
          <w:color w:val="000000" w:themeColor="text1"/>
          <w:sz w:val="18"/>
          <w:szCs w:val="18"/>
        </w:rPr>
        <w:t xml:space="preserve"> het vanuit digitale veiligheid verstandig </w:t>
      </w:r>
      <w:r w:rsidRPr="00247BA8" w:rsidR="00DF0A35">
        <w:rPr>
          <w:rFonts w:ascii="Verdana" w:hAnsi="Verdana"/>
          <w:i/>
          <w:iCs/>
          <w:color w:val="000000" w:themeColor="text1"/>
          <w:sz w:val="18"/>
          <w:szCs w:val="18"/>
        </w:rPr>
        <w:t xml:space="preserve">is </w:t>
      </w:r>
      <w:r w:rsidRPr="00247BA8" w:rsidR="009577FF">
        <w:rPr>
          <w:rFonts w:ascii="Verdana" w:hAnsi="Verdana"/>
          <w:i/>
          <w:iCs/>
          <w:color w:val="000000" w:themeColor="text1"/>
          <w:sz w:val="18"/>
          <w:szCs w:val="18"/>
        </w:rPr>
        <w:t xml:space="preserve">om alle gegevens (die gekenmerkt zijn als ‘vitale infrastructuur’) niet op </w:t>
      </w:r>
      <w:r w:rsidRPr="00247BA8" w:rsidR="00DF0A35">
        <w:rPr>
          <w:rFonts w:ascii="Verdana" w:hAnsi="Verdana"/>
          <w:i/>
          <w:iCs/>
          <w:color w:val="000000" w:themeColor="text1"/>
          <w:sz w:val="18"/>
          <w:szCs w:val="18"/>
        </w:rPr>
        <w:t>één</w:t>
      </w:r>
      <w:r w:rsidRPr="00247BA8" w:rsidR="009577FF">
        <w:rPr>
          <w:rFonts w:ascii="Verdana" w:hAnsi="Verdana"/>
          <w:i/>
          <w:iCs/>
          <w:color w:val="000000" w:themeColor="text1"/>
          <w:sz w:val="18"/>
          <w:szCs w:val="18"/>
        </w:rPr>
        <w:t xml:space="preserve"> plek inzichtelijk te maken voor alle organisaties die vanuit deze wet toegang hebben tot de gegevens</w:t>
      </w:r>
      <w:r w:rsidRPr="00247BA8" w:rsidR="00DF0A35">
        <w:rPr>
          <w:rFonts w:ascii="Verdana" w:hAnsi="Verdana"/>
          <w:i/>
          <w:iCs/>
          <w:color w:val="000000" w:themeColor="text1"/>
          <w:sz w:val="18"/>
          <w:szCs w:val="18"/>
        </w:rPr>
        <w:t>.</w:t>
      </w:r>
      <w:r w:rsidRPr="00247BA8" w:rsidR="009577FF">
        <w:rPr>
          <w:rFonts w:ascii="Verdana" w:hAnsi="Verdana"/>
          <w:i/>
          <w:iCs/>
          <w:color w:val="000000" w:themeColor="text1"/>
          <w:sz w:val="18"/>
          <w:szCs w:val="18"/>
        </w:rPr>
        <w:t xml:space="preserve"> </w:t>
      </w:r>
    </w:p>
    <w:p w:rsidRPr="00247BA8" w:rsidR="001A0C21" w:rsidP="00054419" w:rsidRDefault="001A0C21" w14:paraId="5071FBF3" w14:textId="77777777">
      <w:pPr>
        <w:rPr>
          <w:rFonts w:ascii="Verdana" w:hAnsi="Verdana"/>
          <w:color w:val="000000" w:themeColor="text1"/>
          <w:sz w:val="18"/>
          <w:szCs w:val="18"/>
        </w:rPr>
      </w:pPr>
    </w:p>
    <w:p w:rsidRPr="00247BA8" w:rsidR="001D67A6" w:rsidP="001D67A6" w:rsidRDefault="001D67A6" w14:paraId="4319EE63" w14:textId="55B27046">
      <w:pPr>
        <w:rPr>
          <w:rFonts w:ascii="Verdana" w:hAnsi="Verdana"/>
          <w:color w:val="000000" w:themeColor="text1"/>
          <w:sz w:val="18"/>
          <w:szCs w:val="18"/>
        </w:rPr>
      </w:pPr>
      <w:r w:rsidRPr="00247BA8">
        <w:rPr>
          <w:rFonts w:ascii="Verdana" w:hAnsi="Verdana"/>
          <w:color w:val="000000" w:themeColor="text1"/>
          <w:sz w:val="18"/>
          <w:szCs w:val="18"/>
        </w:rPr>
        <w:lastRenderedPageBreak/>
        <w:t xml:space="preserve">Bij raadpleging van niet-openbare gegevens moet voldaan zijn aan de </w:t>
      </w:r>
      <w:proofErr w:type="spellStart"/>
      <w:r w:rsidRPr="00247BA8">
        <w:rPr>
          <w:rFonts w:ascii="Verdana" w:hAnsi="Verdana"/>
          <w:color w:val="000000" w:themeColor="text1"/>
          <w:sz w:val="18"/>
          <w:szCs w:val="18"/>
        </w:rPr>
        <w:t>Wbni</w:t>
      </w:r>
      <w:proofErr w:type="spellEnd"/>
      <w:r w:rsidRPr="00247BA8">
        <w:rPr>
          <w:rFonts w:ascii="Verdana" w:hAnsi="Verdana"/>
          <w:color w:val="000000" w:themeColor="text1"/>
          <w:sz w:val="18"/>
          <w:szCs w:val="18"/>
        </w:rPr>
        <w:t xml:space="preserve"> en de Critical </w:t>
      </w:r>
      <w:proofErr w:type="spellStart"/>
      <w:r w:rsidRPr="00247BA8">
        <w:rPr>
          <w:rFonts w:ascii="Verdana" w:hAnsi="Verdana"/>
          <w:color w:val="000000" w:themeColor="text1"/>
          <w:sz w:val="18"/>
          <w:szCs w:val="18"/>
        </w:rPr>
        <w:t>Entities</w:t>
      </w:r>
      <w:proofErr w:type="spellEnd"/>
      <w:r w:rsidRPr="00247BA8">
        <w:rPr>
          <w:rFonts w:ascii="Verdana" w:hAnsi="Verdana"/>
          <w:color w:val="000000" w:themeColor="text1"/>
          <w:sz w:val="18"/>
          <w:szCs w:val="18"/>
        </w:rPr>
        <w:t xml:space="preserve"> </w:t>
      </w:r>
      <w:proofErr w:type="spellStart"/>
      <w:r w:rsidRPr="00247BA8">
        <w:rPr>
          <w:rFonts w:ascii="Verdana" w:hAnsi="Verdana"/>
          <w:color w:val="000000" w:themeColor="text1"/>
          <w:sz w:val="18"/>
          <w:szCs w:val="18"/>
        </w:rPr>
        <w:t>Resilience</w:t>
      </w:r>
      <w:proofErr w:type="spellEnd"/>
      <w:r w:rsidRPr="00247BA8">
        <w:rPr>
          <w:rFonts w:ascii="Verdana" w:hAnsi="Verdana"/>
          <w:color w:val="000000" w:themeColor="text1"/>
          <w:sz w:val="18"/>
          <w:szCs w:val="18"/>
        </w:rPr>
        <w:t xml:space="preserve"> Directive (CER)-</w:t>
      </w:r>
      <w:r w:rsidRPr="00247BA8">
        <w:rPr>
          <w:rFonts w:ascii="Verdana" w:hAnsi="Verdana"/>
          <w:color w:val="000000" w:themeColor="text1"/>
          <w:sz w:val="18"/>
          <w:szCs w:val="18"/>
          <w:vertAlign w:val="superscript"/>
        </w:rPr>
        <w:footnoteReference w:id="31"/>
      </w:r>
      <w:r w:rsidRPr="00247BA8">
        <w:rPr>
          <w:rFonts w:ascii="Verdana" w:hAnsi="Verdana"/>
          <w:color w:val="000000" w:themeColor="text1"/>
          <w:sz w:val="18"/>
          <w:szCs w:val="18"/>
        </w:rPr>
        <w:t xml:space="preserve"> en NIS2-richtlijnen.</w:t>
      </w:r>
      <w:r w:rsidRPr="00247BA8">
        <w:rPr>
          <w:rFonts w:ascii="Verdana" w:hAnsi="Verdana"/>
          <w:color w:val="000000" w:themeColor="text1"/>
          <w:sz w:val="18"/>
          <w:szCs w:val="18"/>
          <w:vertAlign w:val="superscript"/>
        </w:rPr>
        <w:footnoteReference w:id="32"/>
      </w:r>
      <w:r w:rsidRPr="00247BA8">
        <w:rPr>
          <w:rFonts w:ascii="Verdana" w:hAnsi="Verdana"/>
          <w:color w:val="000000" w:themeColor="text1"/>
          <w:sz w:val="18"/>
          <w:szCs w:val="18"/>
        </w:rPr>
        <w:t xml:space="preserve"> </w:t>
      </w:r>
    </w:p>
    <w:p w:rsidRPr="00247BA8" w:rsidR="001D67A6" w:rsidP="001D67A6" w:rsidRDefault="001D67A6" w14:paraId="54DB1ED6" w14:textId="04F78192">
      <w:pPr>
        <w:rPr>
          <w:rFonts w:ascii="Verdana" w:hAnsi="Verdana"/>
          <w:color w:val="000000" w:themeColor="text1"/>
          <w:sz w:val="18"/>
          <w:szCs w:val="18"/>
        </w:rPr>
      </w:pPr>
      <w:r w:rsidRPr="00247BA8">
        <w:rPr>
          <w:rFonts w:ascii="Verdana" w:hAnsi="Verdana"/>
          <w:color w:val="000000" w:themeColor="text1"/>
          <w:sz w:val="18"/>
          <w:szCs w:val="18"/>
        </w:rPr>
        <w:t xml:space="preserve">Deze gegevens worden geleverd via een beveiligde digitale koppeling door of in naam van een bronhouder. </w:t>
      </w:r>
    </w:p>
    <w:p w:rsidRPr="00247BA8" w:rsidR="00FC02F6" w:rsidP="0093257B" w:rsidRDefault="00FC02F6" w14:paraId="71EA0EE5" w14:textId="44EC94EC">
      <w:pPr>
        <w:rPr>
          <w:rFonts w:ascii="Verdana" w:hAnsi="Verdana"/>
          <w:color w:val="000000" w:themeColor="text1"/>
          <w:sz w:val="18"/>
          <w:szCs w:val="18"/>
        </w:rPr>
      </w:pPr>
      <w:r w:rsidRPr="00247BA8">
        <w:rPr>
          <w:rFonts w:ascii="Verdana" w:hAnsi="Verdana"/>
          <w:color w:val="000000" w:themeColor="text1"/>
          <w:sz w:val="18"/>
          <w:szCs w:val="18"/>
        </w:rPr>
        <w:t xml:space="preserve">Daarbij ziet de Inspectie Leefomgeving en Transport (ILT) ook toe op de cyberveiligheid van de drinkwatersector. </w:t>
      </w:r>
    </w:p>
    <w:p w:rsidRPr="00247BA8" w:rsidR="00E712F6" w:rsidP="00054419" w:rsidRDefault="0074322D" w14:paraId="71E8A00B" w14:textId="787A00A6">
      <w:pPr>
        <w:rPr>
          <w:rFonts w:ascii="Verdana" w:hAnsi="Verdana"/>
          <w:i/>
          <w:iCs/>
          <w:color w:val="000000" w:themeColor="text1"/>
          <w:sz w:val="18"/>
          <w:szCs w:val="18"/>
        </w:rPr>
      </w:pPr>
      <w:r w:rsidRPr="00247BA8">
        <w:rPr>
          <w:rFonts w:ascii="Verdana" w:hAnsi="Verdana"/>
          <w:color w:val="000000" w:themeColor="text1"/>
          <w:sz w:val="18"/>
          <w:szCs w:val="18"/>
        </w:rPr>
        <w:br/>
      </w:r>
      <w:r w:rsidRPr="00247BA8" w:rsidR="009577FF">
        <w:rPr>
          <w:rFonts w:ascii="Verdana" w:hAnsi="Verdana"/>
          <w:i/>
          <w:iCs/>
          <w:color w:val="000000" w:themeColor="text1"/>
          <w:sz w:val="18"/>
          <w:szCs w:val="18"/>
        </w:rPr>
        <w:t xml:space="preserve">In hoeverre wordt de winning van oppervlaktewater door drinkwaterbedrijven meegenomen als bron, en hoe worden de gegevens daarvan gebruikt? </w:t>
      </w:r>
    </w:p>
    <w:p w:rsidRPr="00247BA8" w:rsidR="00831FA1" w:rsidP="00054419" w:rsidRDefault="00831FA1" w14:paraId="0D9713B7" w14:textId="77777777">
      <w:pPr>
        <w:rPr>
          <w:rFonts w:ascii="Verdana" w:hAnsi="Verdana"/>
          <w:color w:val="000000" w:themeColor="text1"/>
          <w:sz w:val="18"/>
          <w:szCs w:val="18"/>
        </w:rPr>
      </w:pPr>
    </w:p>
    <w:p w:rsidRPr="00247BA8" w:rsidR="00D83522" w:rsidP="00054419" w:rsidRDefault="00D83522" w14:paraId="646A2C9D" w14:textId="3C1862F7">
      <w:pPr>
        <w:rPr>
          <w:rFonts w:ascii="Verdana" w:hAnsi="Verdana"/>
          <w:color w:val="000000" w:themeColor="text1"/>
          <w:sz w:val="18"/>
          <w:szCs w:val="18"/>
        </w:rPr>
      </w:pPr>
      <w:r w:rsidRPr="00247BA8">
        <w:rPr>
          <w:rFonts w:ascii="Verdana" w:hAnsi="Verdana"/>
          <w:color w:val="000000" w:themeColor="text1"/>
          <w:sz w:val="18"/>
          <w:szCs w:val="18"/>
        </w:rPr>
        <w:t>De</w:t>
      </w:r>
      <w:r w:rsidRPr="00247BA8" w:rsidR="00DA1FF6">
        <w:rPr>
          <w:rFonts w:ascii="Verdana" w:hAnsi="Verdana"/>
          <w:color w:val="000000" w:themeColor="text1"/>
          <w:sz w:val="18"/>
          <w:szCs w:val="18"/>
        </w:rPr>
        <w:t xml:space="preserve"> </w:t>
      </w:r>
      <w:r w:rsidRPr="00247BA8" w:rsidR="00E712F6">
        <w:rPr>
          <w:rFonts w:ascii="Verdana" w:hAnsi="Verdana"/>
          <w:color w:val="000000" w:themeColor="text1"/>
          <w:sz w:val="18"/>
          <w:szCs w:val="18"/>
        </w:rPr>
        <w:t xml:space="preserve">Wet </w:t>
      </w:r>
      <w:proofErr w:type="spellStart"/>
      <w:r w:rsidRPr="00247BA8" w:rsidR="00E712F6">
        <w:rPr>
          <w:rFonts w:ascii="Verdana" w:hAnsi="Verdana"/>
          <w:color w:val="000000" w:themeColor="text1"/>
          <w:sz w:val="18"/>
          <w:szCs w:val="18"/>
        </w:rPr>
        <w:t>B</w:t>
      </w:r>
      <w:r w:rsidRPr="00247BA8" w:rsidR="00DA1FF6">
        <w:rPr>
          <w:rFonts w:ascii="Verdana" w:hAnsi="Verdana"/>
          <w:color w:val="000000" w:themeColor="text1"/>
          <w:sz w:val="18"/>
          <w:szCs w:val="18"/>
        </w:rPr>
        <w:t>ro</w:t>
      </w:r>
      <w:proofErr w:type="spellEnd"/>
      <w:r w:rsidRPr="00247BA8" w:rsidR="00E712F6">
        <w:rPr>
          <w:rFonts w:ascii="Verdana" w:hAnsi="Verdana"/>
          <w:color w:val="000000" w:themeColor="text1"/>
          <w:sz w:val="18"/>
          <w:szCs w:val="18"/>
        </w:rPr>
        <w:t xml:space="preserve"> raakt de drinkwaterbedrijven daar waar </w:t>
      </w:r>
      <w:r w:rsidRPr="00247BA8" w:rsidR="00A1702B">
        <w:rPr>
          <w:rFonts w:ascii="Verdana" w:hAnsi="Verdana"/>
          <w:color w:val="000000" w:themeColor="text1"/>
          <w:sz w:val="18"/>
          <w:szCs w:val="18"/>
        </w:rPr>
        <w:t xml:space="preserve">zij </w:t>
      </w:r>
      <w:r w:rsidRPr="00247BA8" w:rsidR="00E712F6">
        <w:rPr>
          <w:rFonts w:ascii="Verdana" w:hAnsi="Verdana"/>
          <w:color w:val="000000" w:themeColor="text1"/>
          <w:sz w:val="18"/>
          <w:szCs w:val="18"/>
        </w:rPr>
        <w:t>gebruik mak</w:t>
      </w:r>
      <w:r w:rsidRPr="00247BA8" w:rsidR="00A1702B">
        <w:rPr>
          <w:rFonts w:ascii="Verdana" w:hAnsi="Verdana"/>
          <w:color w:val="000000" w:themeColor="text1"/>
          <w:sz w:val="18"/>
          <w:szCs w:val="18"/>
        </w:rPr>
        <w:t>en</w:t>
      </w:r>
      <w:r w:rsidRPr="00247BA8" w:rsidR="00E712F6">
        <w:rPr>
          <w:rFonts w:ascii="Verdana" w:hAnsi="Verdana"/>
          <w:color w:val="000000" w:themeColor="text1"/>
          <w:sz w:val="18"/>
          <w:szCs w:val="18"/>
        </w:rPr>
        <w:t xml:space="preserve"> van de ondergrond in het productieproces. Dat kan middels een grondwaterwinning of via een oevergrondwaterwinning zijn. Winningen die gebruik maken van het </w:t>
      </w:r>
      <w:r w:rsidRPr="00247BA8">
        <w:rPr>
          <w:rFonts w:ascii="Verdana" w:hAnsi="Verdana"/>
          <w:color w:val="000000" w:themeColor="text1"/>
          <w:sz w:val="18"/>
          <w:szCs w:val="18"/>
        </w:rPr>
        <w:t xml:space="preserve">oppervlaktewater </w:t>
      </w:r>
      <w:r w:rsidRPr="00247BA8" w:rsidR="00E712F6">
        <w:rPr>
          <w:rFonts w:ascii="Verdana" w:hAnsi="Verdana"/>
          <w:color w:val="000000" w:themeColor="text1"/>
          <w:sz w:val="18"/>
          <w:szCs w:val="18"/>
        </w:rPr>
        <w:t xml:space="preserve">zonder dat daarbij sprake is van een bodempassage, </w:t>
      </w:r>
      <w:r w:rsidRPr="00247BA8">
        <w:rPr>
          <w:rFonts w:ascii="Verdana" w:hAnsi="Verdana"/>
          <w:color w:val="000000" w:themeColor="text1"/>
          <w:sz w:val="18"/>
          <w:szCs w:val="18"/>
        </w:rPr>
        <w:t xml:space="preserve">en kantonttrekkingen vallen niet onder de </w:t>
      </w:r>
      <w:r w:rsidRPr="00247BA8" w:rsidR="00DA1FF6">
        <w:rPr>
          <w:rFonts w:ascii="Verdana" w:hAnsi="Verdana"/>
          <w:color w:val="000000" w:themeColor="text1"/>
          <w:sz w:val="18"/>
          <w:szCs w:val="18"/>
        </w:rPr>
        <w:t xml:space="preserve">werking van de </w:t>
      </w:r>
      <w:r w:rsidRPr="00247BA8">
        <w:rPr>
          <w:rFonts w:ascii="Verdana" w:hAnsi="Verdana"/>
          <w:color w:val="000000" w:themeColor="text1"/>
          <w:sz w:val="18"/>
          <w:szCs w:val="18"/>
        </w:rPr>
        <w:t xml:space="preserve">Wet </w:t>
      </w:r>
      <w:proofErr w:type="spellStart"/>
      <w:r w:rsidRPr="00247BA8">
        <w:rPr>
          <w:rFonts w:ascii="Verdana" w:hAnsi="Verdana"/>
          <w:color w:val="000000" w:themeColor="text1"/>
          <w:sz w:val="18"/>
          <w:szCs w:val="18"/>
        </w:rPr>
        <w:t>Bro</w:t>
      </w:r>
      <w:proofErr w:type="spellEnd"/>
      <w:r w:rsidRPr="00247BA8">
        <w:rPr>
          <w:rFonts w:ascii="Verdana" w:hAnsi="Verdana"/>
          <w:color w:val="000000" w:themeColor="text1"/>
          <w:sz w:val="18"/>
          <w:szCs w:val="18"/>
        </w:rPr>
        <w:t xml:space="preserve"> en worden derhalve ook niet opgenomen in de </w:t>
      </w:r>
      <w:r w:rsidRPr="00247BA8" w:rsidR="00E712F6">
        <w:rPr>
          <w:rFonts w:ascii="Verdana" w:hAnsi="Verdana"/>
          <w:color w:val="000000" w:themeColor="text1"/>
          <w:sz w:val="18"/>
          <w:szCs w:val="18"/>
        </w:rPr>
        <w:t>BRO</w:t>
      </w:r>
      <w:r w:rsidRPr="00247BA8">
        <w:rPr>
          <w:rFonts w:ascii="Verdana" w:hAnsi="Verdana"/>
          <w:color w:val="000000" w:themeColor="text1"/>
          <w:sz w:val="18"/>
          <w:szCs w:val="18"/>
        </w:rPr>
        <w:t>.</w:t>
      </w:r>
    </w:p>
    <w:p w:rsidRPr="00247BA8" w:rsidR="00511911" w:rsidP="00054419" w:rsidRDefault="00511911" w14:paraId="63E86000" w14:textId="77777777">
      <w:pPr>
        <w:rPr>
          <w:rFonts w:ascii="Verdana" w:hAnsi="Verdana"/>
          <w:color w:val="000000" w:themeColor="text1"/>
          <w:sz w:val="18"/>
          <w:szCs w:val="18"/>
        </w:rPr>
      </w:pPr>
    </w:p>
    <w:p w:rsidRPr="00247BA8" w:rsidR="00831FA1" w:rsidP="00054419" w:rsidRDefault="009577FF" w14:paraId="24797554" w14:textId="77777777">
      <w:pPr>
        <w:rPr>
          <w:rFonts w:ascii="Verdana" w:hAnsi="Verdana"/>
          <w:i/>
          <w:iCs/>
          <w:color w:val="000000" w:themeColor="text1"/>
          <w:sz w:val="18"/>
          <w:szCs w:val="18"/>
        </w:rPr>
      </w:pPr>
      <w:r w:rsidRPr="00247BA8">
        <w:rPr>
          <w:rFonts w:ascii="Verdana" w:hAnsi="Verdana"/>
          <w:i/>
          <w:iCs/>
          <w:color w:val="000000" w:themeColor="text1"/>
          <w:sz w:val="18"/>
          <w:szCs w:val="18"/>
        </w:rPr>
        <w:t>Hebben drinkwaterbedrijven mogelijk commercieel belang bij de inzichtelijkheid van de gegevens uit andere gebieden?</w:t>
      </w:r>
    </w:p>
    <w:p w:rsidRPr="00247BA8" w:rsidR="00054419" w:rsidP="00054419" w:rsidRDefault="0074322D" w14:paraId="1DF81550" w14:textId="049C882F">
      <w:pPr>
        <w:rPr>
          <w:rFonts w:ascii="Verdana" w:hAnsi="Verdana"/>
          <w:color w:val="000000" w:themeColor="text1"/>
          <w:sz w:val="18"/>
          <w:szCs w:val="18"/>
        </w:rPr>
      </w:pPr>
      <w:r w:rsidRPr="00247BA8">
        <w:rPr>
          <w:rFonts w:ascii="Verdana" w:hAnsi="Verdana"/>
          <w:i/>
          <w:iCs/>
          <w:color w:val="000000" w:themeColor="text1"/>
          <w:sz w:val="18"/>
          <w:szCs w:val="18"/>
        </w:rPr>
        <w:br/>
      </w:r>
      <w:r w:rsidRPr="00247BA8" w:rsidR="00BC1D7D">
        <w:rPr>
          <w:rFonts w:ascii="Verdana" w:hAnsi="Verdana"/>
          <w:color w:val="000000" w:themeColor="text1"/>
          <w:sz w:val="18"/>
          <w:szCs w:val="18"/>
        </w:rPr>
        <w:t>Drinkwaterbedrijven mogen niet buiten hun eigen distributiegebied leveren</w:t>
      </w:r>
      <w:r w:rsidRPr="00247BA8" w:rsidR="00511911">
        <w:rPr>
          <w:rFonts w:ascii="Verdana" w:hAnsi="Verdana"/>
          <w:color w:val="000000" w:themeColor="text1"/>
          <w:sz w:val="18"/>
          <w:szCs w:val="18"/>
        </w:rPr>
        <w:t xml:space="preserve"> (artikel 5 van de Drinkwaterwet)</w:t>
      </w:r>
      <w:r w:rsidRPr="00247BA8" w:rsidR="00A1702B">
        <w:rPr>
          <w:rFonts w:ascii="Verdana" w:hAnsi="Verdana"/>
          <w:color w:val="000000" w:themeColor="text1"/>
          <w:sz w:val="18"/>
          <w:szCs w:val="18"/>
        </w:rPr>
        <w:t xml:space="preserve"> en</w:t>
      </w:r>
      <w:r w:rsidRPr="00247BA8" w:rsidR="008F5673">
        <w:rPr>
          <w:rFonts w:ascii="Verdana" w:hAnsi="Verdana"/>
          <w:color w:val="000000" w:themeColor="text1"/>
          <w:sz w:val="18"/>
          <w:szCs w:val="18"/>
        </w:rPr>
        <w:t xml:space="preserve"> hebben dus geen commercieel belang bij de inzichtelijkheid van de gegevens uit andere gebieden. </w:t>
      </w:r>
      <w:r w:rsidRPr="00247BA8" w:rsidR="005F7110">
        <w:rPr>
          <w:rFonts w:ascii="Verdana" w:hAnsi="Verdana"/>
          <w:color w:val="000000" w:themeColor="text1"/>
          <w:sz w:val="18"/>
          <w:szCs w:val="18"/>
        </w:rPr>
        <w:br/>
      </w:r>
    </w:p>
    <w:p w:rsidRPr="00247BA8" w:rsidR="007A6975" w:rsidP="00054419" w:rsidRDefault="007A6975" w14:paraId="3B0E4B05" w14:textId="77777777">
      <w:pPr>
        <w:rPr>
          <w:rFonts w:ascii="Verdana" w:hAnsi="Verdana"/>
          <w:color w:val="000000" w:themeColor="text1"/>
          <w:sz w:val="18"/>
          <w:szCs w:val="18"/>
        </w:rPr>
      </w:pPr>
    </w:p>
    <w:p w:rsidRPr="00247BA8" w:rsidR="00054419" w:rsidP="00054419" w:rsidRDefault="00054419" w14:paraId="51566C49" w14:textId="66F59206">
      <w:pPr>
        <w:rPr>
          <w:rFonts w:ascii="Verdana" w:hAnsi="Verdana"/>
          <w:i/>
          <w:iCs/>
          <w:color w:val="000000" w:themeColor="text1"/>
          <w:sz w:val="18"/>
          <w:szCs w:val="18"/>
        </w:rPr>
      </w:pPr>
      <w:r w:rsidRPr="00247BA8">
        <w:rPr>
          <w:rFonts w:ascii="Verdana" w:hAnsi="Verdana"/>
          <w:i/>
          <w:iCs/>
          <w:color w:val="000000" w:themeColor="text1"/>
          <w:sz w:val="18"/>
          <w:szCs w:val="18"/>
        </w:rPr>
        <w:t>2.</w:t>
      </w:r>
      <w:r w:rsidRPr="00247BA8" w:rsidR="00B558D6">
        <w:rPr>
          <w:rFonts w:ascii="Verdana" w:hAnsi="Verdana"/>
          <w:i/>
          <w:iCs/>
          <w:color w:val="000000" w:themeColor="text1"/>
          <w:sz w:val="18"/>
          <w:szCs w:val="18"/>
        </w:rPr>
        <w:t>3</w:t>
      </w:r>
      <w:r w:rsidRPr="00247BA8">
        <w:rPr>
          <w:rFonts w:ascii="Verdana" w:hAnsi="Verdana"/>
          <w:i/>
          <w:iCs/>
          <w:color w:val="000000" w:themeColor="text1"/>
          <w:sz w:val="18"/>
          <w:szCs w:val="18"/>
        </w:rPr>
        <w:t xml:space="preserve"> Wijziging van artikel 22, lid 2, sub a</w:t>
      </w:r>
    </w:p>
    <w:p w:rsidRPr="00247BA8" w:rsidR="00054419" w:rsidP="00054419" w:rsidRDefault="00054419" w14:paraId="7B851EA2" w14:textId="77777777">
      <w:pPr>
        <w:rPr>
          <w:rFonts w:ascii="Verdana" w:hAnsi="Verdana"/>
          <w:i/>
          <w:iCs/>
          <w:color w:val="000000" w:themeColor="text1"/>
          <w:sz w:val="18"/>
          <w:szCs w:val="18"/>
        </w:rPr>
      </w:pPr>
    </w:p>
    <w:p w:rsidRPr="00247BA8" w:rsidR="00054419" w:rsidP="00054419" w:rsidRDefault="00054419" w14:paraId="3CF51F31" w14:textId="65A4FC52">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NSC-fractie maken uit de stukken op dat van modellen nu niet aangegeven kan worden of in de BRO geregistreerde grondwaterstanden of boringen zijn gebruikt en dat niet te zien is of een model mede gebaseerd is op gegevens uit andere modellen. Kan de </w:t>
      </w:r>
      <w:r w:rsidRPr="00247BA8" w:rsidR="007A6975">
        <w:rPr>
          <w:rFonts w:ascii="Verdana" w:hAnsi="Verdana"/>
          <w:i/>
          <w:iCs/>
          <w:color w:val="000000" w:themeColor="text1"/>
          <w:sz w:val="18"/>
          <w:szCs w:val="18"/>
        </w:rPr>
        <w:t xml:space="preserve">regering </w:t>
      </w:r>
      <w:r w:rsidRPr="00247BA8">
        <w:rPr>
          <w:rFonts w:ascii="Verdana" w:hAnsi="Verdana"/>
          <w:i/>
          <w:iCs/>
          <w:color w:val="000000" w:themeColor="text1"/>
          <w:sz w:val="18"/>
          <w:szCs w:val="18"/>
        </w:rPr>
        <w:t>aangeven waarom deze modellen dan toch gevalideerd en gebruikt worden?</w:t>
      </w:r>
    </w:p>
    <w:p w:rsidRPr="00247BA8" w:rsidR="00831FA1" w:rsidP="00054419" w:rsidRDefault="00831FA1" w14:paraId="6A3074D5" w14:textId="77777777">
      <w:pPr>
        <w:rPr>
          <w:rFonts w:ascii="Verdana" w:hAnsi="Verdana"/>
          <w:color w:val="000000" w:themeColor="text1"/>
          <w:sz w:val="18"/>
          <w:szCs w:val="18"/>
        </w:rPr>
      </w:pPr>
    </w:p>
    <w:p w:rsidRPr="00247BA8" w:rsidR="008041F9" w:rsidP="00D73141" w:rsidRDefault="00D73141" w14:paraId="12436BDD" w14:textId="2ADDBCD0">
      <w:pPr>
        <w:rPr>
          <w:rFonts w:ascii="Verdana" w:hAnsi="Verdana"/>
          <w:color w:val="000000" w:themeColor="text1"/>
          <w:sz w:val="18"/>
          <w:szCs w:val="18"/>
        </w:rPr>
      </w:pPr>
      <w:r w:rsidRPr="00247BA8">
        <w:rPr>
          <w:rFonts w:ascii="Verdana" w:hAnsi="Verdana"/>
          <w:color w:val="000000" w:themeColor="text1"/>
          <w:sz w:val="18"/>
          <w:szCs w:val="18"/>
        </w:rPr>
        <w:t xml:space="preserve">Voor </w:t>
      </w:r>
      <w:r w:rsidRPr="00247BA8" w:rsidR="004D3F26">
        <w:rPr>
          <w:rFonts w:ascii="Verdana" w:hAnsi="Verdana"/>
          <w:color w:val="000000" w:themeColor="text1"/>
          <w:sz w:val="18"/>
          <w:szCs w:val="18"/>
        </w:rPr>
        <w:t>de</w:t>
      </w:r>
      <w:r w:rsidRPr="00247BA8">
        <w:rPr>
          <w:rFonts w:ascii="Verdana" w:hAnsi="Verdana"/>
          <w:color w:val="000000" w:themeColor="text1"/>
          <w:sz w:val="18"/>
          <w:szCs w:val="18"/>
        </w:rPr>
        <w:t xml:space="preserve"> authentieke </w:t>
      </w:r>
      <w:r w:rsidRPr="00247BA8" w:rsidR="00CE6655">
        <w:rPr>
          <w:rFonts w:ascii="Verdana" w:hAnsi="Verdana"/>
          <w:color w:val="000000" w:themeColor="text1"/>
          <w:sz w:val="18"/>
          <w:szCs w:val="18"/>
        </w:rPr>
        <w:t>driedimensionale (</w:t>
      </w:r>
      <w:r w:rsidRPr="00247BA8" w:rsidR="00761A3C">
        <w:rPr>
          <w:rFonts w:ascii="Verdana" w:hAnsi="Verdana"/>
          <w:color w:val="000000" w:themeColor="text1"/>
          <w:sz w:val="18"/>
          <w:szCs w:val="18"/>
        </w:rPr>
        <w:t>3D</w:t>
      </w:r>
      <w:r w:rsidRPr="00247BA8" w:rsidR="00CE6655">
        <w:rPr>
          <w:rFonts w:ascii="Verdana" w:hAnsi="Verdana"/>
          <w:color w:val="000000" w:themeColor="text1"/>
          <w:sz w:val="18"/>
          <w:szCs w:val="18"/>
        </w:rPr>
        <w:t>)</w:t>
      </w:r>
      <w:r w:rsidRPr="00247BA8" w:rsidR="002A7236">
        <w:rPr>
          <w:rFonts w:ascii="Verdana" w:hAnsi="Verdana"/>
          <w:color w:val="000000" w:themeColor="text1"/>
          <w:sz w:val="18"/>
          <w:szCs w:val="18"/>
        </w:rPr>
        <w:t>-</w:t>
      </w:r>
      <w:r w:rsidRPr="00247BA8">
        <w:rPr>
          <w:rFonts w:ascii="Verdana" w:hAnsi="Verdana"/>
          <w:color w:val="000000" w:themeColor="text1"/>
          <w:sz w:val="18"/>
          <w:szCs w:val="18"/>
        </w:rPr>
        <w:t xml:space="preserve">modellen </w:t>
      </w:r>
      <w:proofErr w:type="spellStart"/>
      <w:r w:rsidRPr="00247BA8" w:rsidR="004D3F26">
        <w:rPr>
          <w:rFonts w:ascii="Verdana" w:hAnsi="Verdana"/>
          <w:color w:val="000000" w:themeColor="text1"/>
          <w:sz w:val="18"/>
          <w:szCs w:val="18"/>
        </w:rPr>
        <w:t>GeoTOP</w:t>
      </w:r>
      <w:proofErr w:type="spellEnd"/>
      <w:r w:rsidRPr="00247BA8" w:rsidR="004D3F26">
        <w:rPr>
          <w:rFonts w:ascii="Verdana" w:hAnsi="Verdana"/>
          <w:color w:val="000000" w:themeColor="text1"/>
          <w:sz w:val="18"/>
          <w:szCs w:val="18"/>
        </w:rPr>
        <w:t>,</w:t>
      </w:r>
      <w:r w:rsidRPr="00247BA8" w:rsidR="00CE6655">
        <w:rPr>
          <w:rStyle w:val="Voetnootmarkering"/>
          <w:rFonts w:ascii="Verdana" w:hAnsi="Verdana"/>
          <w:color w:val="000000" w:themeColor="text1"/>
          <w:sz w:val="18"/>
          <w:szCs w:val="18"/>
        </w:rPr>
        <w:footnoteReference w:id="33"/>
      </w:r>
      <w:r w:rsidRPr="00247BA8" w:rsidR="004D3F26">
        <w:rPr>
          <w:rFonts w:ascii="Verdana" w:hAnsi="Verdana"/>
          <w:color w:val="000000" w:themeColor="text1"/>
          <w:sz w:val="18"/>
          <w:szCs w:val="18"/>
        </w:rPr>
        <w:t xml:space="preserve"> REGISII</w:t>
      </w:r>
      <w:r w:rsidRPr="00247BA8" w:rsidR="00CE6655">
        <w:rPr>
          <w:rStyle w:val="Voetnootmarkering"/>
          <w:rFonts w:ascii="Verdana" w:hAnsi="Verdana"/>
          <w:color w:val="000000" w:themeColor="text1"/>
          <w:sz w:val="18"/>
          <w:szCs w:val="18"/>
        </w:rPr>
        <w:footnoteReference w:id="34"/>
      </w:r>
      <w:r w:rsidRPr="00247BA8" w:rsidR="004D3F26">
        <w:rPr>
          <w:rFonts w:ascii="Verdana" w:hAnsi="Verdana"/>
          <w:color w:val="000000" w:themeColor="text1"/>
          <w:sz w:val="18"/>
          <w:szCs w:val="18"/>
        </w:rPr>
        <w:t xml:space="preserve"> en </w:t>
      </w:r>
      <w:r w:rsidRPr="00247BA8" w:rsidR="00CE6655">
        <w:rPr>
          <w:rFonts w:ascii="Verdana" w:hAnsi="Verdana"/>
          <w:color w:val="000000" w:themeColor="text1"/>
          <w:sz w:val="18"/>
          <w:szCs w:val="18"/>
        </w:rPr>
        <w:t>digitaal geologisch model (</w:t>
      </w:r>
      <w:r w:rsidRPr="00247BA8" w:rsidR="004D3F26">
        <w:rPr>
          <w:rFonts w:ascii="Verdana" w:hAnsi="Verdana"/>
          <w:color w:val="000000" w:themeColor="text1"/>
          <w:sz w:val="18"/>
          <w:szCs w:val="18"/>
        </w:rPr>
        <w:t>DGM</w:t>
      </w:r>
      <w:r w:rsidRPr="00247BA8" w:rsidR="00CE6655">
        <w:rPr>
          <w:rFonts w:ascii="Verdana" w:hAnsi="Verdana"/>
          <w:color w:val="000000" w:themeColor="text1"/>
          <w:sz w:val="18"/>
          <w:szCs w:val="18"/>
        </w:rPr>
        <w:t>)</w:t>
      </w:r>
      <w:r w:rsidRPr="00247BA8" w:rsidR="004D3F26">
        <w:rPr>
          <w:rFonts w:ascii="Verdana" w:hAnsi="Verdana"/>
          <w:color w:val="000000" w:themeColor="text1"/>
          <w:sz w:val="18"/>
          <w:szCs w:val="18"/>
        </w:rPr>
        <w:t xml:space="preserve"> </w:t>
      </w:r>
      <w:r w:rsidRPr="00247BA8" w:rsidR="00A1702B">
        <w:rPr>
          <w:rFonts w:ascii="Verdana" w:hAnsi="Verdana"/>
          <w:color w:val="000000" w:themeColor="text1"/>
          <w:sz w:val="18"/>
          <w:szCs w:val="18"/>
        </w:rPr>
        <w:t xml:space="preserve">is </w:t>
      </w:r>
      <w:r w:rsidRPr="00247BA8" w:rsidR="004D3F26">
        <w:rPr>
          <w:rFonts w:ascii="Verdana" w:hAnsi="Verdana"/>
          <w:color w:val="000000" w:themeColor="text1"/>
          <w:sz w:val="18"/>
          <w:szCs w:val="18"/>
        </w:rPr>
        <w:t xml:space="preserve">online </w:t>
      </w:r>
      <w:r w:rsidRPr="00247BA8" w:rsidR="008041F9">
        <w:rPr>
          <w:rFonts w:ascii="Verdana" w:hAnsi="Verdana"/>
          <w:color w:val="000000" w:themeColor="text1"/>
          <w:sz w:val="18"/>
          <w:szCs w:val="18"/>
        </w:rPr>
        <w:t xml:space="preserve">te zien </w:t>
      </w:r>
      <w:r w:rsidRPr="00247BA8">
        <w:rPr>
          <w:rFonts w:ascii="Verdana" w:hAnsi="Verdana"/>
          <w:color w:val="000000" w:themeColor="text1"/>
          <w:sz w:val="18"/>
          <w:szCs w:val="18"/>
        </w:rPr>
        <w:t xml:space="preserve">welke </w:t>
      </w:r>
      <w:r w:rsidRPr="00247BA8" w:rsidR="004D3F26">
        <w:rPr>
          <w:rFonts w:ascii="Verdana" w:hAnsi="Verdana"/>
          <w:color w:val="000000" w:themeColor="text1"/>
          <w:sz w:val="18"/>
          <w:szCs w:val="18"/>
        </w:rPr>
        <w:t xml:space="preserve">geologische booronderzoeken </w:t>
      </w:r>
      <w:r w:rsidRPr="00247BA8">
        <w:rPr>
          <w:rFonts w:ascii="Verdana" w:hAnsi="Verdana"/>
          <w:color w:val="000000" w:themeColor="text1"/>
          <w:sz w:val="18"/>
          <w:szCs w:val="18"/>
        </w:rPr>
        <w:t>gebruikt zijn bij de totstandkoming</w:t>
      </w:r>
      <w:r w:rsidRPr="00247BA8" w:rsidR="004D3F26">
        <w:rPr>
          <w:rFonts w:ascii="Verdana" w:hAnsi="Verdana"/>
          <w:color w:val="000000" w:themeColor="text1"/>
          <w:sz w:val="18"/>
          <w:szCs w:val="18"/>
        </w:rPr>
        <w:t>.</w:t>
      </w:r>
      <w:r w:rsidRPr="00247BA8" w:rsidR="00A1702B">
        <w:rPr>
          <w:rStyle w:val="Voetnootmarkering"/>
          <w:rFonts w:ascii="Verdana" w:hAnsi="Verdana"/>
          <w:color w:val="000000" w:themeColor="text1"/>
          <w:sz w:val="18"/>
          <w:szCs w:val="18"/>
        </w:rPr>
        <w:footnoteReference w:id="35"/>
      </w:r>
      <w:r w:rsidRPr="00247BA8" w:rsidR="00A1702B">
        <w:rPr>
          <w:rFonts w:ascii="Verdana" w:hAnsi="Verdana"/>
          <w:color w:val="000000" w:themeColor="text1"/>
          <w:sz w:val="18"/>
          <w:szCs w:val="18"/>
        </w:rPr>
        <w:t xml:space="preserve"> </w:t>
      </w:r>
      <w:r w:rsidRPr="00247BA8" w:rsidR="004D3F26">
        <w:rPr>
          <w:rFonts w:ascii="Verdana" w:hAnsi="Verdana"/>
          <w:color w:val="000000" w:themeColor="text1"/>
          <w:sz w:val="18"/>
          <w:szCs w:val="18"/>
        </w:rPr>
        <w:t>Voor de</w:t>
      </w:r>
      <w:r w:rsidRPr="00247BA8" w:rsidR="00761A3C">
        <w:rPr>
          <w:rFonts w:ascii="Verdana" w:hAnsi="Verdana"/>
          <w:color w:val="000000" w:themeColor="text1"/>
          <w:sz w:val="18"/>
          <w:szCs w:val="18"/>
        </w:rPr>
        <w:t xml:space="preserve"> 2,5 D</w:t>
      </w:r>
      <w:r w:rsidRPr="00247BA8" w:rsidR="0024796D">
        <w:rPr>
          <w:rFonts w:ascii="Verdana" w:hAnsi="Verdana"/>
          <w:color w:val="000000" w:themeColor="text1"/>
          <w:sz w:val="18"/>
          <w:szCs w:val="18"/>
        </w:rPr>
        <w:t>-</w:t>
      </w:r>
      <w:r w:rsidRPr="00247BA8" w:rsidR="00761A3C">
        <w:rPr>
          <w:rFonts w:ascii="Verdana" w:hAnsi="Verdana"/>
          <w:color w:val="000000" w:themeColor="text1"/>
          <w:sz w:val="18"/>
          <w:szCs w:val="18"/>
        </w:rPr>
        <w:t xml:space="preserve">modellen </w:t>
      </w:r>
      <w:proofErr w:type="spellStart"/>
      <w:r w:rsidRPr="00247BA8" w:rsidR="004D3F26">
        <w:rPr>
          <w:rFonts w:ascii="Verdana" w:hAnsi="Verdana"/>
          <w:color w:val="000000" w:themeColor="text1"/>
          <w:sz w:val="18"/>
          <w:szCs w:val="18"/>
        </w:rPr>
        <w:t>geomorfologische</w:t>
      </w:r>
      <w:proofErr w:type="spellEnd"/>
      <w:r w:rsidRPr="00247BA8" w:rsidR="00761A3C">
        <w:rPr>
          <w:rFonts w:ascii="Verdana" w:hAnsi="Verdana"/>
          <w:color w:val="000000" w:themeColor="text1"/>
          <w:sz w:val="18"/>
          <w:szCs w:val="18"/>
        </w:rPr>
        <w:t xml:space="preserve"> kaart</w:t>
      </w:r>
      <w:r w:rsidRPr="00247BA8" w:rsidR="004D3F26">
        <w:rPr>
          <w:rFonts w:ascii="Verdana" w:hAnsi="Verdana"/>
          <w:color w:val="000000" w:themeColor="text1"/>
          <w:sz w:val="18"/>
          <w:szCs w:val="18"/>
        </w:rPr>
        <w:t>,</w:t>
      </w:r>
      <w:r w:rsidRPr="00247BA8" w:rsidR="00761A3C">
        <w:rPr>
          <w:rFonts w:ascii="Verdana" w:hAnsi="Verdana"/>
          <w:color w:val="000000" w:themeColor="text1"/>
          <w:sz w:val="18"/>
          <w:szCs w:val="18"/>
        </w:rPr>
        <w:t xml:space="preserve"> </w:t>
      </w:r>
      <w:r w:rsidRPr="00247BA8" w:rsidR="004D3F26">
        <w:rPr>
          <w:rFonts w:ascii="Verdana" w:hAnsi="Verdana"/>
          <w:color w:val="000000" w:themeColor="text1"/>
          <w:sz w:val="18"/>
          <w:szCs w:val="18"/>
        </w:rPr>
        <w:t xml:space="preserve">bodemkaart en grondwaterspiegeldiepte is </w:t>
      </w:r>
      <w:r w:rsidRPr="00247BA8" w:rsidR="00A1702B">
        <w:rPr>
          <w:rFonts w:ascii="Verdana" w:hAnsi="Verdana"/>
          <w:color w:val="000000" w:themeColor="text1"/>
          <w:sz w:val="18"/>
          <w:szCs w:val="18"/>
        </w:rPr>
        <w:t>dit</w:t>
      </w:r>
      <w:r w:rsidRPr="00247BA8" w:rsidR="004D3F26">
        <w:rPr>
          <w:rFonts w:ascii="Verdana" w:hAnsi="Verdana"/>
          <w:color w:val="000000" w:themeColor="text1"/>
          <w:sz w:val="18"/>
          <w:szCs w:val="18"/>
        </w:rPr>
        <w:t xml:space="preserve"> nog niet</w:t>
      </w:r>
      <w:r w:rsidRPr="00247BA8" w:rsidR="00341D1C">
        <w:rPr>
          <w:rFonts w:ascii="Verdana" w:hAnsi="Verdana"/>
          <w:color w:val="000000" w:themeColor="text1"/>
          <w:sz w:val="18"/>
          <w:szCs w:val="18"/>
        </w:rPr>
        <w:t xml:space="preserve"> </w:t>
      </w:r>
      <w:r w:rsidRPr="00247BA8" w:rsidR="00A1702B">
        <w:rPr>
          <w:rFonts w:ascii="Verdana" w:hAnsi="Verdana"/>
          <w:color w:val="000000" w:themeColor="text1"/>
          <w:sz w:val="18"/>
          <w:szCs w:val="18"/>
        </w:rPr>
        <w:t>online te zien</w:t>
      </w:r>
      <w:r w:rsidRPr="00247BA8" w:rsidR="008041F9">
        <w:rPr>
          <w:rFonts w:ascii="Verdana" w:hAnsi="Verdana"/>
          <w:color w:val="000000" w:themeColor="text1"/>
          <w:sz w:val="18"/>
          <w:szCs w:val="18"/>
        </w:rPr>
        <w:t>, maar zijn online</w:t>
      </w:r>
      <w:r w:rsidRPr="00247BA8">
        <w:rPr>
          <w:rFonts w:ascii="Verdana" w:hAnsi="Verdana"/>
          <w:color w:val="000000" w:themeColor="text1"/>
          <w:sz w:val="18"/>
          <w:szCs w:val="18"/>
        </w:rPr>
        <w:t xml:space="preserve"> toelichtingen op de modellen en</w:t>
      </w:r>
      <w:r w:rsidRPr="00247BA8" w:rsidR="008041F9">
        <w:rPr>
          <w:rFonts w:ascii="Verdana" w:hAnsi="Verdana"/>
          <w:color w:val="000000" w:themeColor="text1"/>
          <w:sz w:val="18"/>
          <w:szCs w:val="18"/>
        </w:rPr>
        <w:t xml:space="preserve"> </w:t>
      </w:r>
      <w:r w:rsidRPr="00247BA8">
        <w:rPr>
          <w:rFonts w:ascii="Verdana" w:hAnsi="Verdana"/>
          <w:color w:val="000000" w:themeColor="text1"/>
          <w:sz w:val="18"/>
          <w:szCs w:val="18"/>
        </w:rPr>
        <w:t>een aantal aanvullende documenten</w:t>
      </w:r>
      <w:r w:rsidRPr="00247BA8" w:rsidR="008041F9">
        <w:rPr>
          <w:rFonts w:ascii="Verdana" w:hAnsi="Verdana"/>
          <w:color w:val="000000" w:themeColor="text1"/>
          <w:sz w:val="18"/>
          <w:szCs w:val="18"/>
        </w:rPr>
        <w:t xml:space="preserve"> beschikbaar</w:t>
      </w:r>
      <w:r w:rsidRPr="00247BA8">
        <w:rPr>
          <w:rFonts w:ascii="Verdana" w:hAnsi="Verdana"/>
          <w:color w:val="000000" w:themeColor="text1"/>
          <w:sz w:val="18"/>
          <w:szCs w:val="18"/>
        </w:rPr>
        <w:t xml:space="preserve">, zoals een kwaliteitsrapport en een totstandkomingsrapport. </w:t>
      </w:r>
    </w:p>
    <w:p w:rsidRPr="00247BA8" w:rsidR="00054419" w:rsidP="00054419" w:rsidRDefault="00054419" w14:paraId="22BA7BD6" w14:textId="77777777">
      <w:pPr>
        <w:rPr>
          <w:rFonts w:ascii="Verdana" w:hAnsi="Verdana"/>
          <w:color w:val="000000" w:themeColor="text1"/>
          <w:sz w:val="18"/>
          <w:szCs w:val="18"/>
        </w:rPr>
      </w:pPr>
    </w:p>
    <w:p w:rsidRPr="00247BA8" w:rsidR="00054419" w:rsidP="00054419" w:rsidRDefault="00054419" w14:paraId="672D7CD5" w14:textId="154D570A">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NSC-fractie lezen dat </w:t>
      </w:r>
      <w:r w:rsidRPr="00247BA8" w:rsidR="00DC6FD7">
        <w:rPr>
          <w:rFonts w:ascii="Verdana" w:hAnsi="Verdana"/>
          <w:i/>
          <w:iCs/>
          <w:color w:val="000000" w:themeColor="text1"/>
          <w:sz w:val="18"/>
          <w:szCs w:val="18"/>
        </w:rPr>
        <w:t>‘d</w:t>
      </w:r>
      <w:r w:rsidRPr="00247BA8">
        <w:rPr>
          <w:rFonts w:ascii="Verdana" w:hAnsi="Verdana"/>
          <w:i/>
          <w:iCs/>
          <w:color w:val="000000" w:themeColor="text1"/>
          <w:sz w:val="18"/>
          <w:szCs w:val="18"/>
        </w:rPr>
        <w:t>e makers van de modellen, TNO en WENR een herontwerp van de modellen onderzoeken waardoor de relaties met andere BRO-registratieobjecten wel worden vastgelegd</w:t>
      </w:r>
      <w:r w:rsidRPr="00247BA8" w:rsidR="00AD2E3E">
        <w:rPr>
          <w:rFonts w:ascii="Verdana" w:hAnsi="Verdana"/>
          <w:i/>
          <w:iCs/>
          <w:color w:val="000000" w:themeColor="text1"/>
          <w:sz w:val="18"/>
          <w:szCs w:val="18"/>
        </w:rPr>
        <w:t>’</w:t>
      </w:r>
      <w:r w:rsidRPr="00247BA8">
        <w:rPr>
          <w:rFonts w:ascii="Verdana" w:hAnsi="Verdana"/>
          <w:i/>
          <w:iCs/>
          <w:color w:val="000000" w:themeColor="text1"/>
          <w:sz w:val="18"/>
          <w:szCs w:val="18"/>
        </w:rPr>
        <w:t>. Deze leden vragen of aangegeven kan worden wat exact overwogen wordt en waar een go of no-go vanaf hangt.</w:t>
      </w:r>
    </w:p>
    <w:p w:rsidRPr="00247BA8" w:rsidR="00831FA1" w:rsidP="00054419" w:rsidRDefault="00831FA1" w14:paraId="59F0BA82" w14:textId="77777777">
      <w:pPr>
        <w:rPr>
          <w:rFonts w:ascii="Verdana" w:hAnsi="Verdana"/>
          <w:color w:val="000000" w:themeColor="text1"/>
          <w:sz w:val="18"/>
          <w:szCs w:val="18"/>
        </w:rPr>
      </w:pPr>
    </w:p>
    <w:p w:rsidRPr="00247BA8" w:rsidR="00341D1C" w:rsidP="00054419" w:rsidRDefault="00FA6176" w14:paraId="2970929A" w14:textId="64BD80F3">
      <w:pPr>
        <w:rPr>
          <w:rFonts w:ascii="Verdana" w:hAnsi="Verdana"/>
          <w:color w:val="000000" w:themeColor="text1"/>
          <w:sz w:val="18"/>
          <w:szCs w:val="18"/>
        </w:rPr>
      </w:pPr>
      <w:r w:rsidRPr="00247BA8">
        <w:rPr>
          <w:rFonts w:ascii="Verdana" w:hAnsi="Verdana"/>
          <w:color w:val="000000" w:themeColor="text1"/>
          <w:sz w:val="18"/>
          <w:szCs w:val="18"/>
        </w:rPr>
        <w:t xml:space="preserve">Met deze toelichting bedoelen de makers van de modellen dat zij </w:t>
      </w:r>
      <w:r w:rsidRPr="00247BA8" w:rsidR="0057173C">
        <w:rPr>
          <w:rFonts w:ascii="Verdana" w:hAnsi="Verdana"/>
          <w:color w:val="000000" w:themeColor="text1"/>
          <w:sz w:val="18"/>
          <w:szCs w:val="18"/>
        </w:rPr>
        <w:t xml:space="preserve">willen </w:t>
      </w:r>
      <w:r w:rsidRPr="00247BA8">
        <w:rPr>
          <w:rFonts w:ascii="Verdana" w:hAnsi="Verdana"/>
          <w:color w:val="000000" w:themeColor="text1"/>
          <w:sz w:val="18"/>
          <w:szCs w:val="18"/>
        </w:rPr>
        <w:t>onderzoeken of het mogelijk is om bestaande modellen zo te herontwerpen dat ook andere</w:t>
      </w:r>
      <w:r w:rsidRPr="00247BA8" w:rsidR="0057173C">
        <w:rPr>
          <w:rFonts w:ascii="Verdana" w:hAnsi="Verdana"/>
          <w:color w:val="000000" w:themeColor="text1"/>
          <w:sz w:val="18"/>
          <w:szCs w:val="18"/>
        </w:rPr>
        <w:t xml:space="preserve"> additionele</w:t>
      </w:r>
      <w:r w:rsidRPr="00247BA8">
        <w:rPr>
          <w:rFonts w:ascii="Verdana" w:hAnsi="Verdana"/>
          <w:color w:val="000000" w:themeColor="text1"/>
          <w:sz w:val="18"/>
          <w:szCs w:val="18"/>
        </w:rPr>
        <w:t xml:space="preserve"> gegevens in de BRO kunnen </w:t>
      </w:r>
      <w:r w:rsidRPr="00247BA8" w:rsidR="0057173C">
        <w:rPr>
          <w:rFonts w:ascii="Verdana" w:hAnsi="Verdana"/>
          <w:color w:val="000000" w:themeColor="text1"/>
          <w:sz w:val="18"/>
          <w:szCs w:val="18"/>
        </w:rPr>
        <w:t>worden gebruikt</w:t>
      </w:r>
      <w:r w:rsidRPr="00247BA8">
        <w:rPr>
          <w:rFonts w:ascii="Verdana" w:hAnsi="Verdana"/>
          <w:color w:val="000000" w:themeColor="text1"/>
          <w:sz w:val="18"/>
          <w:szCs w:val="18"/>
        </w:rPr>
        <w:t xml:space="preserve"> dan de </w:t>
      </w:r>
      <w:r w:rsidRPr="00247BA8" w:rsidR="0057173C">
        <w:rPr>
          <w:rFonts w:ascii="Verdana" w:hAnsi="Verdana"/>
          <w:color w:val="000000" w:themeColor="text1"/>
          <w:sz w:val="18"/>
          <w:szCs w:val="18"/>
        </w:rPr>
        <w:t>booronderzoeks</w:t>
      </w:r>
      <w:r w:rsidRPr="00247BA8">
        <w:rPr>
          <w:rFonts w:ascii="Verdana" w:hAnsi="Verdana"/>
          <w:color w:val="000000" w:themeColor="text1"/>
          <w:sz w:val="18"/>
          <w:szCs w:val="18"/>
        </w:rPr>
        <w:t>gegevens die ze nu verwerken.</w:t>
      </w:r>
      <w:r w:rsidRPr="00247BA8" w:rsidR="0057173C">
        <w:rPr>
          <w:rFonts w:ascii="Verdana" w:hAnsi="Verdana"/>
          <w:color w:val="000000" w:themeColor="text1"/>
          <w:sz w:val="18"/>
          <w:szCs w:val="18"/>
        </w:rPr>
        <w:t xml:space="preserve"> Bijvoorbeeld de geotechnische sondeeronderzoeken. Tevens </w:t>
      </w:r>
      <w:r w:rsidRPr="00247BA8" w:rsidR="00341D1C">
        <w:rPr>
          <w:rFonts w:ascii="Verdana" w:hAnsi="Verdana"/>
          <w:color w:val="000000" w:themeColor="text1"/>
          <w:sz w:val="18"/>
          <w:szCs w:val="18"/>
        </w:rPr>
        <w:t xml:space="preserve">willen zij onderzoeken </w:t>
      </w:r>
      <w:r w:rsidRPr="00247BA8" w:rsidR="0057173C">
        <w:rPr>
          <w:rFonts w:ascii="Verdana" w:hAnsi="Verdana"/>
          <w:color w:val="000000" w:themeColor="text1"/>
          <w:sz w:val="18"/>
          <w:szCs w:val="18"/>
        </w:rPr>
        <w:t>of</w:t>
      </w:r>
      <w:r w:rsidRPr="00247BA8">
        <w:rPr>
          <w:rFonts w:ascii="Verdana" w:hAnsi="Verdana"/>
          <w:color w:val="000000" w:themeColor="text1"/>
          <w:sz w:val="18"/>
          <w:szCs w:val="18"/>
        </w:rPr>
        <w:t xml:space="preserve"> het mogelijk is </w:t>
      </w:r>
      <w:r w:rsidRPr="00247BA8" w:rsidR="0057173C">
        <w:rPr>
          <w:rFonts w:ascii="Verdana" w:hAnsi="Verdana"/>
          <w:color w:val="000000" w:themeColor="text1"/>
          <w:sz w:val="18"/>
          <w:szCs w:val="18"/>
        </w:rPr>
        <w:t>éé</w:t>
      </w:r>
      <w:r w:rsidRPr="00247BA8">
        <w:rPr>
          <w:rFonts w:ascii="Verdana" w:hAnsi="Verdana"/>
          <w:color w:val="000000" w:themeColor="text1"/>
          <w:sz w:val="18"/>
          <w:szCs w:val="18"/>
        </w:rPr>
        <w:t xml:space="preserve">n </w:t>
      </w:r>
      <w:proofErr w:type="spellStart"/>
      <w:r w:rsidRPr="00247BA8" w:rsidR="0057173C">
        <w:rPr>
          <w:rFonts w:ascii="Verdana" w:hAnsi="Verdana"/>
          <w:color w:val="000000" w:themeColor="text1"/>
          <w:sz w:val="18"/>
          <w:szCs w:val="18"/>
        </w:rPr>
        <w:t>landsdekkend</w:t>
      </w:r>
      <w:proofErr w:type="spellEnd"/>
      <w:r w:rsidRPr="00247BA8" w:rsidR="0057173C">
        <w:rPr>
          <w:rFonts w:ascii="Verdana" w:hAnsi="Verdana"/>
          <w:color w:val="000000" w:themeColor="text1"/>
          <w:sz w:val="18"/>
          <w:szCs w:val="18"/>
        </w:rPr>
        <w:t xml:space="preserve"> </w:t>
      </w:r>
      <w:r w:rsidRPr="00247BA8" w:rsidR="00A619E9">
        <w:rPr>
          <w:rFonts w:ascii="Verdana" w:hAnsi="Verdana"/>
          <w:color w:val="000000" w:themeColor="text1"/>
          <w:sz w:val="18"/>
          <w:szCs w:val="18"/>
        </w:rPr>
        <w:t xml:space="preserve">integraal </w:t>
      </w:r>
      <w:r w:rsidRPr="00247BA8">
        <w:rPr>
          <w:rFonts w:ascii="Verdana" w:hAnsi="Verdana"/>
          <w:color w:val="000000" w:themeColor="text1"/>
          <w:sz w:val="18"/>
          <w:szCs w:val="18"/>
        </w:rPr>
        <w:t>model te maken</w:t>
      </w:r>
      <w:r w:rsidRPr="00247BA8" w:rsidR="0057173C">
        <w:rPr>
          <w:rFonts w:ascii="Verdana" w:hAnsi="Verdana"/>
          <w:color w:val="000000" w:themeColor="text1"/>
          <w:sz w:val="18"/>
          <w:szCs w:val="18"/>
        </w:rPr>
        <w:t xml:space="preserve"> waaruit de </w:t>
      </w:r>
      <w:r w:rsidRPr="00247BA8" w:rsidR="00A619E9">
        <w:rPr>
          <w:rFonts w:ascii="Verdana" w:hAnsi="Verdana"/>
          <w:color w:val="000000" w:themeColor="text1"/>
          <w:sz w:val="18"/>
          <w:szCs w:val="18"/>
        </w:rPr>
        <w:t>huidige en aanvullende modellen</w:t>
      </w:r>
      <w:r w:rsidRPr="00247BA8" w:rsidR="0057173C">
        <w:rPr>
          <w:rFonts w:ascii="Verdana" w:hAnsi="Verdana"/>
          <w:color w:val="000000" w:themeColor="text1"/>
          <w:sz w:val="18"/>
          <w:szCs w:val="18"/>
        </w:rPr>
        <w:t xml:space="preserve"> automatisch gegenereerd kunnen worden. Het voordeel hiervan is</w:t>
      </w:r>
      <w:r w:rsidRPr="00247BA8">
        <w:rPr>
          <w:rFonts w:ascii="Verdana" w:hAnsi="Verdana"/>
          <w:color w:val="000000" w:themeColor="text1"/>
          <w:sz w:val="18"/>
          <w:szCs w:val="18"/>
        </w:rPr>
        <w:t xml:space="preserve"> </w:t>
      </w:r>
      <w:r w:rsidRPr="00247BA8" w:rsidR="00341D1C">
        <w:rPr>
          <w:rFonts w:ascii="Verdana" w:hAnsi="Verdana"/>
          <w:color w:val="000000" w:themeColor="text1"/>
          <w:sz w:val="18"/>
          <w:szCs w:val="18"/>
        </w:rPr>
        <w:t xml:space="preserve">dat dit </w:t>
      </w:r>
      <w:r w:rsidRPr="00247BA8">
        <w:rPr>
          <w:rFonts w:ascii="Verdana" w:hAnsi="Verdana"/>
          <w:color w:val="000000" w:themeColor="text1"/>
          <w:sz w:val="18"/>
          <w:szCs w:val="18"/>
        </w:rPr>
        <w:t xml:space="preserve">niet een </w:t>
      </w:r>
      <w:r w:rsidRPr="00247BA8" w:rsidR="00341D1C">
        <w:rPr>
          <w:rFonts w:ascii="Verdana" w:hAnsi="Verdana"/>
          <w:color w:val="000000" w:themeColor="text1"/>
          <w:sz w:val="18"/>
          <w:szCs w:val="18"/>
        </w:rPr>
        <w:t xml:space="preserve">beeld geeft van een </w:t>
      </w:r>
      <w:r w:rsidRPr="00247BA8" w:rsidR="00A619E9">
        <w:rPr>
          <w:rFonts w:ascii="Verdana" w:hAnsi="Verdana"/>
          <w:color w:val="000000" w:themeColor="text1"/>
          <w:sz w:val="18"/>
          <w:szCs w:val="18"/>
        </w:rPr>
        <w:t>beperkt onder</w:t>
      </w:r>
      <w:r w:rsidRPr="00247BA8">
        <w:rPr>
          <w:rFonts w:ascii="Verdana" w:hAnsi="Verdana"/>
          <w:color w:val="000000" w:themeColor="text1"/>
          <w:sz w:val="18"/>
          <w:szCs w:val="18"/>
        </w:rPr>
        <w:t>deel</w:t>
      </w:r>
      <w:r w:rsidRPr="00247BA8" w:rsidR="00A619E9">
        <w:rPr>
          <w:rFonts w:ascii="Verdana" w:hAnsi="Verdana"/>
          <w:color w:val="000000" w:themeColor="text1"/>
          <w:sz w:val="18"/>
          <w:szCs w:val="18"/>
        </w:rPr>
        <w:t xml:space="preserve"> van de</w:t>
      </w:r>
      <w:r w:rsidRPr="00247BA8" w:rsidR="0057173C">
        <w:rPr>
          <w:rFonts w:ascii="Verdana" w:hAnsi="Verdana"/>
          <w:color w:val="000000" w:themeColor="text1"/>
          <w:sz w:val="18"/>
          <w:szCs w:val="18"/>
        </w:rPr>
        <w:t xml:space="preserve"> </w:t>
      </w:r>
      <w:r w:rsidRPr="00247BA8" w:rsidR="00A619E9">
        <w:rPr>
          <w:rFonts w:ascii="Verdana" w:hAnsi="Verdana"/>
          <w:color w:val="000000" w:themeColor="text1"/>
          <w:sz w:val="18"/>
          <w:szCs w:val="18"/>
        </w:rPr>
        <w:t>bodem, ondergrond en grondwater</w:t>
      </w:r>
      <w:r w:rsidRPr="00247BA8" w:rsidR="00341D1C">
        <w:rPr>
          <w:rFonts w:ascii="Verdana" w:hAnsi="Verdana"/>
          <w:color w:val="000000" w:themeColor="text1"/>
          <w:sz w:val="18"/>
          <w:szCs w:val="18"/>
        </w:rPr>
        <w:t>,</w:t>
      </w:r>
      <w:r w:rsidRPr="00247BA8">
        <w:rPr>
          <w:rFonts w:ascii="Verdana" w:hAnsi="Verdana"/>
          <w:color w:val="000000" w:themeColor="text1"/>
          <w:sz w:val="18"/>
          <w:szCs w:val="18"/>
        </w:rPr>
        <w:t xml:space="preserve"> maar een integraal beeld </w:t>
      </w:r>
      <w:r w:rsidRPr="00247BA8" w:rsidR="00A619E9">
        <w:rPr>
          <w:rFonts w:ascii="Verdana" w:hAnsi="Verdana"/>
          <w:color w:val="000000" w:themeColor="text1"/>
          <w:sz w:val="18"/>
          <w:szCs w:val="18"/>
        </w:rPr>
        <w:t xml:space="preserve">van het gehele </w:t>
      </w:r>
      <w:r w:rsidRPr="00247BA8" w:rsidR="00341D1C">
        <w:rPr>
          <w:rFonts w:ascii="Verdana" w:hAnsi="Verdana"/>
          <w:color w:val="000000" w:themeColor="text1"/>
          <w:sz w:val="18"/>
          <w:szCs w:val="18"/>
        </w:rPr>
        <w:t xml:space="preserve">ondergrondse </w:t>
      </w:r>
      <w:r w:rsidRPr="00247BA8" w:rsidR="00A619E9">
        <w:rPr>
          <w:rFonts w:ascii="Verdana" w:hAnsi="Verdana"/>
          <w:color w:val="000000" w:themeColor="text1"/>
          <w:sz w:val="18"/>
          <w:szCs w:val="18"/>
        </w:rPr>
        <w:t>fysieke systeem. Vergelijkbaar met een integraal digitaal model van de bovengrondse fysieke leefomgeving.</w:t>
      </w:r>
    </w:p>
    <w:p w:rsidRPr="00247BA8" w:rsidR="00FA6176" w:rsidP="00054419" w:rsidRDefault="00A619E9" w14:paraId="033E6F4A" w14:textId="69C8B950">
      <w:pPr>
        <w:rPr>
          <w:rFonts w:ascii="Verdana" w:hAnsi="Verdana"/>
          <w:color w:val="000000" w:themeColor="text1"/>
          <w:sz w:val="18"/>
          <w:szCs w:val="18"/>
        </w:rPr>
      </w:pPr>
      <w:r w:rsidRPr="00247BA8">
        <w:rPr>
          <w:rFonts w:ascii="Verdana" w:hAnsi="Verdana"/>
          <w:color w:val="000000" w:themeColor="text1"/>
          <w:sz w:val="18"/>
          <w:szCs w:val="18"/>
        </w:rPr>
        <w:t>Het a</w:t>
      </w:r>
      <w:r w:rsidRPr="00247BA8" w:rsidR="00FA6176">
        <w:rPr>
          <w:rFonts w:ascii="Verdana" w:hAnsi="Verdana"/>
          <w:color w:val="000000" w:themeColor="text1"/>
          <w:sz w:val="18"/>
          <w:szCs w:val="18"/>
        </w:rPr>
        <w:t xml:space="preserve">ntwoord op de vraag waar </w:t>
      </w:r>
      <w:r w:rsidRPr="00247BA8">
        <w:rPr>
          <w:rFonts w:ascii="Verdana" w:hAnsi="Verdana"/>
          <w:color w:val="000000" w:themeColor="text1"/>
          <w:sz w:val="18"/>
          <w:szCs w:val="18"/>
        </w:rPr>
        <w:t xml:space="preserve">een </w:t>
      </w:r>
      <w:r w:rsidRPr="00247BA8" w:rsidR="00FA6176">
        <w:rPr>
          <w:rFonts w:ascii="Verdana" w:hAnsi="Verdana"/>
          <w:color w:val="000000" w:themeColor="text1"/>
          <w:sz w:val="18"/>
          <w:szCs w:val="18"/>
        </w:rPr>
        <w:t>go no-go van afhangt</w:t>
      </w:r>
      <w:r w:rsidRPr="00247BA8" w:rsidR="00341D1C">
        <w:rPr>
          <w:rFonts w:ascii="Verdana" w:hAnsi="Verdana"/>
          <w:color w:val="000000" w:themeColor="text1"/>
          <w:sz w:val="18"/>
          <w:szCs w:val="18"/>
        </w:rPr>
        <w:t>,</w:t>
      </w:r>
      <w:r w:rsidRPr="00247BA8">
        <w:rPr>
          <w:rFonts w:ascii="Verdana" w:hAnsi="Verdana"/>
          <w:color w:val="000000" w:themeColor="text1"/>
          <w:sz w:val="18"/>
          <w:szCs w:val="18"/>
        </w:rPr>
        <w:t xml:space="preserve"> is of dit wetenschappelijk </w:t>
      </w:r>
      <w:r w:rsidRPr="00247BA8" w:rsidR="00FA6176">
        <w:rPr>
          <w:rFonts w:ascii="Verdana" w:hAnsi="Verdana"/>
          <w:color w:val="000000" w:themeColor="text1"/>
          <w:sz w:val="18"/>
          <w:szCs w:val="18"/>
        </w:rPr>
        <w:t>haalbaar</w:t>
      </w:r>
      <w:r w:rsidRPr="00247BA8">
        <w:rPr>
          <w:rFonts w:ascii="Verdana" w:hAnsi="Verdana"/>
          <w:color w:val="000000" w:themeColor="text1"/>
          <w:sz w:val="18"/>
          <w:szCs w:val="18"/>
        </w:rPr>
        <w:t xml:space="preserve"> is</w:t>
      </w:r>
      <w:r w:rsidRPr="00247BA8" w:rsidR="00FA6176">
        <w:rPr>
          <w:rFonts w:ascii="Verdana" w:hAnsi="Verdana"/>
          <w:color w:val="000000" w:themeColor="text1"/>
          <w:sz w:val="18"/>
          <w:szCs w:val="18"/>
        </w:rPr>
        <w:t>.</w:t>
      </w:r>
    </w:p>
    <w:p w:rsidRPr="00247BA8" w:rsidR="00227ACD" w:rsidP="00054419" w:rsidRDefault="00227ACD" w14:paraId="6B406FC6" w14:textId="77777777">
      <w:pPr>
        <w:rPr>
          <w:rFonts w:ascii="Verdana" w:hAnsi="Verdana"/>
          <w:color w:val="000000" w:themeColor="text1"/>
          <w:sz w:val="18"/>
          <w:szCs w:val="18"/>
        </w:rPr>
      </w:pPr>
    </w:p>
    <w:p w:rsidRPr="00247BA8" w:rsidR="003825D9" w:rsidP="00054419" w:rsidRDefault="003825D9" w14:paraId="5DFC0592" w14:textId="77777777">
      <w:pPr>
        <w:rPr>
          <w:rFonts w:ascii="Verdana" w:hAnsi="Verdana"/>
          <w:color w:val="000000" w:themeColor="text1"/>
          <w:sz w:val="18"/>
          <w:szCs w:val="18"/>
        </w:rPr>
      </w:pPr>
    </w:p>
    <w:p w:rsidRPr="00247BA8" w:rsidR="00054419" w:rsidP="00054419" w:rsidRDefault="00054419" w14:paraId="3EBBB645" w14:textId="1434B54A">
      <w:pPr>
        <w:rPr>
          <w:rFonts w:ascii="Verdana" w:hAnsi="Verdana"/>
          <w:i/>
          <w:iCs/>
          <w:color w:val="000000" w:themeColor="text1"/>
          <w:sz w:val="18"/>
          <w:szCs w:val="18"/>
        </w:rPr>
      </w:pPr>
      <w:r w:rsidRPr="00247BA8">
        <w:rPr>
          <w:rFonts w:ascii="Verdana" w:hAnsi="Verdana"/>
          <w:i/>
          <w:iCs/>
          <w:color w:val="000000" w:themeColor="text1"/>
          <w:sz w:val="18"/>
          <w:szCs w:val="18"/>
        </w:rPr>
        <w:t>2.</w:t>
      </w:r>
      <w:r w:rsidRPr="00247BA8" w:rsidR="00B558D6">
        <w:rPr>
          <w:rFonts w:ascii="Verdana" w:hAnsi="Verdana"/>
          <w:i/>
          <w:iCs/>
          <w:color w:val="000000" w:themeColor="text1"/>
          <w:sz w:val="18"/>
          <w:szCs w:val="18"/>
        </w:rPr>
        <w:t>4</w:t>
      </w:r>
      <w:r w:rsidRPr="00247BA8">
        <w:rPr>
          <w:rFonts w:ascii="Verdana" w:hAnsi="Verdana"/>
          <w:i/>
          <w:iCs/>
          <w:color w:val="000000" w:themeColor="text1"/>
          <w:sz w:val="18"/>
          <w:szCs w:val="18"/>
        </w:rPr>
        <w:t xml:space="preserve"> Aanscherping artikel 40 van de Wet </w:t>
      </w:r>
      <w:proofErr w:type="spellStart"/>
      <w:r w:rsidRPr="00247BA8">
        <w:rPr>
          <w:rFonts w:ascii="Verdana" w:hAnsi="Verdana"/>
          <w:i/>
          <w:iCs/>
          <w:color w:val="000000" w:themeColor="text1"/>
          <w:sz w:val="18"/>
          <w:szCs w:val="18"/>
        </w:rPr>
        <w:t>Bro</w:t>
      </w:r>
      <w:proofErr w:type="spellEnd"/>
    </w:p>
    <w:p w:rsidRPr="00247BA8" w:rsidR="00054419" w:rsidP="00054419" w:rsidRDefault="00054419" w14:paraId="424C4803" w14:textId="77777777">
      <w:pPr>
        <w:rPr>
          <w:rFonts w:ascii="Verdana" w:hAnsi="Verdana"/>
          <w:i/>
          <w:iCs/>
          <w:color w:val="000000" w:themeColor="text1"/>
          <w:sz w:val="18"/>
          <w:szCs w:val="18"/>
        </w:rPr>
      </w:pPr>
    </w:p>
    <w:p w:rsidRPr="00247BA8" w:rsidR="00227ACD" w:rsidP="00054419" w:rsidRDefault="00054419" w14:paraId="4D6E975C" w14:textId="77777777">
      <w:pPr>
        <w:rPr>
          <w:rFonts w:ascii="Verdana" w:hAnsi="Verdana"/>
          <w:i/>
          <w:iCs/>
          <w:color w:val="000000" w:themeColor="text1"/>
          <w:sz w:val="18"/>
          <w:szCs w:val="18"/>
        </w:rPr>
      </w:pPr>
      <w:r w:rsidRPr="00247BA8">
        <w:rPr>
          <w:rFonts w:ascii="Verdana" w:hAnsi="Verdana"/>
          <w:i/>
          <w:iCs/>
          <w:color w:val="000000" w:themeColor="text1"/>
          <w:sz w:val="18"/>
          <w:szCs w:val="18"/>
        </w:rPr>
        <w:t>De leden van de VVD-fractie vragen de regering waarom in eerste instantie niet gekozen is voor een verplichtende bepaling, in plaats van een “</w:t>
      </w:r>
      <w:proofErr w:type="spellStart"/>
      <w:r w:rsidRPr="00247BA8">
        <w:rPr>
          <w:rFonts w:ascii="Verdana" w:hAnsi="Verdana"/>
          <w:i/>
          <w:iCs/>
          <w:color w:val="000000" w:themeColor="text1"/>
          <w:sz w:val="18"/>
          <w:szCs w:val="18"/>
        </w:rPr>
        <w:t>kan-bepaling</w:t>
      </w:r>
      <w:proofErr w:type="spellEnd"/>
      <w:r w:rsidRPr="00247BA8">
        <w:rPr>
          <w:rFonts w:ascii="Verdana" w:hAnsi="Verdana"/>
          <w:i/>
          <w:iCs/>
          <w:color w:val="000000" w:themeColor="text1"/>
          <w:sz w:val="18"/>
          <w:szCs w:val="18"/>
        </w:rPr>
        <w:t xml:space="preserve">”. </w:t>
      </w:r>
    </w:p>
    <w:p w:rsidR="006F39F1" w:rsidP="081F2A66" w:rsidRDefault="00976C8E" w14:paraId="2A27BB82" w14:textId="77777777">
      <w:pPr>
        <w:rPr>
          <w:rFonts w:ascii="Verdana" w:hAnsi="Verdana"/>
          <w:color w:val="000000" w:themeColor="text1"/>
          <w:sz w:val="18"/>
          <w:szCs w:val="18"/>
        </w:rPr>
      </w:pPr>
      <w:r>
        <w:br/>
      </w:r>
      <w:r w:rsidRPr="081F2A66" w:rsidR="081F2A66">
        <w:rPr>
          <w:rFonts w:ascii="Verdana" w:hAnsi="Verdana"/>
          <w:color w:val="000000" w:themeColor="text1"/>
          <w:sz w:val="18"/>
          <w:szCs w:val="18"/>
        </w:rPr>
        <w:t xml:space="preserve">Het omzetten van brondocumenten die niet voldoen aan het IMBRO/A-regime voor historische gegevens had een te grote lastendruk betekend voor de bronhouders. Daarom was dit een </w:t>
      </w:r>
      <w:r w:rsidRPr="081F2A66" w:rsidR="081F2A66">
        <w:rPr>
          <w:rFonts w:ascii="Verdana" w:hAnsi="Verdana"/>
          <w:i/>
          <w:iCs/>
          <w:color w:val="000000" w:themeColor="text1"/>
          <w:sz w:val="18"/>
          <w:szCs w:val="18"/>
        </w:rPr>
        <w:t>bevoegdheid</w:t>
      </w:r>
      <w:r w:rsidRPr="081F2A66" w:rsidR="081F2A66">
        <w:rPr>
          <w:rFonts w:ascii="Verdana" w:hAnsi="Verdana"/>
          <w:color w:val="000000" w:themeColor="text1"/>
          <w:sz w:val="18"/>
          <w:szCs w:val="18"/>
        </w:rPr>
        <w:t xml:space="preserve">. </w:t>
      </w:r>
      <w:r w:rsidR="006F39F1">
        <w:rPr>
          <w:rFonts w:ascii="Verdana" w:hAnsi="Verdana"/>
          <w:color w:val="000000" w:themeColor="text1"/>
          <w:sz w:val="18"/>
          <w:szCs w:val="18"/>
        </w:rPr>
        <w:t>In andere woorden, in vergelijking met analoog bewaarde gegevens (papieren archieven), kost het aan de BRO aanleveren van digitaal en gestructureerd bewaarde gegevens veel minder tijd voor bronhouders. Het is proportioneel om van bronhouders te vragen om de historische gegevens te leveren waarvan dat realistisch is en niet teveel tijd kost. Dat was voorheen ook de bedoeling van de “</w:t>
      </w:r>
      <w:proofErr w:type="spellStart"/>
      <w:r w:rsidR="006F39F1">
        <w:rPr>
          <w:rFonts w:ascii="Verdana" w:hAnsi="Verdana"/>
          <w:color w:val="000000" w:themeColor="text1"/>
          <w:sz w:val="18"/>
          <w:szCs w:val="18"/>
        </w:rPr>
        <w:t>kan-bepaling</w:t>
      </w:r>
      <w:proofErr w:type="spellEnd"/>
      <w:r w:rsidR="006F39F1">
        <w:rPr>
          <w:rFonts w:ascii="Verdana" w:hAnsi="Verdana"/>
          <w:color w:val="000000" w:themeColor="text1"/>
          <w:sz w:val="18"/>
          <w:szCs w:val="18"/>
        </w:rPr>
        <w:t xml:space="preserve">”, zodat bronhouders de ruimte had om oude papieren archieven niet te hoeven digitaliseren en aan te leveren. </w:t>
      </w:r>
    </w:p>
    <w:p w:rsidRPr="00247BA8" w:rsidR="00EE5B02" w:rsidP="004F42F4" w:rsidRDefault="006F39F1" w14:paraId="43D60079" w14:textId="2D6DC6F1">
      <w:pPr>
        <w:spacing w:after="160" w:line="259" w:lineRule="auto"/>
        <w:rPr>
          <w:rFonts w:ascii="Verdana" w:hAnsi="Verdana"/>
          <w:color w:val="000000" w:themeColor="text1"/>
          <w:sz w:val="18"/>
          <w:szCs w:val="18"/>
        </w:rPr>
      </w:pPr>
      <w:r>
        <w:rPr>
          <w:rFonts w:ascii="Verdana" w:hAnsi="Verdana"/>
          <w:color w:val="000000" w:themeColor="text1"/>
          <w:sz w:val="18"/>
          <w:szCs w:val="18"/>
        </w:rPr>
        <w:t xml:space="preserve">Nu is heroverwogen dat het beter is om een verplichting te regelen, maar dan, in tegenstelling tot voorheen, specifiek toegespitst op de gegevens waarvan het ook realistisch is om dat te verplichten. </w:t>
      </w:r>
      <w:r w:rsidR="00976C8E">
        <w:br/>
      </w:r>
      <w:r w:rsidRPr="081F2A66" w:rsidR="081F2A66">
        <w:rPr>
          <w:rFonts w:ascii="Verdana" w:hAnsi="Verdana"/>
          <w:color w:val="000000" w:themeColor="text1"/>
          <w:sz w:val="18"/>
          <w:szCs w:val="18"/>
        </w:rPr>
        <w:t>Het nieuwe artikel 40 schrijft nu slechts voor dat een bronhouder historische gegevens die op digitale en gestructureerde wijze zijn opgeslagen en voldoen aan dit IMBRO/A-regime, moet aanleveren (</w:t>
      </w:r>
      <w:r w:rsidRPr="081F2A66" w:rsidR="081F2A66">
        <w:rPr>
          <w:rFonts w:ascii="Verdana" w:hAnsi="Verdana"/>
          <w:i/>
          <w:iCs/>
          <w:color w:val="000000" w:themeColor="text1"/>
          <w:sz w:val="18"/>
          <w:szCs w:val="18"/>
        </w:rPr>
        <w:t>verplichting</w:t>
      </w:r>
      <w:r w:rsidRPr="081F2A66" w:rsidR="081F2A66">
        <w:rPr>
          <w:rFonts w:ascii="Verdana" w:hAnsi="Verdana"/>
          <w:color w:val="000000" w:themeColor="text1"/>
          <w:sz w:val="18"/>
          <w:szCs w:val="18"/>
        </w:rPr>
        <w:t>).</w:t>
      </w:r>
      <w:r>
        <w:rPr>
          <w:rFonts w:ascii="Verdana" w:hAnsi="Verdana"/>
          <w:color w:val="000000" w:themeColor="text1"/>
          <w:sz w:val="18"/>
          <w:szCs w:val="18"/>
        </w:rPr>
        <w:t xml:space="preserve"> </w:t>
      </w:r>
      <w:r w:rsidR="00976C8E">
        <w:br/>
      </w:r>
      <w:r w:rsidR="00976C8E">
        <w:br/>
      </w:r>
      <w:r w:rsidRPr="081F2A66" w:rsidR="081F2A66">
        <w:rPr>
          <w:rFonts w:ascii="Verdana" w:hAnsi="Verdana"/>
          <w:i/>
          <w:iCs/>
          <w:color w:val="000000" w:themeColor="text1"/>
          <w:sz w:val="18"/>
          <w:szCs w:val="18"/>
        </w:rPr>
        <w:t xml:space="preserve">Acht de regering het aannemelijk dat het beoogde doel door de verplichtende bepaling nu wel wordt gerealiseerd? </w:t>
      </w:r>
      <w:r w:rsidR="00976C8E">
        <w:br/>
      </w:r>
      <w:bookmarkStart w:name="_Hlk174380749" w:id="5"/>
      <w:bookmarkStart w:name="_Hlk174380606" w:id="6"/>
      <w:bookmarkEnd w:id="5"/>
      <w:bookmarkEnd w:id="6"/>
    </w:p>
    <w:p w:rsidRPr="00247BA8" w:rsidR="00054419" w:rsidP="00054419" w:rsidRDefault="00EE5B02" w14:paraId="7E0E75CB" w14:textId="0C105C22">
      <w:pPr>
        <w:rPr>
          <w:rFonts w:ascii="Verdana" w:hAnsi="Verdana"/>
          <w:color w:val="000000" w:themeColor="text1"/>
          <w:sz w:val="18"/>
          <w:szCs w:val="18"/>
        </w:rPr>
      </w:pPr>
      <w:r w:rsidRPr="00247BA8">
        <w:rPr>
          <w:rFonts w:ascii="Verdana" w:hAnsi="Verdana"/>
          <w:color w:val="000000" w:themeColor="text1"/>
          <w:sz w:val="18"/>
          <w:szCs w:val="18"/>
        </w:rPr>
        <w:t>De bronhouders vreesden dat ze kosten moeten maken voor het aanleveren van de historische gegevens. Deze zorg is weggenomen door de</w:t>
      </w:r>
      <w:r w:rsidRPr="00247BA8" w:rsidR="00BE49AD">
        <w:rPr>
          <w:rFonts w:ascii="Verdana" w:hAnsi="Verdana"/>
          <w:color w:val="000000" w:themeColor="text1"/>
          <w:sz w:val="18"/>
          <w:szCs w:val="18"/>
        </w:rPr>
        <w:t xml:space="preserve"> beperk</w:t>
      </w:r>
      <w:r w:rsidRPr="00247BA8">
        <w:rPr>
          <w:rFonts w:ascii="Verdana" w:hAnsi="Verdana"/>
          <w:color w:val="000000" w:themeColor="text1"/>
          <w:sz w:val="18"/>
          <w:szCs w:val="18"/>
        </w:rPr>
        <w:t>ing</w:t>
      </w:r>
      <w:r w:rsidRPr="00247BA8" w:rsidR="00BE49AD">
        <w:rPr>
          <w:rFonts w:ascii="Verdana" w:hAnsi="Verdana"/>
          <w:color w:val="000000" w:themeColor="text1"/>
          <w:sz w:val="18"/>
          <w:szCs w:val="18"/>
        </w:rPr>
        <w:t xml:space="preserve"> </w:t>
      </w:r>
      <w:r w:rsidRPr="00247BA8">
        <w:rPr>
          <w:rFonts w:ascii="Verdana" w:hAnsi="Verdana"/>
          <w:color w:val="000000" w:themeColor="text1"/>
          <w:sz w:val="18"/>
          <w:szCs w:val="18"/>
        </w:rPr>
        <w:t xml:space="preserve">van de </w:t>
      </w:r>
      <w:r w:rsidRPr="00247BA8" w:rsidR="00BE49AD">
        <w:rPr>
          <w:rFonts w:ascii="Verdana" w:hAnsi="Verdana"/>
          <w:color w:val="000000" w:themeColor="text1"/>
          <w:sz w:val="18"/>
          <w:szCs w:val="18"/>
        </w:rPr>
        <w:t xml:space="preserve">plicht </w:t>
      </w:r>
      <w:r w:rsidRPr="00247BA8" w:rsidR="00EB683E">
        <w:rPr>
          <w:rFonts w:ascii="Verdana" w:hAnsi="Verdana"/>
          <w:color w:val="000000" w:themeColor="text1"/>
          <w:sz w:val="18"/>
          <w:szCs w:val="18"/>
        </w:rPr>
        <w:t>tot de levering van historische gegevens die op digitale en gestructureerde wijze zijn opgeslagen</w:t>
      </w:r>
      <w:r w:rsidRPr="00247BA8" w:rsidR="00BE49AD">
        <w:rPr>
          <w:rFonts w:ascii="Verdana" w:hAnsi="Verdana"/>
          <w:color w:val="000000" w:themeColor="text1"/>
          <w:sz w:val="18"/>
          <w:szCs w:val="18"/>
        </w:rPr>
        <w:t>,</w:t>
      </w:r>
      <w:r w:rsidRPr="00247BA8" w:rsidR="00FD5114">
        <w:rPr>
          <w:rFonts w:ascii="Verdana" w:hAnsi="Verdana"/>
          <w:color w:val="000000" w:themeColor="text1"/>
          <w:sz w:val="18"/>
          <w:szCs w:val="18"/>
        </w:rPr>
        <w:t xml:space="preserve"> en voldoen aan d</w:t>
      </w:r>
      <w:r w:rsidRPr="00247BA8" w:rsidR="00BE49AD">
        <w:rPr>
          <w:rFonts w:ascii="Verdana" w:hAnsi="Verdana"/>
          <w:color w:val="000000" w:themeColor="text1"/>
          <w:sz w:val="18"/>
          <w:szCs w:val="18"/>
        </w:rPr>
        <w:t>it</w:t>
      </w:r>
      <w:r w:rsidRPr="00247BA8" w:rsidR="00FD5114">
        <w:rPr>
          <w:rFonts w:ascii="Verdana" w:hAnsi="Verdana"/>
          <w:color w:val="000000" w:themeColor="text1"/>
          <w:sz w:val="18"/>
          <w:szCs w:val="18"/>
        </w:rPr>
        <w:t xml:space="preserve"> IMBRO</w:t>
      </w:r>
      <w:r w:rsidRPr="00247BA8" w:rsidR="00BE49AD">
        <w:rPr>
          <w:rFonts w:ascii="Verdana" w:hAnsi="Verdana"/>
          <w:color w:val="000000" w:themeColor="text1"/>
          <w:sz w:val="18"/>
          <w:szCs w:val="18"/>
        </w:rPr>
        <w:t>/</w:t>
      </w:r>
      <w:r w:rsidRPr="00247BA8" w:rsidR="00FD5114">
        <w:rPr>
          <w:rFonts w:ascii="Verdana" w:hAnsi="Verdana"/>
          <w:color w:val="000000" w:themeColor="text1"/>
          <w:sz w:val="18"/>
          <w:szCs w:val="18"/>
        </w:rPr>
        <w:t>A-</w:t>
      </w:r>
      <w:r w:rsidRPr="00247BA8" w:rsidR="00BE49AD">
        <w:rPr>
          <w:rFonts w:ascii="Verdana" w:hAnsi="Verdana"/>
          <w:color w:val="000000" w:themeColor="text1"/>
          <w:sz w:val="18"/>
          <w:szCs w:val="18"/>
        </w:rPr>
        <w:t>regime</w:t>
      </w:r>
      <w:r w:rsidRPr="00247BA8" w:rsidR="00FD5114">
        <w:rPr>
          <w:rFonts w:ascii="Verdana" w:hAnsi="Verdana"/>
          <w:color w:val="000000" w:themeColor="text1"/>
          <w:sz w:val="18"/>
          <w:szCs w:val="18"/>
        </w:rPr>
        <w:t>.</w:t>
      </w:r>
      <w:r w:rsidRPr="00247BA8" w:rsidR="00FF36F4">
        <w:rPr>
          <w:rFonts w:ascii="Verdana" w:hAnsi="Verdana"/>
          <w:color w:val="000000" w:themeColor="text1"/>
          <w:sz w:val="18"/>
          <w:szCs w:val="18"/>
        </w:rPr>
        <w:br/>
      </w:r>
      <w:r w:rsidRPr="00247BA8" w:rsidR="00C824AD">
        <w:rPr>
          <w:rFonts w:ascii="Verdana" w:hAnsi="Verdana"/>
          <w:color w:val="000000" w:themeColor="text1"/>
          <w:sz w:val="18"/>
          <w:szCs w:val="18"/>
        </w:rPr>
        <w:t xml:space="preserve">Op die wijze kan het beoogde doel, </w:t>
      </w:r>
      <w:r w:rsidRPr="00247BA8" w:rsidR="00F255F0">
        <w:rPr>
          <w:rFonts w:ascii="Verdana" w:hAnsi="Verdana"/>
          <w:color w:val="000000" w:themeColor="text1"/>
          <w:sz w:val="18"/>
          <w:szCs w:val="18"/>
        </w:rPr>
        <w:t>het aan de BRO toevoegen van zoveel mogelijk historische gegevens</w:t>
      </w:r>
      <w:r w:rsidRPr="00247BA8" w:rsidR="00C824AD">
        <w:rPr>
          <w:rFonts w:ascii="Verdana" w:hAnsi="Verdana"/>
          <w:color w:val="000000" w:themeColor="text1"/>
          <w:sz w:val="18"/>
          <w:szCs w:val="18"/>
        </w:rPr>
        <w:t>, behaald worden.</w:t>
      </w:r>
    </w:p>
    <w:p w:rsidRPr="00247BA8" w:rsidR="00C66D34" w:rsidP="00054419" w:rsidRDefault="00C66D34" w14:paraId="624DD14A" w14:textId="77777777">
      <w:pPr>
        <w:rPr>
          <w:rFonts w:ascii="Verdana" w:hAnsi="Verdana"/>
          <w:color w:val="000000" w:themeColor="text1"/>
          <w:sz w:val="18"/>
          <w:szCs w:val="18"/>
        </w:rPr>
      </w:pPr>
    </w:p>
    <w:p w:rsidRPr="00247BA8" w:rsidR="00EE5B02" w:rsidP="00054419" w:rsidRDefault="00054419" w14:paraId="1581689A"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Verder lezen </w:t>
      </w:r>
      <w:r w:rsidRPr="00247BA8" w:rsidR="00B558D6">
        <w:rPr>
          <w:rFonts w:ascii="Verdana" w:hAnsi="Verdana"/>
          <w:i/>
          <w:iCs/>
          <w:color w:val="000000" w:themeColor="text1"/>
          <w:sz w:val="18"/>
          <w:szCs w:val="18"/>
        </w:rPr>
        <w:t>deze</w:t>
      </w:r>
      <w:r w:rsidRPr="00247BA8">
        <w:rPr>
          <w:rFonts w:ascii="Verdana" w:hAnsi="Verdana"/>
          <w:i/>
          <w:iCs/>
          <w:color w:val="000000" w:themeColor="text1"/>
          <w:sz w:val="18"/>
          <w:szCs w:val="18"/>
        </w:rPr>
        <w:t xml:space="preserve"> leden dat de regering geen noodzaak ziet om in het Besluit </w:t>
      </w:r>
      <w:proofErr w:type="spellStart"/>
      <w:r w:rsidRPr="00247BA8">
        <w:rPr>
          <w:rFonts w:ascii="Verdana" w:hAnsi="Verdana"/>
          <w:i/>
          <w:iCs/>
          <w:color w:val="000000" w:themeColor="text1"/>
          <w:sz w:val="18"/>
          <w:szCs w:val="18"/>
        </w:rPr>
        <w:t>Bro</w:t>
      </w:r>
      <w:proofErr w:type="spellEnd"/>
      <w:r w:rsidRPr="00247BA8">
        <w:rPr>
          <w:rFonts w:ascii="Verdana" w:hAnsi="Verdana"/>
          <w:i/>
          <w:iCs/>
          <w:color w:val="000000" w:themeColor="text1"/>
          <w:sz w:val="18"/>
          <w:szCs w:val="18"/>
        </w:rPr>
        <w:t xml:space="preserve"> en de Regeling </w:t>
      </w:r>
      <w:proofErr w:type="spellStart"/>
      <w:r w:rsidRPr="00247BA8">
        <w:rPr>
          <w:rFonts w:ascii="Verdana" w:hAnsi="Verdana"/>
          <w:i/>
          <w:iCs/>
          <w:color w:val="000000" w:themeColor="text1"/>
          <w:sz w:val="18"/>
          <w:szCs w:val="18"/>
        </w:rPr>
        <w:t>Bro</w:t>
      </w:r>
      <w:proofErr w:type="spellEnd"/>
      <w:r w:rsidRPr="00247BA8">
        <w:rPr>
          <w:rFonts w:ascii="Verdana" w:hAnsi="Verdana"/>
          <w:i/>
          <w:iCs/>
          <w:color w:val="000000" w:themeColor="text1"/>
          <w:sz w:val="18"/>
          <w:szCs w:val="18"/>
        </w:rPr>
        <w:t xml:space="preserve"> te specificeren wat er onder historische gegevens wordt verstaan</w:t>
      </w:r>
      <w:r w:rsidRPr="00247BA8" w:rsidR="00B558D6">
        <w:rPr>
          <w:rFonts w:ascii="Verdana" w:hAnsi="Verdana"/>
          <w:i/>
          <w:iCs/>
          <w:color w:val="000000" w:themeColor="text1"/>
          <w:sz w:val="18"/>
          <w:szCs w:val="18"/>
        </w:rPr>
        <w:t xml:space="preserve">, </w:t>
      </w:r>
      <w:r w:rsidRPr="00247BA8">
        <w:rPr>
          <w:rFonts w:ascii="Verdana" w:hAnsi="Verdana"/>
          <w:i/>
          <w:iCs/>
          <w:color w:val="000000" w:themeColor="text1"/>
          <w:sz w:val="18"/>
          <w:szCs w:val="18"/>
        </w:rPr>
        <w:t xml:space="preserve">terwijl enkele stakeholders hier wel om hebben gevraagd. Wat waren de redenen van deze stakeholders om te vragen om deze specificatie? </w:t>
      </w:r>
    </w:p>
    <w:p w:rsidRPr="00247BA8" w:rsidR="00D74D4A" w:rsidP="00054419" w:rsidRDefault="00976C8E" w14:paraId="321594A6" w14:textId="6AAB4DEE">
      <w:pPr>
        <w:rPr>
          <w:rFonts w:ascii="Verdana" w:hAnsi="Verdana"/>
          <w:color w:val="000000" w:themeColor="text1"/>
          <w:sz w:val="18"/>
          <w:szCs w:val="18"/>
        </w:rPr>
      </w:pPr>
      <w:r w:rsidRPr="00247BA8">
        <w:rPr>
          <w:rFonts w:ascii="Verdana" w:hAnsi="Verdana"/>
          <w:color w:val="000000" w:themeColor="text1"/>
          <w:sz w:val="18"/>
          <w:szCs w:val="18"/>
        </w:rPr>
        <w:br/>
      </w:r>
      <w:r w:rsidRPr="00247BA8" w:rsidR="00D74D4A">
        <w:rPr>
          <w:rFonts w:ascii="Verdana" w:hAnsi="Verdana"/>
          <w:color w:val="000000" w:themeColor="text1"/>
          <w:sz w:val="18"/>
          <w:szCs w:val="18"/>
        </w:rPr>
        <w:t xml:space="preserve">De stakeholders in het milieudomein waren bezorgd dat zij ook </w:t>
      </w:r>
      <w:r w:rsidRPr="00247BA8" w:rsidR="00EE5B02">
        <w:rPr>
          <w:rFonts w:ascii="Verdana" w:hAnsi="Verdana"/>
          <w:color w:val="000000" w:themeColor="text1"/>
          <w:sz w:val="18"/>
          <w:szCs w:val="18"/>
        </w:rPr>
        <w:t xml:space="preserve">historische gegevens </w:t>
      </w:r>
      <w:r w:rsidRPr="00247BA8" w:rsidR="00D74D4A">
        <w:rPr>
          <w:rFonts w:ascii="Verdana" w:hAnsi="Verdana"/>
          <w:color w:val="000000" w:themeColor="text1"/>
          <w:sz w:val="18"/>
          <w:szCs w:val="18"/>
        </w:rPr>
        <w:t xml:space="preserve">die niet voldoen aan het IMBRO/A-regime, zouden moeten aanleveren. Dit is niet het geval conform artikel 40 van de Wet </w:t>
      </w:r>
      <w:proofErr w:type="spellStart"/>
      <w:r w:rsidRPr="00247BA8" w:rsidR="00D74D4A">
        <w:rPr>
          <w:rFonts w:ascii="Verdana" w:hAnsi="Verdana"/>
          <w:color w:val="000000" w:themeColor="text1"/>
          <w:sz w:val="18"/>
          <w:szCs w:val="18"/>
        </w:rPr>
        <w:t>Bro</w:t>
      </w:r>
      <w:proofErr w:type="spellEnd"/>
      <w:r w:rsidRPr="00247BA8" w:rsidR="00D74D4A">
        <w:rPr>
          <w:rFonts w:ascii="Verdana" w:hAnsi="Verdana"/>
          <w:color w:val="000000" w:themeColor="text1"/>
          <w:sz w:val="18"/>
          <w:szCs w:val="18"/>
        </w:rPr>
        <w:t xml:space="preserve">. In het milieudomein </w:t>
      </w:r>
      <w:r w:rsidRPr="00247BA8" w:rsidR="009A2265">
        <w:rPr>
          <w:rFonts w:ascii="Verdana" w:hAnsi="Verdana"/>
          <w:color w:val="000000" w:themeColor="text1"/>
          <w:sz w:val="18"/>
          <w:szCs w:val="18"/>
        </w:rPr>
        <w:t>gaat het om een groot aantal analoge rapporten.</w:t>
      </w:r>
    </w:p>
    <w:p w:rsidRPr="00247BA8" w:rsidR="0050279D" w:rsidP="00054419" w:rsidRDefault="001B1F89" w14:paraId="0AA68923" w14:textId="7A356AF1">
      <w:pPr>
        <w:rPr>
          <w:rFonts w:ascii="Verdana" w:hAnsi="Verdana"/>
          <w:color w:val="000000" w:themeColor="text1"/>
          <w:sz w:val="18"/>
          <w:szCs w:val="18"/>
        </w:rPr>
      </w:pPr>
      <w:r w:rsidRPr="00247BA8">
        <w:rPr>
          <w:rFonts w:ascii="Verdana" w:hAnsi="Verdana"/>
          <w:color w:val="000000" w:themeColor="text1"/>
          <w:sz w:val="18"/>
          <w:szCs w:val="18"/>
        </w:rPr>
        <w:t xml:space="preserve">De historische gegevens per registratieobject worden </w:t>
      </w:r>
      <w:r w:rsidRPr="00247BA8" w:rsidR="009A2265">
        <w:rPr>
          <w:rFonts w:ascii="Verdana" w:hAnsi="Verdana"/>
          <w:color w:val="000000" w:themeColor="text1"/>
          <w:sz w:val="18"/>
          <w:szCs w:val="18"/>
        </w:rPr>
        <w:t>gespecificeerd</w:t>
      </w:r>
      <w:r w:rsidRPr="00247BA8">
        <w:rPr>
          <w:rFonts w:ascii="Verdana" w:hAnsi="Verdana"/>
          <w:color w:val="000000" w:themeColor="text1"/>
          <w:sz w:val="18"/>
          <w:szCs w:val="18"/>
        </w:rPr>
        <w:t xml:space="preserve"> in de catalog</w:t>
      </w:r>
      <w:r w:rsidRPr="00247BA8" w:rsidR="00C66D34">
        <w:rPr>
          <w:rFonts w:ascii="Verdana" w:hAnsi="Verdana"/>
          <w:color w:val="000000" w:themeColor="text1"/>
          <w:sz w:val="18"/>
          <w:szCs w:val="18"/>
        </w:rPr>
        <w:t>i BRO</w:t>
      </w:r>
      <w:r w:rsidRPr="00247BA8">
        <w:rPr>
          <w:rFonts w:ascii="Verdana" w:hAnsi="Verdana"/>
          <w:color w:val="000000" w:themeColor="text1"/>
          <w:sz w:val="18"/>
          <w:szCs w:val="18"/>
        </w:rPr>
        <w:t xml:space="preserve"> als IMBRO/A</w:t>
      </w:r>
      <w:r w:rsidRPr="00247BA8" w:rsidR="00E83D8C">
        <w:rPr>
          <w:rFonts w:ascii="Verdana" w:hAnsi="Verdana"/>
          <w:color w:val="000000" w:themeColor="text1"/>
          <w:sz w:val="18"/>
          <w:szCs w:val="18"/>
        </w:rPr>
        <w:t>. Online zijn de catalog</w:t>
      </w:r>
      <w:r w:rsidRPr="00247BA8" w:rsidR="00C66D34">
        <w:rPr>
          <w:rFonts w:ascii="Verdana" w:hAnsi="Verdana"/>
          <w:color w:val="000000" w:themeColor="text1"/>
          <w:sz w:val="18"/>
          <w:szCs w:val="18"/>
        </w:rPr>
        <w:t>i</w:t>
      </w:r>
      <w:r w:rsidRPr="00247BA8" w:rsidR="00E83D8C">
        <w:rPr>
          <w:rFonts w:ascii="Verdana" w:hAnsi="Verdana"/>
          <w:color w:val="000000" w:themeColor="text1"/>
          <w:sz w:val="18"/>
          <w:szCs w:val="18"/>
        </w:rPr>
        <w:t xml:space="preserve"> inclusief de gedetailleerde beschrijving van IMBRO/A per registratieobject beschikbaar </w:t>
      </w:r>
      <w:hyperlink w:history="1" r:id="rId12">
        <w:r w:rsidRPr="00247BA8" w:rsidR="00C66D34">
          <w:rPr>
            <w:rStyle w:val="Hyperlink"/>
            <w:rFonts w:ascii="Verdana" w:hAnsi="Verdana"/>
            <w:color w:val="000000" w:themeColor="text1"/>
            <w:sz w:val="18"/>
            <w:szCs w:val="18"/>
            <w:u w:val="none"/>
          </w:rPr>
          <w:t>als</w:t>
        </w:r>
      </w:hyperlink>
      <w:r w:rsidRPr="00247BA8" w:rsidR="00C66D34">
        <w:rPr>
          <w:rFonts w:ascii="Verdana" w:hAnsi="Verdana"/>
          <w:color w:val="000000" w:themeColor="text1"/>
          <w:sz w:val="18"/>
          <w:szCs w:val="18"/>
        </w:rPr>
        <w:t xml:space="preserve"> </w:t>
      </w:r>
      <w:bookmarkStart w:name="_Hlk173943460" w:id="7"/>
      <w:r w:rsidRPr="00247BA8" w:rsidR="00C66D34">
        <w:rPr>
          <w:rFonts w:ascii="Verdana" w:hAnsi="Verdana"/>
          <w:color w:val="000000" w:themeColor="text1"/>
          <w:sz w:val="18"/>
          <w:szCs w:val="18"/>
        </w:rPr>
        <w:t xml:space="preserve">Bijlagen bij de </w:t>
      </w:r>
      <w:hyperlink w:history="1" r:id="rId13">
        <w:r w:rsidRPr="00247BA8" w:rsidR="00C66D34">
          <w:rPr>
            <w:rStyle w:val="Hyperlink"/>
            <w:rFonts w:ascii="Verdana" w:hAnsi="Verdana"/>
            <w:color w:val="000000" w:themeColor="text1"/>
            <w:sz w:val="18"/>
            <w:szCs w:val="18"/>
            <w:u w:val="none"/>
          </w:rPr>
          <w:t xml:space="preserve">Regeling </w:t>
        </w:r>
        <w:proofErr w:type="spellStart"/>
        <w:r w:rsidRPr="00247BA8" w:rsidR="00C66D34">
          <w:rPr>
            <w:rStyle w:val="Hyperlink"/>
            <w:rFonts w:ascii="Verdana" w:hAnsi="Verdana"/>
            <w:color w:val="000000" w:themeColor="text1"/>
            <w:sz w:val="18"/>
            <w:szCs w:val="18"/>
            <w:u w:val="none"/>
          </w:rPr>
          <w:t>Bro</w:t>
        </w:r>
        <w:proofErr w:type="spellEnd"/>
      </w:hyperlink>
      <w:bookmarkEnd w:id="7"/>
      <w:r w:rsidRPr="00247BA8" w:rsidR="00E83D8C">
        <w:rPr>
          <w:rFonts w:ascii="Verdana" w:hAnsi="Verdana"/>
          <w:color w:val="000000" w:themeColor="text1"/>
          <w:sz w:val="18"/>
          <w:szCs w:val="18"/>
        </w:rPr>
        <w:t>.</w:t>
      </w:r>
    </w:p>
    <w:p w:rsidRPr="00247BA8" w:rsidR="00054419" w:rsidP="00054419" w:rsidRDefault="00976C8E" w14:paraId="65BD3E69" w14:textId="112FE5B4">
      <w:pPr>
        <w:rPr>
          <w:rFonts w:ascii="Verdana" w:hAnsi="Verdana"/>
          <w:i/>
          <w:iCs/>
          <w:color w:val="000000" w:themeColor="text1"/>
          <w:sz w:val="18"/>
          <w:szCs w:val="18"/>
        </w:rPr>
      </w:pPr>
      <w:r w:rsidRPr="00247BA8">
        <w:rPr>
          <w:rFonts w:ascii="Verdana" w:hAnsi="Verdana"/>
          <w:color w:val="000000" w:themeColor="text1"/>
          <w:sz w:val="18"/>
          <w:szCs w:val="18"/>
        </w:rPr>
        <w:br/>
      </w:r>
      <w:r w:rsidRPr="00247BA8" w:rsidR="00054419">
        <w:rPr>
          <w:rFonts w:ascii="Verdana" w:hAnsi="Verdana"/>
          <w:i/>
          <w:iCs/>
          <w:color w:val="000000" w:themeColor="text1"/>
          <w:sz w:val="18"/>
          <w:szCs w:val="18"/>
        </w:rPr>
        <w:t>Op welke manier gaat de regering de stakeholders ondersteunen op het moment dat zij hierover onduidelijkheden ondervinden en daar vragen over hebben?</w:t>
      </w:r>
    </w:p>
    <w:p w:rsidRPr="00247BA8" w:rsidR="00EE5B02" w:rsidP="00054419" w:rsidRDefault="00EE5B02" w14:paraId="5519D220" w14:textId="77777777">
      <w:pPr>
        <w:rPr>
          <w:rFonts w:ascii="Verdana" w:hAnsi="Verdana"/>
          <w:i/>
          <w:iCs/>
          <w:color w:val="000000" w:themeColor="text1"/>
          <w:sz w:val="18"/>
          <w:szCs w:val="18"/>
        </w:rPr>
      </w:pPr>
    </w:p>
    <w:p w:rsidRPr="00247BA8" w:rsidR="001B1F89" w:rsidP="00054419" w:rsidRDefault="001B1F89" w14:paraId="0233BA8C" w14:textId="51F4A37F">
      <w:pPr>
        <w:rPr>
          <w:rFonts w:ascii="Verdana" w:hAnsi="Verdana"/>
          <w:color w:val="000000" w:themeColor="text1"/>
          <w:sz w:val="18"/>
          <w:szCs w:val="18"/>
        </w:rPr>
      </w:pPr>
      <w:r w:rsidRPr="00247BA8">
        <w:rPr>
          <w:rFonts w:ascii="Verdana" w:hAnsi="Verdana"/>
          <w:color w:val="000000" w:themeColor="text1"/>
          <w:sz w:val="18"/>
          <w:szCs w:val="18"/>
        </w:rPr>
        <w:t xml:space="preserve">Er is een </w:t>
      </w:r>
      <w:r w:rsidRPr="00247BA8" w:rsidR="0050279D">
        <w:rPr>
          <w:rFonts w:ascii="Verdana" w:hAnsi="Verdana"/>
          <w:color w:val="000000" w:themeColor="text1"/>
          <w:sz w:val="18"/>
          <w:szCs w:val="18"/>
        </w:rPr>
        <w:t>BRO S</w:t>
      </w:r>
      <w:r w:rsidRPr="00247BA8">
        <w:rPr>
          <w:rFonts w:ascii="Verdana" w:hAnsi="Verdana"/>
          <w:color w:val="000000" w:themeColor="text1"/>
          <w:sz w:val="18"/>
          <w:szCs w:val="18"/>
        </w:rPr>
        <w:t>ervicedesk beschikbaar</w:t>
      </w:r>
      <w:r w:rsidRPr="00247BA8" w:rsidR="0050279D">
        <w:rPr>
          <w:rFonts w:ascii="Verdana" w:hAnsi="Verdana"/>
          <w:color w:val="000000" w:themeColor="text1"/>
          <w:sz w:val="18"/>
          <w:szCs w:val="18"/>
        </w:rPr>
        <w:t>.</w:t>
      </w:r>
      <w:r w:rsidRPr="00247BA8">
        <w:rPr>
          <w:rFonts w:ascii="Verdana" w:hAnsi="Verdana"/>
          <w:color w:val="000000" w:themeColor="text1"/>
          <w:sz w:val="18"/>
          <w:szCs w:val="18"/>
        </w:rPr>
        <w:t xml:space="preserve"> </w:t>
      </w:r>
      <w:r w:rsidRPr="00247BA8" w:rsidR="0050279D">
        <w:rPr>
          <w:rFonts w:ascii="Verdana" w:hAnsi="Verdana"/>
          <w:color w:val="000000" w:themeColor="text1"/>
          <w:sz w:val="18"/>
          <w:szCs w:val="18"/>
        </w:rPr>
        <w:t>T</w:t>
      </w:r>
      <w:r w:rsidRPr="00247BA8">
        <w:rPr>
          <w:rFonts w:ascii="Verdana" w:hAnsi="Verdana"/>
          <w:color w:val="000000" w:themeColor="text1"/>
          <w:sz w:val="18"/>
          <w:szCs w:val="18"/>
        </w:rPr>
        <w:t xml:space="preserve">evens zijn er regionale informatiebijeenkomsten, </w:t>
      </w:r>
      <w:r w:rsidRPr="00247BA8" w:rsidR="0050279D">
        <w:rPr>
          <w:rFonts w:ascii="Verdana" w:hAnsi="Verdana"/>
          <w:color w:val="000000" w:themeColor="text1"/>
          <w:sz w:val="18"/>
          <w:szCs w:val="18"/>
        </w:rPr>
        <w:t xml:space="preserve">en </w:t>
      </w:r>
      <w:r w:rsidRPr="00247BA8">
        <w:rPr>
          <w:rFonts w:ascii="Verdana" w:hAnsi="Verdana"/>
          <w:color w:val="000000" w:themeColor="text1"/>
          <w:sz w:val="18"/>
          <w:szCs w:val="18"/>
        </w:rPr>
        <w:t xml:space="preserve">online </w:t>
      </w:r>
      <w:proofErr w:type="spellStart"/>
      <w:r w:rsidRPr="00247BA8" w:rsidR="0050279D">
        <w:rPr>
          <w:rFonts w:ascii="Verdana" w:hAnsi="Verdana"/>
          <w:color w:val="000000" w:themeColor="text1"/>
          <w:sz w:val="18"/>
          <w:szCs w:val="18"/>
        </w:rPr>
        <w:t>w</w:t>
      </w:r>
      <w:r w:rsidRPr="00247BA8">
        <w:rPr>
          <w:rFonts w:ascii="Verdana" w:hAnsi="Verdana"/>
          <w:color w:val="000000" w:themeColor="text1"/>
          <w:sz w:val="18"/>
          <w:szCs w:val="18"/>
        </w:rPr>
        <w:t>ebinars</w:t>
      </w:r>
      <w:proofErr w:type="spellEnd"/>
      <w:r w:rsidRPr="00247BA8" w:rsidR="0050279D">
        <w:rPr>
          <w:rFonts w:ascii="Verdana" w:hAnsi="Verdana"/>
          <w:color w:val="000000" w:themeColor="text1"/>
          <w:sz w:val="18"/>
          <w:szCs w:val="18"/>
        </w:rPr>
        <w:t>. A</w:t>
      </w:r>
      <w:r w:rsidRPr="00247BA8">
        <w:rPr>
          <w:rFonts w:ascii="Verdana" w:hAnsi="Verdana"/>
          <w:color w:val="000000" w:themeColor="text1"/>
          <w:sz w:val="18"/>
          <w:szCs w:val="18"/>
        </w:rPr>
        <w:t>lle document</w:t>
      </w:r>
      <w:r w:rsidRPr="00247BA8" w:rsidR="0050279D">
        <w:rPr>
          <w:rFonts w:ascii="Verdana" w:hAnsi="Verdana"/>
          <w:color w:val="000000" w:themeColor="text1"/>
          <w:sz w:val="18"/>
          <w:szCs w:val="18"/>
        </w:rPr>
        <w:t>atie k</w:t>
      </w:r>
      <w:r w:rsidRPr="00247BA8" w:rsidR="00FF36F4">
        <w:rPr>
          <w:rFonts w:ascii="Verdana" w:hAnsi="Verdana"/>
          <w:color w:val="000000" w:themeColor="text1"/>
          <w:sz w:val="18"/>
          <w:szCs w:val="18"/>
        </w:rPr>
        <w:t>unnen</w:t>
      </w:r>
      <w:r w:rsidRPr="00247BA8">
        <w:rPr>
          <w:rFonts w:ascii="Verdana" w:hAnsi="Verdana"/>
          <w:color w:val="000000" w:themeColor="text1"/>
          <w:sz w:val="18"/>
          <w:szCs w:val="18"/>
        </w:rPr>
        <w:t xml:space="preserve"> online worden geraadpleegd op </w:t>
      </w:r>
      <w:r w:rsidRPr="00247BA8" w:rsidR="0050279D">
        <w:rPr>
          <w:rFonts w:ascii="Verdana" w:hAnsi="Verdana"/>
          <w:color w:val="000000" w:themeColor="text1"/>
          <w:sz w:val="18"/>
          <w:szCs w:val="18"/>
        </w:rPr>
        <w:t>Basisregistratieondergrond.nl en Bro-productomgeving.nl</w:t>
      </w:r>
      <w:r w:rsidRPr="00247BA8">
        <w:rPr>
          <w:rFonts w:ascii="Verdana" w:hAnsi="Verdana"/>
          <w:color w:val="000000" w:themeColor="text1"/>
          <w:sz w:val="18"/>
          <w:szCs w:val="18"/>
        </w:rPr>
        <w:t xml:space="preserve"> </w:t>
      </w:r>
      <w:r w:rsidRPr="00247BA8" w:rsidR="0050279D">
        <w:rPr>
          <w:rFonts w:ascii="Verdana" w:hAnsi="Verdana"/>
          <w:color w:val="000000" w:themeColor="text1"/>
          <w:sz w:val="18"/>
          <w:szCs w:val="18"/>
        </w:rPr>
        <w:t xml:space="preserve">zoals </w:t>
      </w:r>
      <w:r w:rsidRPr="00247BA8">
        <w:rPr>
          <w:rFonts w:ascii="Verdana" w:hAnsi="Verdana"/>
          <w:color w:val="000000" w:themeColor="text1"/>
          <w:sz w:val="18"/>
          <w:szCs w:val="18"/>
        </w:rPr>
        <w:t xml:space="preserve">een </w:t>
      </w:r>
      <w:r w:rsidRPr="00247BA8" w:rsidR="009A2265">
        <w:rPr>
          <w:rFonts w:ascii="Verdana" w:hAnsi="Verdana"/>
          <w:color w:val="000000" w:themeColor="text1"/>
          <w:sz w:val="18"/>
          <w:szCs w:val="18"/>
        </w:rPr>
        <w:t>interactief verhaal</w:t>
      </w:r>
      <w:r w:rsidRPr="00247BA8">
        <w:rPr>
          <w:rFonts w:ascii="Verdana" w:hAnsi="Verdana"/>
          <w:color w:val="000000" w:themeColor="text1"/>
          <w:sz w:val="18"/>
          <w:szCs w:val="18"/>
        </w:rPr>
        <w:t xml:space="preserve"> per registratieobject met inhoudelijk gedetailleerde uitleg. Ook kunnen de diverse software</w:t>
      </w:r>
      <w:r w:rsidRPr="00247BA8" w:rsidR="0050279D">
        <w:rPr>
          <w:rFonts w:ascii="Verdana" w:hAnsi="Verdana"/>
          <w:color w:val="000000" w:themeColor="text1"/>
          <w:sz w:val="18"/>
          <w:szCs w:val="18"/>
        </w:rPr>
        <w:t>-</w:t>
      </w:r>
      <w:r w:rsidRPr="00247BA8">
        <w:rPr>
          <w:rFonts w:ascii="Verdana" w:hAnsi="Verdana"/>
          <w:color w:val="000000" w:themeColor="text1"/>
          <w:sz w:val="18"/>
          <w:szCs w:val="18"/>
        </w:rPr>
        <w:t xml:space="preserve"> en dataleveranciers de stakeholders ondersteunen. </w:t>
      </w:r>
    </w:p>
    <w:p w:rsidRPr="00247BA8" w:rsidR="0050279D" w:rsidP="00054419" w:rsidRDefault="0050279D" w14:paraId="6755FE75" w14:textId="77777777">
      <w:pPr>
        <w:rPr>
          <w:rFonts w:ascii="Verdana" w:hAnsi="Verdana"/>
          <w:color w:val="000000" w:themeColor="text1"/>
          <w:sz w:val="18"/>
          <w:szCs w:val="18"/>
        </w:rPr>
      </w:pPr>
    </w:p>
    <w:p w:rsidRPr="00247BA8" w:rsidR="00E83D8C" w:rsidP="00E83D8C" w:rsidRDefault="00054419" w14:paraId="111528FA" w14:textId="77777777">
      <w:pPr>
        <w:rPr>
          <w:rFonts w:ascii="Verdana" w:hAnsi="Verdana"/>
          <w:i/>
          <w:iCs/>
          <w:color w:val="000000" w:themeColor="text1"/>
          <w:sz w:val="18"/>
          <w:szCs w:val="18"/>
        </w:rPr>
      </w:pPr>
      <w:r w:rsidRPr="00247BA8">
        <w:rPr>
          <w:rFonts w:ascii="Verdana" w:hAnsi="Verdana"/>
          <w:i/>
          <w:iCs/>
          <w:color w:val="000000" w:themeColor="text1"/>
          <w:sz w:val="18"/>
          <w:szCs w:val="18"/>
        </w:rPr>
        <w:t>De leden van de NSC-fractie constateren dat er met dit wetsvoorstel opnieuw een termijn geregeld wordt om historische gegevens aan te leveren, ditmaal als plicht binnen vijf jaar na inwerkingtreding van de gewijzigde BRO. Hierbij is het niet verplicht om papieren documenten te ordenen, te digitaliseren en aan te leveren aan de B</w:t>
      </w:r>
      <w:r w:rsidRPr="00247BA8" w:rsidR="00AF6A2B">
        <w:rPr>
          <w:rFonts w:ascii="Verdana" w:hAnsi="Verdana"/>
          <w:i/>
          <w:iCs/>
          <w:color w:val="000000" w:themeColor="text1"/>
          <w:sz w:val="18"/>
          <w:szCs w:val="18"/>
        </w:rPr>
        <w:t>RO</w:t>
      </w:r>
      <w:r w:rsidRPr="00247BA8">
        <w:rPr>
          <w:rFonts w:ascii="Verdana" w:hAnsi="Verdana"/>
          <w:i/>
          <w:iCs/>
          <w:color w:val="000000" w:themeColor="text1"/>
          <w:sz w:val="18"/>
          <w:szCs w:val="18"/>
        </w:rPr>
        <w:t>, of om in het verleden ingeschakelde opdrachtnemers alsnog tot gegevensafgifte te bewegen</w:t>
      </w:r>
      <w:r w:rsidRPr="00247BA8" w:rsidR="007A6975">
        <w:rPr>
          <w:rFonts w:ascii="Verdana" w:hAnsi="Verdana"/>
          <w:i/>
          <w:iCs/>
          <w:color w:val="000000" w:themeColor="text1"/>
          <w:sz w:val="18"/>
          <w:szCs w:val="18"/>
        </w:rPr>
        <w:t>,</w:t>
      </w:r>
      <w:r w:rsidRPr="00247BA8">
        <w:rPr>
          <w:rFonts w:ascii="Verdana" w:hAnsi="Verdana"/>
          <w:i/>
          <w:iCs/>
          <w:color w:val="000000" w:themeColor="text1"/>
          <w:sz w:val="18"/>
          <w:szCs w:val="18"/>
        </w:rPr>
        <w:t xml:space="preserve"> zo lezen deze leden. Kan de regering voorbeelden geven van gegevens die door de keuze om de plicht alleen te laten gelden voor gegevens die reeds gestructureerd en gedigitaliseerd zijn misschien niet beschikbaar komen?</w:t>
      </w:r>
    </w:p>
    <w:p w:rsidRPr="00247BA8" w:rsidR="00831FA1" w:rsidP="00E83D8C" w:rsidRDefault="00831FA1" w14:paraId="1FF02C2C" w14:textId="77777777">
      <w:pPr>
        <w:rPr>
          <w:rFonts w:ascii="Verdana" w:hAnsi="Verdana"/>
          <w:color w:val="000000" w:themeColor="text1"/>
          <w:sz w:val="18"/>
          <w:szCs w:val="18"/>
        </w:rPr>
      </w:pPr>
    </w:p>
    <w:p w:rsidRPr="00247BA8" w:rsidR="00EE5B02" w:rsidP="00EE5B02" w:rsidRDefault="00EE5B02" w14:paraId="701B0D21" w14:textId="7560542F">
      <w:pPr>
        <w:rPr>
          <w:rFonts w:ascii="Verdana" w:hAnsi="Verdana"/>
          <w:color w:val="000000" w:themeColor="text1"/>
          <w:sz w:val="18"/>
          <w:szCs w:val="18"/>
        </w:rPr>
      </w:pPr>
      <w:r w:rsidRPr="00247BA8">
        <w:rPr>
          <w:rFonts w:ascii="Verdana" w:hAnsi="Verdana"/>
          <w:color w:val="000000" w:themeColor="text1"/>
          <w:sz w:val="18"/>
          <w:szCs w:val="18"/>
        </w:rPr>
        <w:lastRenderedPageBreak/>
        <w:t xml:space="preserve">Het klopt dat </w:t>
      </w:r>
      <w:r w:rsidRPr="00247BA8" w:rsidR="00FD5794">
        <w:rPr>
          <w:rFonts w:ascii="Verdana" w:hAnsi="Verdana"/>
          <w:color w:val="000000" w:themeColor="text1"/>
          <w:sz w:val="18"/>
          <w:szCs w:val="18"/>
        </w:rPr>
        <w:t xml:space="preserve">er </w:t>
      </w:r>
      <w:r w:rsidRPr="00247BA8">
        <w:rPr>
          <w:rFonts w:ascii="Verdana" w:hAnsi="Verdana"/>
          <w:color w:val="000000" w:themeColor="text1"/>
          <w:sz w:val="18"/>
          <w:szCs w:val="18"/>
        </w:rPr>
        <w:t xml:space="preserve">historische gegevens buiten de BRO vallen met de nieuwe formulering. Het </w:t>
      </w:r>
      <w:r w:rsidRPr="00247BA8" w:rsidR="00FD5794">
        <w:rPr>
          <w:rFonts w:ascii="Verdana" w:hAnsi="Verdana"/>
          <w:color w:val="000000" w:themeColor="text1"/>
          <w:sz w:val="18"/>
          <w:szCs w:val="18"/>
        </w:rPr>
        <w:t xml:space="preserve">zou </w:t>
      </w:r>
      <w:r w:rsidRPr="00247BA8">
        <w:rPr>
          <w:rFonts w:ascii="Verdana" w:hAnsi="Verdana"/>
          <w:color w:val="000000" w:themeColor="text1"/>
          <w:sz w:val="18"/>
          <w:szCs w:val="18"/>
        </w:rPr>
        <w:t>buitenproportioneel veel lasten op</w:t>
      </w:r>
      <w:r w:rsidRPr="00247BA8" w:rsidR="00FD5794">
        <w:rPr>
          <w:rFonts w:ascii="Verdana" w:hAnsi="Verdana"/>
          <w:color w:val="000000" w:themeColor="text1"/>
          <w:sz w:val="18"/>
          <w:szCs w:val="18"/>
        </w:rPr>
        <w:t>leveren</w:t>
      </w:r>
      <w:r w:rsidRPr="00247BA8">
        <w:rPr>
          <w:rFonts w:ascii="Verdana" w:hAnsi="Verdana"/>
          <w:color w:val="000000" w:themeColor="text1"/>
          <w:sz w:val="18"/>
          <w:szCs w:val="18"/>
        </w:rPr>
        <w:t xml:space="preserve"> voor een bronhouder </w:t>
      </w:r>
      <w:r w:rsidRPr="00247BA8" w:rsidR="00FD5794">
        <w:rPr>
          <w:rFonts w:ascii="Verdana" w:hAnsi="Verdana"/>
          <w:color w:val="000000" w:themeColor="text1"/>
          <w:sz w:val="18"/>
          <w:szCs w:val="18"/>
        </w:rPr>
        <w:t xml:space="preserve">die niet in verhouding tot het doel van de wet staan, </w:t>
      </w:r>
      <w:r w:rsidRPr="00247BA8">
        <w:rPr>
          <w:rFonts w:ascii="Verdana" w:hAnsi="Verdana"/>
          <w:color w:val="000000" w:themeColor="text1"/>
          <w:sz w:val="18"/>
          <w:szCs w:val="18"/>
        </w:rPr>
        <w:t>om dergelijke papieren of niet-gestructureerde dossiers te moeten digitaliseren.</w:t>
      </w:r>
    </w:p>
    <w:p w:rsidRPr="00247BA8" w:rsidR="00B830D8" w:rsidP="009A2265" w:rsidRDefault="00B830D8" w14:paraId="465BAD5C" w14:textId="65B7B930">
      <w:pPr>
        <w:rPr>
          <w:rFonts w:ascii="Verdana" w:hAnsi="Verdana"/>
          <w:color w:val="000000" w:themeColor="text1"/>
          <w:sz w:val="18"/>
          <w:szCs w:val="18"/>
        </w:rPr>
      </w:pPr>
      <w:r w:rsidRPr="00247BA8">
        <w:rPr>
          <w:rFonts w:ascii="Verdana" w:hAnsi="Verdana"/>
          <w:color w:val="000000" w:themeColor="text1"/>
          <w:sz w:val="18"/>
          <w:szCs w:val="18"/>
        </w:rPr>
        <w:t xml:space="preserve">Voorbeelden </w:t>
      </w:r>
      <w:r w:rsidRPr="00247BA8" w:rsidR="003244AF">
        <w:rPr>
          <w:rFonts w:ascii="Verdana" w:hAnsi="Verdana"/>
          <w:color w:val="000000" w:themeColor="text1"/>
          <w:sz w:val="18"/>
          <w:szCs w:val="18"/>
        </w:rPr>
        <w:t xml:space="preserve">van gegevens die misschien niet beschikbaar komen, </w:t>
      </w:r>
      <w:r w:rsidRPr="00247BA8">
        <w:rPr>
          <w:rFonts w:ascii="Verdana" w:hAnsi="Verdana"/>
          <w:color w:val="000000" w:themeColor="text1"/>
          <w:sz w:val="18"/>
          <w:szCs w:val="18"/>
        </w:rPr>
        <w:t>zijn historische milieukundige adviesrapporten en geotechnische onderzoeken naar samenstelling en draagkracht van de bodem (funderingsproblematiek), over gesloten bodemenergiesystemen (GBES).</w:t>
      </w:r>
    </w:p>
    <w:p w:rsidRPr="00247BA8" w:rsidR="009A2265" w:rsidP="009A2265" w:rsidRDefault="009A2265" w14:paraId="45A94ACC" w14:textId="77777777">
      <w:pPr>
        <w:rPr>
          <w:rFonts w:ascii="Verdana" w:hAnsi="Verdana"/>
          <w:color w:val="000000" w:themeColor="text1"/>
          <w:sz w:val="18"/>
          <w:szCs w:val="18"/>
        </w:rPr>
      </w:pPr>
    </w:p>
    <w:p w:rsidRPr="00247BA8" w:rsidR="00054419" w:rsidP="00054419" w:rsidRDefault="00054419" w14:paraId="037377DB" w14:textId="11C40CA8">
      <w:pPr>
        <w:rPr>
          <w:rFonts w:ascii="Verdana" w:hAnsi="Verdana"/>
          <w:i/>
          <w:iCs/>
          <w:color w:val="000000" w:themeColor="text1"/>
          <w:sz w:val="18"/>
          <w:szCs w:val="18"/>
        </w:rPr>
      </w:pPr>
      <w:r w:rsidRPr="00247BA8">
        <w:rPr>
          <w:rFonts w:ascii="Verdana" w:hAnsi="Verdana"/>
          <w:i/>
          <w:iCs/>
          <w:color w:val="000000" w:themeColor="text1"/>
          <w:sz w:val="18"/>
          <w:szCs w:val="18"/>
        </w:rPr>
        <w:t>Wat zijn eventuele risico’s van het ontbreken van niet gedigitaliseerde en reeds gestructureerde gegevens?</w:t>
      </w:r>
    </w:p>
    <w:p w:rsidRPr="00247BA8" w:rsidR="003244AF" w:rsidP="00054419" w:rsidRDefault="003244AF" w14:paraId="3675D1A8" w14:textId="77777777">
      <w:pPr>
        <w:rPr>
          <w:rFonts w:ascii="Verdana" w:hAnsi="Verdana"/>
          <w:color w:val="000000" w:themeColor="text1"/>
          <w:sz w:val="18"/>
          <w:szCs w:val="18"/>
        </w:rPr>
      </w:pPr>
    </w:p>
    <w:p w:rsidRPr="00247BA8" w:rsidR="0087181B" w:rsidP="003244AF" w:rsidRDefault="00640003" w14:paraId="3EBA3513" w14:textId="386C6033">
      <w:pPr>
        <w:rPr>
          <w:rFonts w:ascii="Verdana" w:hAnsi="Verdana"/>
          <w:color w:val="000000" w:themeColor="text1"/>
          <w:sz w:val="18"/>
          <w:szCs w:val="18"/>
        </w:rPr>
      </w:pPr>
      <w:r w:rsidRPr="00247BA8">
        <w:rPr>
          <w:rFonts w:ascii="Verdana" w:hAnsi="Verdana"/>
          <w:color w:val="000000" w:themeColor="text1"/>
          <w:sz w:val="18"/>
          <w:szCs w:val="18"/>
        </w:rPr>
        <w:t>Daaraan zijn g</w:t>
      </w:r>
      <w:r w:rsidRPr="00247BA8" w:rsidR="003244AF">
        <w:rPr>
          <w:rFonts w:ascii="Verdana" w:hAnsi="Verdana"/>
          <w:color w:val="000000" w:themeColor="text1"/>
          <w:sz w:val="18"/>
          <w:szCs w:val="18"/>
        </w:rPr>
        <w:t>een risico's</w:t>
      </w:r>
      <w:r w:rsidRPr="00247BA8">
        <w:rPr>
          <w:rFonts w:ascii="Verdana" w:hAnsi="Verdana"/>
          <w:color w:val="000000" w:themeColor="text1"/>
          <w:sz w:val="18"/>
          <w:szCs w:val="18"/>
        </w:rPr>
        <w:t xml:space="preserve"> verbonden</w:t>
      </w:r>
      <w:r w:rsidRPr="00247BA8" w:rsidR="003244AF">
        <w:rPr>
          <w:rFonts w:ascii="Verdana" w:hAnsi="Verdana"/>
          <w:color w:val="000000" w:themeColor="text1"/>
          <w:sz w:val="18"/>
          <w:szCs w:val="18"/>
        </w:rPr>
        <w:t xml:space="preserve">: historische gegevens zijn </w:t>
      </w:r>
      <w:proofErr w:type="spellStart"/>
      <w:r w:rsidRPr="00247BA8" w:rsidR="003244AF">
        <w:rPr>
          <w:rFonts w:ascii="Verdana" w:hAnsi="Verdana"/>
          <w:i/>
          <w:iCs/>
          <w:color w:val="000000" w:themeColor="text1"/>
          <w:sz w:val="18"/>
          <w:szCs w:val="18"/>
        </w:rPr>
        <w:t>nice</w:t>
      </w:r>
      <w:proofErr w:type="spellEnd"/>
      <w:r w:rsidRPr="00247BA8" w:rsidR="003244AF">
        <w:rPr>
          <w:rFonts w:ascii="Verdana" w:hAnsi="Verdana"/>
          <w:i/>
          <w:iCs/>
          <w:color w:val="000000" w:themeColor="text1"/>
          <w:sz w:val="18"/>
          <w:szCs w:val="18"/>
        </w:rPr>
        <w:t>-</w:t>
      </w:r>
      <w:proofErr w:type="spellStart"/>
      <w:r w:rsidRPr="00247BA8" w:rsidR="003244AF">
        <w:rPr>
          <w:rFonts w:ascii="Verdana" w:hAnsi="Verdana"/>
          <w:i/>
          <w:iCs/>
          <w:color w:val="000000" w:themeColor="text1"/>
          <w:sz w:val="18"/>
          <w:szCs w:val="18"/>
        </w:rPr>
        <w:t>to</w:t>
      </w:r>
      <w:proofErr w:type="spellEnd"/>
      <w:r w:rsidRPr="00247BA8" w:rsidR="003244AF">
        <w:rPr>
          <w:rFonts w:ascii="Verdana" w:hAnsi="Verdana"/>
          <w:i/>
          <w:iCs/>
          <w:color w:val="000000" w:themeColor="text1"/>
          <w:sz w:val="18"/>
          <w:szCs w:val="18"/>
        </w:rPr>
        <w:t>-have</w:t>
      </w:r>
      <w:r w:rsidRPr="00247BA8" w:rsidR="003244AF">
        <w:rPr>
          <w:rFonts w:ascii="Verdana" w:hAnsi="Verdana"/>
          <w:color w:val="000000" w:themeColor="text1"/>
          <w:sz w:val="18"/>
          <w:szCs w:val="18"/>
        </w:rPr>
        <w:t xml:space="preserve"> maar moeten altijd nog geïnterpreteerd worden</w:t>
      </w:r>
      <w:r w:rsidRPr="00247BA8" w:rsidR="003009E4">
        <w:rPr>
          <w:rFonts w:ascii="Verdana" w:hAnsi="Verdana"/>
          <w:color w:val="000000" w:themeColor="text1"/>
          <w:sz w:val="18"/>
          <w:szCs w:val="18"/>
        </w:rPr>
        <w:t>. E</w:t>
      </w:r>
      <w:r w:rsidRPr="00247BA8" w:rsidR="003244AF">
        <w:rPr>
          <w:rFonts w:ascii="Verdana" w:hAnsi="Verdana"/>
          <w:color w:val="000000" w:themeColor="text1"/>
          <w:sz w:val="18"/>
          <w:szCs w:val="18"/>
        </w:rPr>
        <w:t xml:space="preserve">r kan niet blind op worden gevaren. </w:t>
      </w:r>
    </w:p>
    <w:p w:rsidRPr="00247BA8" w:rsidR="001B1F89" w:rsidP="00054419" w:rsidRDefault="001B1F89" w14:paraId="282B3EE2" w14:textId="77777777">
      <w:pPr>
        <w:rPr>
          <w:rFonts w:ascii="Verdana" w:hAnsi="Verdana"/>
          <w:color w:val="000000" w:themeColor="text1"/>
          <w:sz w:val="18"/>
          <w:szCs w:val="18"/>
        </w:rPr>
      </w:pPr>
    </w:p>
    <w:p w:rsidRPr="00247BA8" w:rsidR="00BC1D7D" w:rsidP="00054419" w:rsidRDefault="00BC1D7D" w14:paraId="03CD1549" w14:textId="77777777">
      <w:pPr>
        <w:rPr>
          <w:rFonts w:ascii="Verdana" w:hAnsi="Verdana"/>
          <w:i/>
          <w:iCs/>
          <w:color w:val="000000" w:themeColor="text1"/>
          <w:sz w:val="18"/>
          <w:szCs w:val="18"/>
        </w:rPr>
      </w:pPr>
    </w:p>
    <w:p w:rsidRPr="00247BA8" w:rsidR="00054419" w:rsidP="00054419" w:rsidRDefault="00054419" w14:paraId="791B3379" w14:textId="77777777">
      <w:pPr>
        <w:rPr>
          <w:rFonts w:ascii="Verdana" w:hAnsi="Verdana"/>
          <w:b/>
          <w:bCs/>
          <w:color w:val="000000" w:themeColor="text1"/>
          <w:sz w:val="18"/>
          <w:szCs w:val="18"/>
        </w:rPr>
      </w:pPr>
      <w:r w:rsidRPr="00247BA8">
        <w:rPr>
          <w:rFonts w:ascii="Verdana" w:hAnsi="Verdana"/>
          <w:b/>
          <w:bCs/>
          <w:color w:val="000000" w:themeColor="text1"/>
          <w:sz w:val="18"/>
          <w:szCs w:val="18"/>
        </w:rPr>
        <w:t>3. Verhouding tot hoger recht en nationale regelgeving</w:t>
      </w:r>
    </w:p>
    <w:p w:rsidRPr="00247BA8" w:rsidR="00054419" w:rsidP="00054419" w:rsidRDefault="00054419" w14:paraId="2392AC29" w14:textId="77777777">
      <w:pPr>
        <w:rPr>
          <w:rFonts w:ascii="Verdana" w:hAnsi="Verdana"/>
          <w:b/>
          <w:bCs/>
          <w:color w:val="000000" w:themeColor="text1"/>
          <w:sz w:val="18"/>
          <w:szCs w:val="18"/>
        </w:rPr>
      </w:pPr>
    </w:p>
    <w:p w:rsidRPr="00247BA8" w:rsidR="00054419" w:rsidP="00054419" w:rsidRDefault="00054419" w14:paraId="4CE35678" w14:textId="15E7FC96">
      <w:pPr>
        <w:rPr>
          <w:rFonts w:ascii="Verdana" w:hAnsi="Verdana"/>
          <w:i/>
          <w:iCs/>
          <w:color w:val="000000" w:themeColor="text1"/>
          <w:sz w:val="18"/>
          <w:szCs w:val="18"/>
        </w:rPr>
      </w:pPr>
      <w:r w:rsidRPr="00247BA8">
        <w:rPr>
          <w:rFonts w:ascii="Verdana" w:hAnsi="Verdana"/>
          <w:i/>
          <w:iCs/>
          <w:color w:val="000000" w:themeColor="text1"/>
          <w:sz w:val="18"/>
          <w:szCs w:val="18"/>
        </w:rPr>
        <w:t>De leden van de NSC-fractie vragen of Nederland met dit wetsvoorstel verder gaat dan wat geëist wordt in Europese uitvoeringsbepalingen en richtlijnen</w:t>
      </w:r>
      <w:r w:rsidRPr="00247BA8" w:rsidR="00B558D6">
        <w:rPr>
          <w:rFonts w:ascii="Verdana" w:hAnsi="Verdana"/>
          <w:i/>
          <w:iCs/>
          <w:color w:val="000000" w:themeColor="text1"/>
          <w:sz w:val="18"/>
          <w:szCs w:val="18"/>
        </w:rPr>
        <w:t>.</w:t>
      </w:r>
    </w:p>
    <w:p w:rsidRPr="00247BA8" w:rsidR="003244AF" w:rsidP="00054419" w:rsidRDefault="003244AF" w14:paraId="735819FE" w14:textId="77777777">
      <w:pPr>
        <w:rPr>
          <w:rFonts w:ascii="Verdana" w:hAnsi="Verdana"/>
          <w:color w:val="000000" w:themeColor="text1"/>
          <w:sz w:val="18"/>
          <w:szCs w:val="18"/>
        </w:rPr>
      </w:pPr>
    </w:p>
    <w:p w:rsidRPr="00247BA8" w:rsidR="0087181B" w:rsidP="0087181B" w:rsidRDefault="00C66D34" w14:paraId="1EEDBC14" w14:textId="36E73BF6">
      <w:pPr>
        <w:rPr>
          <w:rFonts w:ascii="Verdana" w:hAnsi="Verdana" w:eastAsiaTheme="minorHAnsi"/>
          <w:color w:val="000000" w:themeColor="text1"/>
          <w:sz w:val="18"/>
          <w:szCs w:val="18"/>
          <w:lang w:eastAsia="en-US"/>
          <w14:ligatures w14:val="standardContextual"/>
        </w:rPr>
      </w:pPr>
      <w:r w:rsidRPr="00247BA8">
        <w:rPr>
          <w:rFonts w:ascii="Verdana" w:hAnsi="Verdana" w:eastAsiaTheme="minorHAnsi"/>
          <w:color w:val="000000" w:themeColor="text1"/>
          <w:sz w:val="18"/>
          <w:szCs w:val="18"/>
          <w:lang w:eastAsia="en-US"/>
          <w14:ligatures w14:val="standardContextual"/>
        </w:rPr>
        <w:t xml:space="preserve">Zie het antwoord op de vraag </w:t>
      </w:r>
      <w:r w:rsidRPr="00247BA8" w:rsidR="004B213E">
        <w:rPr>
          <w:rFonts w:ascii="Verdana" w:hAnsi="Verdana" w:eastAsiaTheme="minorHAnsi"/>
          <w:color w:val="000000" w:themeColor="text1"/>
          <w:sz w:val="18"/>
          <w:szCs w:val="18"/>
          <w:lang w:eastAsia="en-US"/>
          <w14:ligatures w14:val="standardContextual"/>
        </w:rPr>
        <w:t xml:space="preserve">van leden van de NSC-fractie in </w:t>
      </w:r>
      <w:r w:rsidRPr="00247BA8">
        <w:rPr>
          <w:rFonts w:ascii="Verdana" w:hAnsi="Verdana" w:eastAsiaTheme="minorHAnsi"/>
          <w:color w:val="000000" w:themeColor="text1"/>
          <w:sz w:val="18"/>
          <w:szCs w:val="18"/>
          <w:lang w:eastAsia="en-US"/>
          <w14:ligatures w14:val="standardContextual"/>
        </w:rPr>
        <w:t>paragraaf 1.1.1, ‘Deze leden vragen of hier sprake is van een voorgenomen Nederlandse kop op Europees beleid’</w:t>
      </w:r>
      <w:r w:rsidRPr="00247BA8" w:rsidR="0087181B">
        <w:rPr>
          <w:rFonts w:ascii="Verdana" w:hAnsi="Verdana" w:eastAsiaTheme="minorHAnsi"/>
          <w:color w:val="000000" w:themeColor="text1"/>
          <w:sz w:val="18"/>
          <w:szCs w:val="18"/>
          <w:lang w:eastAsia="en-US"/>
          <w14:ligatures w14:val="standardContextual"/>
        </w:rPr>
        <w:t xml:space="preserve">. </w:t>
      </w:r>
    </w:p>
    <w:p w:rsidRPr="00247BA8" w:rsidR="00054419" w:rsidP="00054419" w:rsidRDefault="00054419" w14:paraId="4E246C0E" w14:textId="77777777">
      <w:pPr>
        <w:rPr>
          <w:rFonts w:ascii="Verdana" w:hAnsi="Verdana"/>
          <w:i/>
          <w:iCs/>
          <w:color w:val="000000" w:themeColor="text1"/>
          <w:sz w:val="18"/>
          <w:szCs w:val="18"/>
        </w:rPr>
      </w:pPr>
    </w:p>
    <w:p w:rsidRPr="00247BA8" w:rsidR="007A6CB6" w:rsidP="00054419" w:rsidRDefault="007A6CB6" w14:paraId="68CECAF2" w14:textId="77777777">
      <w:pPr>
        <w:rPr>
          <w:rFonts w:ascii="Verdana" w:hAnsi="Verdana"/>
          <w:i/>
          <w:iCs/>
          <w:color w:val="000000" w:themeColor="text1"/>
          <w:sz w:val="18"/>
          <w:szCs w:val="18"/>
        </w:rPr>
      </w:pPr>
    </w:p>
    <w:p w:rsidRPr="00247BA8" w:rsidR="00054419" w:rsidP="00054419" w:rsidRDefault="00B558D6" w14:paraId="66522BED" w14:textId="7A601A34">
      <w:pPr>
        <w:rPr>
          <w:rFonts w:ascii="Verdana" w:hAnsi="Verdana"/>
          <w:b/>
          <w:bCs/>
          <w:color w:val="000000" w:themeColor="text1"/>
          <w:sz w:val="18"/>
          <w:szCs w:val="18"/>
        </w:rPr>
      </w:pPr>
      <w:r w:rsidRPr="00247BA8">
        <w:rPr>
          <w:rFonts w:ascii="Verdana" w:hAnsi="Verdana"/>
          <w:b/>
          <w:bCs/>
          <w:color w:val="000000" w:themeColor="text1"/>
          <w:sz w:val="18"/>
          <w:szCs w:val="18"/>
        </w:rPr>
        <w:t>4</w:t>
      </w:r>
      <w:r w:rsidRPr="00247BA8" w:rsidR="00054419">
        <w:rPr>
          <w:rFonts w:ascii="Verdana" w:hAnsi="Verdana"/>
          <w:b/>
          <w:bCs/>
          <w:color w:val="000000" w:themeColor="text1"/>
          <w:sz w:val="18"/>
          <w:szCs w:val="18"/>
        </w:rPr>
        <w:t>. Lastendruk burgers en bedrijven</w:t>
      </w:r>
    </w:p>
    <w:p w:rsidRPr="00247BA8" w:rsidR="00054419" w:rsidP="00054419" w:rsidRDefault="00054419" w14:paraId="796C10F0" w14:textId="77777777">
      <w:pPr>
        <w:rPr>
          <w:rFonts w:ascii="Verdana" w:hAnsi="Verdana"/>
          <w:b/>
          <w:bCs/>
          <w:color w:val="000000" w:themeColor="text1"/>
          <w:sz w:val="18"/>
          <w:szCs w:val="18"/>
        </w:rPr>
      </w:pPr>
    </w:p>
    <w:p w:rsidRPr="00247BA8" w:rsidR="003244AF" w:rsidP="00D869FF" w:rsidRDefault="00054419" w14:paraId="6B897FB4" w14:textId="77777777">
      <w:pPr>
        <w:rPr>
          <w:rFonts w:ascii="Verdana" w:hAnsi="Verdana"/>
          <w:i/>
          <w:iCs/>
          <w:color w:val="000000" w:themeColor="text1"/>
          <w:sz w:val="18"/>
          <w:szCs w:val="18"/>
        </w:rPr>
      </w:pPr>
      <w:r w:rsidRPr="00247BA8">
        <w:rPr>
          <w:rFonts w:ascii="Verdana" w:hAnsi="Verdana"/>
          <w:i/>
          <w:iCs/>
          <w:color w:val="000000" w:themeColor="text1"/>
          <w:sz w:val="18"/>
          <w:szCs w:val="18"/>
        </w:rPr>
        <w:t xml:space="preserve">De leden van de VVD-fractie begrijpen dat het rapport van </w:t>
      </w:r>
      <w:r w:rsidRPr="00247BA8" w:rsidR="00B558D6">
        <w:rPr>
          <w:rFonts w:ascii="Verdana" w:hAnsi="Verdana"/>
          <w:i/>
          <w:iCs/>
          <w:color w:val="000000" w:themeColor="text1"/>
          <w:sz w:val="18"/>
          <w:szCs w:val="18"/>
        </w:rPr>
        <w:t xml:space="preserve">het bureau </w:t>
      </w:r>
      <w:r w:rsidRPr="00247BA8">
        <w:rPr>
          <w:rFonts w:ascii="Verdana" w:hAnsi="Verdana"/>
          <w:i/>
          <w:iCs/>
          <w:color w:val="000000" w:themeColor="text1"/>
          <w:sz w:val="18"/>
          <w:szCs w:val="18"/>
        </w:rPr>
        <w:t xml:space="preserve">KWR, waarin de verschillen van de lastendruk tussen de afzonderlijke bedrijven zijn gerapporteerd, niet openbaar gemaakt kan worden. Toch vragen deze leden de regering of zij kan toezeggen dat de lastendruk voor geen van de bedrijven onevenredig groot is. Hebben de bedrijven toegezegd dat zij deze extra lastendruk kunnen dragen? </w:t>
      </w:r>
    </w:p>
    <w:p w:rsidRPr="00247BA8" w:rsidR="00D869FF" w:rsidP="00D869FF" w:rsidRDefault="00F124D2" w14:paraId="42EE139A" w14:textId="3FE5BCD1">
      <w:pPr>
        <w:rPr>
          <w:rFonts w:ascii="Verdana" w:hAnsi="Verdana"/>
          <w:color w:val="000000" w:themeColor="text1"/>
          <w:sz w:val="18"/>
          <w:szCs w:val="18"/>
        </w:rPr>
      </w:pPr>
      <w:r w:rsidRPr="00247BA8">
        <w:rPr>
          <w:rFonts w:ascii="Verdana" w:hAnsi="Verdana"/>
          <w:color w:val="000000" w:themeColor="text1"/>
          <w:sz w:val="18"/>
          <w:szCs w:val="18"/>
        </w:rPr>
        <w:br/>
      </w:r>
      <w:r w:rsidRPr="00247BA8" w:rsidR="0023182D">
        <w:rPr>
          <w:rFonts w:ascii="Verdana" w:hAnsi="Verdana"/>
          <w:color w:val="000000" w:themeColor="text1"/>
          <w:sz w:val="18"/>
          <w:szCs w:val="18"/>
        </w:rPr>
        <w:t xml:space="preserve">Ja, </w:t>
      </w:r>
      <w:r w:rsidRPr="00247BA8" w:rsidR="00D869FF">
        <w:rPr>
          <w:rFonts w:ascii="Verdana" w:hAnsi="Verdana"/>
          <w:color w:val="000000" w:themeColor="text1"/>
          <w:sz w:val="18"/>
          <w:szCs w:val="18"/>
        </w:rPr>
        <w:t>op voorwaarde dat:</w:t>
      </w:r>
      <w:r w:rsidRPr="00247BA8" w:rsidR="00D869FF">
        <w:rPr>
          <w:rFonts w:ascii="Verdana" w:hAnsi="Verdana"/>
          <w:color w:val="000000" w:themeColor="text1"/>
          <w:sz w:val="18"/>
          <w:szCs w:val="18"/>
          <w:vertAlign w:val="superscript"/>
        </w:rPr>
        <w:footnoteReference w:id="36"/>
      </w:r>
    </w:p>
    <w:p w:rsidRPr="00247BA8" w:rsidR="00D869FF" w:rsidP="00D869FF" w:rsidRDefault="00D869FF" w14:paraId="4272DD7A" w14:textId="55C57A67">
      <w:pPr>
        <w:numPr>
          <w:ilvl w:val="0"/>
          <w:numId w:val="4"/>
        </w:numPr>
        <w:rPr>
          <w:rFonts w:ascii="Verdana" w:hAnsi="Verdana"/>
          <w:color w:val="000000" w:themeColor="text1"/>
          <w:sz w:val="18"/>
          <w:szCs w:val="18"/>
        </w:rPr>
      </w:pPr>
      <w:r w:rsidRPr="00247BA8">
        <w:rPr>
          <w:rFonts w:ascii="Verdana" w:hAnsi="Verdana"/>
          <w:color w:val="000000" w:themeColor="text1"/>
          <w:sz w:val="18"/>
          <w:szCs w:val="18"/>
        </w:rPr>
        <w:t xml:space="preserve">een drinkwaterbedrijf alleen brondocumenten over de registratieobjecten grondwatermonitoringput, grondwatermonitoringnet, grondwaterstandonderzoek, grondwatersamenstellingsonderzoek en </w:t>
      </w:r>
      <w:proofErr w:type="spellStart"/>
      <w:r w:rsidRPr="00247BA8">
        <w:rPr>
          <w:rFonts w:ascii="Verdana" w:hAnsi="Verdana"/>
          <w:color w:val="000000" w:themeColor="text1"/>
          <w:sz w:val="18"/>
          <w:szCs w:val="18"/>
        </w:rPr>
        <w:t>formatieweerstandonderzoek</w:t>
      </w:r>
      <w:proofErr w:type="spellEnd"/>
      <w:r w:rsidRPr="00247BA8">
        <w:rPr>
          <w:rFonts w:ascii="Verdana" w:hAnsi="Verdana"/>
          <w:color w:val="000000" w:themeColor="text1"/>
          <w:sz w:val="18"/>
          <w:szCs w:val="18"/>
        </w:rPr>
        <w:t>, hoeft te leveren aan de BRO;</w:t>
      </w:r>
    </w:p>
    <w:p w:rsidRPr="00247BA8" w:rsidR="00A136A2" w:rsidP="00D869FF" w:rsidRDefault="00A136A2" w14:paraId="5A8F24CD" w14:textId="45C98694">
      <w:pPr>
        <w:numPr>
          <w:ilvl w:val="0"/>
          <w:numId w:val="4"/>
        </w:numPr>
        <w:rPr>
          <w:rFonts w:ascii="Verdana" w:hAnsi="Verdana"/>
          <w:color w:val="000000" w:themeColor="text1"/>
          <w:sz w:val="18"/>
          <w:szCs w:val="18"/>
        </w:rPr>
      </w:pPr>
      <w:r w:rsidRPr="00247BA8">
        <w:rPr>
          <w:rFonts w:ascii="Verdana" w:hAnsi="Verdana"/>
          <w:color w:val="000000" w:themeColor="text1"/>
          <w:sz w:val="18"/>
          <w:szCs w:val="18"/>
        </w:rPr>
        <w:t>drinkwaterbedrijven niet meer hoeven te controleren of ze brondocumenten hierover moeten aanleveren aan de provincie of aan de BRO: ook in het kader van een vergunningprocedure of een melding leveren ze de brondocumenten aan de BRO;</w:t>
      </w:r>
    </w:p>
    <w:p w:rsidRPr="00247BA8" w:rsidR="00D869FF" w:rsidP="00D869FF" w:rsidRDefault="00D869FF" w14:paraId="481A66C8" w14:textId="748983B8">
      <w:pPr>
        <w:numPr>
          <w:ilvl w:val="0"/>
          <w:numId w:val="4"/>
        </w:numPr>
        <w:rPr>
          <w:rFonts w:ascii="Verdana" w:hAnsi="Verdana"/>
          <w:color w:val="000000" w:themeColor="text1"/>
          <w:sz w:val="18"/>
          <w:szCs w:val="18"/>
        </w:rPr>
      </w:pPr>
      <w:r w:rsidRPr="00247BA8">
        <w:rPr>
          <w:rFonts w:ascii="Verdana" w:hAnsi="Verdana"/>
          <w:color w:val="000000" w:themeColor="text1"/>
          <w:sz w:val="18"/>
          <w:szCs w:val="18"/>
        </w:rPr>
        <w:t>geen brondocumenten hoeft te leveren aan de BRO betreffende gegevens die primair zijn ingewonnen in het kader van de eigen bedrijfsvoering van een drinkwaterbedrijf.</w:t>
      </w:r>
    </w:p>
    <w:p w:rsidRPr="00247BA8" w:rsidR="00D869FF" w:rsidP="0048148B" w:rsidRDefault="00640003" w14:paraId="4BA765B0" w14:textId="175D8EBE">
      <w:pPr>
        <w:rPr>
          <w:rFonts w:ascii="Verdana" w:hAnsi="Verdana"/>
          <w:color w:val="000000" w:themeColor="text1"/>
          <w:sz w:val="18"/>
          <w:szCs w:val="18"/>
        </w:rPr>
      </w:pPr>
      <w:r w:rsidRPr="00247BA8">
        <w:rPr>
          <w:rFonts w:ascii="Verdana" w:hAnsi="Verdana"/>
          <w:color w:val="000000" w:themeColor="text1"/>
          <w:sz w:val="18"/>
          <w:szCs w:val="18"/>
        </w:rPr>
        <w:t xml:space="preserve">De </w:t>
      </w:r>
      <w:r w:rsidRPr="00247BA8" w:rsidR="00E65524">
        <w:rPr>
          <w:rFonts w:ascii="Verdana" w:hAnsi="Verdana"/>
          <w:color w:val="000000" w:themeColor="text1"/>
          <w:sz w:val="18"/>
          <w:szCs w:val="18"/>
        </w:rPr>
        <w:t xml:space="preserve">laatste </w:t>
      </w:r>
      <w:r w:rsidRPr="00247BA8">
        <w:rPr>
          <w:rFonts w:ascii="Verdana" w:hAnsi="Verdana"/>
          <w:color w:val="000000" w:themeColor="text1"/>
          <w:sz w:val="18"/>
          <w:szCs w:val="18"/>
        </w:rPr>
        <w:t xml:space="preserve">voorwaarde wordt gesteld, </w:t>
      </w:r>
      <w:r w:rsidRPr="00247BA8" w:rsidR="00E65524">
        <w:rPr>
          <w:rFonts w:ascii="Verdana" w:hAnsi="Verdana"/>
          <w:color w:val="000000" w:themeColor="text1"/>
          <w:sz w:val="18"/>
          <w:szCs w:val="18"/>
        </w:rPr>
        <w:t xml:space="preserve">omdat deze brondocumenten geen representatief beeld van de ondergrond geven. </w:t>
      </w:r>
      <w:r w:rsidRPr="00247BA8" w:rsidR="003244AF">
        <w:rPr>
          <w:rFonts w:ascii="Verdana" w:hAnsi="Verdana"/>
          <w:color w:val="000000" w:themeColor="text1"/>
          <w:sz w:val="18"/>
          <w:szCs w:val="18"/>
        </w:rPr>
        <w:t>A</w:t>
      </w:r>
      <w:r w:rsidRPr="00247BA8" w:rsidR="004B170E">
        <w:rPr>
          <w:rFonts w:ascii="Verdana" w:hAnsi="Verdana"/>
          <w:color w:val="000000" w:themeColor="text1"/>
          <w:sz w:val="18"/>
          <w:szCs w:val="18"/>
        </w:rPr>
        <w:t xml:space="preserve">an </w:t>
      </w:r>
      <w:r w:rsidRPr="00247BA8">
        <w:rPr>
          <w:rFonts w:ascii="Verdana" w:hAnsi="Verdana"/>
          <w:color w:val="000000" w:themeColor="text1"/>
          <w:sz w:val="18"/>
          <w:szCs w:val="18"/>
        </w:rPr>
        <w:t xml:space="preserve">al </w:t>
      </w:r>
      <w:r w:rsidRPr="00247BA8" w:rsidR="004B170E">
        <w:rPr>
          <w:rFonts w:ascii="Verdana" w:hAnsi="Verdana"/>
          <w:color w:val="000000" w:themeColor="text1"/>
          <w:sz w:val="18"/>
          <w:szCs w:val="18"/>
        </w:rPr>
        <w:t>deze voorwaarden</w:t>
      </w:r>
      <w:r w:rsidRPr="00247BA8" w:rsidR="003244AF">
        <w:rPr>
          <w:rFonts w:ascii="Verdana" w:hAnsi="Verdana"/>
          <w:color w:val="000000" w:themeColor="text1"/>
          <w:sz w:val="18"/>
          <w:szCs w:val="18"/>
        </w:rPr>
        <w:t xml:space="preserve"> </w:t>
      </w:r>
      <w:r w:rsidRPr="00247BA8" w:rsidR="00D7258B">
        <w:rPr>
          <w:rFonts w:ascii="Verdana" w:hAnsi="Verdana"/>
          <w:color w:val="000000" w:themeColor="text1"/>
          <w:sz w:val="18"/>
          <w:szCs w:val="18"/>
        </w:rPr>
        <w:t>wordt</w:t>
      </w:r>
      <w:r w:rsidRPr="00247BA8" w:rsidR="00876B88">
        <w:rPr>
          <w:rFonts w:ascii="Verdana" w:hAnsi="Verdana"/>
          <w:color w:val="000000" w:themeColor="text1"/>
          <w:sz w:val="18"/>
          <w:szCs w:val="18"/>
        </w:rPr>
        <w:t xml:space="preserve"> voldaan </w:t>
      </w:r>
      <w:r w:rsidRPr="00247BA8" w:rsidR="003244AF">
        <w:rPr>
          <w:rFonts w:ascii="Verdana" w:hAnsi="Verdana"/>
          <w:color w:val="000000" w:themeColor="text1"/>
          <w:sz w:val="18"/>
          <w:szCs w:val="18"/>
        </w:rPr>
        <w:t xml:space="preserve">bij inwerkingtreding van de wijziging van de wet en </w:t>
      </w:r>
      <w:r w:rsidRPr="00247BA8" w:rsidR="00876B88">
        <w:rPr>
          <w:rFonts w:ascii="Verdana" w:hAnsi="Verdana"/>
          <w:color w:val="000000" w:themeColor="text1"/>
          <w:sz w:val="18"/>
          <w:szCs w:val="18"/>
        </w:rPr>
        <w:t xml:space="preserve">de onderliggende wijziging </w:t>
      </w:r>
      <w:r w:rsidRPr="00247BA8" w:rsidR="002123C9">
        <w:rPr>
          <w:rFonts w:ascii="Verdana" w:hAnsi="Verdana"/>
          <w:color w:val="000000" w:themeColor="text1"/>
          <w:sz w:val="18"/>
          <w:szCs w:val="18"/>
        </w:rPr>
        <w:t xml:space="preserve">van </w:t>
      </w:r>
      <w:r w:rsidRPr="00247BA8" w:rsidR="003244AF">
        <w:rPr>
          <w:rFonts w:ascii="Verdana" w:hAnsi="Verdana"/>
          <w:color w:val="000000" w:themeColor="text1"/>
          <w:sz w:val="18"/>
          <w:szCs w:val="18"/>
        </w:rPr>
        <w:t xml:space="preserve">het Besluit </w:t>
      </w:r>
      <w:proofErr w:type="spellStart"/>
      <w:r w:rsidRPr="00247BA8" w:rsidR="003244AF">
        <w:rPr>
          <w:rFonts w:ascii="Verdana" w:hAnsi="Verdana"/>
          <w:color w:val="000000" w:themeColor="text1"/>
          <w:sz w:val="18"/>
          <w:szCs w:val="18"/>
        </w:rPr>
        <w:t>Bro</w:t>
      </w:r>
      <w:proofErr w:type="spellEnd"/>
      <w:r w:rsidRPr="00247BA8" w:rsidR="004B170E">
        <w:rPr>
          <w:rFonts w:ascii="Verdana" w:hAnsi="Verdana"/>
          <w:color w:val="000000" w:themeColor="text1"/>
          <w:sz w:val="18"/>
          <w:szCs w:val="18"/>
        </w:rPr>
        <w:t xml:space="preserve">. </w:t>
      </w:r>
    </w:p>
    <w:p w:rsidRPr="00247BA8" w:rsidR="00054419" w:rsidP="00054419" w:rsidRDefault="003244AF" w14:paraId="554D6638" w14:textId="29A9311F">
      <w:pPr>
        <w:rPr>
          <w:rFonts w:ascii="Verdana" w:hAnsi="Verdana"/>
          <w:color w:val="000000" w:themeColor="text1"/>
          <w:sz w:val="18"/>
          <w:szCs w:val="18"/>
        </w:rPr>
      </w:pPr>
      <w:r w:rsidRPr="00247BA8">
        <w:rPr>
          <w:rFonts w:ascii="Verdana" w:hAnsi="Verdana"/>
          <w:color w:val="000000" w:themeColor="text1"/>
          <w:sz w:val="18"/>
          <w:szCs w:val="18"/>
        </w:rPr>
        <w:t xml:space="preserve">Zie </w:t>
      </w:r>
      <w:r w:rsidRPr="00247BA8" w:rsidR="00876B88">
        <w:rPr>
          <w:rFonts w:ascii="Verdana" w:hAnsi="Verdana"/>
          <w:color w:val="000000" w:themeColor="text1"/>
          <w:sz w:val="18"/>
          <w:szCs w:val="18"/>
        </w:rPr>
        <w:t xml:space="preserve">ook </w:t>
      </w:r>
      <w:r w:rsidRPr="00247BA8">
        <w:rPr>
          <w:rFonts w:ascii="Verdana" w:hAnsi="Verdana"/>
          <w:color w:val="000000" w:themeColor="text1"/>
          <w:sz w:val="18"/>
          <w:szCs w:val="18"/>
        </w:rPr>
        <w:t>het</w:t>
      </w:r>
      <w:r w:rsidRPr="00247BA8" w:rsidR="00CC0007">
        <w:rPr>
          <w:rFonts w:ascii="Verdana" w:hAnsi="Verdana"/>
          <w:color w:val="000000" w:themeColor="text1"/>
          <w:sz w:val="18"/>
          <w:szCs w:val="18"/>
        </w:rPr>
        <w:t xml:space="preserve"> antwoord op de vra</w:t>
      </w:r>
      <w:r w:rsidRPr="00247BA8" w:rsidR="002123C9">
        <w:rPr>
          <w:rFonts w:ascii="Verdana" w:hAnsi="Verdana"/>
          <w:color w:val="000000" w:themeColor="text1"/>
          <w:sz w:val="18"/>
          <w:szCs w:val="18"/>
        </w:rPr>
        <w:t>a</w:t>
      </w:r>
      <w:r w:rsidRPr="00247BA8" w:rsidR="00CC0007">
        <w:rPr>
          <w:rFonts w:ascii="Verdana" w:hAnsi="Verdana"/>
          <w:color w:val="000000" w:themeColor="text1"/>
          <w:sz w:val="18"/>
          <w:szCs w:val="18"/>
        </w:rPr>
        <w:t>g</w:t>
      </w:r>
      <w:r w:rsidRPr="00247BA8" w:rsidR="00640003">
        <w:rPr>
          <w:rFonts w:ascii="Verdana" w:hAnsi="Verdana"/>
          <w:color w:val="000000" w:themeColor="text1"/>
          <w:sz w:val="18"/>
          <w:szCs w:val="18"/>
        </w:rPr>
        <w:t xml:space="preserve"> van de leden van de NSC-fractie</w:t>
      </w:r>
      <w:r w:rsidRPr="00247BA8" w:rsidR="007A6CB6">
        <w:rPr>
          <w:rFonts w:ascii="Verdana" w:hAnsi="Verdana"/>
          <w:color w:val="000000" w:themeColor="text1"/>
          <w:sz w:val="18"/>
          <w:szCs w:val="18"/>
        </w:rPr>
        <w:t xml:space="preserve"> in paragraaf 1.1.2,</w:t>
      </w:r>
      <w:r w:rsidRPr="00247BA8" w:rsidR="00F124D2">
        <w:rPr>
          <w:rFonts w:ascii="Verdana" w:hAnsi="Verdana"/>
          <w:color w:val="000000" w:themeColor="text1"/>
          <w:sz w:val="18"/>
          <w:szCs w:val="18"/>
        </w:rPr>
        <w:t xml:space="preserve"> ‘</w:t>
      </w:r>
      <w:r w:rsidRPr="00247BA8" w:rsidR="007A6CB6">
        <w:rPr>
          <w:rFonts w:ascii="Verdana" w:hAnsi="Verdana"/>
          <w:color w:val="000000" w:themeColor="text1"/>
          <w:sz w:val="18"/>
          <w:szCs w:val="18"/>
        </w:rPr>
        <w:t>Is het niet beter als drinkwaterbedrijven al hun middelen voor die wettelijke taak behouden?’</w:t>
      </w:r>
      <w:r w:rsidRPr="00247BA8" w:rsidR="0023182D">
        <w:rPr>
          <w:rFonts w:ascii="Verdana" w:hAnsi="Verdana"/>
          <w:color w:val="000000" w:themeColor="text1"/>
          <w:sz w:val="18"/>
          <w:szCs w:val="18"/>
        </w:rPr>
        <w:t xml:space="preserve">. </w:t>
      </w:r>
    </w:p>
    <w:p w:rsidRPr="00247BA8" w:rsidR="007A6CB6" w:rsidP="00054419" w:rsidRDefault="007A6CB6" w14:paraId="7F3A3D5E" w14:textId="77777777">
      <w:pPr>
        <w:rPr>
          <w:rFonts w:ascii="Verdana" w:hAnsi="Verdana"/>
          <w:color w:val="000000" w:themeColor="text1"/>
          <w:sz w:val="18"/>
          <w:szCs w:val="18"/>
        </w:rPr>
      </w:pPr>
    </w:p>
    <w:p w:rsidRPr="00247BA8" w:rsidR="007A6CB6" w:rsidP="009577FF" w:rsidRDefault="00054419" w14:paraId="45B8A213" w14:textId="6E1DF473">
      <w:pPr>
        <w:rPr>
          <w:rFonts w:ascii="Verdana" w:hAnsi="Verdana"/>
          <w:i/>
          <w:iCs/>
          <w:color w:val="000000" w:themeColor="text1"/>
          <w:sz w:val="18"/>
          <w:szCs w:val="18"/>
        </w:rPr>
      </w:pPr>
      <w:r w:rsidRPr="00247BA8">
        <w:rPr>
          <w:rFonts w:ascii="Verdana" w:hAnsi="Verdana"/>
          <w:i/>
          <w:iCs/>
          <w:color w:val="000000" w:themeColor="text1"/>
          <w:sz w:val="18"/>
          <w:szCs w:val="18"/>
        </w:rPr>
        <w:t>De leden van de NSC-fractie lezen dat er sprake is van eenmalige investeringskosten van circa € 1,3 miljoen en structurele kosten van circa € 322.000. Deze leden vragen of met levering van gegevens via de provincies deze kosten voorkomen kunnen worden.</w:t>
      </w:r>
    </w:p>
    <w:p w:rsidRPr="00247BA8" w:rsidR="002123C9" w:rsidP="009577FF" w:rsidRDefault="002123C9" w14:paraId="4FF9D390" w14:textId="77777777">
      <w:pPr>
        <w:rPr>
          <w:rFonts w:ascii="Verdana" w:hAnsi="Verdana"/>
          <w:color w:val="000000" w:themeColor="text1"/>
          <w:sz w:val="18"/>
          <w:szCs w:val="18"/>
        </w:rPr>
      </w:pPr>
    </w:p>
    <w:p w:rsidRPr="00247BA8" w:rsidR="009577FF" w:rsidP="009577FF" w:rsidRDefault="0023182D" w14:paraId="6CD5B760" w14:textId="13C266F5">
      <w:pPr>
        <w:rPr>
          <w:rFonts w:ascii="Verdana" w:hAnsi="Verdana"/>
          <w:color w:val="000000" w:themeColor="text1"/>
          <w:sz w:val="18"/>
          <w:szCs w:val="18"/>
        </w:rPr>
      </w:pPr>
      <w:r w:rsidRPr="00247BA8">
        <w:rPr>
          <w:rFonts w:ascii="Verdana" w:hAnsi="Verdana"/>
          <w:color w:val="000000" w:themeColor="text1"/>
          <w:sz w:val="18"/>
          <w:szCs w:val="18"/>
        </w:rPr>
        <w:t xml:space="preserve">Nee, </w:t>
      </w:r>
      <w:r w:rsidRPr="00247BA8" w:rsidR="003A34A6">
        <w:rPr>
          <w:rFonts w:ascii="Verdana" w:hAnsi="Verdana"/>
          <w:color w:val="000000" w:themeColor="text1"/>
          <w:sz w:val="18"/>
          <w:szCs w:val="18"/>
        </w:rPr>
        <w:t xml:space="preserve">zie </w:t>
      </w:r>
      <w:r w:rsidRPr="00247BA8" w:rsidR="00B43FE8">
        <w:rPr>
          <w:rFonts w:ascii="Verdana" w:hAnsi="Verdana"/>
          <w:color w:val="000000" w:themeColor="text1"/>
          <w:sz w:val="18"/>
          <w:szCs w:val="18"/>
        </w:rPr>
        <w:t xml:space="preserve">het antwoord op de vraag </w:t>
      </w:r>
      <w:r w:rsidRPr="00247BA8" w:rsidR="004B213E">
        <w:rPr>
          <w:rFonts w:ascii="Verdana" w:hAnsi="Verdana"/>
          <w:color w:val="000000" w:themeColor="text1"/>
          <w:sz w:val="18"/>
          <w:szCs w:val="18"/>
        </w:rPr>
        <w:t xml:space="preserve">van de leden van de NSC-fractie in </w:t>
      </w:r>
      <w:r w:rsidRPr="00247BA8" w:rsidR="00B43FE8">
        <w:rPr>
          <w:rFonts w:ascii="Verdana" w:hAnsi="Verdana"/>
          <w:color w:val="000000" w:themeColor="text1"/>
          <w:sz w:val="18"/>
          <w:szCs w:val="18"/>
        </w:rPr>
        <w:t>paragraaf 1.1.2, ‘Is het niet mogelijk om de gegevens via de provincie te leveren (zoals dat nu al is) voor de BRO? Wat zijn hier voordelen en/of nadelen van?</w:t>
      </w:r>
      <w:r w:rsidRPr="00247BA8" w:rsidR="003009E4">
        <w:rPr>
          <w:rFonts w:ascii="Verdana" w:hAnsi="Verdana"/>
          <w:color w:val="000000" w:themeColor="text1"/>
          <w:sz w:val="18"/>
          <w:szCs w:val="18"/>
        </w:rPr>
        <w:t>’</w:t>
      </w:r>
    </w:p>
    <w:p w:rsidRPr="00247BA8" w:rsidR="009577FF" w:rsidP="009577FF" w:rsidRDefault="009577FF" w14:paraId="5DE8DDA0" w14:textId="4FDBC283">
      <w:pPr>
        <w:rPr>
          <w:rFonts w:ascii="Verdana" w:hAnsi="Verdana"/>
          <w:color w:val="000000" w:themeColor="text1"/>
          <w:sz w:val="18"/>
          <w:szCs w:val="18"/>
        </w:rPr>
      </w:pPr>
    </w:p>
    <w:p w:rsidRPr="00247BA8" w:rsidR="009577FF" w:rsidP="009577FF" w:rsidRDefault="00B558D6" w14:paraId="498B37CA" w14:textId="2FDC2364">
      <w:pPr>
        <w:rPr>
          <w:rFonts w:ascii="Verdana" w:hAnsi="Verdana"/>
          <w:i/>
          <w:iCs/>
          <w:color w:val="000000" w:themeColor="text1"/>
          <w:sz w:val="18"/>
          <w:szCs w:val="18"/>
        </w:rPr>
      </w:pPr>
      <w:r w:rsidRPr="00247BA8">
        <w:rPr>
          <w:rFonts w:ascii="Verdana" w:hAnsi="Verdana"/>
          <w:i/>
          <w:iCs/>
          <w:color w:val="000000" w:themeColor="text1"/>
          <w:sz w:val="18"/>
          <w:szCs w:val="18"/>
        </w:rPr>
        <w:t>De leden van de BBB-fractie lezen dat de incidentele lasten variëren van vrijwel geen tot een kostenniveau tussen de € 200.000</w:t>
      </w:r>
      <w:r w:rsidRPr="00247BA8" w:rsidR="00900361">
        <w:rPr>
          <w:rFonts w:ascii="Verdana" w:hAnsi="Verdana"/>
          <w:i/>
          <w:iCs/>
          <w:color w:val="000000" w:themeColor="text1"/>
          <w:sz w:val="18"/>
          <w:szCs w:val="18"/>
        </w:rPr>
        <w:t xml:space="preserve"> </w:t>
      </w:r>
      <w:r w:rsidRPr="00247BA8">
        <w:rPr>
          <w:rFonts w:ascii="Verdana" w:hAnsi="Verdana"/>
          <w:i/>
          <w:iCs/>
          <w:color w:val="000000" w:themeColor="text1"/>
          <w:sz w:val="18"/>
          <w:szCs w:val="18"/>
        </w:rPr>
        <w:t>en € 350.000. Deze leden</w:t>
      </w:r>
      <w:r w:rsidRPr="00247BA8" w:rsidR="009577FF">
        <w:rPr>
          <w:rFonts w:ascii="Verdana" w:hAnsi="Verdana"/>
          <w:i/>
          <w:iCs/>
          <w:color w:val="000000" w:themeColor="text1"/>
          <w:sz w:val="18"/>
          <w:szCs w:val="18"/>
        </w:rPr>
        <w:t xml:space="preserve"> vragen in hoeverre de kosten die drinkwaterbedrijven maken worden doorberekend aan de burger</w:t>
      </w:r>
      <w:r w:rsidRPr="00247BA8">
        <w:rPr>
          <w:rFonts w:ascii="Verdana" w:hAnsi="Verdana"/>
          <w:i/>
          <w:iCs/>
          <w:color w:val="000000" w:themeColor="text1"/>
          <w:sz w:val="18"/>
          <w:szCs w:val="18"/>
        </w:rPr>
        <w:t>.</w:t>
      </w:r>
      <w:r w:rsidRPr="00247BA8" w:rsidR="009577FF">
        <w:rPr>
          <w:rFonts w:ascii="Verdana" w:hAnsi="Verdana"/>
          <w:i/>
          <w:iCs/>
          <w:color w:val="000000" w:themeColor="text1"/>
          <w:sz w:val="18"/>
          <w:szCs w:val="18"/>
        </w:rPr>
        <w:t xml:space="preserve"> </w:t>
      </w:r>
      <w:r w:rsidRPr="00247BA8">
        <w:rPr>
          <w:rFonts w:ascii="Verdana" w:hAnsi="Verdana"/>
          <w:i/>
          <w:iCs/>
          <w:color w:val="000000" w:themeColor="text1"/>
          <w:sz w:val="18"/>
          <w:szCs w:val="18"/>
        </w:rPr>
        <w:t>W</w:t>
      </w:r>
      <w:r w:rsidRPr="00247BA8" w:rsidR="009577FF">
        <w:rPr>
          <w:rFonts w:ascii="Verdana" w:hAnsi="Verdana"/>
          <w:i/>
          <w:iCs/>
          <w:color w:val="000000" w:themeColor="text1"/>
          <w:sz w:val="18"/>
          <w:szCs w:val="18"/>
        </w:rPr>
        <w:t xml:space="preserve">at is het verwachtte neveneffect van de extra lasten </w:t>
      </w:r>
      <w:r w:rsidRPr="00247BA8">
        <w:rPr>
          <w:rFonts w:ascii="Verdana" w:hAnsi="Verdana"/>
          <w:i/>
          <w:iCs/>
          <w:color w:val="000000" w:themeColor="text1"/>
          <w:sz w:val="18"/>
          <w:szCs w:val="18"/>
        </w:rPr>
        <w:t>voor bedrijven</w:t>
      </w:r>
      <w:r w:rsidRPr="00247BA8" w:rsidR="009577FF">
        <w:rPr>
          <w:rFonts w:ascii="Verdana" w:hAnsi="Verdana"/>
          <w:i/>
          <w:iCs/>
          <w:color w:val="000000" w:themeColor="text1"/>
          <w:sz w:val="18"/>
          <w:szCs w:val="18"/>
        </w:rPr>
        <w:t xml:space="preserve">, en </w:t>
      </w:r>
      <w:r w:rsidRPr="00247BA8">
        <w:rPr>
          <w:rFonts w:ascii="Verdana" w:hAnsi="Verdana"/>
          <w:i/>
          <w:iCs/>
          <w:color w:val="000000" w:themeColor="text1"/>
          <w:sz w:val="18"/>
          <w:szCs w:val="18"/>
        </w:rPr>
        <w:t xml:space="preserve">is een inschatting gemaakt </w:t>
      </w:r>
      <w:r w:rsidRPr="00247BA8" w:rsidR="009577FF">
        <w:rPr>
          <w:rFonts w:ascii="Verdana" w:hAnsi="Verdana"/>
          <w:i/>
          <w:iCs/>
          <w:color w:val="000000" w:themeColor="text1"/>
          <w:sz w:val="18"/>
          <w:szCs w:val="18"/>
        </w:rPr>
        <w:t>waar die bedrijven het precies gaan doorbereken</w:t>
      </w:r>
      <w:r w:rsidRPr="00247BA8">
        <w:rPr>
          <w:rFonts w:ascii="Verdana" w:hAnsi="Verdana"/>
          <w:i/>
          <w:iCs/>
          <w:color w:val="000000" w:themeColor="text1"/>
          <w:sz w:val="18"/>
          <w:szCs w:val="18"/>
        </w:rPr>
        <w:t>en?</w:t>
      </w:r>
    </w:p>
    <w:p w:rsidRPr="00247BA8" w:rsidR="002123C9" w:rsidP="009577FF" w:rsidRDefault="002123C9" w14:paraId="7A164EA4" w14:textId="77777777">
      <w:pPr>
        <w:rPr>
          <w:rFonts w:ascii="Verdana" w:hAnsi="Verdana"/>
          <w:color w:val="000000" w:themeColor="text1"/>
          <w:sz w:val="18"/>
          <w:szCs w:val="18"/>
        </w:rPr>
      </w:pPr>
    </w:p>
    <w:p w:rsidRPr="00247BA8" w:rsidR="00054419" w:rsidP="00054419" w:rsidRDefault="002123C9" w14:paraId="4BCAA368" w14:textId="019CF44F">
      <w:pPr>
        <w:rPr>
          <w:rFonts w:ascii="Verdana" w:hAnsi="Verdana"/>
          <w:color w:val="000000" w:themeColor="text1"/>
          <w:sz w:val="18"/>
          <w:szCs w:val="18"/>
        </w:rPr>
      </w:pPr>
      <w:r w:rsidRPr="00247BA8">
        <w:rPr>
          <w:rFonts w:ascii="Verdana" w:hAnsi="Verdana"/>
          <w:color w:val="000000" w:themeColor="text1"/>
          <w:sz w:val="18"/>
          <w:szCs w:val="18"/>
        </w:rPr>
        <w:lastRenderedPageBreak/>
        <w:t>De</w:t>
      </w:r>
      <w:r w:rsidRPr="00247BA8" w:rsidR="0055053F">
        <w:rPr>
          <w:rFonts w:ascii="Verdana" w:hAnsi="Verdana"/>
          <w:color w:val="000000" w:themeColor="text1"/>
          <w:sz w:val="18"/>
          <w:szCs w:val="18"/>
        </w:rPr>
        <w:t xml:space="preserve"> </w:t>
      </w:r>
      <w:r w:rsidRPr="00247BA8" w:rsidR="00A62458">
        <w:rPr>
          <w:rFonts w:ascii="Verdana" w:hAnsi="Verdana"/>
          <w:color w:val="000000" w:themeColor="text1"/>
          <w:sz w:val="18"/>
          <w:szCs w:val="18"/>
        </w:rPr>
        <w:t>baten</w:t>
      </w:r>
      <w:r w:rsidRPr="00247BA8">
        <w:rPr>
          <w:rFonts w:ascii="Verdana" w:hAnsi="Verdana"/>
          <w:color w:val="000000" w:themeColor="text1"/>
          <w:sz w:val="18"/>
          <w:szCs w:val="18"/>
        </w:rPr>
        <w:t xml:space="preserve"> zijn</w:t>
      </w:r>
      <w:r w:rsidRPr="00247BA8" w:rsidR="0055053F">
        <w:rPr>
          <w:rFonts w:ascii="Verdana" w:hAnsi="Verdana"/>
          <w:color w:val="000000" w:themeColor="text1"/>
          <w:sz w:val="18"/>
          <w:szCs w:val="18"/>
        </w:rPr>
        <w:t xml:space="preserve"> voor de drinkwaterbedrijven groter dan de </w:t>
      </w:r>
      <w:r w:rsidRPr="00247BA8">
        <w:rPr>
          <w:rFonts w:ascii="Verdana" w:hAnsi="Verdana"/>
          <w:color w:val="000000" w:themeColor="text1"/>
          <w:sz w:val="18"/>
          <w:szCs w:val="18"/>
        </w:rPr>
        <w:t>lasten</w:t>
      </w:r>
      <w:r w:rsidRPr="00247BA8" w:rsidR="0055053F">
        <w:rPr>
          <w:rFonts w:ascii="Verdana" w:hAnsi="Verdana"/>
          <w:color w:val="000000" w:themeColor="text1"/>
          <w:sz w:val="18"/>
          <w:szCs w:val="18"/>
        </w:rPr>
        <w:t>.</w:t>
      </w:r>
      <w:r w:rsidRPr="00247BA8" w:rsidR="00F5464E">
        <w:rPr>
          <w:rFonts w:ascii="Verdana" w:hAnsi="Verdana"/>
          <w:color w:val="000000" w:themeColor="text1"/>
          <w:sz w:val="18"/>
          <w:szCs w:val="18"/>
        </w:rPr>
        <w:t xml:space="preserve"> </w:t>
      </w:r>
      <w:r w:rsidRPr="00247BA8">
        <w:rPr>
          <w:rFonts w:ascii="Verdana" w:hAnsi="Verdana"/>
          <w:color w:val="000000" w:themeColor="text1"/>
          <w:sz w:val="18"/>
          <w:szCs w:val="18"/>
        </w:rPr>
        <w:t>Daarom mag verwacht worden dat</w:t>
      </w:r>
      <w:r w:rsidRPr="00247BA8" w:rsidR="00F5464E">
        <w:rPr>
          <w:rFonts w:ascii="Verdana" w:hAnsi="Verdana"/>
          <w:color w:val="000000" w:themeColor="text1"/>
          <w:sz w:val="18"/>
          <w:szCs w:val="18"/>
        </w:rPr>
        <w:t xml:space="preserve"> de burger</w:t>
      </w:r>
      <w:r w:rsidRPr="00247BA8">
        <w:rPr>
          <w:rFonts w:ascii="Verdana" w:hAnsi="Verdana"/>
          <w:color w:val="000000" w:themeColor="text1"/>
          <w:sz w:val="18"/>
          <w:szCs w:val="18"/>
        </w:rPr>
        <w:t xml:space="preserve"> niet duurder uit is</w:t>
      </w:r>
      <w:r w:rsidRPr="00247BA8" w:rsidR="00F5464E">
        <w:rPr>
          <w:rFonts w:ascii="Verdana" w:hAnsi="Verdana"/>
          <w:color w:val="000000" w:themeColor="text1"/>
          <w:sz w:val="18"/>
          <w:szCs w:val="18"/>
        </w:rPr>
        <w:t xml:space="preserve">. </w:t>
      </w:r>
    </w:p>
    <w:p w:rsidRPr="00247BA8" w:rsidR="00D7258B" w:rsidP="00054419" w:rsidRDefault="00D7258B" w14:paraId="321E3A24" w14:textId="77777777">
      <w:pPr>
        <w:rPr>
          <w:rFonts w:ascii="Verdana" w:hAnsi="Verdana"/>
          <w:color w:val="000000" w:themeColor="text1"/>
          <w:sz w:val="18"/>
          <w:szCs w:val="18"/>
        </w:rPr>
      </w:pPr>
    </w:p>
    <w:p w:rsidRPr="00247BA8" w:rsidR="00A62458" w:rsidP="00054419" w:rsidRDefault="00A62458" w14:paraId="38E91D77" w14:textId="77777777">
      <w:pPr>
        <w:rPr>
          <w:rFonts w:ascii="Verdana" w:hAnsi="Verdana"/>
          <w:b/>
          <w:bCs/>
          <w:color w:val="000000" w:themeColor="text1"/>
          <w:sz w:val="18"/>
          <w:szCs w:val="18"/>
        </w:rPr>
      </w:pPr>
    </w:p>
    <w:p w:rsidRPr="00247BA8" w:rsidR="00054419" w:rsidP="00054419" w:rsidRDefault="00B558D6" w14:paraId="37EBAF9D" w14:textId="77A89084">
      <w:pPr>
        <w:rPr>
          <w:rFonts w:ascii="Verdana" w:hAnsi="Verdana"/>
          <w:b/>
          <w:bCs/>
          <w:color w:val="000000" w:themeColor="text1"/>
          <w:sz w:val="18"/>
          <w:szCs w:val="18"/>
        </w:rPr>
      </w:pPr>
      <w:r w:rsidRPr="00247BA8">
        <w:rPr>
          <w:rFonts w:ascii="Verdana" w:hAnsi="Verdana"/>
          <w:b/>
          <w:bCs/>
          <w:color w:val="000000" w:themeColor="text1"/>
          <w:sz w:val="18"/>
          <w:szCs w:val="18"/>
        </w:rPr>
        <w:t>5</w:t>
      </w:r>
      <w:r w:rsidRPr="00247BA8" w:rsidR="00054419">
        <w:rPr>
          <w:rFonts w:ascii="Verdana" w:hAnsi="Verdana"/>
          <w:b/>
          <w:bCs/>
          <w:color w:val="000000" w:themeColor="text1"/>
          <w:sz w:val="18"/>
          <w:szCs w:val="18"/>
        </w:rPr>
        <w:t>. Advies en consultatie</w:t>
      </w:r>
    </w:p>
    <w:p w:rsidRPr="00247BA8" w:rsidR="00054419" w:rsidP="00054419" w:rsidRDefault="00054419" w14:paraId="67BCE3EA" w14:textId="77777777">
      <w:pPr>
        <w:rPr>
          <w:rFonts w:ascii="Verdana" w:hAnsi="Verdana"/>
          <w:b/>
          <w:bCs/>
          <w:color w:val="000000" w:themeColor="text1"/>
          <w:sz w:val="18"/>
          <w:szCs w:val="18"/>
        </w:rPr>
      </w:pPr>
    </w:p>
    <w:p w:rsidRPr="00247BA8" w:rsidR="00054419" w:rsidP="00054419" w:rsidRDefault="00054419" w14:paraId="453F68B1" w14:textId="3CB72963">
      <w:pPr>
        <w:rPr>
          <w:rFonts w:ascii="Verdana" w:hAnsi="Verdana"/>
          <w:i/>
          <w:iCs/>
          <w:color w:val="000000" w:themeColor="text1"/>
          <w:sz w:val="18"/>
          <w:szCs w:val="18"/>
        </w:rPr>
      </w:pPr>
      <w:r w:rsidRPr="00247BA8">
        <w:rPr>
          <w:rFonts w:ascii="Verdana" w:hAnsi="Verdana"/>
          <w:i/>
          <w:iCs/>
          <w:color w:val="000000" w:themeColor="text1"/>
          <w:sz w:val="18"/>
          <w:szCs w:val="18"/>
        </w:rPr>
        <w:t>De leden van de VVD-fractie lezen dat het</w:t>
      </w:r>
      <w:r w:rsidRPr="00247BA8" w:rsidR="00B558D6">
        <w:rPr>
          <w:rFonts w:ascii="Verdana" w:hAnsi="Verdana"/>
          <w:i/>
          <w:iCs/>
          <w:color w:val="000000" w:themeColor="text1"/>
          <w:sz w:val="18"/>
          <w:szCs w:val="18"/>
        </w:rPr>
        <w:t xml:space="preserve"> Adviescollege Toetsing Regeldruk (</w:t>
      </w:r>
      <w:r w:rsidRPr="00247BA8">
        <w:rPr>
          <w:rFonts w:ascii="Verdana" w:hAnsi="Verdana"/>
          <w:i/>
          <w:iCs/>
          <w:color w:val="000000" w:themeColor="text1"/>
          <w:sz w:val="18"/>
          <w:szCs w:val="18"/>
        </w:rPr>
        <w:t>ATR</w:t>
      </w:r>
      <w:r w:rsidRPr="00247BA8" w:rsidR="00B558D6">
        <w:rPr>
          <w:rFonts w:ascii="Verdana" w:hAnsi="Verdana"/>
          <w:i/>
          <w:iCs/>
          <w:color w:val="000000" w:themeColor="text1"/>
          <w:sz w:val="18"/>
          <w:szCs w:val="18"/>
        </w:rPr>
        <w:t>)</w:t>
      </w:r>
      <w:r w:rsidRPr="00247BA8">
        <w:rPr>
          <w:rFonts w:ascii="Verdana" w:hAnsi="Verdana"/>
          <w:i/>
          <w:iCs/>
          <w:color w:val="000000" w:themeColor="text1"/>
          <w:sz w:val="18"/>
          <w:szCs w:val="18"/>
        </w:rPr>
        <w:t xml:space="preserve"> de regering adviseert het voorstel niet in te dienen, tenzij met de adviespunten rekening is gehouden. Op basis van dit advies heeft de regering het voorstel gewijzigd. Heeft de regering overwogen om het ATR te verzoeken een advies uit te brengen over het gewijzigde voorstel? Zo niet, waarom niet?</w:t>
      </w:r>
    </w:p>
    <w:p w:rsidRPr="00247BA8" w:rsidR="002123C9" w:rsidP="00054419" w:rsidRDefault="002123C9" w14:paraId="20CB1C3B" w14:textId="77777777">
      <w:pPr>
        <w:rPr>
          <w:rFonts w:ascii="Verdana" w:hAnsi="Verdana"/>
          <w:color w:val="000000" w:themeColor="text1"/>
          <w:sz w:val="18"/>
          <w:szCs w:val="18"/>
        </w:rPr>
      </w:pPr>
    </w:p>
    <w:p w:rsidRPr="00247BA8" w:rsidR="009F6E02" w:rsidRDefault="00C221DB" w14:paraId="794DC43B" w14:textId="277CFF23">
      <w:pPr>
        <w:rPr>
          <w:rFonts w:ascii="Verdana" w:hAnsi="Verdana"/>
          <w:color w:val="000000" w:themeColor="text1"/>
          <w:sz w:val="18"/>
          <w:szCs w:val="18"/>
        </w:rPr>
      </w:pPr>
      <w:r w:rsidRPr="00247BA8">
        <w:rPr>
          <w:rFonts w:ascii="Verdana" w:hAnsi="Verdana"/>
          <w:color w:val="000000" w:themeColor="text1"/>
          <w:sz w:val="18"/>
          <w:szCs w:val="18"/>
        </w:rPr>
        <w:t xml:space="preserve">Het voornaamste punt uit het advies was om nut en noodzaak </w:t>
      </w:r>
      <w:r w:rsidRPr="00247BA8" w:rsidR="00675CD0">
        <w:rPr>
          <w:rFonts w:ascii="Verdana" w:hAnsi="Verdana"/>
          <w:color w:val="000000" w:themeColor="text1"/>
          <w:sz w:val="18"/>
          <w:szCs w:val="18"/>
        </w:rPr>
        <w:t xml:space="preserve">beter </w:t>
      </w:r>
      <w:r w:rsidRPr="00247BA8">
        <w:rPr>
          <w:rFonts w:ascii="Verdana" w:hAnsi="Verdana"/>
          <w:color w:val="000000" w:themeColor="text1"/>
          <w:sz w:val="18"/>
          <w:szCs w:val="18"/>
        </w:rPr>
        <w:t xml:space="preserve">te omschrijven. </w:t>
      </w:r>
      <w:r w:rsidRPr="00247BA8" w:rsidR="00675CD0">
        <w:rPr>
          <w:rFonts w:ascii="Verdana" w:hAnsi="Verdana"/>
          <w:color w:val="000000" w:themeColor="text1"/>
          <w:sz w:val="18"/>
          <w:szCs w:val="18"/>
        </w:rPr>
        <w:t>Het advies van het ATR is opgevolgd en verwerkt in de memorie van toelichting bij het wetsvoorstel. Het is niet gebruikelijk om het ATR na het formele advies opnieuw te raadplegen, en in dit geval was daar ook geen aanleiding voor omdat de adviespunten goed konden worden verwerkt.</w:t>
      </w:r>
    </w:p>
    <w:p w:rsidRPr="00247BA8" w:rsidR="00A62458" w:rsidRDefault="00A62458" w14:paraId="5EA9EEFD" w14:textId="77777777">
      <w:pPr>
        <w:rPr>
          <w:rFonts w:ascii="Verdana" w:hAnsi="Verdana"/>
          <w:color w:val="000000" w:themeColor="text1"/>
          <w:sz w:val="18"/>
          <w:szCs w:val="18"/>
        </w:rPr>
      </w:pPr>
    </w:p>
    <w:p w:rsidRPr="00247BA8" w:rsidR="009A49A0" w:rsidRDefault="00BD704A" w14:paraId="7DEA8F86" w14:textId="3C6CC739">
      <w:pPr>
        <w:rPr>
          <w:rFonts w:ascii="Verdana" w:hAnsi="Verdana"/>
          <w:color w:val="000000" w:themeColor="text1"/>
          <w:sz w:val="18"/>
          <w:szCs w:val="18"/>
        </w:rPr>
      </w:pPr>
      <w:r w:rsidRPr="00247BA8">
        <w:rPr>
          <w:rFonts w:ascii="Verdana" w:hAnsi="Verdana"/>
          <w:color w:val="000000" w:themeColor="text1"/>
          <w:sz w:val="18"/>
          <w:szCs w:val="18"/>
        </w:rPr>
        <w:t xml:space="preserve">Mede namens de minister van Infrastructuur en Waterstaat, </w:t>
      </w:r>
      <w:r w:rsidRPr="00247BA8">
        <w:rPr>
          <w:rFonts w:ascii="Verdana" w:hAnsi="Verdana"/>
          <w:color w:val="000000" w:themeColor="text1"/>
          <w:sz w:val="18"/>
          <w:szCs w:val="18"/>
        </w:rPr>
        <w:br/>
      </w:r>
    </w:p>
    <w:p w:rsidRPr="00247BA8" w:rsidR="009F6E02" w:rsidRDefault="00665C86" w14:paraId="7C9CFCD0" w14:textId="0809F955">
      <w:pPr>
        <w:rPr>
          <w:rFonts w:ascii="Verdana" w:hAnsi="Verdana"/>
          <w:color w:val="000000" w:themeColor="text1"/>
          <w:sz w:val="18"/>
          <w:szCs w:val="18"/>
        </w:rPr>
      </w:pPr>
      <w:r w:rsidRPr="00247BA8">
        <w:rPr>
          <w:rFonts w:ascii="Verdana" w:hAnsi="Verdana"/>
          <w:color w:val="000000" w:themeColor="text1"/>
          <w:sz w:val="18"/>
          <w:szCs w:val="18"/>
        </w:rPr>
        <w:t>De minister van Volkshuisvesting en Ruimtelijke Ordening</w:t>
      </w:r>
      <w:r w:rsidRPr="00247BA8" w:rsidR="00597DF9">
        <w:rPr>
          <w:rFonts w:ascii="Verdana" w:hAnsi="Verdana"/>
          <w:color w:val="000000" w:themeColor="text1"/>
          <w:sz w:val="18"/>
          <w:szCs w:val="18"/>
        </w:rPr>
        <w:t>,</w:t>
      </w:r>
    </w:p>
    <w:p w:rsidRPr="00247BA8" w:rsidR="00665C86" w:rsidRDefault="00665C86" w14:paraId="717DB2B2" w14:textId="77777777">
      <w:pPr>
        <w:rPr>
          <w:rFonts w:ascii="Verdana" w:hAnsi="Verdana"/>
          <w:color w:val="000000" w:themeColor="text1"/>
          <w:sz w:val="18"/>
          <w:szCs w:val="18"/>
        </w:rPr>
      </w:pPr>
    </w:p>
    <w:p w:rsidRPr="00247BA8" w:rsidR="00665C86" w:rsidRDefault="00665C86" w14:paraId="12AA6F6E" w14:textId="77777777">
      <w:pPr>
        <w:rPr>
          <w:rFonts w:ascii="Verdana" w:hAnsi="Verdana"/>
          <w:color w:val="000000" w:themeColor="text1"/>
          <w:sz w:val="18"/>
          <w:szCs w:val="18"/>
        </w:rPr>
      </w:pPr>
    </w:p>
    <w:p w:rsidRPr="00247BA8" w:rsidR="00665C86" w:rsidRDefault="00665C86" w14:paraId="17674980" w14:textId="77777777">
      <w:pPr>
        <w:rPr>
          <w:rFonts w:ascii="Verdana" w:hAnsi="Verdana"/>
          <w:color w:val="000000" w:themeColor="text1"/>
          <w:sz w:val="18"/>
          <w:szCs w:val="18"/>
        </w:rPr>
      </w:pPr>
    </w:p>
    <w:p w:rsidRPr="00247BA8" w:rsidR="00665C86" w:rsidRDefault="00247BA8" w14:paraId="48F698D2" w14:textId="04EE9E86">
      <w:pPr>
        <w:rPr>
          <w:rFonts w:ascii="Verdana" w:hAnsi="Verdana"/>
          <w:color w:val="000000" w:themeColor="text1"/>
          <w:sz w:val="18"/>
          <w:szCs w:val="18"/>
        </w:rPr>
      </w:pPr>
      <w:r>
        <w:rPr>
          <w:rFonts w:ascii="Verdana" w:hAnsi="Verdana"/>
          <w:color w:val="000000" w:themeColor="text1"/>
          <w:sz w:val="18"/>
          <w:szCs w:val="18"/>
        </w:rPr>
        <w:br/>
      </w:r>
    </w:p>
    <w:p w:rsidRPr="00247BA8" w:rsidR="00665C86" w:rsidRDefault="00665C86" w14:paraId="4DB9EAD5" w14:textId="35672361">
      <w:pPr>
        <w:rPr>
          <w:rFonts w:ascii="Verdana" w:hAnsi="Verdana"/>
          <w:color w:val="000000" w:themeColor="text1"/>
          <w:sz w:val="18"/>
          <w:szCs w:val="18"/>
        </w:rPr>
      </w:pPr>
      <w:r w:rsidRPr="00247BA8">
        <w:rPr>
          <w:rFonts w:ascii="Verdana" w:hAnsi="Verdana"/>
          <w:color w:val="000000" w:themeColor="text1"/>
          <w:sz w:val="18"/>
          <w:szCs w:val="18"/>
        </w:rPr>
        <w:t>Mona Keijzer</w:t>
      </w:r>
    </w:p>
    <w:sectPr w:rsidRPr="00247BA8" w:rsidR="00665C86">
      <w:headerReference w:type="default" r:id="rId14"/>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7E05" w14:textId="77777777" w:rsidR="00431B3D" w:rsidRDefault="00431B3D" w:rsidP="00B558D6">
      <w:r>
        <w:separator/>
      </w:r>
    </w:p>
  </w:endnote>
  <w:endnote w:type="continuationSeparator" w:id="0">
    <w:p w14:paraId="71D9B071" w14:textId="77777777" w:rsidR="00431B3D" w:rsidRDefault="00431B3D" w:rsidP="00B558D6">
      <w:r>
        <w:continuationSeparator/>
      </w:r>
    </w:p>
  </w:endnote>
  <w:endnote w:type="continuationNotice" w:id="1">
    <w:p w14:paraId="51964EFF" w14:textId="77777777" w:rsidR="00431B3D" w:rsidRDefault="00431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17979"/>
      <w:docPartObj>
        <w:docPartGallery w:val="Page Numbers (Bottom of Page)"/>
        <w:docPartUnique/>
      </w:docPartObj>
    </w:sdtPr>
    <w:sdtContent>
      <w:p w14:paraId="22901495" w14:textId="5429AA17" w:rsidR="00B558D6" w:rsidRDefault="00B558D6">
        <w:pPr>
          <w:pStyle w:val="Voettekst"/>
          <w:jc w:val="right"/>
        </w:pPr>
        <w:r>
          <w:fldChar w:fldCharType="begin"/>
        </w:r>
        <w:r>
          <w:instrText>PAGE   \* MERGEFORMAT</w:instrText>
        </w:r>
        <w:r>
          <w:fldChar w:fldCharType="separate"/>
        </w:r>
        <w:r>
          <w:t>2</w:t>
        </w:r>
        <w:r>
          <w:fldChar w:fldCharType="end"/>
        </w:r>
      </w:p>
    </w:sdtContent>
  </w:sdt>
  <w:p w14:paraId="6FA56731" w14:textId="77777777" w:rsidR="00B558D6" w:rsidRDefault="00B558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38E5" w14:textId="77777777" w:rsidR="00431B3D" w:rsidRDefault="00431B3D" w:rsidP="00B558D6">
      <w:r>
        <w:separator/>
      </w:r>
    </w:p>
  </w:footnote>
  <w:footnote w:type="continuationSeparator" w:id="0">
    <w:p w14:paraId="5A1A68AF" w14:textId="77777777" w:rsidR="00431B3D" w:rsidRDefault="00431B3D" w:rsidP="00B558D6">
      <w:r>
        <w:continuationSeparator/>
      </w:r>
    </w:p>
  </w:footnote>
  <w:footnote w:type="continuationNotice" w:id="1">
    <w:p w14:paraId="1C0B9304" w14:textId="77777777" w:rsidR="00431B3D" w:rsidRDefault="00431B3D"/>
  </w:footnote>
  <w:footnote w:id="2">
    <w:p w14:paraId="3F5FD36A" w14:textId="77777777" w:rsidR="006E61D9" w:rsidRPr="00986E9B" w:rsidRDefault="006E61D9" w:rsidP="006E61D9">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Totaalrapport kosten en baten Basisregistratie Ondergrond (BRO). Eindrapport</w:t>
      </w:r>
      <w:r w:rsidRPr="00986E9B">
        <w:rPr>
          <w:rFonts w:ascii="Times New Roman" w:hAnsi="Times New Roman" w:cs="Times New Roman"/>
          <w:color w:val="000000" w:themeColor="text1"/>
          <w:lang w:val="nl-NL"/>
        </w:rPr>
        <w:t xml:space="preserve">, </w:t>
      </w:r>
      <w:proofErr w:type="spellStart"/>
      <w:r w:rsidRPr="00986E9B">
        <w:rPr>
          <w:rFonts w:ascii="Times New Roman" w:hAnsi="Times New Roman" w:cs="Times New Roman"/>
          <w:color w:val="000000" w:themeColor="text1"/>
          <w:lang w:val="nl-NL"/>
        </w:rPr>
        <w:t>Ecorys</w:t>
      </w:r>
      <w:proofErr w:type="spellEnd"/>
      <w:r w:rsidRPr="00986E9B">
        <w:rPr>
          <w:rFonts w:ascii="Times New Roman" w:hAnsi="Times New Roman" w:cs="Times New Roman"/>
          <w:color w:val="000000" w:themeColor="text1"/>
          <w:lang w:val="nl-NL"/>
        </w:rPr>
        <w:t>, Rotterdam 2021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2021/22, 33136, 25).</w:t>
      </w:r>
    </w:p>
  </w:footnote>
  <w:footnote w:id="3">
    <w:p w14:paraId="5A3E716F" w14:textId="77777777" w:rsidR="006E61D9" w:rsidRPr="006D0A06" w:rsidRDefault="006E61D9" w:rsidP="006E61D9">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2022/23, 27625, 592</w:t>
      </w:r>
      <w:r w:rsidRPr="006D0A06">
        <w:rPr>
          <w:rFonts w:ascii="Times New Roman" w:hAnsi="Times New Roman" w:cs="Times New Roman"/>
          <w:color w:val="000000" w:themeColor="text1"/>
          <w:lang w:val="nl-NL"/>
        </w:rPr>
        <w:t>.</w:t>
      </w:r>
    </w:p>
  </w:footnote>
  <w:footnote w:id="4">
    <w:p w14:paraId="519F158B" w14:textId="44BF1314" w:rsidR="009245CD" w:rsidRPr="00986E9B" w:rsidRDefault="009245CD">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Goed gefundeerd. Advies om te komen tot een nationale aanpak van funderingsproblematiek</w:t>
      </w:r>
      <w:r w:rsidRPr="00986E9B">
        <w:rPr>
          <w:rFonts w:ascii="Times New Roman" w:hAnsi="Times New Roman" w:cs="Times New Roman"/>
          <w:color w:val="000000" w:themeColor="text1"/>
          <w:lang w:val="nl-NL"/>
        </w:rPr>
        <w:t>, Raad voor de leefomgeving en infrastructuur, Den Haag 2024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2023/24, 28325, 266); </w:t>
      </w:r>
      <w:r w:rsidRPr="00986E9B">
        <w:rPr>
          <w:rFonts w:ascii="Times New Roman" w:hAnsi="Times New Roman" w:cs="Times New Roman"/>
          <w:i/>
          <w:iCs/>
          <w:color w:val="000000" w:themeColor="text1"/>
          <w:lang w:val="nl-NL"/>
        </w:rPr>
        <w:t>Naar een kennisagenda funderingsproblematiek. Duiding van de omvang en aard van de problematiek en kennisvragen daarbij</w:t>
      </w:r>
      <w:r w:rsidRPr="00986E9B">
        <w:rPr>
          <w:rFonts w:ascii="Times New Roman" w:hAnsi="Times New Roman" w:cs="Times New Roman"/>
          <w:color w:val="000000" w:themeColor="text1"/>
          <w:lang w:val="nl-NL"/>
        </w:rPr>
        <w:t xml:space="preserve">, </w:t>
      </w:r>
      <w:proofErr w:type="spellStart"/>
      <w:r w:rsidRPr="00986E9B">
        <w:rPr>
          <w:rFonts w:ascii="Times New Roman" w:hAnsi="Times New Roman" w:cs="Times New Roman"/>
          <w:color w:val="000000" w:themeColor="text1"/>
          <w:lang w:val="nl-NL"/>
        </w:rPr>
        <w:t>Deltares</w:t>
      </w:r>
      <w:proofErr w:type="spellEnd"/>
      <w:r w:rsidR="00B23B9F" w:rsidRPr="00986E9B">
        <w:rPr>
          <w:rFonts w:ascii="Times New Roman" w:hAnsi="Times New Roman" w:cs="Times New Roman"/>
          <w:color w:val="000000" w:themeColor="text1"/>
          <w:lang w:val="nl-NL"/>
        </w:rPr>
        <w:t xml:space="preserve"> &amp; TNO</w:t>
      </w:r>
      <w:r w:rsidRPr="00986E9B">
        <w:rPr>
          <w:rFonts w:ascii="Times New Roman" w:hAnsi="Times New Roman" w:cs="Times New Roman"/>
          <w:color w:val="000000" w:themeColor="text1"/>
          <w:lang w:val="nl-NL"/>
        </w:rPr>
        <w:t>, 2021</w:t>
      </w:r>
      <w:r w:rsidR="00B23B9F" w:rsidRPr="00986E9B">
        <w:rPr>
          <w:rFonts w:ascii="Times New Roman" w:hAnsi="Times New Roman" w:cs="Times New Roman"/>
          <w:color w:val="000000" w:themeColor="text1"/>
          <w:lang w:val="nl-NL"/>
        </w:rPr>
        <w:t xml:space="preserve">; </w:t>
      </w:r>
      <w:bookmarkStart w:id="1" w:name="_Hlk175224286"/>
      <w:r w:rsidR="00B23B9F" w:rsidRPr="00986E9B">
        <w:rPr>
          <w:rFonts w:ascii="Times New Roman" w:hAnsi="Times New Roman" w:cs="Times New Roman"/>
          <w:i/>
          <w:iCs/>
          <w:color w:val="000000" w:themeColor="text1"/>
          <w:lang w:val="nl-NL"/>
        </w:rPr>
        <w:t>Nationale aanpak Funderingsproblematie</w:t>
      </w:r>
      <w:r w:rsidR="008D123E" w:rsidRPr="00986E9B">
        <w:rPr>
          <w:rFonts w:ascii="Times New Roman" w:hAnsi="Times New Roman" w:cs="Times New Roman"/>
          <w:i/>
          <w:iCs/>
          <w:color w:val="000000" w:themeColor="text1"/>
          <w:lang w:val="nl-NL"/>
        </w:rPr>
        <w:t>k. Plan van aanpak</w:t>
      </w:r>
      <w:r w:rsidR="00B23B9F" w:rsidRPr="00986E9B">
        <w:rPr>
          <w:rFonts w:ascii="Times New Roman" w:hAnsi="Times New Roman" w:cs="Times New Roman"/>
          <w:color w:val="000000" w:themeColor="text1"/>
          <w:lang w:val="nl-NL"/>
        </w:rPr>
        <w:t xml:space="preserve">, </w:t>
      </w:r>
      <w:r w:rsidR="008D123E" w:rsidRPr="00986E9B">
        <w:rPr>
          <w:rFonts w:ascii="Times New Roman" w:hAnsi="Times New Roman" w:cs="Times New Roman"/>
          <w:color w:val="000000" w:themeColor="text1"/>
          <w:lang w:val="nl-NL"/>
        </w:rPr>
        <w:t xml:space="preserve">BZK, </w:t>
      </w:r>
      <w:proofErr w:type="spellStart"/>
      <w:r w:rsidR="008D123E" w:rsidRPr="00986E9B">
        <w:rPr>
          <w:rFonts w:ascii="Times New Roman" w:hAnsi="Times New Roman" w:cs="Times New Roman"/>
          <w:color w:val="000000" w:themeColor="text1"/>
          <w:lang w:val="nl-NL"/>
        </w:rPr>
        <w:t>IenW</w:t>
      </w:r>
      <w:proofErr w:type="spellEnd"/>
      <w:r w:rsidR="008D123E" w:rsidRPr="00986E9B">
        <w:rPr>
          <w:rFonts w:ascii="Times New Roman" w:hAnsi="Times New Roman" w:cs="Times New Roman"/>
          <w:color w:val="000000" w:themeColor="text1"/>
          <w:lang w:val="nl-NL"/>
        </w:rPr>
        <w:t xml:space="preserve">, LNV, VNG, RVO, 2022 </w:t>
      </w:r>
      <w:r w:rsidR="00B23B9F" w:rsidRPr="00986E9B">
        <w:rPr>
          <w:rFonts w:ascii="Times New Roman" w:hAnsi="Times New Roman" w:cs="Times New Roman"/>
          <w:color w:val="000000" w:themeColor="text1"/>
          <w:lang w:val="nl-NL"/>
        </w:rPr>
        <w:t>(</w:t>
      </w:r>
      <w:r w:rsidR="00B23B9F" w:rsidRPr="00986E9B">
        <w:rPr>
          <w:rFonts w:ascii="Times New Roman" w:hAnsi="Times New Roman" w:cs="Times New Roman"/>
          <w:i/>
          <w:iCs/>
          <w:color w:val="000000" w:themeColor="text1"/>
          <w:lang w:val="nl-NL"/>
        </w:rPr>
        <w:t>Kamerstukken II</w:t>
      </w:r>
      <w:r w:rsidR="00B23B9F" w:rsidRPr="00986E9B">
        <w:rPr>
          <w:rFonts w:ascii="Times New Roman" w:hAnsi="Times New Roman" w:cs="Times New Roman"/>
          <w:color w:val="000000" w:themeColor="text1"/>
          <w:lang w:val="nl-NL"/>
        </w:rPr>
        <w:t xml:space="preserve"> 2023/24, 28</w:t>
      </w:r>
      <w:r w:rsidR="008D123E" w:rsidRPr="00986E9B">
        <w:rPr>
          <w:rFonts w:ascii="Times New Roman" w:hAnsi="Times New Roman" w:cs="Times New Roman"/>
          <w:color w:val="000000" w:themeColor="text1"/>
          <w:lang w:val="nl-NL"/>
        </w:rPr>
        <w:t>325, 257)</w:t>
      </w:r>
      <w:r w:rsidRPr="00986E9B">
        <w:rPr>
          <w:rFonts w:ascii="Times New Roman" w:hAnsi="Times New Roman" w:cs="Times New Roman"/>
          <w:color w:val="000000" w:themeColor="text1"/>
          <w:lang w:val="nl-NL"/>
        </w:rPr>
        <w:t>.</w:t>
      </w:r>
      <w:bookmarkEnd w:id="1"/>
    </w:p>
  </w:footnote>
  <w:footnote w:id="5">
    <w:p w14:paraId="6703D547" w14:textId="6086BDCC" w:rsidR="008D123E" w:rsidRPr="00986E9B" w:rsidRDefault="008D123E" w:rsidP="008D123E">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Ofwel ‘Risk </w:t>
      </w:r>
      <w:proofErr w:type="spellStart"/>
      <w:r w:rsidRPr="00986E9B">
        <w:rPr>
          <w:rFonts w:ascii="Times New Roman" w:hAnsi="Times New Roman" w:cs="Times New Roman"/>
          <w:color w:val="000000" w:themeColor="text1"/>
          <w:lang w:val="nl-NL"/>
        </w:rPr>
        <w:t>Based</w:t>
      </w:r>
      <w:proofErr w:type="spellEnd"/>
      <w:r w:rsidRPr="00986E9B">
        <w:rPr>
          <w:rFonts w:ascii="Times New Roman" w:hAnsi="Times New Roman" w:cs="Times New Roman"/>
          <w:color w:val="000000" w:themeColor="text1"/>
          <w:lang w:val="nl-NL"/>
        </w:rPr>
        <w:t xml:space="preserve"> Asset Management (RBAM)’ (</w:t>
      </w:r>
      <w:r w:rsidRPr="00986E9B">
        <w:rPr>
          <w:rFonts w:ascii="Times New Roman" w:hAnsi="Times New Roman" w:cs="Times New Roman"/>
          <w:i/>
          <w:iCs/>
          <w:color w:val="000000" w:themeColor="text1"/>
          <w:lang w:val="nl-NL"/>
        </w:rPr>
        <w:t>Kwaliteits- en capaciteitsdocument Gas 2018-2027. Deel A</w:t>
      </w:r>
      <w:r w:rsidRPr="00986E9B">
        <w:rPr>
          <w:rFonts w:ascii="Times New Roman" w:hAnsi="Times New Roman" w:cs="Times New Roman"/>
          <w:color w:val="000000" w:themeColor="text1"/>
          <w:lang w:val="nl-NL"/>
        </w:rPr>
        <w:t xml:space="preserve">, </w:t>
      </w:r>
      <w:proofErr w:type="spellStart"/>
      <w:r w:rsidRPr="00986E9B">
        <w:rPr>
          <w:rFonts w:ascii="Times New Roman" w:hAnsi="Times New Roman" w:cs="Times New Roman"/>
          <w:color w:val="000000" w:themeColor="text1"/>
          <w:lang w:val="nl-NL"/>
        </w:rPr>
        <w:t>Enexis</w:t>
      </w:r>
      <w:proofErr w:type="spellEnd"/>
      <w:r w:rsidRPr="00986E9B">
        <w:rPr>
          <w:rFonts w:ascii="Times New Roman" w:hAnsi="Times New Roman" w:cs="Times New Roman"/>
          <w:color w:val="000000" w:themeColor="text1"/>
          <w:lang w:val="nl-NL"/>
        </w:rPr>
        <w:t xml:space="preserve"> Netbeheer, ’s-Hertogenbosch).</w:t>
      </w:r>
    </w:p>
  </w:footnote>
  <w:footnote w:id="6">
    <w:p w14:paraId="416D838E" w14:textId="5F5CC779" w:rsidR="009245CD" w:rsidRPr="006D0A06" w:rsidRDefault="009245CD" w:rsidP="009245CD">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006A72E1" w:rsidRPr="00986E9B">
        <w:rPr>
          <w:rFonts w:ascii="Times New Roman" w:hAnsi="Times New Roman" w:cs="Times New Roman"/>
          <w:color w:val="000000" w:themeColor="text1"/>
          <w:lang w:val="nl-NL"/>
        </w:rPr>
        <w:t>B</w:t>
      </w:r>
      <w:r w:rsidRPr="00986E9B">
        <w:rPr>
          <w:rFonts w:ascii="Times New Roman" w:hAnsi="Times New Roman" w:cs="Times New Roman"/>
          <w:color w:val="000000" w:themeColor="text1"/>
          <w:lang w:val="nl-NL"/>
        </w:rPr>
        <w:t>asisregistratieondergrond.nl</w:t>
      </w:r>
      <w:r w:rsidRPr="006D0A06">
        <w:rPr>
          <w:rFonts w:ascii="Times New Roman" w:hAnsi="Times New Roman" w:cs="Times New Roman"/>
          <w:color w:val="000000" w:themeColor="text1"/>
          <w:lang w:val="nl-NL"/>
        </w:rPr>
        <w:t>.</w:t>
      </w:r>
    </w:p>
  </w:footnote>
  <w:footnote w:id="7">
    <w:p w14:paraId="13293206" w14:textId="5A05F97A" w:rsidR="00661724" w:rsidRPr="006D0A06" w:rsidRDefault="00661724" w:rsidP="00661724">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proofErr w:type="spellStart"/>
      <w:r w:rsidRPr="006D0A06">
        <w:rPr>
          <w:rFonts w:ascii="Times New Roman" w:hAnsi="Times New Roman" w:cs="Times New Roman"/>
          <w:i/>
          <w:iCs/>
          <w:color w:val="000000" w:themeColor="text1"/>
          <w:lang w:val="nl-NL"/>
        </w:rPr>
        <w:t>Meerjarenvisie</w:t>
      </w:r>
      <w:proofErr w:type="spellEnd"/>
      <w:r w:rsidRPr="006D0A06">
        <w:rPr>
          <w:rFonts w:ascii="Times New Roman" w:hAnsi="Times New Roman" w:cs="Times New Roman"/>
          <w:i/>
          <w:iCs/>
          <w:color w:val="000000" w:themeColor="text1"/>
          <w:lang w:val="nl-NL"/>
        </w:rPr>
        <w:t xml:space="preserve"> Beraad voor </w:t>
      </w:r>
      <w:proofErr w:type="spellStart"/>
      <w:r w:rsidRPr="006D0A06">
        <w:rPr>
          <w:rFonts w:ascii="Times New Roman" w:hAnsi="Times New Roman" w:cs="Times New Roman"/>
          <w:i/>
          <w:iCs/>
          <w:color w:val="000000" w:themeColor="text1"/>
          <w:lang w:val="nl-NL"/>
        </w:rPr>
        <w:t>Geo</w:t>
      </w:r>
      <w:proofErr w:type="spellEnd"/>
      <w:r w:rsidRPr="006D0A06">
        <w:rPr>
          <w:rFonts w:ascii="Times New Roman" w:hAnsi="Times New Roman" w:cs="Times New Roman"/>
          <w:i/>
          <w:iCs/>
          <w:color w:val="000000" w:themeColor="text1"/>
          <w:lang w:val="nl-NL"/>
        </w:rPr>
        <w:t>-informatie (2024).</w:t>
      </w:r>
      <w:r w:rsidRPr="006D0A06">
        <w:rPr>
          <w:rFonts w:ascii="Times New Roman" w:hAnsi="Times New Roman" w:cs="Times New Roman"/>
          <w:i/>
          <w:color w:val="000000" w:themeColor="text1"/>
          <w:lang w:val="nl-NL"/>
        </w:rPr>
        <w:t xml:space="preserve"> Zicht op Nederland.</w:t>
      </w:r>
      <w:r w:rsidRPr="006D0A06">
        <w:rPr>
          <w:rFonts w:ascii="Times New Roman" w:hAnsi="Times New Roman" w:cs="Times New Roman"/>
          <w:i/>
          <w:iCs/>
          <w:color w:val="000000" w:themeColor="text1"/>
          <w:lang w:val="nl-NL"/>
        </w:rPr>
        <w:t xml:space="preserve"> Samen </w:t>
      </w:r>
      <w:proofErr w:type="spellStart"/>
      <w:r w:rsidRPr="006D0A06">
        <w:rPr>
          <w:rFonts w:ascii="Times New Roman" w:hAnsi="Times New Roman" w:cs="Times New Roman"/>
          <w:i/>
          <w:iCs/>
          <w:color w:val="000000" w:themeColor="text1"/>
          <w:lang w:val="nl-NL"/>
        </w:rPr>
        <w:t>datagedreven</w:t>
      </w:r>
      <w:proofErr w:type="spellEnd"/>
      <w:r w:rsidRPr="006D0A06">
        <w:rPr>
          <w:rFonts w:ascii="Times New Roman" w:hAnsi="Times New Roman" w:cs="Times New Roman"/>
          <w:i/>
          <w:iCs/>
          <w:color w:val="000000" w:themeColor="text1"/>
          <w:lang w:val="nl-NL"/>
        </w:rPr>
        <w:t xml:space="preserve"> werken aan de </w:t>
      </w:r>
      <w:r w:rsidRPr="00986E9B">
        <w:rPr>
          <w:rFonts w:ascii="Times New Roman" w:hAnsi="Times New Roman" w:cs="Times New Roman"/>
          <w:color w:val="000000" w:themeColor="text1"/>
          <w:lang w:val="nl-NL"/>
        </w:rPr>
        <w:t>fysieke</w:t>
      </w:r>
      <w:r w:rsidRPr="006D0A06">
        <w:rPr>
          <w:rFonts w:ascii="Times New Roman" w:hAnsi="Times New Roman" w:cs="Times New Roman"/>
          <w:i/>
          <w:iCs/>
          <w:color w:val="000000" w:themeColor="text1"/>
          <w:lang w:val="nl-NL"/>
        </w:rPr>
        <w:t xml:space="preserve"> leefomgeving</w:t>
      </w:r>
      <w:r w:rsidRPr="006D0A06">
        <w:rPr>
          <w:rFonts w:ascii="Times New Roman" w:hAnsi="Times New Roman" w:cs="Times New Roman"/>
          <w:color w:val="000000" w:themeColor="text1"/>
          <w:lang w:val="nl-NL"/>
        </w:rPr>
        <w:t>, Ministerie van Binnenlandse Zaken en Koninkrijksrelaties november 2023 (</w:t>
      </w:r>
      <w:r w:rsidRPr="006D0A06">
        <w:rPr>
          <w:rFonts w:ascii="Times New Roman" w:hAnsi="Times New Roman" w:cs="Times New Roman"/>
          <w:i/>
          <w:iCs/>
          <w:color w:val="000000" w:themeColor="text1"/>
          <w:lang w:val="nl-NL"/>
        </w:rPr>
        <w:t>Kamerstukken II</w:t>
      </w:r>
      <w:r w:rsidRPr="006D0A06">
        <w:rPr>
          <w:rFonts w:ascii="Times New Roman" w:hAnsi="Times New Roman" w:cs="Times New Roman"/>
          <w:color w:val="000000" w:themeColor="text1"/>
          <w:lang w:val="nl-NL"/>
        </w:rPr>
        <w:t xml:space="preserve"> 2023/24, 29435, 266).</w:t>
      </w:r>
    </w:p>
  </w:footnote>
  <w:footnote w:id="8">
    <w:p w14:paraId="208C2067" w14:textId="51F6CCE7" w:rsidR="003816CA" w:rsidRPr="00986E9B" w:rsidRDefault="003816CA">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Water en Bodem Sturend. Uitgewerkte borgingskalender,</w:t>
      </w:r>
      <w:r w:rsidRPr="00986E9B">
        <w:rPr>
          <w:rFonts w:ascii="Times New Roman" w:hAnsi="Times New Roman" w:cs="Times New Roman"/>
          <w:color w:val="000000" w:themeColor="text1"/>
          <w:lang w:val="nl-NL"/>
        </w:rPr>
        <w:t xml:space="preserve"> M</w:t>
      </w:r>
      <w:r w:rsidR="00C426B4" w:rsidRPr="00986E9B">
        <w:rPr>
          <w:rFonts w:ascii="Times New Roman" w:hAnsi="Times New Roman" w:cs="Times New Roman"/>
          <w:color w:val="000000" w:themeColor="text1"/>
          <w:lang w:val="nl-NL"/>
        </w:rPr>
        <w:t>inisterie van Infrastructuur en Waterstaat, m</w:t>
      </w:r>
      <w:r w:rsidRPr="00986E9B">
        <w:rPr>
          <w:rFonts w:ascii="Times New Roman" w:hAnsi="Times New Roman" w:cs="Times New Roman"/>
          <w:color w:val="000000" w:themeColor="text1"/>
          <w:lang w:val="nl-NL"/>
        </w:rPr>
        <w:t>ei 2024</w:t>
      </w:r>
      <w:r w:rsidR="00C426B4" w:rsidRPr="00986E9B">
        <w:rPr>
          <w:rFonts w:ascii="Times New Roman" w:hAnsi="Times New Roman" w:cs="Times New Roman"/>
          <w:color w:val="000000" w:themeColor="text1"/>
          <w:lang w:val="nl-NL"/>
        </w:rPr>
        <w:t>,</w:t>
      </w:r>
      <w:r w:rsidRPr="00986E9B">
        <w:rPr>
          <w:rFonts w:ascii="Times New Roman" w:hAnsi="Times New Roman" w:cs="Times New Roman"/>
          <w:color w:val="000000" w:themeColor="text1"/>
          <w:lang w:val="nl-NL"/>
        </w:rPr>
        <w:t xml:space="preserve"> Structurerende keuze 19 (</w:t>
      </w:r>
      <w:r w:rsidRPr="00986E9B">
        <w:rPr>
          <w:rFonts w:ascii="Times New Roman" w:hAnsi="Times New Roman" w:cs="Times New Roman"/>
          <w:i/>
          <w:color w:val="000000" w:themeColor="text1"/>
          <w:lang w:val="nl-NL"/>
        </w:rPr>
        <w:t>Kamerstukken</w:t>
      </w:r>
      <w:r w:rsidRPr="00986E9B">
        <w:rPr>
          <w:rFonts w:ascii="Times New Roman" w:hAnsi="Times New Roman" w:cs="Times New Roman"/>
          <w:i/>
          <w:iCs/>
          <w:color w:val="000000" w:themeColor="text1"/>
          <w:lang w:val="nl-NL"/>
        </w:rPr>
        <w:t xml:space="preserve"> II </w:t>
      </w:r>
      <w:r w:rsidRPr="00986E9B">
        <w:rPr>
          <w:rFonts w:ascii="Times New Roman" w:hAnsi="Times New Roman" w:cs="Times New Roman"/>
          <w:iCs/>
          <w:color w:val="000000" w:themeColor="text1"/>
          <w:lang w:val="nl-NL"/>
        </w:rPr>
        <w:t>2023/24</w:t>
      </w:r>
      <w:r w:rsidRPr="00986E9B">
        <w:rPr>
          <w:rFonts w:ascii="Times New Roman" w:hAnsi="Times New Roman" w:cs="Times New Roman"/>
          <w:color w:val="000000" w:themeColor="text1"/>
          <w:lang w:val="nl-NL"/>
        </w:rPr>
        <w:t>, 27625, 670).</w:t>
      </w:r>
    </w:p>
  </w:footnote>
  <w:footnote w:id="9">
    <w:p w14:paraId="4FCC00DD" w14:textId="23E48D79" w:rsidR="006B6097" w:rsidRPr="00986E9B" w:rsidRDefault="006B6097">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https://www.rvo.nl/onderwerpen/circulair-bouwen.</w:t>
      </w:r>
    </w:p>
  </w:footnote>
  <w:footnote w:id="10">
    <w:p w14:paraId="2EC9B871" w14:textId="162FC92B" w:rsidR="00665C73" w:rsidRPr="00986E9B" w:rsidRDefault="00665C73" w:rsidP="00665C73">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Pr="00986E9B">
        <w:rPr>
          <w:rFonts w:ascii="Times New Roman" w:hAnsi="Times New Roman" w:cs="Times New Roman"/>
          <w:bCs/>
          <w:i/>
          <w:iCs/>
          <w:color w:val="000000" w:themeColor="text1"/>
          <w:lang w:val="nl-NL"/>
        </w:rPr>
        <w:t>Vervolgonderzoek ‘Milieuhygiënische bodemkwaliteitsgegevens in de Basisregistratie Ondergrond’. Eindrapport,</w:t>
      </w:r>
      <w:r w:rsidRPr="00986E9B">
        <w:rPr>
          <w:rFonts w:ascii="Times New Roman" w:hAnsi="Times New Roman" w:cs="Times New Roman"/>
          <w:bCs/>
          <w:color w:val="000000" w:themeColor="text1"/>
          <w:lang w:val="nl-NL"/>
        </w:rPr>
        <w:t xml:space="preserve"> SIKB, 2021: zie Basisregistratieondergrond.nl; </w:t>
      </w:r>
      <w:r w:rsidRPr="00986E9B">
        <w:rPr>
          <w:rFonts w:ascii="Times New Roman" w:hAnsi="Times New Roman" w:cs="Times New Roman"/>
          <w:i/>
          <w:iCs/>
          <w:color w:val="000000" w:themeColor="text1"/>
          <w:lang w:val="nl-NL"/>
        </w:rPr>
        <w:t>Verdieping Business Case BIDON</w:t>
      </w:r>
      <w:r w:rsidRPr="00986E9B">
        <w:rPr>
          <w:rFonts w:ascii="Times New Roman" w:hAnsi="Times New Roman" w:cs="Times New Roman"/>
          <w:color w:val="000000" w:themeColor="text1"/>
          <w:lang w:val="nl-NL"/>
        </w:rPr>
        <w:t>, PBLQ, 2016</w:t>
      </w:r>
      <w:r w:rsidRPr="00986E9B">
        <w:rPr>
          <w:rFonts w:ascii="Times New Roman" w:hAnsi="Times New Roman" w:cs="Times New Roman"/>
          <w:bCs/>
          <w:color w:val="000000" w:themeColor="text1"/>
          <w:lang w:val="nl-NL"/>
        </w:rPr>
        <w:t>.</w:t>
      </w:r>
    </w:p>
  </w:footnote>
  <w:footnote w:id="11">
    <w:p w14:paraId="6016B8D2" w14:textId="34A93978" w:rsidR="005D18B9" w:rsidRPr="006D0A06" w:rsidRDefault="005D18B9">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Bodem Informatie Delen tussen Overheid en Netbeheerders (BIDON).</w:t>
      </w:r>
    </w:p>
  </w:footnote>
  <w:footnote w:id="12">
    <w:p w14:paraId="6909C220" w14:textId="1F73E964" w:rsidR="003B7C0D" w:rsidRPr="006D0A06" w:rsidRDefault="003B7C0D">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6D0A06">
        <w:rPr>
          <w:rFonts w:ascii="Times New Roman" w:hAnsi="Times New Roman" w:cs="Times New Roman"/>
          <w:i/>
          <w:color w:val="000000" w:themeColor="text1"/>
          <w:lang w:val="nl-NL"/>
        </w:rPr>
        <w:t>Kamerstukken</w:t>
      </w:r>
      <w:r w:rsidRPr="006D0A06">
        <w:rPr>
          <w:rFonts w:ascii="Times New Roman" w:hAnsi="Times New Roman" w:cs="Times New Roman"/>
          <w:i/>
          <w:iCs/>
          <w:color w:val="000000" w:themeColor="text1"/>
          <w:lang w:val="nl-NL"/>
        </w:rPr>
        <w:t xml:space="preserve"> II </w:t>
      </w:r>
      <w:r w:rsidRPr="006D0A06">
        <w:rPr>
          <w:rFonts w:ascii="Times New Roman" w:hAnsi="Times New Roman" w:cs="Times New Roman"/>
          <w:iCs/>
          <w:color w:val="000000" w:themeColor="text1"/>
          <w:lang w:val="nl-NL"/>
        </w:rPr>
        <w:t>2018/19</w:t>
      </w:r>
      <w:r w:rsidRPr="006D0A06">
        <w:rPr>
          <w:rFonts w:ascii="Times New Roman" w:hAnsi="Times New Roman" w:cs="Times New Roman"/>
          <w:color w:val="000000" w:themeColor="text1"/>
          <w:lang w:val="nl-NL"/>
        </w:rPr>
        <w:t>, 34864, 19.</w:t>
      </w:r>
    </w:p>
  </w:footnote>
  <w:footnote w:id="13">
    <w:p w14:paraId="125D9BF7" w14:textId="4C0C7173" w:rsidR="007720AA" w:rsidRPr="006D0A06" w:rsidRDefault="007720AA">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6D0A06">
        <w:rPr>
          <w:rFonts w:ascii="Times New Roman" w:hAnsi="Times New Roman" w:cs="Times New Roman"/>
          <w:i/>
          <w:iCs/>
          <w:color w:val="000000" w:themeColor="text1"/>
          <w:lang w:val="nl-NL"/>
        </w:rPr>
        <w:t>Kamerstukken</w:t>
      </w:r>
      <w:r w:rsidRPr="006D0A06">
        <w:rPr>
          <w:rFonts w:ascii="Times New Roman" w:hAnsi="Times New Roman" w:cs="Times New Roman"/>
          <w:color w:val="000000" w:themeColor="text1"/>
          <w:lang w:val="nl-NL"/>
        </w:rPr>
        <w:t xml:space="preserve"> </w:t>
      </w:r>
      <w:r w:rsidRPr="006D0A06">
        <w:rPr>
          <w:rFonts w:ascii="Times New Roman" w:hAnsi="Times New Roman" w:cs="Times New Roman"/>
          <w:i/>
          <w:iCs/>
          <w:color w:val="000000" w:themeColor="text1"/>
          <w:lang w:val="nl-NL"/>
        </w:rPr>
        <w:t xml:space="preserve">II </w:t>
      </w:r>
      <w:r w:rsidRPr="006D0A06">
        <w:rPr>
          <w:rFonts w:ascii="Times New Roman" w:hAnsi="Times New Roman" w:cs="Times New Roman"/>
          <w:color w:val="000000" w:themeColor="text1"/>
          <w:lang w:val="nl-NL"/>
        </w:rPr>
        <w:t>2023/24, 33136, 26.</w:t>
      </w:r>
    </w:p>
  </w:footnote>
  <w:footnote w:id="14">
    <w:p w14:paraId="3FD91465" w14:textId="478D2862" w:rsidR="00F41ADA" w:rsidRPr="006D0A06" w:rsidRDefault="00F41ADA">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6D0A06">
        <w:rPr>
          <w:rFonts w:ascii="Times New Roman" w:hAnsi="Times New Roman" w:cs="Times New Roman"/>
          <w:i/>
          <w:iCs/>
          <w:color w:val="000000" w:themeColor="text1"/>
          <w:lang w:val="nl-NL"/>
        </w:rPr>
        <w:t>Urgentienota Milieuhygiëne</w:t>
      </w:r>
      <w:r w:rsidRPr="006D0A06">
        <w:rPr>
          <w:rFonts w:ascii="Times New Roman" w:hAnsi="Times New Roman" w:cs="Times New Roman"/>
          <w:color w:val="000000" w:themeColor="text1"/>
          <w:lang w:val="nl-NL"/>
        </w:rPr>
        <w:t>, ministerie van Volksgezondheid en Milieuhygiëne 1972.</w:t>
      </w:r>
    </w:p>
  </w:footnote>
  <w:footnote w:id="15">
    <w:p w14:paraId="7E21CA43" w14:textId="5673C977" w:rsidR="00832D79" w:rsidRPr="006D0A06" w:rsidRDefault="00B53FBA">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00E03537" w:rsidRPr="006D0A06">
        <w:rPr>
          <w:rFonts w:ascii="Times New Roman" w:hAnsi="Times New Roman" w:cs="Times New Roman"/>
          <w:color w:val="000000" w:themeColor="text1"/>
          <w:lang w:val="nl-NL"/>
        </w:rPr>
        <w:t>https://www.crow.nl/publicaties/werken-in-en-met-verontreinigde-bodem</w:t>
      </w:r>
      <w:r w:rsidRPr="006D0A06">
        <w:rPr>
          <w:rFonts w:ascii="Times New Roman" w:hAnsi="Times New Roman" w:cs="Times New Roman"/>
          <w:color w:val="000000" w:themeColor="text1"/>
          <w:lang w:val="nl-NL"/>
        </w:rPr>
        <w:t>.</w:t>
      </w:r>
    </w:p>
  </w:footnote>
  <w:footnote w:id="16">
    <w:p w14:paraId="091F663F" w14:textId="77777777" w:rsidR="00587D94" w:rsidRPr="006D0A06" w:rsidRDefault="00587D94" w:rsidP="00587D94">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https://docs.geostandaarden.nl/bro/sad/.</w:t>
      </w:r>
    </w:p>
  </w:footnote>
  <w:footnote w:id="17">
    <w:p w14:paraId="7E04EEB0" w14:textId="60F5264B" w:rsidR="00B857A1" w:rsidRPr="00986E9B" w:rsidRDefault="00B857A1">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007C0BC7" w:rsidRPr="006D0A06">
        <w:rPr>
          <w:rFonts w:ascii="Times New Roman" w:hAnsi="Times New Roman" w:cs="Times New Roman"/>
          <w:color w:val="000000" w:themeColor="text1"/>
          <w:lang w:val="nl-NL"/>
        </w:rPr>
        <w:t>Het Forum Standaardisatie helpt veilig en makkelijk digitale gegevens met elkaar uit te wisselen door open standaarden te toetsen en voor te schrijven aan publieke organisaties. Die standaarden verbeteren de samenwerking tussen bedrijven, burgers en de overheid (</w:t>
      </w:r>
      <w:r w:rsidRPr="006D0A06">
        <w:rPr>
          <w:rFonts w:ascii="Times New Roman" w:hAnsi="Times New Roman" w:cs="Times New Roman"/>
          <w:color w:val="000000" w:themeColor="text1"/>
          <w:lang w:val="nl-NL"/>
        </w:rPr>
        <w:t>Forumstandaardisatie.nl</w:t>
      </w:r>
      <w:r w:rsidR="007C0BC7" w:rsidRPr="006D0A06">
        <w:rPr>
          <w:rFonts w:ascii="Times New Roman" w:hAnsi="Times New Roman" w:cs="Times New Roman"/>
          <w:color w:val="000000" w:themeColor="text1"/>
          <w:lang w:val="nl-NL"/>
        </w:rPr>
        <w:t>)</w:t>
      </w:r>
      <w:r w:rsidRPr="006D0A06">
        <w:rPr>
          <w:rFonts w:ascii="Times New Roman" w:hAnsi="Times New Roman" w:cs="Times New Roman"/>
          <w:color w:val="000000" w:themeColor="text1"/>
          <w:lang w:val="nl-NL"/>
        </w:rPr>
        <w:t>.</w:t>
      </w:r>
    </w:p>
  </w:footnote>
  <w:footnote w:id="18">
    <w:p w14:paraId="70DA88C5" w14:textId="252D683A" w:rsidR="006E2FF0" w:rsidRPr="00986E9B" w:rsidRDefault="006E2FF0">
      <w:pPr>
        <w:pStyle w:val="Voetnoottekst"/>
        <w:rPr>
          <w:rFonts w:ascii="Times New Roman" w:hAnsi="Times New Roman" w:cs="Times New Roman"/>
          <w:color w:val="000000" w:themeColor="text1"/>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rPr>
        <w:t xml:space="preserve"> </w:t>
      </w:r>
      <w:r w:rsidRPr="006D0A06">
        <w:rPr>
          <w:rFonts w:ascii="Times New Roman" w:hAnsi="Times New Roman" w:cs="Times New Roman"/>
          <w:color w:val="000000" w:themeColor="text1"/>
          <w14:ligatures w14:val="standardContextual"/>
        </w:rPr>
        <w:t xml:space="preserve">ISO 19156 (Observations &amp; Measurements), ISO 28258 (Soil Data Exchange) en ISO 19107 (Geography Markup Language </w:t>
      </w:r>
      <w:proofErr w:type="spellStart"/>
      <w:r w:rsidRPr="006D0A06">
        <w:rPr>
          <w:rFonts w:ascii="Times New Roman" w:hAnsi="Times New Roman" w:cs="Times New Roman"/>
          <w:color w:val="000000" w:themeColor="text1"/>
          <w14:ligatures w14:val="standardContextual"/>
        </w:rPr>
        <w:t>ofwel</w:t>
      </w:r>
      <w:proofErr w:type="spellEnd"/>
      <w:r w:rsidRPr="006D0A06">
        <w:rPr>
          <w:rFonts w:ascii="Times New Roman" w:hAnsi="Times New Roman" w:cs="Times New Roman"/>
          <w:color w:val="000000" w:themeColor="text1"/>
          <w14:ligatures w14:val="standardContextual"/>
        </w:rPr>
        <w:t xml:space="preserve"> GML).</w:t>
      </w:r>
    </w:p>
  </w:footnote>
  <w:footnote w:id="19">
    <w:p w14:paraId="7093A19D" w14:textId="6BDB1C4B" w:rsidR="0099485A" w:rsidRPr="006D0A06" w:rsidRDefault="0099485A">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color w:val="000000" w:themeColor="text1"/>
          <w:lang w:val="nl-NL"/>
        </w:rPr>
        <w:t>Richtlijn 2007/2/EG van het Europees Parlement en de Raad van 14 maart 2007 tot oprichting van een infrastructuur voor ruimtelijke informatie in de Gemeenschap (</w:t>
      </w:r>
      <w:proofErr w:type="spellStart"/>
      <w:r w:rsidRPr="00986E9B">
        <w:rPr>
          <w:rFonts w:ascii="Times New Roman" w:hAnsi="Times New Roman" w:cs="Times New Roman"/>
          <w:color w:val="000000" w:themeColor="text1"/>
          <w:lang w:val="nl-NL"/>
        </w:rPr>
        <w:t>Inspire</w:t>
      </w:r>
      <w:proofErr w:type="spellEnd"/>
      <w:r w:rsidRPr="00986E9B">
        <w:rPr>
          <w:rFonts w:ascii="Times New Roman" w:hAnsi="Times New Roman" w:cs="Times New Roman"/>
          <w:color w:val="000000" w:themeColor="text1"/>
          <w:lang w:val="nl-NL"/>
        </w:rPr>
        <w:t>) (</w:t>
      </w:r>
      <w:r w:rsidR="00C739C4" w:rsidRPr="00986E9B">
        <w:rPr>
          <w:rFonts w:ascii="Times New Roman" w:hAnsi="Times New Roman" w:cs="Times New Roman"/>
          <w:color w:val="000000" w:themeColor="text1"/>
          <w:lang w:val="nl-NL"/>
        </w:rPr>
        <w:t xml:space="preserve">gewijzigd bij </w:t>
      </w:r>
      <w:proofErr w:type="spellStart"/>
      <w:r w:rsidRPr="00986E9B">
        <w:rPr>
          <w:rFonts w:ascii="Times New Roman" w:hAnsi="Times New Roman" w:cs="Times New Roman"/>
          <w:i/>
          <w:color w:val="000000" w:themeColor="text1"/>
          <w:lang w:val="nl-NL"/>
        </w:rPr>
        <w:t>PbEU</w:t>
      </w:r>
      <w:proofErr w:type="spellEnd"/>
      <w:r w:rsidRPr="00986E9B">
        <w:rPr>
          <w:rFonts w:ascii="Times New Roman" w:hAnsi="Times New Roman" w:cs="Times New Roman"/>
          <w:color w:val="000000" w:themeColor="text1"/>
          <w:lang w:val="nl-NL"/>
        </w:rPr>
        <w:t xml:space="preserve"> 20</w:t>
      </w:r>
      <w:r w:rsidR="00C739C4" w:rsidRPr="00986E9B">
        <w:rPr>
          <w:rFonts w:ascii="Times New Roman" w:hAnsi="Times New Roman" w:cs="Times New Roman"/>
          <w:color w:val="000000" w:themeColor="text1"/>
          <w:lang w:val="nl-NL"/>
        </w:rPr>
        <w:t>19</w:t>
      </w:r>
      <w:r w:rsidRPr="00986E9B">
        <w:rPr>
          <w:rFonts w:ascii="Times New Roman" w:hAnsi="Times New Roman" w:cs="Times New Roman"/>
          <w:color w:val="000000" w:themeColor="text1"/>
          <w:lang w:val="nl-NL"/>
        </w:rPr>
        <w:t>, L 17</w:t>
      </w:r>
      <w:r w:rsidR="00C739C4" w:rsidRPr="00986E9B">
        <w:rPr>
          <w:rFonts w:ascii="Times New Roman" w:hAnsi="Times New Roman" w:cs="Times New Roman"/>
          <w:color w:val="000000" w:themeColor="text1"/>
          <w:lang w:val="nl-NL"/>
        </w:rPr>
        <w:t>0</w:t>
      </w:r>
      <w:r w:rsidRPr="00986E9B">
        <w:rPr>
          <w:rFonts w:ascii="Times New Roman" w:hAnsi="Times New Roman" w:cs="Times New Roman"/>
          <w:color w:val="000000" w:themeColor="text1"/>
          <w:lang w:val="nl-NL"/>
        </w:rPr>
        <w:t>/</w:t>
      </w:r>
      <w:r w:rsidR="00C739C4" w:rsidRPr="00986E9B">
        <w:rPr>
          <w:rFonts w:ascii="Times New Roman" w:hAnsi="Times New Roman" w:cs="Times New Roman"/>
          <w:color w:val="000000" w:themeColor="text1"/>
          <w:lang w:val="nl-NL"/>
        </w:rPr>
        <w:t>115</w:t>
      </w:r>
      <w:r w:rsidRPr="00986E9B">
        <w:rPr>
          <w:rFonts w:ascii="Times New Roman" w:hAnsi="Times New Roman" w:cs="Times New Roman"/>
          <w:color w:val="000000" w:themeColor="text1"/>
          <w:lang w:val="nl-NL"/>
        </w:rPr>
        <w:t>).</w:t>
      </w:r>
      <w:hyperlink r:id="rId1" w:history="1"/>
    </w:p>
  </w:footnote>
  <w:footnote w:id="20">
    <w:p w14:paraId="2306606E" w14:textId="3EBB2040" w:rsidR="004606ED" w:rsidRPr="006D0A06" w:rsidRDefault="004606ED" w:rsidP="004606ED">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 xml:space="preserve">Kamerstukken II </w:t>
      </w:r>
      <w:r w:rsidRPr="00986E9B">
        <w:rPr>
          <w:rFonts w:ascii="Times New Roman" w:hAnsi="Times New Roman" w:cs="Times New Roman"/>
          <w:color w:val="000000" w:themeColor="text1"/>
          <w:lang w:val="nl-NL"/>
        </w:rPr>
        <w:t>2014/15, 33839, 6</w:t>
      </w:r>
      <w:r w:rsidRPr="006D0A06">
        <w:rPr>
          <w:rFonts w:ascii="Times New Roman" w:hAnsi="Times New Roman" w:cs="Times New Roman"/>
          <w:i/>
          <w:iCs/>
          <w:color w:val="000000" w:themeColor="text1"/>
          <w:lang w:val="nl-NL"/>
        </w:rPr>
        <w:t>,</w:t>
      </w:r>
      <w:r w:rsidRPr="006D0A06">
        <w:rPr>
          <w:rFonts w:ascii="Times New Roman" w:hAnsi="Times New Roman" w:cs="Times New Roman"/>
          <w:color w:val="000000" w:themeColor="text1"/>
          <w:lang w:val="nl-NL"/>
        </w:rPr>
        <w:t xml:space="preserve"> p. 11.</w:t>
      </w:r>
    </w:p>
  </w:footnote>
  <w:footnote w:id="21">
    <w:p w14:paraId="67A1498A" w14:textId="7B5515B7" w:rsidR="00EC4399" w:rsidRPr="006D0A06" w:rsidRDefault="00EC4399">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Vast te stellen bij wijziging van de algemene maatregel van bestuur (Besluit </w:t>
      </w:r>
      <w:proofErr w:type="spellStart"/>
      <w:r w:rsidRPr="006D0A06">
        <w:rPr>
          <w:rFonts w:ascii="Times New Roman" w:hAnsi="Times New Roman" w:cs="Times New Roman"/>
          <w:color w:val="000000" w:themeColor="text1"/>
          <w:lang w:val="nl-NL"/>
        </w:rPr>
        <w:t>Bro</w:t>
      </w:r>
      <w:proofErr w:type="spellEnd"/>
      <w:r w:rsidRPr="006D0A06">
        <w:rPr>
          <w:rFonts w:ascii="Times New Roman" w:hAnsi="Times New Roman" w:cs="Times New Roman"/>
          <w:color w:val="000000" w:themeColor="text1"/>
          <w:lang w:val="nl-NL"/>
        </w:rPr>
        <w:t xml:space="preserve">) waarnaar het nieuwe tweede lid van artikel 9 van de Wet </w:t>
      </w:r>
      <w:proofErr w:type="spellStart"/>
      <w:r w:rsidRPr="006D0A06">
        <w:rPr>
          <w:rFonts w:ascii="Times New Roman" w:hAnsi="Times New Roman" w:cs="Times New Roman"/>
          <w:color w:val="000000" w:themeColor="text1"/>
          <w:lang w:val="nl-NL"/>
        </w:rPr>
        <w:t>Bro</w:t>
      </w:r>
      <w:proofErr w:type="spellEnd"/>
      <w:r w:rsidRPr="006D0A06">
        <w:rPr>
          <w:rFonts w:ascii="Times New Roman" w:hAnsi="Times New Roman" w:cs="Times New Roman"/>
          <w:color w:val="000000" w:themeColor="text1"/>
          <w:lang w:val="nl-NL"/>
        </w:rPr>
        <w:t xml:space="preserve"> verwijst.</w:t>
      </w:r>
    </w:p>
  </w:footnote>
  <w:footnote w:id="22">
    <w:p w14:paraId="25815F25" w14:textId="0B136DBF" w:rsidR="00CD0434" w:rsidRPr="006D0A06" w:rsidRDefault="00CD0434" w:rsidP="00CD0434">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003A1742" w:rsidRPr="00986E9B">
        <w:rPr>
          <w:rFonts w:ascii="Times New Roman" w:hAnsi="Times New Roman" w:cs="Times New Roman"/>
          <w:color w:val="000000" w:themeColor="text1"/>
          <w:lang w:val="nl-NL"/>
        </w:rPr>
        <w:t xml:space="preserve">Brief van de </w:t>
      </w:r>
      <w:proofErr w:type="spellStart"/>
      <w:r w:rsidR="003A1742" w:rsidRPr="00986E9B">
        <w:rPr>
          <w:rFonts w:ascii="Times New Roman" w:hAnsi="Times New Roman" w:cs="Times New Roman"/>
          <w:color w:val="000000" w:themeColor="text1"/>
          <w:lang w:val="nl-NL"/>
        </w:rPr>
        <w:t>Vewin</w:t>
      </w:r>
      <w:proofErr w:type="spellEnd"/>
      <w:r w:rsidR="003A1742" w:rsidRPr="00986E9B">
        <w:rPr>
          <w:rFonts w:ascii="Times New Roman" w:hAnsi="Times New Roman" w:cs="Times New Roman"/>
          <w:color w:val="000000" w:themeColor="text1"/>
          <w:lang w:val="nl-NL"/>
        </w:rPr>
        <w:t>, 6 december 2024 (zie: https://basisregistratieondergrond.nl/actueel/nieuws/nieuws/2023/april/consultatie-wijziging-wet-bro-drinkwaterbedrijven/ )</w:t>
      </w:r>
      <w:r w:rsidR="00F6167E">
        <w:rPr>
          <w:rFonts w:ascii="Times New Roman" w:hAnsi="Times New Roman" w:cs="Times New Roman"/>
          <w:color w:val="000000" w:themeColor="text1"/>
          <w:lang w:val="nl-NL"/>
        </w:rPr>
        <w:t>, p. 1 en 8;</w:t>
      </w:r>
      <w:r w:rsidR="003A1742" w:rsidRPr="006D0A06">
        <w:rPr>
          <w:rFonts w:ascii="Times New Roman" w:hAnsi="Times New Roman" w:cs="Times New Roman"/>
          <w:color w:val="000000" w:themeColor="text1"/>
          <w:lang w:val="nl-NL"/>
        </w:rPr>
        <w:t xml:space="preserve"> en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2023/24, 36544, 3</w:t>
      </w:r>
      <w:r w:rsidRPr="006D0A06">
        <w:rPr>
          <w:rFonts w:ascii="Times New Roman" w:hAnsi="Times New Roman" w:cs="Times New Roman"/>
          <w:color w:val="000000" w:themeColor="text1"/>
          <w:lang w:val="nl-NL"/>
        </w:rPr>
        <w:t>, paragraaf 1.1.2.</w:t>
      </w:r>
    </w:p>
  </w:footnote>
  <w:footnote w:id="23">
    <w:p w14:paraId="0D727D40" w14:textId="3CAAEC1C" w:rsidR="00163A6B" w:rsidRPr="00986E9B" w:rsidRDefault="00163A6B" w:rsidP="00163A6B">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color w:val="000000" w:themeColor="text1"/>
          <w:lang w:val="nl-NL"/>
        </w:rPr>
        <w:t xml:space="preserve">Richtlijn 2000/60/EG van het Europees Parlement en de Raad van 23 oktober 2000 tot vaststelling van een kader voor communautaire maatregelen betreffende het waterbeleid (gewijzigd bij </w:t>
      </w:r>
      <w:proofErr w:type="spellStart"/>
      <w:r w:rsidRPr="00986E9B">
        <w:rPr>
          <w:rFonts w:ascii="Times New Roman" w:hAnsi="Times New Roman" w:cs="Times New Roman"/>
          <w:i/>
          <w:color w:val="000000" w:themeColor="text1"/>
          <w:lang w:val="nl-NL"/>
        </w:rPr>
        <w:t>PbEU</w:t>
      </w:r>
      <w:proofErr w:type="spellEnd"/>
      <w:r w:rsidRPr="00986E9B">
        <w:rPr>
          <w:rFonts w:ascii="Times New Roman" w:hAnsi="Times New Roman" w:cs="Times New Roman"/>
          <w:color w:val="000000" w:themeColor="text1"/>
          <w:lang w:val="nl-NL"/>
        </w:rPr>
        <w:t xml:space="preserve"> 2014, L 311/32).</w:t>
      </w:r>
    </w:p>
  </w:footnote>
  <w:footnote w:id="24">
    <w:p w14:paraId="6E259018" w14:textId="77777777" w:rsidR="00610325" w:rsidRPr="00986E9B" w:rsidRDefault="00610325" w:rsidP="00610325">
      <w:pPr>
        <w:pStyle w:val="Voetnoottekst"/>
        <w:rPr>
          <w:rFonts w:ascii="Times New Roman" w:hAnsi="Times New Roman" w:cs="Times New Roman"/>
          <w:color w:val="000000" w:themeColor="text1"/>
          <w:lang w:val="nl-NL"/>
        </w:rPr>
      </w:pPr>
      <w:r w:rsidRPr="00986E9B">
        <w:rPr>
          <w:rStyle w:val="Voetnootmarkering"/>
          <w:rFonts w:ascii="Times New Roman" w:hAnsi="Times New Roman" w:cs="Times New Roman"/>
          <w:color w:val="000000" w:themeColor="text1"/>
        </w:rPr>
        <w:footnoteRef/>
      </w:r>
      <w:r w:rsidRPr="00986E9B">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Totaalrapport kosten en baten Basisregistratie Ondergrond (BRO). Eindrapport</w:t>
      </w:r>
      <w:r w:rsidRPr="00986E9B">
        <w:rPr>
          <w:rFonts w:ascii="Times New Roman" w:hAnsi="Times New Roman" w:cs="Times New Roman"/>
          <w:color w:val="000000" w:themeColor="text1"/>
          <w:lang w:val="nl-NL"/>
        </w:rPr>
        <w:t xml:space="preserve">, </w:t>
      </w:r>
      <w:proofErr w:type="spellStart"/>
      <w:r w:rsidRPr="00986E9B">
        <w:rPr>
          <w:rFonts w:ascii="Times New Roman" w:hAnsi="Times New Roman" w:cs="Times New Roman"/>
          <w:color w:val="000000" w:themeColor="text1"/>
          <w:lang w:val="nl-NL"/>
        </w:rPr>
        <w:t>Ecorys</w:t>
      </w:r>
      <w:proofErr w:type="spellEnd"/>
      <w:r w:rsidRPr="00986E9B">
        <w:rPr>
          <w:rFonts w:ascii="Times New Roman" w:hAnsi="Times New Roman" w:cs="Times New Roman"/>
          <w:color w:val="000000" w:themeColor="text1"/>
          <w:lang w:val="nl-NL"/>
        </w:rPr>
        <w:t>, Rotterdam 2021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2021/22, 33136, 25)</w:t>
      </w:r>
      <w:r>
        <w:rPr>
          <w:rFonts w:ascii="Times New Roman" w:hAnsi="Times New Roman" w:cs="Times New Roman"/>
          <w:color w:val="000000" w:themeColor="text1"/>
          <w:lang w:val="nl-NL"/>
        </w:rPr>
        <w:t>, p. 4</w:t>
      </w:r>
      <w:r w:rsidRPr="00986E9B">
        <w:rPr>
          <w:rFonts w:ascii="Times New Roman" w:hAnsi="Times New Roman" w:cs="Times New Roman"/>
          <w:color w:val="000000" w:themeColor="text1"/>
          <w:lang w:val="nl-NL"/>
        </w:rPr>
        <w:t>.</w:t>
      </w:r>
    </w:p>
  </w:footnote>
  <w:footnote w:id="25">
    <w:p w14:paraId="7920E3F1" w14:textId="77777777" w:rsidR="003E37A4" w:rsidRPr="00986E9B" w:rsidRDefault="003E37A4" w:rsidP="003E37A4">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hyperlink r:id="rId2" w:history="1">
        <w:r w:rsidRPr="006D0A06">
          <w:rPr>
            <w:rStyle w:val="Hyperlink"/>
            <w:rFonts w:ascii="Times New Roman" w:hAnsi="Times New Roman" w:cs="Times New Roman"/>
            <w:color w:val="000000" w:themeColor="text1"/>
            <w:u w:val="none"/>
            <w:lang w:val="nl-NL"/>
          </w:rPr>
          <w:t>Richtlijn (EU) 2020/2184 van het Europees Parlement en de Raad van 16 december 2020 betreffende de kwaliteit van voor menselijke consumptie bestemd water (herschikking) (</w:t>
        </w:r>
        <w:proofErr w:type="spellStart"/>
        <w:r w:rsidRPr="006D0A06">
          <w:rPr>
            <w:rStyle w:val="Hyperlink"/>
            <w:rFonts w:ascii="Times New Roman" w:hAnsi="Times New Roman" w:cs="Times New Roman"/>
            <w:i/>
            <w:color w:val="000000" w:themeColor="text1"/>
            <w:u w:val="none"/>
            <w:lang w:val="nl-NL"/>
          </w:rPr>
          <w:t>PbEU</w:t>
        </w:r>
        <w:proofErr w:type="spellEnd"/>
        <w:r w:rsidRPr="006D0A06">
          <w:rPr>
            <w:rStyle w:val="Hyperlink"/>
            <w:rFonts w:ascii="Times New Roman" w:hAnsi="Times New Roman" w:cs="Times New Roman"/>
            <w:color w:val="000000" w:themeColor="text1"/>
            <w:u w:val="none"/>
            <w:lang w:val="nl-NL"/>
          </w:rPr>
          <w:t xml:space="preserve"> 2020, L 435/1).</w:t>
        </w:r>
      </w:hyperlink>
    </w:p>
  </w:footnote>
  <w:footnote w:id="26">
    <w:p w14:paraId="54499408" w14:textId="15194972" w:rsidR="001D67A6" w:rsidRPr="006D0A06"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i/>
          <w:color w:val="000000" w:themeColor="text1"/>
          <w:lang w:val="nl-NL"/>
        </w:rPr>
        <w:t>Kamerstukken II</w:t>
      </w:r>
      <w:r w:rsidRPr="00986E9B">
        <w:rPr>
          <w:rFonts w:ascii="Times New Roman" w:hAnsi="Times New Roman" w:cs="Times New Roman"/>
          <w:color w:val="000000" w:themeColor="text1"/>
          <w:lang w:val="nl-NL"/>
        </w:rPr>
        <w:t xml:space="preserve"> 2001/02, 26387, 11</w:t>
      </w:r>
      <w:r w:rsidRPr="006D0A06">
        <w:rPr>
          <w:rFonts w:ascii="Times New Roman" w:hAnsi="Times New Roman" w:cs="Times New Roman"/>
          <w:color w:val="000000" w:themeColor="text1"/>
          <w:lang w:val="nl-NL"/>
        </w:rPr>
        <w:t>, p. 1, 3.</w:t>
      </w:r>
    </w:p>
  </w:footnote>
  <w:footnote w:id="27">
    <w:p w14:paraId="25C0ECC5" w14:textId="7130A112" w:rsidR="001D67A6" w:rsidRPr="006D0A06"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color w:val="000000" w:themeColor="text1"/>
          <w:lang w:val="nl-NL"/>
        </w:rPr>
        <w:t>Catalogus Mijnbouwconstructie</w:t>
      </w:r>
      <w:r w:rsidRPr="006D0A06">
        <w:rPr>
          <w:rFonts w:ascii="Times New Roman" w:hAnsi="Times New Roman" w:cs="Times New Roman"/>
          <w:color w:val="000000" w:themeColor="text1"/>
          <w:lang w:val="nl-NL"/>
        </w:rPr>
        <w:t xml:space="preserve">, </w:t>
      </w:r>
      <w:r w:rsidRPr="00986E9B">
        <w:rPr>
          <w:rFonts w:ascii="Times New Roman" w:hAnsi="Times New Roman" w:cs="Times New Roman"/>
          <w:color w:val="000000" w:themeColor="text1"/>
          <w:lang w:val="nl-NL"/>
        </w:rPr>
        <w:t xml:space="preserve">Bijlage XX bij artikel 11, onderdeel s, van de Regeling </w:t>
      </w:r>
      <w:proofErr w:type="spellStart"/>
      <w:r w:rsidRPr="00986E9B">
        <w:rPr>
          <w:rFonts w:ascii="Times New Roman" w:hAnsi="Times New Roman" w:cs="Times New Roman"/>
          <w:color w:val="000000" w:themeColor="text1"/>
          <w:lang w:val="nl-NL"/>
        </w:rPr>
        <w:t>Bro</w:t>
      </w:r>
      <w:proofErr w:type="spellEnd"/>
      <w:r w:rsidRPr="006D0A06">
        <w:rPr>
          <w:rFonts w:ascii="Times New Roman" w:hAnsi="Times New Roman" w:cs="Times New Roman"/>
          <w:color w:val="000000" w:themeColor="text1"/>
          <w:lang w:val="nl-NL"/>
        </w:rPr>
        <w:t>.</w:t>
      </w:r>
    </w:p>
  </w:footnote>
  <w:footnote w:id="28">
    <w:p w14:paraId="754810B0" w14:textId="25C526D8" w:rsidR="001D67A6" w:rsidRPr="006D0A06"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Richtlijn (EU) 2022/2555 Netwerk- en Informatiebeveiliging (NIB) ofwel </w:t>
      </w:r>
      <w:r w:rsidRPr="006D0A06">
        <w:rPr>
          <w:rFonts w:ascii="Times New Roman" w:hAnsi="Times New Roman" w:cs="Times New Roman"/>
          <w:i/>
          <w:iCs/>
          <w:color w:val="000000" w:themeColor="text1"/>
          <w:lang w:val="nl-NL"/>
        </w:rPr>
        <w:t xml:space="preserve">Network </w:t>
      </w:r>
      <w:proofErr w:type="spellStart"/>
      <w:r w:rsidRPr="006D0A06">
        <w:rPr>
          <w:rFonts w:ascii="Times New Roman" w:hAnsi="Times New Roman" w:cs="Times New Roman"/>
          <w:i/>
          <w:iCs/>
          <w:color w:val="000000" w:themeColor="text1"/>
          <w:lang w:val="nl-NL"/>
        </w:rPr>
        <w:t>and</w:t>
      </w:r>
      <w:proofErr w:type="spellEnd"/>
      <w:r w:rsidRPr="006D0A06">
        <w:rPr>
          <w:rFonts w:ascii="Times New Roman" w:hAnsi="Times New Roman" w:cs="Times New Roman"/>
          <w:i/>
          <w:iCs/>
          <w:color w:val="000000" w:themeColor="text1"/>
          <w:lang w:val="nl-NL"/>
        </w:rPr>
        <w:t xml:space="preserve"> Information Security (NIS2)</w:t>
      </w:r>
      <w:r w:rsidRPr="006D0A06">
        <w:rPr>
          <w:rFonts w:ascii="Times New Roman" w:hAnsi="Times New Roman" w:cs="Times New Roman"/>
          <w:color w:val="000000" w:themeColor="text1"/>
          <w:lang w:val="nl-NL"/>
        </w:rPr>
        <w:t xml:space="preserve">; </w:t>
      </w:r>
      <w:proofErr w:type="spellStart"/>
      <w:r w:rsidRPr="00986E9B">
        <w:rPr>
          <w:rFonts w:ascii="Times New Roman" w:hAnsi="Times New Roman" w:cs="Times New Roman"/>
          <w:i/>
          <w:iCs/>
          <w:color w:val="000000" w:themeColor="text1"/>
          <w:lang w:val="nl-NL"/>
        </w:rPr>
        <w:t>PbEU</w:t>
      </w:r>
      <w:proofErr w:type="spellEnd"/>
      <w:r w:rsidRPr="00986E9B">
        <w:rPr>
          <w:rFonts w:ascii="Times New Roman" w:hAnsi="Times New Roman" w:cs="Times New Roman"/>
          <w:color w:val="000000" w:themeColor="text1"/>
          <w:lang w:val="nl-NL"/>
        </w:rPr>
        <w:t xml:space="preserve"> 2022, L 333/80</w:t>
      </w:r>
      <w:r w:rsidRPr="006D0A06">
        <w:rPr>
          <w:rFonts w:ascii="Times New Roman" w:hAnsi="Times New Roman" w:cs="Times New Roman"/>
          <w:color w:val="000000" w:themeColor="text1"/>
          <w:lang w:val="nl-NL"/>
        </w:rPr>
        <w:t>), Bijlage I.</w:t>
      </w:r>
    </w:p>
  </w:footnote>
  <w:footnote w:id="29">
    <w:p w14:paraId="68B528F2" w14:textId="77777777" w:rsidR="001D67A6" w:rsidRPr="006D0A06"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Op te volgen door de Cyberbeveiligingswet, implementatie van de NIS2-richtlijn.</w:t>
      </w:r>
    </w:p>
  </w:footnote>
  <w:footnote w:id="30">
    <w:p w14:paraId="08F0B33E" w14:textId="3C44FDB0" w:rsidR="001D67A6" w:rsidRPr="00986E9B"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i/>
          <w:iCs/>
          <w:color w:val="000000" w:themeColor="text1"/>
          <w:lang w:val="nl-NL"/>
        </w:rPr>
        <w:t>Kamerstukken II</w:t>
      </w:r>
      <w:r w:rsidRPr="00986E9B">
        <w:rPr>
          <w:rFonts w:ascii="Times New Roman" w:hAnsi="Times New Roman" w:cs="Times New Roman"/>
          <w:color w:val="000000" w:themeColor="text1"/>
          <w:lang w:val="nl-NL"/>
        </w:rPr>
        <w:t xml:space="preserve"> 2023/24, 36544, 3</w:t>
      </w:r>
      <w:r w:rsidRPr="006D0A06">
        <w:rPr>
          <w:rFonts w:ascii="Times New Roman" w:hAnsi="Times New Roman" w:cs="Times New Roman"/>
          <w:color w:val="000000" w:themeColor="text1"/>
          <w:lang w:val="nl-NL"/>
        </w:rPr>
        <w:t>, paragraaf 1.2.</w:t>
      </w:r>
    </w:p>
  </w:footnote>
  <w:footnote w:id="31">
    <w:p w14:paraId="753ACD88" w14:textId="7DEAC5CA" w:rsidR="001D67A6" w:rsidRPr="006D0A06"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986E9B">
        <w:rPr>
          <w:rFonts w:ascii="Times New Roman" w:hAnsi="Times New Roman" w:cs="Times New Roman"/>
          <w:color w:val="000000" w:themeColor="text1"/>
          <w:lang w:val="nl-NL"/>
        </w:rPr>
        <w:t>Richtlijn (EU) 2022/2557 van het Europees Parlement en de Raad van 14 december 2022 de weerbaarheid van kritieke entiteiten en tot intrekking van Richtlijn 2008/114/EG van de Raad (</w:t>
      </w:r>
      <w:proofErr w:type="spellStart"/>
      <w:r w:rsidRPr="00986E9B">
        <w:rPr>
          <w:rFonts w:ascii="Times New Roman" w:hAnsi="Times New Roman" w:cs="Times New Roman"/>
          <w:i/>
          <w:iCs/>
          <w:color w:val="000000" w:themeColor="text1"/>
          <w:lang w:val="nl-NL"/>
        </w:rPr>
        <w:t>PbEU</w:t>
      </w:r>
      <w:proofErr w:type="spellEnd"/>
      <w:r w:rsidRPr="00986E9B">
        <w:rPr>
          <w:rFonts w:ascii="Times New Roman" w:hAnsi="Times New Roman" w:cs="Times New Roman"/>
          <w:color w:val="000000" w:themeColor="text1"/>
          <w:lang w:val="nl-NL"/>
        </w:rPr>
        <w:t xml:space="preserve"> 2022, L 333/164)</w:t>
      </w:r>
      <w:r w:rsidRPr="006D0A06">
        <w:rPr>
          <w:rFonts w:ascii="Times New Roman" w:hAnsi="Times New Roman" w:cs="Times New Roman"/>
          <w:color w:val="000000" w:themeColor="text1"/>
          <w:lang w:val="nl-NL"/>
        </w:rPr>
        <w:t>.</w:t>
      </w:r>
    </w:p>
  </w:footnote>
  <w:footnote w:id="32">
    <w:p w14:paraId="6BEBD9C8" w14:textId="77777777" w:rsidR="001D67A6" w:rsidRPr="00986E9B" w:rsidRDefault="001D67A6" w:rsidP="001D67A6">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Te implementeren in respectievelijk de Wet weerbaarheid kritieke entiteiten (</w:t>
      </w:r>
      <w:proofErr w:type="spellStart"/>
      <w:r w:rsidRPr="006D0A06">
        <w:rPr>
          <w:rFonts w:ascii="Times New Roman" w:hAnsi="Times New Roman" w:cs="Times New Roman"/>
          <w:color w:val="000000" w:themeColor="text1"/>
          <w:lang w:val="nl-NL"/>
        </w:rPr>
        <w:t>Wwke</w:t>
      </w:r>
      <w:proofErr w:type="spellEnd"/>
      <w:r w:rsidRPr="006D0A06">
        <w:rPr>
          <w:rFonts w:ascii="Times New Roman" w:hAnsi="Times New Roman" w:cs="Times New Roman"/>
          <w:color w:val="000000" w:themeColor="text1"/>
          <w:lang w:val="nl-NL"/>
        </w:rPr>
        <w:t>) en de Cyberbeveiligingswet.</w:t>
      </w:r>
    </w:p>
  </w:footnote>
  <w:footnote w:id="33">
    <w:p w14:paraId="7D66EFF1" w14:textId="0F496723" w:rsidR="00CE6655" w:rsidRPr="006D0A06" w:rsidRDefault="00CE6655">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‘Een driedimensionaal geologisch model van de laagopbouw en grondsoort (bijvoorbeeld klei, zand, veen) van de ondiepe ondergrond van Nederland tot een diepte van maximaal 50 m onder NAP’ (</w:t>
      </w:r>
      <w:proofErr w:type="spellStart"/>
      <w:r w:rsidRPr="006D0A06">
        <w:rPr>
          <w:rFonts w:ascii="Times New Roman" w:hAnsi="Times New Roman" w:cs="Times New Roman"/>
          <w:i/>
          <w:iCs/>
          <w:color w:val="000000" w:themeColor="text1"/>
          <w:lang w:val="nl-NL"/>
        </w:rPr>
        <w:t>Stcrt</w:t>
      </w:r>
      <w:proofErr w:type="spellEnd"/>
      <w:r w:rsidRPr="006D0A06">
        <w:rPr>
          <w:rFonts w:ascii="Times New Roman" w:hAnsi="Times New Roman" w:cs="Times New Roman"/>
          <w:color w:val="000000" w:themeColor="text1"/>
          <w:lang w:val="nl-NL"/>
        </w:rPr>
        <w:t>. 2019. 53514, paragraaf 2.1).</w:t>
      </w:r>
    </w:p>
  </w:footnote>
  <w:footnote w:id="34">
    <w:p w14:paraId="5110C961" w14:textId="5DBB811B" w:rsidR="00CE6655" w:rsidRPr="006D0A06" w:rsidRDefault="00CE6655">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Een </w:t>
      </w:r>
      <w:proofErr w:type="spellStart"/>
      <w:r w:rsidRPr="006D0A06">
        <w:rPr>
          <w:rFonts w:ascii="Times New Roman" w:hAnsi="Times New Roman" w:cs="Times New Roman"/>
          <w:color w:val="000000" w:themeColor="text1"/>
          <w:lang w:val="nl-NL"/>
        </w:rPr>
        <w:t>hydrogeologisch</w:t>
      </w:r>
      <w:proofErr w:type="spellEnd"/>
      <w:r w:rsidRPr="006D0A06">
        <w:rPr>
          <w:rFonts w:ascii="Times New Roman" w:hAnsi="Times New Roman" w:cs="Times New Roman"/>
          <w:color w:val="000000" w:themeColor="text1"/>
          <w:lang w:val="nl-NL"/>
        </w:rPr>
        <w:t xml:space="preserve"> model.</w:t>
      </w:r>
    </w:p>
  </w:footnote>
  <w:footnote w:id="35">
    <w:p w14:paraId="1E0BFBB3" w14:textId="77777777" w:rsidR="00A1702B" w:rsidRPr="00986E9B" w:rsidRDefault="00A1702B" w:rsidP="00A1702B">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hyperlink r:id="rId3" w:history="1">
        <w:r w:rsidRPr="006D0A06">
          <w:rPr>
            <w:rStyle w:val="Hyperlink"/>
            <w:rFonts w:ascii="Times New Roman" w:hAnsi="Times New Roman" w:cs="Times New Roman"/>
            <w:color w:val="000000" w:themeColor="text1"/>
            <w:u w:val="none"/>
            <w:lang w:val="nl-NL"/>
          </w:rPr>
          <w:t>https://www.broloket.nl/ondergrondmodellen/kaart</w:t>
        </w:r>
      </w:hyperlink>
      <w:r w:rsidRPr="006D0A06">
        <w:rPr>
          <w:rFonts w:ascii="Times New Roman" w:hAnsi="Times New Roman" w:cs="Times New Roman"/>
          <w:color w:val="000000" w:themeColor="text1"/>
          <w:lang w:val="nl-NL"/>
        </w:rPr>
        <w:t>.</w:t>
      </w:r>
    </w:p>
  </w:footnote>
  <w:footnote w:id="36">
    <w:p w14:paraId="6FF4FF01" w14:textId="72D8DBAD" w:rsidR="00D869FF" w:rsidRPr="00986E9B" w:rsidRDefault="00D869FF" w:rsidP="00D869FF">
      <w:pPr>
        <w:pStyle w:val="Voetnoottekst"/>
        <w:rPr>
          <w:rFonts w:ascii="Times New Roman" w:hAnsi="Times New Roman" w:cs="Times New Roman"/>
          <w:color w:val="000000" w:themeColor="text1"/>
          <w:lang w:val="nl-NL"/>
        </w:rPr>
      </w:pPr>
      <w:r w:rsidRPr="006D0A06">
        <w:rPr>
          <w:rStyle w:val="Voetnootmarkering"/>
          <w:rFonts w:ascii="Times New Roman" w:hAnsi="Times New Roman" w:cs="Times New Roman"/>
          <w:color w:val="000000" w:themeColor="text1"/>
        </w:rPr>
        <w:footnoteRef/>
      </w:r>
      <w:r w:rsidRPr="006D0A06">
        <w:rPr>
          <w:rFonts w:ascii="Times New Roman" w:hAnsi="Times New Roman" w:cs="Times New Roman"/>
          <w:color w:val="000000" w:themeColor="text1"/>
          <w:lang w:val="nl-NL"/>
        </w:rPr>
        <w:t xml:space="preserve"> </w:t>
      </w:r>
      <w:r w:rsidRPr="006D0A06">
        <w:rPr>
          <w:rFonts w:ascii="Times New Roman" w:hAnsi="Times New Roman" w:cs="Times New Roman"/>
          <w:i/>
          <w:iCs/>
          <w:color w:val="000000" w:themeColor="text1"/>
          <w:lang w:val="nl-NL"/>
        </w:rPr>
        <w:t>Kamerstukken II</w:t>
      </w:r>
      <w:r w:rsidRPr="006D0A06">
        <w:rPr>
          <w:rFonts w:ascii="Times New Roman" w:hAnsi="Times New Roman" w:cs="Times New Roman"/>
          <w:color w:val="000000" w:themeColor="text1"/>
          <w:lang w:val="nl-NL"/>
        </w:rPr>
        <w:t xml:space="preserve"> 2023/24, 36544, 3, paragraaf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CCD8" w14:textId="166EC8FB" w:rsidR="00B558D6" w:rsidRDefault="00B558D6" w:rsidP="00B558D6">
    <w:pPr>
      <w:pStyle w:val="Koptekst"/>
    </w:pPr>
  </w:p>
  <w:p w14:paraId="19FB41E1" w14:textId="77777777" w:rsidR="00B558D6" w:rsidRDefault="00B558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674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CB4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6F0B6D"/>
    <w:multiLevelType w:val="multilevel"/>
    <w:tmpl w:val="200829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441352"/>
    <w:multiLevelType w:val="hybridMultilevel"/>
    <w:tmpl w:val="E2543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B43164"/>
    <w:multiLevelType w:val="multilevel"/>
    <w:tmpl w:val="2AA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9453D"/>
    <w:multiLevelType w:val="multilevel"/>
    <w:tmpl w:val="D9EEFAB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BB0112"/>
    <w:multiLevelType w:val="multilevel"/>
    <w:tmpl w:val="96B06C4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7826065">
    <w:abstractNumId w:val="2"/>
  </w:num>
  <w:num w:numId="2" w16cid:durableId="1303383945">
    <w:abstractNumId w:val="5"/>
  </w:num>
  <w:num w:numId="3" w16cid:durableId="1466970717">
    <w:abstractNumId w:val="6"/>
  </w:num>
  <w:num w:numId="4" w16cid:durableId="1574269107">
    <w:abstractNumId w:val="3"/>
  </w:num>
  <w:num w:numId="5" w16cid:durableId="1449197591">
    <w:abstractNumId w:val="4"/>
  </w:num>
  <w:num w:numId="6" w16cid:durableId="985624501">
    <w:abstractNumId w:val="0"/>
  </w:num>
  <w:num w:numId="7" w16cid:durableId="33974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19"/>
    <w:rsid w:val="00001878"/>
    <w:rsid w:val="0000292A"/>
    <w:rsid w:val="000073DA"/>
    <w:rsid w:val="000106C5"/>
    <w:rsid w:val="000109D6"/>
    <w:rsid w:val="00015695"/>
    <w:rsid w:val="000222E1"/>
    <w:rsid w:val="00022B76"/>
    <w:rsid w:val="00031BC1"/>
    <w:rsid w:val="0003796A"/>
    <w:rsid w:val="00040F64"/>
    <w:rsid w:val="00054419"/>
    <w:rsid w:val="00061013"/>
    <w:rsid w:val="000646DA"/>
    <w:rsid w:val="00070905"/>
    <w:rsid w:val="00070C1D"/>
    <w:rsid w:val="000747D0"/>
    <w:rsid w:val="00076372"/>
    <w:rsid w:val="00090011"/>
    <w:rsid w:val="000928D2"/>
    <w:rsid w:val="000A0060"/>
    <w:rsid w:val="000A0967"/>
    <w:rsid w:val="000A426A"/>
    <w:rsid w:val="000B5906"/>
    <w:rsid w:val="000B72C7"/>
    <w:rsid w:val="000C00CB"/>
    <w:rsid w:val="000C4819"/>
    <w:rsid w:val="000D2E4B"/>
    <w:rsid w:val="000D30BB"/>
    <w:rsid w:val="000E13B2"/>
    <w:rsid w:val="000E4E55"/>
    <w:rsid w:val="001016D6"/>
    <w:rsid w:val="00103F45"/>
    <w:rsid w:val="00105B10"/>
    <w:rsid w:val="00106192"/>
    <w:rsid w:val="001105CC"/>
    <w:rsid w:val="00110BA1"/>
    <w:rsid w:val="00112601"/>
    <w:rsid w:val="001143B2"/>
    <w:rsid w:val="00123AC8"/>
    <w:rsid w:val="001325F5"/>
    <w:rsid w:val="00133730"/>
    <w:rsid w:val="0013667B"/>
    <w:rsid w:val="00140C89"/>
    <w:rsid w:val="0014245B"/>
    <w:rsid w:val="0014400C"/>
    <w:rsid w:val="00146E60"/>
    <w:rsid w:val="001532D3"/>
    <w:rsid w:val="001550E4"/>
    <w:rsid w:val="001553BC"/>
    <w:rsid w:val="001618B9"/>
    <w:rsid w:val="00163A6B"/>
    <w:rsid w:val="00177BD3"/>
    <w:rsid w:val="00186E07"/>
    <w:rsid w:val="00187DB3"/>
    <w:rsid w:val="00194454"/>
    <w:rsid w:val="001A0C21"/>
    <w:rsid w:val="001A7CEA"/>
    <w:rsid w:val="001B1F89"/>
    <w:rsid w:val="001D102B"/>
    <w:rsid w:val="001D39E0"/>
    <w:rsid w:val="001D571D"/>
    <w:rsid w:val="001D66EE"/>
    <w:rsid w:val="001D67A6"/>
    <w:rsid w:val="001D77BC"/>
    <w:rsid w:val="001E6EAC"/>
    <w:rsid w:val="001E72B9"/>
    <w:rsid w:val="001F1833"/>
    <w:rsid w:val="001F4275"/>
    <w:rsid w:val="001F4A1C"/>
    <w:rsid w:val="001F634F"/>
    <w:rsid w:val="001F6E42"/>
    <w:rsid w:val="001F6E99"/>
    <w:rsid w:val="001F7EB9"/>
    <w:rsid w:val="0021014B"/>
    <w:rsid w:val="00210B6F"/>
    <w:rsid w:val="002123C9"/>
    <w:rsid w:val="00212E3C"/>
    <w:rsid w:val="002169C6"/>
    <w:rsid w:val="00220835"/>
    <w:rsid w:val="00220F1A"/>
    <w:rsid w:val="00224E74"/>
    <w:rsid w:val="002276C6"/>
    <w:rsid w:val="00227ACD"/>
    <w:rsid w:val="0023182D"/>
    <w:rsid w:val="0023217E"/>
    <w:rsid w:val="00240B63"/>
    <w:rsid w:val="0024796D"/>
    <w:rsid w:val="00247BA8"/>
    <w:rsid w:val="00255D95"/>
    <w:rsid w:val="00256F9D"/>
    <w:rsid w:val="00272541"/>
    <w:rsid w:val="00276EB1"/>
    <w:rsid w:val="00277251"/>
    <w:rsid w:val="00281B4E"/>
    <w:rsid w:val="0029070F"/>
    <w:rsid w:val="002A2641"/>
    <w:rsid w:val="002A296E"/>
    <w:rsid w:val="002A38D7"/>
    <w:rsid w:val="002A3977"/>
    <w:rsid w:val="002A50D6"/>
    <w:rsid w:val="002A7236"/>
    <w:rsid w:val="002A7451"/>
    <w:rsid w:val="002B6963"/>
    <w:rsid w:val="002C0E46"/>
    <w:rsid w:val="002C58E1"/>
    <w:rsid w:val="002C7005"/>
    <w:rsid w:val="002E2770"/>
    <w:rsid w:val="002E374F"/>
    <w:rsid w:val="002F4BAD"/>
    <w:rsid w:val="002F60B6"/>
    <w:rsid w:val="002F615A"/>
    <w:rsid w:val="003009E4"/>
    <w:rsid w:val="00306058"/>
    <w:rsid w:val="00310530"/>
    <w:rsid w:val="00317BCA"/>
    <w:rsid w:val="003201C7"/>
    <w:rsid w:val="0032061D"/>
    <w:rsid w:val="00323477"/>
    <w:rsid w:val="003244AF"/>
    <w:rsid w:val="00326C44"/>
    <w:rsid w:val="0032760A"/>
    <w:rsid w:val="00330DCB"/>
    <w:rsid w:val="003319F3"/>
    <w:rsid w:val="00331EA9"/>
    <w:rsid w:val="00337383"/>
    <w:rsid w:val="003374B5"/>
    <w:rsid w:val="00341D1C"/>
    <w:rsid w:val="00342A03"/>
    <w:rsid w:val="00343343"/>
    <w:rsid w:val="00344E79"/>
    <w:rsid w:val="003537F7"/>
    <w:rsid w:val="00367EDA"/>
    <w:rsid w:val="00373E7A"/>
    <w:rsid w:val="003772ED"/>
    <w:rsid w:val="00377A54"/>
    <w:rsid w:val="003816CA"/>
    <w:rsid w:val="003825D9"/>
    <w:rsid w:val="00382868"/>
    <w:rsid w:val="00387A5F"/>
    <w:rsid w:val="00391A60"/>
    <w:rsid w:val="00395A3A"/>
    <w:rsid w:val="00395F42"/>
    <w:rsid w:val="003960AE"/>
    <w:rsid w:val="00396610"/>
    <w:rsid w:val="00397E77"/>
    <w:rsid w:val="003A1742"/>
    <w:rsid w:val="003A34A6"/>
    <w:rsid w:val="003A6BCB"/>
    <w:rsid w:val="003B3719"/>
    <w:rsid w:val="003B43D0"/>
    <w:rsid w:val="003B5048"/>
    <w:rsid w:val="003B5152"/>
    <w:rsid w:val="003B7C0D"/>
    <w:rsid w:val="003D58C9"/>
    <w:rsid w:val="003E37A4"/>
    <w:rsid w:val="003E4B5F"/>
    <w:rsid w:val="003F7158"/>
    <w:rsid w:val="00412498"/>
    <w:rsid w:val="00420230"/>
    <w:rsid w:val="00421198"/>
    <w:rsid w:val="00427368"/>
    <w:rsid w:val="00431B3D"/>
    <w:rsid w:val="00433719"/>
    <w:rsid w:val="004340DF"/>
    <w:rsid w:val="004444DE"/>
    <w:rsid w:val="004555C5"/>
    <w:rsid w:val="004606ED"/>
    <w:rsid w:val="004654DF"/>
    <w:rsid w:val="00472A39"/>
    <w:rsid w:val="004748F2"/>
    <w:rsid w:val="0048148B"/>
    <w:rsid w:val="00483C9D"/>
    <w:rsid w:val="00491B19"/>
    <w:rsid w:val="00493363"/>
    <w:rsid w:val="004A03F5"/>
    <w:rsid w:val="004A3856"/>
    <w:rsid w:val="004A50A4"/>
    <w:rsid w:val="004A6236"/>
    <w:rsid w:val="004B170E"/>
    <w:rsid w:val="004B213E"/>
    <w:rsid w:val="004B5D03"/>
    <w:rsid w:val="004B783E"/>
    <w:rsid w:val="004C1A25"/>
    <w:rsid w:val="004C6253"/>
    <w:rsid w:val="004C6E15"/>
    <w:rsid w:val="004C7268"/>
    <w:rsid w:val="004D099C"/>
    <w:rsid w:val="004D3F26"/>
    <w:rsid w:val="004E2B4D"/>
    <w:rsid w:val="004E2D7E"/>
    <w:rsid w:val="004E57E2"/>
    <w:rsid w:val="004F179F"/>
    <w:rsid w:val="004F42F4"/>
    <w:rsid w:val="00501926"/>
    <w:rsid w:val="0050279D"/>
    <w:rsid w:val="00511911"/>
    <w:rsid w:val="005164DC"/>
    <w:rsid w:val="0052041D"/>
    <w:rsid w:val="00522A85"/>
    <w:rsid w:val="00541CB8"/>
    <w:rsid w:val="00542471"/>
    <w:rsid w:val="0055053F"/>
    <w:rsid w:val="00552C15"/>
    <w:rsid w:val="00554E1D"/>
    <w:rsid w:val="00555063"/>
    <w:rsid w:val="00557B5C"/>
    <w:rsid w:val="00561CF1"/>
    <w:rsid w:val="00562D39"/>
    <w:rsid w:val="0057173C"/>
    <w:rsid w:val="0057339C"/>
    <w:rsid w:val="00581170"/>
    <w:rsid w:val="00581B7E"/>
    <w:rsid w:val="00584369"/>
    <w:rsid w:val="00587D94"/>
    <w:rsid w:val="00590136"/>
    <w:rsid w:val="00592FA7"/>
    <w:rsid w:val="005935D4"/>
    <w:rsid w:val="00597DF9"/>
    <w:rsid w:val="005B0059"/>
    <w:rsid w:val="005B3C82"/>
    <w:rsid w:val="005B5942"/>
    <w:rsid w:val="005C0743"/>
    <w:rsid w:val="005C2CFF"/>
    <w:rsid w:val="005D18B9"/>
    <w:rsid w:val="005E1156"/>
    <w:rsid w:val="005E33FF"/>
    <w:rsid w:val="005E72D5"/>
    <w:rsid w:val="005F0268"/>
    <w:rsid w:val="005F49BF"/>
    <w:rsid w:val="005F6C46"/>
    <w:rsid w:val="005F7110"/>
    <w:rsid w:val="00610325"/>
    <w:rsid w:val="00620BFC"/>
    <w:rsid w:val="00621F6E"/>
    <w:rsid w:val="00634E28"/>
    <w:rsid w:val="006359FD"/>
    <w:rsid w:val="00640003"/>
    <w:rsid w:val="00647510"/>
    <w:rsid w:val="006477CC"/>
    <w:rsid w:val="00653672"/>
    <w:rsid w:val="00656F95"/>
    <w:rsid w:val="00661724"/>
    <w:rsid w:val="00665C73"/>
    <w:rsid w:val="00665C86"/>
    <w:rsid w:val="00675CD0"/>
    <w:rsid w:val="006766F3"/>
    <w:rsid w:val="00694A1A"/>
    <w:rsid w:val="006A064A"/>
    <w:rsid w:val="006A1630"/>
    <w:rsid w:val="006A3BB1"/>
    <w:rsid w:val="006A72E1"/>
    <w:rsid w:val="006B1D32"/>
    <w:rsid w:val="006B1D47"/>
    <w:rsid w:val="006B36AD"/>
    <w:rsid w:val="006B6097"/>
    <w:rsid w:val="006C29BC"/>
    <w:rsid w:val="006C336C"/>
    <w:rsid w:val="006C4892"/>
    <w:rsid w:val="006C6F3E"/>
    <w:rsid w:val="006D0A06"/>
    <w:rsid w:val="006D1A04"/>
    <w:rsid w:val="006D1DCA"/>
    <w:rsid w:val="006E1CFB"/>
    <w:rsid w:val="006E2FF0"/>
    <w:rsid w:val="006E4BC4"/>
    <w:rsid w:val="006E61D9"/>
    <w:rsid w:val="006F39F1"/>
    <w:rsid w:val="0070016A"/>
    <w:rsid w:val="00704E14"/>
    <w:rsid w:val="00707FEF"/>
    <w:rsid w:val="007143AF"/>
    <w:rsid w:val="007150AC"/>
    <w:rsid w:val="00715BEF"/>
    <w:rsid w:val="00720B9B"/>
    <w:rsid w:val="00720E48"/>
    <w:rsid w:val="00726B34"/>
    <w:rsid w:val="00730546"/>
    <w:rsid w:val="007423BF"/>
    <w:rsid w:val="0074322D"/>
    <w:rsid w:val="0075102D"/>
    <w:rsid w:val="00751565"/>
    <w:rsid w:val="0075188E"/>
    <w:rsid w:val="00755B32"/>
    <w:rsid w:val="00756FB9"/>
    <w:rsid w:val="00761A3C"/>
    <w:rsid w:val="00764A79"/>
    <w:rsid w:val="00767E0F"/>
    <w:rsid w:val="00767F09"/>
    <w:rsid w:val="007720AA"/>
    <w:rsid w:val="00775B82"/>
    <w:rsid w:val="00780EAE"/>
    <w:rsid w:val="00781695"/>
    <w:rsid w:val="00784BCF"/>
    <w:rsid w:val="007A6975"/>
    <w:rsid w:val="007A6CB6"/>
    <w:rsid w:val="007A765D"/>
    <w:rsid w:val="007B170B"/>
    <w:rsid w:val="007B2634"/>
    <w:rsid w:val="007B32D6"/>
    <w:rsid w:val="007B3AE6"/>
    <w:rsid w:val="007C0BC7"/>
    <w:rsid w:val="007C1011"/>
    <w:rsid w:val="007C2530"/>
    <w:rsid w:val="007C74A9"/>
    <w:rsid w:val="007C74DF"/>
    <w:rsid w:val="007D1D89"/>
    <w:rsid w:val="007D6679"/>
    <w:rsid w:val="007F256B"/>
    <w:rsid w:val="00801A8E"/>
    <w:rsid w:val="008041F9"/>
    <w:rsid w:val="00812137"/>
    <w:rsid w:val="00831FA1"/>
    <w:rsid w:val="00832D79"/>
    <w:rsid w:val="00833E3B"/>
    <w:rsid w:val="0083646F"/>
    <w:rsid w:val="00850042"/>
    <w:rsid w:val="008526F2"/>
    <w:rsid w:val="008529C6"/>
    <w:rsid w:val="00852B19"/>
    <w:rsid w:val="00853E38"/>
    <w:rsid w:val="00857B7D"/>
    <w:rsid w:val="0086333A"/>
    <w:rsid w:val="0087181B"/>
    <w:rsid w:val="008725A3"/>
    <w:rsid w:val="008751C2"/>
    <w:rsid w:val="008765F8"/>
    <w:rsid w:val="00876B88"/>
    <w:rsid w:val="00881630"/>
    <w:rsid w:val="00882AE6"/>
    <w:rsid w:val="008854BF"/>
    <w:rsid w:val="00890BC5"/>
    <w:rsid w:val="00893741"/>
    <w:rsid w:val="008A0066"/>
    <w:rsid w:val="008A0165"/>
    <w:rsid w:val="008A2649"/>
    <w:rsid w:val="008C2493"/>
    <w:rsid w:val="008C5CD7"/>
    <w:rsid w:val="008C7A9B"/>
    <w:rsid w:val="008D123E"/>
    <w:rsid w:val="008D635D"/>
    <w:rsid w:val="008D653F"/>
    <w:rsid w:val="008E03BC"/>
    <w:rsid w:val="008F2138"/>
    <w:rsid w:val="008F2D3A"/>
    <w:rsid w:val="008F5673"/>
    <w:rsid w:val="008F5B27"/>
    <w:rsid w:val="00900361"/>
    <w:rsid w:val="00901614"/>
    <w:rsid w:val="0091428B"/>
    <w:rsid w:val="00915D69"/>
    <w:rsid w:val="0092064F"/>
    <w:rsid w:val="009222F5"/>
    <w:rsid w:val="009245CD"/>
    <w:rsid w:val="00924BCE"/>
    <w:rsid w:val="00926E0B"/>
    <w:rsid w:val="0093257B"/>
    <w:rsid w:val="009513A4"/>
    <w:rsid w:val="00955BF1"/>
    <w:rsid w:val="00957224"/>
    <w:rsid w:val="009577FF"/>
    <w:rsid w:val="00960DF4"/>
    <w:rsid w:val="00963F73"/>
    <w:rsid w:val="00976C8E"/>
    <w:rsid w:val="00980052"/>
    <w:rsid w:val="00986E9B"/>
    <w:rsid w:val="0099485A"/>
    <w:rsid w:val="0099593A"/>
    <w:rsid w:val="009A2265"/>
    <w:rsid w:val="009A3971"/>
    <w:rsid w:val="009A49A0"/>
    <w:rsid w:val="009A4DFF"/>
    <w:rsid w:val="009A6E6E"/>
    <w:rsid w:val="009A7E9C"/>
    <w:rsid w:val="009B48D4"/>
    <w:rsid w:val="009B5700"/>
    <w:rsid w:val="009C00A4"/>
    <w:rsid w:val="009C16BE"/>
    <w:rsid w:val="009C3AF1"/>
    <w:rsid w:val="009D0354"/>
    <w:rsid w:val="009D65CA"/>
    <w:rsid w:val="009E738D"/>
    <w:rsid w:val="009F5147"/>
    <w:rsid w:val="009F6E02"/>
    <w:rsid w:val="00A025C2"/>
    <w:rsid w:val="00A040D7"/>
    <w:rsid w:val="00A136A2"/>
    <w:rsid w:val="00A141FA"/>
    <w:rsid w:val="00A1702B"/>
    <w:rsid w:val="00A22DD0"/>
    <w:rsid w:val="00A2486B"/>
    <w:rsid w:val="00A303DD"/>
    <w:rsid w:val="00A30436"/>
    <w:rsid w:val="00A3213B"/>
    <w:rsid w:val="00A369E2"/>
    <w:rsid w:val="00A430A9"/>
    <w:rsid w:val="00A43897"/>
    <w:rsid w:val="00A460DE"/>
    <w:rsid w:val="00A5114B"/>
    <w:rsid w:val="00A5353A"/>
    <w:rsid w:val="00A55C0E"/>
    <w:rsid w:val="00A619E9"/>
    <w:rsid w:val="00A62458"/>
    <w:rsid w:val="00A72651"/>
    <w:rsid w:val="00A76BC2"/>
    <w:rsid w:val="00A84D1C"/>
    <w:rsid w:val="00A928D6"/>
    <w:rsid w:val="00A93B69"/>
    <w:rsid w:val="00A95501"/>
    <w:rsid w:val="00A96A11"/>
    <w:rsid w:val="00AA3CA3"/>
    <w:rsid w:val="00AB22F2"/>
    <w:rsid w:val="00AB601D"/>
    <w:rsid w:val="00AC7963"/>
    <w:rsid w:val="00AD2D42"/>
    <w:rsid w:val="00AD2E3E"/>
    <w:rsid w:val="00AE1380"/>
    <w:rsid w:val="00AE1C15"/>
    <w:rsid w:val="00AE635E"/>
    <w:rsid w:val="00AF05F6"/>
    <w:rsid w:val="00AF339A"/>
    <w:rsid w:val="00AF40CC"/>
    <w:rsid w:val="00AF4F4C"/>
    <w:rsid w:val="00AF6A2B"/>
    <w:rsid w:val="00B0022C"/>
    <w:rsid w:val="00B00695"/>
    <w:rsid w:val="00B05E8E"/>
    <w:rsid w:val="00B233F5"/>
    <w:rsid w:val="00B23B9F"/>
    <w:rsid w:val="00B23E09"/>
    <w:rsid w:val="00B3401D"/>
    <w:rsid w:val="00B34CB8"/>
    <w:rsid w:val="00B37D04"/>
    <w:rsid w:val="00B418AE"/>
    <w:rsid w:val="00B43FE8"/>
    <w:rsid w:val="00B45309"/>
    <w:rsid w:val="00B47CBB"/>
    <w:rsid w:val="00B53278"/>
    <w:rsid w:val="00B53FBA"/>
    <w:rsid w:val="00B55871"/>
    <w:rsid w:val="00B558D6"/>
    <w:rsid w:val="00B630BA"/>
    <w:rsid w:val="00B779F6"/>
    <w:rsid w:val="00B823E9"/>
    <w:rsid w:val="00B830D8"/>
    <w:rsid w:val="00B857A1"/>
    <w:rsid w:val="00B955CF"/>
    <w:rsid w:val="00BB7E98"/>
    <w:rsid w:val="00BC1D7D"/>
    <w:rsid w:val="00BD2292"/>
    <w:rsid w:val="00BD630F"/>
    <w:rsid w:val="00BD704A"/>
    <w:rsid w:val="00BE49AD"/>
    <w:rsid w:val="00BE4C42"/>
    <w:rsid w:val="00BF4331"/>
    <w:rsid w:val="00C0150F"/>
    <w:rsid w:val="00C17120"/>
    <w:rsid w:val="00C17B5F"/>
    <w:rsid w:val="00C21E08"/>
    <w:rsid w:val="00C221DB"/>
    <w:rsid w:val="00C223A1"/>
    <w:rsid w:val="00C2494A"/>
    <w:rsid w:val="00C24B78"/>
    <w:rsid w:val="00C250FC"/>
    <w:rsid w:val="00C26C68"/>
    <w:rsid w:val="00C271CF"/>
    <w:rsid w:val="00C3144A"/>
    <w:rsid w:val="00C315B6"/>
    <w:rsid w:val="00C3378B"/>
    <w:rsid w:val="00C3570E"/>
    <w:rsid w:val="00C426B4"/>
    <w:rsid w:val="00C44CE4"/>
    <w:rsid w:val="00C502E3"/>
    <w:rsid w:val="00C66D34"/>
    <w:rsid w:val="00C71A88"/>
    <w:rsid w:val="00C739C4"/>
    <w:rsid w:val="00C81726"/>
    <w:rsid w:val="00C824AD"/>
    <w:rsid w:val="00C92760"/>
    <w:rsid w:val="00C936B3"/>
    <w:rsid w:val="00C94F9F"/>
    <w:rsid w:val="00C97C75"/>
    <w:rsid w:val="00CA5D43"/>
    <w:rsid w:val="00CB48DC"/>
    <w:rsid w:val="00CB54BF"/>
    <w:rsid w:val="00CC0007"/>
    <w:rsid w:val="00CC2D56"/>
    <w:rsid w:val="00CC7EAF"/>
    <w:rsid w:val="00CD0434"/>
    <w:rsid w:val="00CE03C9"/>
    <w:rsid w:val="00CE2199"/>
    <w:rsid w:val="00CE6368"/>
    <w:rsid w:val="00CE6655"/>
    <w:rsid w:val="00CF23F3"/>
    <w:rsid w:val="00CF3B6A"/>
    <w:rsid w:val="00D02EDE"/>
    <w:rsid w:val="00D0715B"/>
    <w:rsid w:val="00D07F11"/>
    <w:rsid w:val="00D258B7"/>
    <w:rsid w:val="00D33033"/>
    <w:rsid w:val="00D359FA"/>
    <w:rsid w:val="00D364E9"/>
    <w:rsid w:val="00D41EC7"/>
    <w:rsid w:val="00D50505"/>
    <w:rsid w:val="00D50F8B"/>
    <w:rsid w:val="00D519FE"/>
    <w:rsid w:val="00D5407B"/>
    <w:rsid w:val="00D572A2"/>
    <w:rsid w:val="00D65E4D"/>
    <w:rsid w:val="00D7258B"/>
    <w:rsid w:val="00D73141"/>
    <w:rsid w:val="00D74D4A"/>
    <w:rsid w:val="00D7600E"/>
    <w:rsid w:val="00D7674A"/>
    <w:rsid w:val="00D81AD5"/>
    <w:rsid w:val="00D83522"/>
    <w:rsid w:val="00D869FF"/>
    <w:rsid w:val="00DA09CD"/>
    <w:rsid w:val="00DA1FF6"/>
    <w:rsid w:val="00DA7F5B"/>
    <w:rsid w:val="00DB427E"/>
    <w:rsid w:val="00DB43A8"/>
    <w:rsid w:val="00DB7EC4"/>
    <w:rsid w:val="00DC0744"/>
    <w:rsid w:val="00DC17D2"/>
    <w:rsid w:val="00DC6FD7"/>
    <w:rsid w:val="00DD2E7A"/>
    <w:rsid w:val="00DD4FD4"/>
    <w:rsid w:val="00DE0835"/>
    <w:rsid w:val="00DE5236"/>
    <w:rsid w:val="00DE7867"/>
    <w:rsid w:val="00DF0A35"/>
    <w:rsid w:val="00DF13D4"/>
    <w:rsid w:val="00DF19A1"/>
    <w:rsid w:val="00DF221B"/>
    <w:rsid w:val="00DF667B"/>
    <w:rsid w:val="00E00B68"/>
    <w:rsid w:val="00E00BDD"/>
    <w:rsid w:val="00E03537"/>
    <w:rsid w:val="00E045A9"/>
    <w:rsid w:val="00E06E9C"/>
    <w:rsid w:val="00E12082"/>
    <w:rsid w:val="00E1303C"/>
    <w:rsid w:val="00E13A50"/>
    <w:rsid w:val="00E311F3"/>
    <w:rsid w:val="00E32393"/>
    <w:rsid w:val="00E32B77"/>
    <w:rsid w:val="00E43665"/>
    <w:rsid w:val="00E451B0"/>
    <w:rsid w:val="00E477CD"/>
    <w:rsid w:val="00E64925"/>
    <w:rsid w:val="00E65524"/>
    <w:rsid w:val="00E712F6"/>
    <w:rsid w:val="00E73D4A"/>
    <w:rsid w:val="00E75D44"/>
    <w:rsid w:val="00E83D8C"/>
    <w:rsid w:val="00EA1BA4"/>
    <w:rsid w:val="00EA1CB4"/>
    <w:rsid w:val="00EA5FCC"/>
    <w:rsid w:val="00EA6D9F"/>
    <w:rsid w:val="00EB26F8"/>
    <w:rsid w:val="00EB2F09"/>
    <w:rsid w:val="00EB683E"/>
    <w:rsid w:val="00EC4399"/>
    <w:rsid w:val="00EC6462"/>
    <w:rsid w:val="00EC683D"/>
    <w:rsid w:val="00EC6F34"/>
    <w:rsid w:val="00EC73AF"/>
    <w:rsid w:val="00ED0D07"/>
    <w:rsid w:val="00ED63C0"/>
    <w:rsid w:val="00ED6BB6"/>
    <w:rsid w:val="00ED6F36"/>
    <w:rsid w:val="00EE0432"/>
    <w:rsid w:val="00EE2EFF"/>
    <w:rsid w:val="00EE4D99"/>
    <w:rsid w:val="00EE5B02"/>
    <w:rsid w:val="00EE6EAB"/>
    <w:rsid w:val="00EF2BEE"/>
    <w:rsid w:val="00EF46AC"/>
    <w:rsid w:val="00F00893"/>
    <w:rsid w:val="00F019E3"/>
    <w:rsid w:val="00F01BF4"/>
    <w:rsid w:val="00F124D2"/>
    <w:rsid w:val="00F125AE"/>
    <w:rsid w:val="00F255F0"/>
    <w:rsid w:val="00F25C0B"/>
    <w:rsid w:val="00F35AFE"/>
    <w:rsid w:val="00F41ADA"/>
    <w:rsid w:val="00F5464E"/>
    <w:rsid w:val="00F57AA6"/>
    <w:rsid w:val="00F6167E"/>
    <w:rsid w:val="00F64D4D"/>
    <w:rsid w:val="00F76824"/>
    <w:rsid w:val="00F83E3F"/>
    <w:rsid w:val="00F84283"/>
    <w:rsid w:val="00F85F65"/>
    <w:rsid w:val="00F85FAE"/>
    <w:rsid w:val="00FA03F9"/>
    <w:rsid w:val="00FA05A5"/>
    <w:rsid w:val="00FA2A09"/>
    <w:rsid w:val="00FA6176"/>
    <w:rsid w:val="00FB15E0"/>
    <w:rsid w:val="00FC02F6"/>
    <w:rsid w:val="00FC14B2"/>
    <w:rsid w:val="00FD10D1"/>
    <w:rsid w:val="00FD5114"/>
    <w:rsid w:val="00FD5794"/>
    <w:rsid w:val="00FD6DC7"/>
    <w:rsid w:val="00FE12C4"/>
    <w:rsid w:val="00FF3328"/>
    <w:rsid w:val="00FF34F4"/>
    <w:rsid w:val="00FF36F4"/>
    <w:rsid w:val="081F2A66"/>
    <w:rsid w:val="7BE14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EEB8"/>
  <w15:chartTrackingRefBased/>
  <w15:docId w15:val="{19F6F95E-34DC-48D1-AB37-E182799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B5C"/>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505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C1011"/>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72A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4419"/>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054419"/>
    <w:pPr>
      <w:ind w:left="720"/>
      <w:contextualSpacing/>
    </w:pPr>
  </w:style>
  <w:style w:type="character" w:styleId="Verwijzingopmerking">
    <w:name w:val="annotation reference"/>
    <w:basedOn w:val="Standaardalinea-lettertype"/>
    <w:uiPriority w:val="99"/>
    <w:semiHidden/>
    <w:unhideWhenUsed/>
    <w:rsid w:val="009577FF"/>
    <w:rPr>
      <w:sz w:val="16"/>
      <w:szCs w:val="16"/>
    </w:rPr>
  </w:style>
  <w:style w:type="paragraph" w:styleId="Tekstopmerking">
    <w:name w:val="annotation text"/>
    <w:basedOn w:val="Standaard"/>
    <w:link w:val="TekstopmerkingChar"/>
    <w:uiPriority w:val="99"/>
    <w:unhideWhenUsed/>
    <w:rsid w:val="009577FF"/>
    <w:rPr>
      <w:sz w:val="20"/>
      <w:szCs w:val="20"/>
    </w:rPr>
  </w:style>
  <w:style w:type="character" w:customStyle="1" w:styleId="TekstopmerkingChar">
    <w:name w:val="Tekst opmerking Char"/>
    <w:basedOn w:val="Standaardalinea-lettertype"/>
    <w:link w:val="Tekstopmerking"/>
    <w:uiPriority w:val="99"/>
    <w:rsid w:val="009577F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577FF"/>
    <w:rPr>
      <w:b/>
      <w:bCs/>
    </w:rPr>
  </w:style>
  <w:style w:type="character" w:customStyle="1" w:styleId="OnderwerpvanopmerkingChar">
    <w:name w:val="Onderwerp van opmerking Char"/>
    <w:basedOn w:val="TekstopmerkingChar"/>
    <w:link w:val="Onderwerpvanopmerking"/>
    <w:uiPriority w:val="99"/>
    <w:semiHidden/>
    <w:rsid w:val="009577F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B558D6"/>
    <w:pPr>
      <w:tabs>
        <w:tab w:val="center" w:pos="4536"/>
        <w:tab w:val="right" w:pos="9072"/>
      </w:tabs>
    </w:pPr>
  </w:style>
  <w:style w:type="character" w:customStyle="1" w:styleId="KoptekstChar">
    <w:name w:val="Koptekst Char"/>
    <w:basedOn w:val="Standaardalinea-lettertype"/>
    <w:link w:val="Koptekst"/>
    <w:uiPriority w:val="99"/>
    <w:rsid w:val="00B558D6"/>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B558D6"/>
    <w:pPr>
      <w:tabs>
        <w:tab w:val="center" w:pos="4536"/>
        <w:tab w:val="right" w:pos="9072"/>
      </w:tabs>
    </w:pPr>
  </w:style>
  <w:style w:type="character" w:customStyle="1" w:styleId="VoettekstChar">
    <w:name w:val="Voettekst Char"/>
    <w:basedOn w:val="Standaardalinea-lettertype"/>
    <w:link w:val="Voettekst"/>
    <w:uiPriority w:val="99"/>
    <w:rsid w:val="00B558D6"/>
    <w:rPr>
      <w:rFonts w:ascii="Times New Roman" w:eastAsia="Times New Roman" w:hAnsi="Times New Roman" w:cs="Times New Roman"/>
      <w:kern w:val="0"/>
      <w:sz w:val="24"/>
      <w:szCs w:val="24"/>
      <w:lang w:eastAsia="nl-NL"/>
      <w14:ligatures w14:val="none"/>
    </w:rPr>
  </w:style>
  <w:style w:type="paragraph" w:customStyle="1" w:styleId="Amendement">
    <w:name w:val="Amendement"/>
    <w:rsid w:val="009F6E0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Revisie">
    <w:name w:val="Revision"/>
    <w:hidden/>
    <w:uiPriority w:val="99"/>
    <w:semiHidden/>
    <w:rsid w:val="00A460DE"/>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2486B"/>
    <w:rPr>
      <w:color w:val="0563C1" w:themeColor="hyperlink"/>
      <w:u w:val="single"/>
    </w:rPr>
  </w:style>
  <w:style w:type="character" w:styleId="Onopgelostemelding">
    <w:name w:val="Unresolved Mention"/>
    <w:basedOn w:val="Standaardalinea-lettertype"/>
    <w:uiPriority w:val="99"/>
    <w:semiHidden/>
    <w:unhideWhenUsed/>
    <w:rsid w:val="00A2486B"/>
    <w:rPr>
      <w:color w:val="605E5C"/>
      <w:shd w:val="clear" w:color="auto" w:fill="E1DFDD"/>
    </w:rPr>
  </w:style>
  <w:style w:type="paragraph" w:styleId="Voetnoottekst">
    <w:name w:val="footnote text"/>
    <w:basedOn w:val="Standaard"/>
    <w:link w:val="VoetnoottekstChar"/>
    <w:unhideWhenUsed/>
    <w:rsid w:val="008A0066"/>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rsid w:val="008A0066"/>
    <w:rPr>
      <w:kern w:val="0"/>
      <w:sz w:val="20"/>
      <w:szCs w:val="20"/>
      <w:lang w:val="en-US"/>
      <w14:ligatures w14:val="none"/>
    </w:rPr>
  </w:style>
  <w:style w:type="character" w:styleId="Voetnootmarkering">
    <w:name w:val="footnote reference"/>
    <w:basedOn w:val="Standaardalinea-lettertype"/>
    <w:uiPriority w:val="99"/>
    <w:unhideWhenUsed/>
    <w:rsid w:val="008A0066"/>
    <w:rPr>
      <w:vertAlign w:val="superscript"/>
    </w:rPr>
  </w:style>
  <w:style w:type="character" w:styleId="GevolgdeHyperlink">
    <w:name w:val="FollowedHyperlink"/>
    <w:basedOn w:val="Standaardalinea-lettertype"/>
    <w:uiPriority w:val="99"/>
    <w:semiHidden/>
    <w:unhideWhenUsed/>
    <w:rsid w:val="000646DA"/>
    <w:rPr>
      <w:color w:val="954F72" w:themeColor="followedHyperlink"/>
      <w:u w:val="single"/>
    </w:rPr>
  </w:style>
  <w:style w:type="paragraph" w:styleId="Normaalweb">
    <w:name w:val="Normal (Web)"/>
    <w:basedOn w:val="Standaard"/>
    <w:uiPriority w:val="99"/>
    <w:semiHidden/>
    <w:unhideWhenUsed/>
    <w:rsid w:val="008854BF"/>
    <w:pPr>
      <w:spacing w:before="100" w:beforeAutospacing="1" w:after="100" w:afterAutospacing="1"/>
    </w:pPr>
    <w:rPr>
      <w:lang w:eastAsia="en-US"/>
    </w:rPr>
  </w:style>
  <w:style w:type="character" w:customStyle="1" w:styleId="Kop1Char">
    <w:name w:val="Kop 1 Char"/>
    <w:basedOn w:val="Standaardalinea-lettertype"/>
    <w:link w:val="Kop1"/>
    <w:uiPriority w:val="9"/>
    <w:rsid w:val="00D50505"/>
    <w:rPr>
      <w:rFonts w:asciiTheme="majorHAnsi" w:eastAsiaTheme="majorEastAsia" w:hAnsiTheme="majorHAnsi" w:cstheme="majorBidi"/>
      <w:color w:val="2F5496" w:themeColor="accent1" w:themeShade="BF"/>
      <w:kern w:val="0"/>
      <w:sz w:val="32"/>
      <w:szCs w:val="32"/>
      <w:lang w:eastAsia="nl-NL"/>
      <w14:ligatures w14:val="none"/>
    </w:rPr>
  </w:style>
  <w:style w:type="character" w:customStyle="1" w:styleId="Kop3Char">
    <w:name w:val="Kop 3 Char"/>
    <w:basedOn w:val="Standaardalinea-lettertype"/>
    <w:link w:val="Kop3"/>
    <w:uiPriority w:val="9"/>
    <w:rsid w:val="007C1011"/>
    <w:rPr>
      <w:rFonts w:asciiTheme="majorHAnsi" w:eastAsiaTheme="majorEastAsia" w:hAnsiTheme="majorHAnsi" w:cstheme="majorBidi"/>
      <w:color w:val="1F3763" w:themeColor="accent1" w:themeShade="7F"/>
      <w:kern w:val="0"/>
      <w:sz w:val="24"/>
      <w:szCs w:val="24"/>
      <w:lang w:eastAsia="nl-NL"/>
      <w14:ligatures w14:val="none"/>
    </w:rPr>
  </w:style>
  <w:style w:type="character" w:customStyle="1" w:styleId="cf01">
    <w:name w:val="cf01"/>
    <w:basedOn w:val="Standaardalinea-lettertype"/>
    <w:rsid w:val="007D1D89"/>
    <w:rPr>
      <w:rFonts w:ascii="Segoe UI" w:hAnsi="Segoe UI" w:cs="Segoe UI" w:hint="default"/>
      <w:sz w:val="18"/>
      <w:szCs w:val="18"/>
    </w:rPr>
  </w:style>
  <w:style w:type="character" w:customStyle="1" w:styleId="Kop4Char">
    <w:name w:val="Kop 4 Char"/>
    <w:basedOn w:val="Standaardalinea-lettertype"/>
    <w:link w:val="Kop4"/>
    <w:uiPriority w:val="9"/>
    <w:semiHidden/>
    <w:rsid w:val="00472A39"/>
    <w:rPr>
      <w:rFonts w:asciiTheme="majorHAnsi" w:eastAsiaTheme="majorEastAsia" w:hAnsiTheme="majorHAnsi" w:cstheme="majorBidi"/>
      <w:i/>
      <w:iCs/>
      <w:color w:val="2F5496" w:themeColor="accent1" w:themeShade="BF"/>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794">
      <w:bodyDiv w:val="1"/>
      <w:marLeft w:val="0"/>
      <w:marRight w:val="0"/>
      <w:marTop w:val="0"/>
      <w:marBottom w:val="0"/>
      <w:divBdr>
        <w:top w:val="none" w:sz="0" w:space="0" w:color="auto"/>
        <w:left w:val="none" w:sz="0" w:space="0" w:color="auto"/>
        <w:bottom w:val="none" w:sz="0" w:space="0" w:color="auto"/>
        <w:right w:val="none" w:sz="0" w:space="0" w:color="auto"/>
      </w:divBdr>
    </w:div>
    <w:div w:id="279072177">
      <w:bodyDiv w:val="1"/>
      <w:marLeft w:val="0"/>
      <w:marRight w:val="0"/>
      <w:marTop w:val="0"/>
      <w:marBottom w:val="0"/>
      <w:divBdr>
        <w:top w:val="none" w:sz="0" w:space="0" w:color="auto"/>
        <w:left w:val="none" w:sz="0" w:space="0" w:color="auto"/>
        <w:bottom w:val="none" w:sz="0" w:space="0" w:color="auto"/>
        <w:right w:val="none" w:sz="0" w:space="0" w:color="auto"/>
      </w:divBdr>
    </w:div>
    <w:div w:id="291911772">
      <w:bodyDiv w:val="1"/>
      <w:marLeft w:val="0"/>
      <w:marRight w:val="0"/>
      <w:marTop w:val="0"/>
      <w:marBottom w:val="0"/>
      <w:divBdr>
        <w:top w:val="none" w:sz="0" w:space="0" w:color="auto"/>
        <w:left w:val="none" w:sz="0" w:space="0" w:color="auto"/>
        <w:bottom w:val="none" w:sz="0" w:space="0" w:color="auto"/>
        <w:right w:val="none" w:sz="0" w:space="0" w:color="auto"/>
      </w:divBdr>
    </w:div>
    <w:div w:id="378087414">
      <w:bodyDiv w:val="1"/>
      <w:marLeft w:val="0"/>
      <w:marRight w:val="0"/>
      <w:marTop w:val="0"/>
      <w:marBottom w:val="0"/>
      <w:divBdr>
        <w:top w:val="none" w:sz="0" w:space="0" w:color="auto"/>
        <w:left w:val="none" w:sz="0" w:space="0" w:color="auto"/>
        <w:bottom w:val="none" w:sz="0" w:space="0" w:color="auto"/>
        <w:right w:val="none" w:sz="0" w:space="0" w:color="auto"/>
      </w:divBdr>
    </w:div>
    <w:div w:id="476993088">
      <w:bodyDiv w:val="1"/>
      <w:marLeft w:val="0"/>
      <w:marRight w:val="0"/>
      <w:marTop w:val="0"/>
      <w:marBottom w:val="0"/>
      <w:divBdr>
        <w:top w:val="none" w:sz="0" w:space="0" w:color="auto"/>
        <w:left w:val="none" w:sz="0" w:space="0" w:color="auto"/>
        <w:bottom w:val="none" w:sz="0" w:space="0" w:color="auto"/>
        <w:right w:val="none" w:sz="0" w:space="0" w:color="auto"/>
      </w:divBdr>
    </w:div>
    <w:div w:id="792789337">
      <w:bodyDiv w:val="1"/>
      <w:marLeft w:val="0"/>
      <w:marRight w:val="0"/>
      <w:marTop w:val="0"/>
      <w:marBottom w:val="0"/>
      <w:divBdr>
        <w:top w:val="none" w:sz="0" w:space="0" w:color="auto"/>
        <w:left w:val="none" w:sz="0" w:space="0" w:color="auto"/>
        <w:bottom w:val="none" w:sz="0" w:space="0" w:color="auto"/>
        <w:right w:val="none" w:sz="0" w:space="0" w:color="auto"/>
      </w:divBdr>
    </w:div>
    <w:div w:id="863979137">
      <w:bodyDiv w:val="1"/>
      <w:marLeft w:val="0"/>
      <w:marRight w:val="0"/>
      <w:marTop w:val="0"/>
      <w:marBottom w:val="0"/>
      <w:divBdr>
        <w:top w:val="none" w:sz="0" w:space="0" w:color="auto"/>
        <w:left w:val="none" w:sz="0" w:space="0" w:color="auto"/>
        <w:bottom w:val="none" w:sz="0" w:space="0" w:color="auto"/>
        <w:right w:val="none" w:sz="0" w:space="0" w:color="auto"/>
      </w:divBdr>
    </w:div>
    <w:div w:id="920988000">
      <w:bodyDiv w:val="1"/>
      <w:marLeft w:val="0"/>
      <w:marRight w:val="0"/>
      <w:marTop w:val="0"/>
      <w:marBottom w:val="0"/>
      <w:divBdr>
        <w:top w:val="none" w:sz="0" w:space="0" w:color="auto"/>
        <w:left w:val="none" w:sz="0" w:space="0" w:color="auto"/>
        <w:bottom w:val="none" w:sz="0" w:space="0" w:color="auto"/>
        <w:right w:val="none" w:sz="0" w:space="0" w:color="auto"/>
      </w:divBdr>
    </w:div>
    <w:div w:id="987708880">
      <w:bodyDiv w:val="1"/>
      <w:marLeft w:val="0"/>
      <w:marRight w:val="0"/>
      <w:marTop w:val="0"/>
      <w:marBottom w:val="0"/>
      <w:divBdr>
        <w:top w:val="none" w:sz="0" w:space="0" w:color="auto"/>
        <w:left w:val="none" w:sz="0" w:space="0" w:color="auto"/>
        <w:bottom w:val="none" w:sz="0" w:space="0" w:color="auto"/>
        <w:right w:val="none" w:sz="0" w:space="0" w:color="auto"/>
      </w:divBdr>
    </w:div>
    <w:div w:id="1018890366">
      <w:bodyDiv w:val="1"/>
      <w:marLeft w:val="0"/>
      <w:marRight w:val="0"/>
      <w:marTop w:val="0"/>
      <w:marBottom w:val="0"/>
      <w:divBdr>
        <w:top w:val="none" w:sz="0" w:space="0" w:color="auto"/>
        <w:left w:val="none" w:sz="0" w:space="0" w:color="auto"/>
        <w:bottom w:val="none" w:sz="0" w:space="0" w:color="auto"/>
        <w:right w:val="none" w:sz="0" w:space="0" w:color="auto"/>
      </w:divBdr>
    </w:div>
    <w:div w:id="1089077679">
      <w:bodyDiv w:val="1"/>
      <w:marLeft w:val="0"/>
      <w:marRight w:val="0"/>
      <w:marTop w:val="0"/>
      <w:marBottom w:val="0"/>
      <w:divBdr>
        <w:top w:val="none" w:sz="0" w:space="0" w:color="auto"/>
        <w:left w:val="none" w:sz="0" w:space="0" w:color="auto"/>
        <w:bottom w:val="none" w:sz="0" w:space="0" w:color="auto"/>
        <w:right w:val="none" w:sz="0" w:space="0" w:color="auto"/>
      </w:divBdr>
    </w:div>
    <w:div w:id="1125274956">
      <w:bodyDiv w:val="1"/>
      <w:marLeft w:val="0"/>
      <w:marRight w:val="0"/>
      <w:marTop w:val="0"/>
      <w:marBottom w:val="0"/>
      <w:divBdr>
        <w:top w:val="none" w:sz="0" w:space="0" w:color="auto"/>
        <w:left w:val="none" w:sz="0" w:space="0" w:color="auto"/>
        <w:bottom w:val="none" w:sz="0" w:space="0" w:color="auto"/>
        <w:right w:val="none" w:sz="0" w:space="0" w:color="auto"/>
      </w:divBdr>
    </w:div>
    <w:div w:id="1181242934">
      <w:bodyDiv w:val="1"/>
      <w:marLeft w:val="0"/>
      <w:marRight w:val="0"/>
      <w:marTop w:val="0"/>
      <w:marBottom w:val="0"/>
      <w:divBdr>
        <w:top w:val="none" w:sz="0" w:space="0" w:color="auto"/>
        <w:left w:val="none" w:sz="0" w:space="0" w:color="auto"/>
        <w:bottom w:val="none" w:sz="0" w:space="0" w:color="auto"/>
        <w:right w:val="none" w:sz="0" w:space="0" w:color="auto"/>
      </w:divBdr>
    </w:div>
    <w:div w:id="1233008621">
      <w:bodyDiv w:val="1"/>
      <w:marLeft w:val="0"/>
      <w:marRight w:val="0"/>
      <w:marTop w:val="0"/>
      <w:marBottom w:val="0"/>
      <w:divBdr>
        <w:top w:val="none" w:sz="0" w:space="0" w:color="auto"/>
        <w:left w:val="none" w:sz="0" w:space="0" w:color="auto"/>
        <w:bottom w:val="none" w:sz="0" w:space="0" w:color="auto"/>
        <w:right w:val="none" w:sz="0" w:space="0" w:color="auto"/>
      </w:divBdr>
    </w:div>
    <w:div w:id="1250197336">
      <w:bodyDiv w:val="1"/>
      <w:marLeft w:val="0"/>
      <w:marRight w:val="0"/>
      <w:marTop w:val="0"/>
      <w:marBottom w:val="0"/>
      <w:divBdr>
        <w:top w:val="none" w:sz="0" w:space="0" w:color="auto"/>
        <w:left w:val="none" w:sz="0" w:space="0" w:color="auto"/>
        <w:bottom w:val="none" w:sz="0" w:space="0" w:color="auto"/>
        <w:right w:val="none" w:sz="0" w:space="0" w:color="auto"/>
      </w:divBdr>
    </w:div>
    <w:div w:id="1326397977">
      <w:bodyDiv w:val="1"/>
      <w:marLeft w:val="0"/>
      <w:marRight w:val="0"/>
      <w:marTop w:val="0"/>
      <w:marBottom w:val="0"/>
      <w:divBdr>
        <w:top w:val="none" w:sz="0" w:space="0" w:color="auto"/>
        <w:left w:val="none" w:sz="0" w:space="0" w:color="auto"/>
        <w:bottom w:val="none" w:sz="0" w:space="0" w:color="auto"/>
        <w:right w:val="none" w:sz="0" w:space="0" w:color="auto"/>
      </w:divBdr>
    </w:div>
    <w:div w:id="1386953419">
      <w:bodyDiv w:val="1"/>
      <w:marLeft w:val="0"/>
      <w:marRight w:val="0"/>
      <w:marTop w:val="0"/>
      <w:marBottom w:val="0"/>
      <w:divBdr>
        <w:top w:val="none" w:sz="0" w:space="0" w:color="auto"/>
        <w:left w:val="none" w:sz="0" w:space="0" w:color="auto"/>
        <w:bottom w:val="none" w:sz="0" w:space="0" w:color="auto"/>
        <w:right w:val="none" w:sz="0" w:space="0" w:color="auto"/>
      </w:divBdr>
    </w:div>
    <w:div w:id="1541237996">
      <w:bodyDiv w:val="1"/>
      <w:marLeft w:val="0"/>
      <w:marRight w:val="0"/>
      <w:marTop w:val="0"/>
      <w:marBottom w:val="0"/>
      <w:divBdr>
        <w:top w:val="none" w:sz="0" w:space="0" w:color="auto"/>
        <w:left w:val="none" w:sz="0" w:space="0" w:color="auto"/>
        <w:bottom w:val="none" w:sz="0" w:space="0" w:color="auto"/>
        <w:right w:val="none" w:sz="0" w:space="0" w:color="auto"/>
      </w:divBdr>
    </w:div>
    <w:div w:id="17719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etten.overheid.nl/BWBR0040482/" TargetMode="External" Id="rId13" /><Relationship Type="http://schemas.openxmlformats.org/officeDocument/2006/relationships/styles" Target="styles.xml" Id="rId7" /><Relationship Type="http://schemas.openxmlformats.org/officeDocument/2006/relationships/hyperlink" Target="file:///H:\Application%20Data\Microsoft%20Office\Outlook\SecureTempFolder\als"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roloket.nl/ondergrondmodellen/kaart" TargetMode="External"/><Relationship Id="rId2" Type="http://schemas.openxmlformats.org/officeDocument/2006/relationships/hyperlink" Target="https://eur-lex.europa.eu/legal-content/NL/TXT/PDF/?uri=CELEX:32020L2184" TargetMode="External"/><Relationship Id="rId1" Type="http://schemas.openxmlformats.org/officeDocument/2006/relationships/hyperlink" Target="https://eur-lex.europa.eu/legal-content/EN/TXT/?uri=CELEX%3A02007L0002-201906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5148</ap:Words>
  <ap:Characters>28315</ap:Characters>
  <ap:DocSecurity>0</ap:DocSecurity>
  <ap:Lines>235</ap:Lines>
  <ap:Paragraphs>66</ap:Paragraphs>
  <ap:ScaleCrop>false</ap:ScaleCrop>
  <ap:LinksUpToDate>false</ap:LinksUpToDate>
  <ap:CharactersWithSpaces>33397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2024-08-08T09:56:00.0000000Z</dcterms:created>
  <dcterms:modified xsi:type="dcterms:W3CDTF">2024-09-11T09:32:00.0000000Z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58ceb8b0-abff-429c-9613-31dccbcb7a01</vt:lpwstr>
  </property>
</Properties>
</file>