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40ECA" w:rsidP="008532BC" w:rsidRDefault="004A4B16" w14:paraId="4158B4F4" w14:textId="10A9C2EC">
      <w:r>
        <w:t xml:space="preserve">Geachte </w:t>
      </w:r>
      <w:r w:rsidR="008532BC">
        <w:t>V</w:t>
      </w:r>
      <w:r>
        <w:t>oorzitter,</w:t>
      </w:r>
    </w:p>
    <w:p w:rsidR="004A4B16" w:rsidP="008532BC" w:rsidRDefault="004A4B16" w14:paraId="348C6957" w14:textId="77777777"/>
    <w:p w:rsidR="0067176C" w:rsidP="008532BC" w:rsidRDefault="009E733E" w14:paraId="1D23606E" w14:textId="4E5305F6">
      <w:pPr>
        <w:rPr>
          <w:rFonts w:cs="Arial"/>
          <w:szCs w:val="18"/>
        </w:rPr>
      </w:pPr>
      <w:r w:rsidRPr="009C497C">
        <w:rPr>
          <w:rFonts w:cs="Arial"/>
          <w:szCs w:val="18"/>
        </w:rPr>
        <w:t xml:space="preserve">Met deze brief </w:t>
      </w:r>
      <w:r>
        <w:rPr>
          <w:rFonts w:cs="Arial"/>
          <w:szCs w:val="18"/>
        </w:rPr>
        <w:t>informeer ik</w:t>
      </w:r>
      <w:r w:rsidRPr="009C497C">
        <w:rPr>
          <w:rFonts w:cs="Arial"/>
          <w:szCs w:val="18"/>
        </w:rPr>
        <w:t xml:space="preserve"> </w:t>
      </w:r>
      <w:r w:rsidR="00A25FB9">
        <w:rPr>
          <w:rFonts w:cs="Arial"/>
          <w:szCs w:val="18"/>
        </w:rPr>
        <w:t>uw</w:t>
      </w:r>
      <w:r w:rsidRPr="009C497C">
        <w:rPr>
          <w:rFonts w:cs="Arial"/>
          <w:szCs w:val="18"/>
        </w:rPr>
        <w:t xml:space="preserve"> Kamer over de onderzoeksopzet </w:t>
      </w:r>
      <w:r w:rsidR="0067176C">
        <w:rPr>
          <w:rFonts w:cs="Arial"/>
          <w:szCs w:val="18"/>
        </w:rPr>
        <w:t xml:space="preserve">voor de </w:t>
      </w:r>
      <w:r w:rsidRPr="009C497C">
        <w:rPr>
          <w:rFonts w:cs="Arial"/>
          <w:szCs w:val="18"/>
        </w:rPr>
        <w:t xml:space="preserve">twee uit te voeren periodieke </w:t>
      </w:r>
      <w:r>
        <w:rPr>
          <w:rFonts w:cs="Arial"/>
          <w:szCs w:val="18"/>
        </w:rPr>
        <w:t>rapportages</w:t>
      </w:r>
      <w:r w:rsidR="0067176C">
        <w:rPr>
          <w:rFonts w:cs="Arial"/>
          <w:szCs w:val="18"/>
        </w:rPr>
        <w:t xml:space="preserve"> op het gebied van het Innovatiebeleid en Ondernemerschap</w:t>
      </w:r>
      <w:r>
        <w:rPr>
          <w:rStyle w:val="Voetnootmarkering"/>
          <w:rFonts w:cs="Arial"/>
          <w:szCs w:val="18"/>
        </w:rPr>
        <w:footnoteReference w:id="1"/>
      </w:r>
      <w:r w:rsidRPr="009C497C">
        <w:rPr>
          <w:rFonts w:cs="Arial"/>
          <w:szCs w:val="18"/>
        </w:rPr>
        <w:t>.</w:t>
      </w:r>
    </w:p>
    <w:p w:rsidR="0067176C" w:rsidP="008532BC" w:rsidRDefault="0067176C" w14:paraId="12D5CC56" w14:textId="77777777">
      <w:pPr>
        <w:rPr>
          <w:rFonts w:cs="Arial"/>
          <w:szCs w:val="18"/>
        </w:rPr>
      </w:pPr>
    </w:p>
    <w:p w:rsidRPr="00BA7110" w:rsidR="00BC50FA" w:rsidP="008532BC" w:rsidRDefault="00BC50FA" w14:paraId="7047BEE3" w14:textId="0493F2D9">
      <w:pPr>
        <w:pStyle w:val="Lijstalinea"/>
        <w:numPr>
          <w:ilvl w:val="0"/>
          <w:numId w:val="16"/>
        </w:numPr>
        <w:spacing w:after="0" w:line="240" w:lineRule="atLeast"/>
        <w:rPr>
          <w:rFonts w:ascii="Verdana" w:hAnsi="Verdana"/>
          <w:b/>
          <w:bCs/>
          <w:iCs/>
          <w:sz w:val="18"/>
          <w:szCs w:val="18"/>
        </w:rPr>
      </w:pPr>
      <w:r>
        <w:rPr>
          <w:rFonts w:ascii="Verdana" w:hAnsi="Verdana"/>
          <w:b/>
          <w:bCs/>
          <w:iCs/>
          <w:sz w:val="18"/>
          <w:szCs w:val="18"/>
        </w:rPr>
        <w:t>Inleiding</w:t>
      </w:r>
    </w:p>
    <w:p w:rsidR="00BC50FA" w:rsidP="008532BC" w:rsidRDefault="00BC50FA" w14:paraId="5DC125E7" w14:textId="77777777">
      <w:pPr>
        <w:rPr>
          <w:rFonts w:cs="Arial"/>
          <w:szCs w:val="18"/>
        </w:rPr>
      </w:pPr>
    </w:p>
    <w:p w:rsidRPr="00A25FB9" w:rsidR="00FD3148" w:rsidP="008532BC" w:rsidRDefault="00FD3148" w14:paraId="5492E628" w14:textId="54F6CF9E">
      <w:pPr>
        <w:rPr>
          <w:rFonts w:cs="Arial"/>
          <w:i/>
          <w:iCs/>
          <w:szCs w:val="18"/>
        </w:rPr>
      </w:pPr>
      <w:r w:rsidRPr="00A25FB9">
        <w:rPr>
          <w:rFonts w:cs="Arial"/>
          <w:i/>
          <w:iCs/>
          <w:szCs w:val="18"/>
        </w:rPr>
        <w:t>Periodieke rapportages</w:t>
      </w:r>
    </w:p>
    <w:p w:rsidRPr="00C57CCB" w:rsidR="004A4B16" w:rsidP="008532BC" w:rsidRDefault="004A4B16" w14:paraId="5FB5BB1F" w14:textId="4F70FDDA">
      <w:pPr>
        <w:rPr>
          <w:iCs/>
          <w:szCs w:val="18"/>
        </w:rPr>
      </w:pPr>
      <w:r w:rsidRPr="00C57CCB">
        <w:rPr>
          <w:iCs/>
          <w:szCs w:val="18"/>
        </w:rPr>
        <w:t xml:space="preserve">In de Strategische Evaluatie Agenda (SEA) van het </w:t>
      </w:r>
      <w:r w:rsidR="008532BC">
        <w:rPr>
          <w:iCs/>
          <w:szCs w:val="18"/>
        </w:rPr>
        <w:t>m</w:t>
      </w:r>
      <w:r w:rsidRPr="00C57CCB">
        <w:rPr>
          <w:iCs/>
          <w:szCs w:val="18"/>
        </w:rPr>
        <w:t xml:space="preserve">inisterie van Economische Zaken (EZ) zijn voor het jaar 2025 periodieke rapportages geprogrammeerd voor de thema’s Ondernemerschap en Innovatiebeleid. Een periodieke rapportage vormt het sluitstuk van een beleidsthema op de SEA. </w:t>
      </w:r>
      <w:r w:rsidR="00E84AF0">
        <w:rPr>
          <w:iCs/>
          <w:szCs w:val="18"/>
        </w:rPr>
        <w:t xml:space="preserve">Deze </w:t>
      </w:r>
      <w:r w:rsidRPr="00C57CCB">
        <w:rPr>
          <w:iCs/>
          <w:szCs w:val="18"/>
        </w:rPr>
        <w:t xml:space="preserve">geeft op themaniveau een totaalbeeld van de bereikte doeltreffendheid, doelmatigheid en de (gerealiseerde) voorwaarden hiervoor. </w:t>
      </w:r>
      <w:r w:rsidR="006430A1">
        <w:rPr>
          <w:iCs/>
          <w:szCs w:val="18"/>
        </w:rPr>
        <w:t>E</w:t>
      </w:r>
      <w:r w:rsidRPr="00C57CCB">
        <w:rPr>
          <w:iCs/>
          <w:szCs w:val="18"/>
        </w:rPr>
        <w:t xml:space="preserve">en periodieke rapportage </w:t>
      </w:r>
      <w:r w:rsidR="006430A1">
        <w:rPr>
          <w:iCs/>
          <w:szCs w:val="18"/>
        </w:rPr>
        <w:t xml:space="preserve">vormt </w:t>
      </w:r>
      <w:r w:rsidR="00395048">
        <w:rPr>
          <w:iCs/>
          <w:szCs w:val="18"/>
        </w:rPr>
        <w:t xml:space="preserve">een synthese van </w:t>
      </w:r>
      <w:r w:rsidRPr="00C57CCB">
        <w:rPr>
          <w:iCs/>
          <w:szCs w:val="18"/>
        </w:rPr>
        <w:t xml:space="preserve">de </w:t>
      </w:r>
      <w:r w:rsidR="00E84AF0">
        <w:rPr>
          <w:iCs/>
          <w:szCs w:val="18"/>
        </w:rPr>
        <w:t xml:space="preserve">evaluaties, </w:t>
      </w:r>
      <w:r w:rsidRPr="00C57CCB">
        <w:rPr>
          <w:iCs/>
          <w:szCs w:val="18"/>
        </w:rPr>
        <w:t>monitors en andere onderzoeken die gedurende de 4-</w:t>
      </w:r>
      <w:r w:rsidR="008532BC">
        <w:rPr>
          <w:iCs/>
          <w:szCs w:val="18"/>
        </w:rPr>
        <w:t> </w:t>
      </w:r>
      <w:r w:rsidRPr="00C57CCB">
        <w:rPr>
          <w:iCs/>
          <w:szCs w:val="18"/>
        </w:rPr>
        <w:t>tot 7-jarige looptijd van een SEA-thema zijn opgeleverd.</w:t>
      </w:r>
    </w:p>
    <w:p w:rsidR="004A4B16" w:rsidP="008532BC" w:rsidRDefault="004A4B16" w14:paraId="59D86AE1" w14:textId="77777777">
      <w:pPr>
        <w:rPr>
          <w:iCs/>
          <w:szCs w:val="18"/>
        </w:rPr>
      </w:pPr>
    </w:p>
    <w:p w:rsidR="004A4B16" w:rsidP="008532BC" w:rsidRDefault="004A4B16" w14:paraId="5E8912AD" w14:textId="26FF0A98">
      <w:pPr>
        <w:rPr>
          <w:iCs/>
          <w:szCs w:val="18"/>
        </w:rPr>
      </w:pPr>
      <w:r w:rsidRPr="00416B48">
        <w:rPr>
          <w:iCs/>
          <w:szCs w:val="18"/>
        </w:rPr>
        <w:t xml:space="preserve">De periodieke rapportages vervangen </w:t>
      </w:r>
      <w:r>
        <w:rPr>
          <w:iCs/>
          <w:szCs w:val="18"/>
        </w:rPr>
        <w:t xml:space="preserve">vanaf 2024 </w:t>
      </w:r>
      <w:r w:rsidRPr="00416B48">
        <w:rPr>
          <w:iCs/>
          <w:szCs w:val="18"/>
        </w:rPr>
        <w:t>de beleidsdoorlichtingen.</w:t>
      </w:r>
      <w:r>
        <w:rPr>
          <w:iCs/>
          <w:szCs w:val="18"/>
        </w:rPr>
        <w:t xml:space="preserve"> De thema’s Ondernemerschap en Innovatiebeleid omvatten beleid op de beleidsartikelen 2 en 3 van de begroting van EZ, respectievelijk getiteld: ‘</w:t>
      </w:r>
      <w:r w:rsidRPr="00F43F5E">
        <w:rPr>
          <w:iCs/>
          <w:szCs w:val="18"/>
        </w:rPr>
        <w:t>Bedrijvenbeleid: innovatie en ondernemerschap voor duurzame welvaartsgroei</w:t>
      </w:r>
      <w:r>
        <w:rPr>
          <w:iCs/>
          <w:szCs w:val="18"/>
        </w:rPr>
        <w:t>’ en ‘Toekomstfonds’. In 2020 heeft een beleidsdoorlichting plaatsgevonden van deze twee artikelen, gebaseerd op evaluaties uitgevoerd in de periode 2014-2019</w:t>
      </w:r>
      <w:r>
        <w:rPr>
          <w:rStyle w:val="Voetnootmarkering"/>
          <w:iCs/>
          <w:szCs w:val="18"/>
        </w:rPr>
        <w:footnoteReference w:id="2"/>
      </w:r>
      <w:r>
        <w:rPr>
          <w:iCs/>
          <w:szCs w:val="18"/>
        </w:rPr>
        <w:t xml:space="preserve">. De aankomende periodieke rapportages zullen betrekking hebben op de periode 2020-2025, gebaseerd op evaluaties </w:t>
      </w:r>
      <w:r w:rsidR="006430A1">
        <w:rPr>
          <w:iCs/>
          <w:szCs w:val="18"/>
        </w:rPr>
        <w:t xml:space="preserve">en monitors </w:t>
      </w:r>
      <w:r>
        <w:rPr>
          <w:iCs/>
          <w:szCs w:val="18"/>
        </w:rPr>
        <w:t>uitgevoerd in de periode 2020-2024 en gedeeltelijk 2025 als overloopjaar.</w:t>
      </w:r>
      <w:r w:rsidR="001B760B">
        <w:rPr>
          <w:iCs/>
          <w:szCs w:val="18"/>
        </w:rPr>
        <w:t xml:space="preserve"> In de bijlage bij deze Kamerbrief vindt u een overzicht van alle beschikbare evaluaties en monitors </w:t>
      </w:r>
      <w:r w:rsidR="00F1192F">
        <w:rPr>
          <w:iCs/>
          <w:szCs w:val="18"/>
        </w:rPr>
        <w:t>uit</w:t>
      </w:r>
      <w:r w:rsidR="001B760B">
        <w:rPr>
          <w:iCs/>
          <w:szCs w:val="18"/>
        </w:rPr>
        <w:t xml:space="preserve"> deze periode.</w:t>
      </w:r>
    </w:p>
    <w:p w:rsidR="004A4B16" w:rsidP="008532BC" w:rsidRDefault="004A4B16" w14:paraId="4B9E67FD" w14:textId="77777777">
      <w:pPr>
        <w:rPr>
          <w:rFonts w:cs="Arial"/>
          <w:szCs w:val="18"/>
        </w:rPr>
      </w:pPr>
    </w:p>
    <w:p w:rsidR="004A4B16" w:rsidP="008532BC" w:rsidRDefault="004A4B16" w14:paraId="0A70A226" w14:textId="4C972820">
      <w:pPr>
        <w:rPr>
          <w:iCs/>
          <w:szCs w:val="18"/>
        </w:rPr>
      </w:pPr>
      <w:r>
        <w:rPr>
          <w:iCs/>
          <w:szCs w:val="18"/>
        </w:rPr>
        <w:t>Hoewel voor de thema’s Ondernemerschap en Innovatiebeleid afzonderlijke periodieke rapportages zijn op te stellen, wordt in de aanpak rekening gehouden met complementariteit tussen de twee thema’s. Er is voor gekozen om de twee periodieke rapportages qua methodiek op vergelijkbare wijze te laten uitvoeren</w:t>
      </w:r>
      <w:r w:rsidR="001B760B">
        <w:rPr>
          <w:iCs/>
          <w:szCs w:val="18"/>
        </w:rPr>
        <w:t>. Samen geven ze zo een totaalbeeld van de</w:t>
      </w:r>
      <w:r>
        <w:rPr>
          <w:iCs/>
          <w:szCs w:val="18"/>
        </w:rPr>
        <w:t xml:space="preserve"> doeltreffendheid en doelmatigheid van beleid </w:t>
      </w:r>
      <w:r w:rsidR="001B760B">
        <w:rPr>
          <w:iCs/>
          <w:szCs w:val="18"/>
        </w:rPr>
        <w:t xml:space="preserve">op deze met elkaar verweven onderwerpen. </w:t>
      </w:r>
      <w:r w:rsidRPr="00DB030E">
        <w:rPr>
          <w:iCs/>
          <w:szCs w:val="18"/>
        </w:rPr>
        <w:t>D</w:t>
      </w:r>
      <w:r w:rsidR="00B0207A">
        <w:rPr>
          <w:iCs/>
          <w:szCs w:val="18"/>
        </w:rPr>
        <w:t>i</w:t>
      </w:r>
      <w:r w:rsidRPr="00DB030E">
        <w:rPr>
          <w:iCs/>
          <w:szCs w:val="18"/>
        </w:rPr>
        <w:t xml:space="preserve">e verwevenheid ligt in het feit dat ondernemerschap </w:t>
      </w:r>
      <w:r w:rsidR="001B760B">
        <w:rPr>
          <w:iCs/>
          <w:szCs w:val="18"/>
        </w:rPr>
        <w:t>essentieel</w:t>
      </w:r>
      <w:r w:rsidRPr="00DB030E">
        <w:rPr>
          <w:iCs/>
          <w:szCs w:val="18"/>
        </w:rPr>
        <w:t xml:space="preserve"> is voor het realiseren van innovatie en innovatie op haar beurt mogelijkheden biedt voor </w:t>
      </w:r>
      <w:r w:rsidR="0053122C">
        <w:rPr>
          <w:iCs/>
          <w:szCs w:val="18"/>
        </w:rPr>
        <w:t>vernieuwend</w:t>
      </w:r>
      <w:r w:rsidRPr="00DB030E" w:rsidR="0053122C">
        <w:rPr>
          <w:iCs/>
          <w:szCs w:val="18"/>
        </w:rPr>
        <w:t xml:space="preserve"> </w:t>
      </w:r>
      <w:r w:rsidRPr="00DB030E">
        <w:rPr>
          <w:iCs/>
          <w:szCs w:val="18"/>
        </w:rPr>
        <w:t>ondernemerschap.</w:t>
      </w:r>
      <w:r>
        <w:rPr>
          <w:iCs/>
          <w:szCs w:val="18"/>
        </w:rPr>
        <w:t xml:space="preserve"> Daarmee dragen deze thema</w:t>
      </w:r>
      <w:r w:rsidR="00BA50F9">
        <w:rPr>
          <w:iCs/>
          <w:szCs w:val="18"/>
        </w:rPr>
        <w:t>’</w:t>
      </w:r>
      <w:r>
        <w:rPr>
          <w:iCs/>
          <w:szCs w:val="18"/>
        </w:rPr>
        <w:t>s</w:t>
      </w:r>
      <w:r w:rsidR="00BA50F9">
        <w:rPr>
          <w:iCs/>
          <w:szCs w:val="18"/>
        </w:rPr>
        <w:t xml:space="preserve"> van het bedrijvenbeleid</w:t>
      </w:r>
      <w:r>
        <w:rPr>
          <w:iCs/>
          <w:szCs w:val="18"/>
        </w:rPr>
        <w:t xml:space="preserve"> bij aan het verdienvermogen van bedrijven</w:t>
      </w:r>
      <w:r w:rsidR="00BA50F9">
        <w:rPr>
          <w:iCs/>
          <w:szCs w:val="18"/>
        </w:rPr>
        <w:t>,</w:t>
      </w:r>
      <w:r>
        <w:rPr>
          <w:iCs/>
          <w:szCs w:val="18"/>
        </w:rPr>
        <w:t xml:space="preserve"> aan vernieuwende oplossingen voor maatschappelijke uitdagingen</w:t>
      </w:r>
      <w:r w:rsidR="00BA50F9">
        <w:rPr>
          <w:iCs/>
          <w:szCs w:val="18"/>
        </w:rPr>
        <w:t xml:space="preserve"> en aan duurzame welvaartsgroei</w:t>
      </w:r>
      <w:r>
        <w:rPr>
          <w:iCs/>
          <w:szCs w:val="18"/>
        </w:rPr>
        <w:t>.</w:t>
      </w:r>
    </w:p>
    <w:p w:rsidR="004A4B16" w:rsidP="008532BC" w:rsidRDefault="004A4B16" w14:paraId="1E092FD9" w14:textId="77777777">
      <w:pPr>
        <w:rPr>
          <w:iCs/>
          <w:szCs w:val="18"/>
        </w:rPr>
      </w:pPr>
    </w:p>
    <w:p w:rsidRPr="00BC50FA" w:rsidR="00BC50FA" w:rsidP="008532BC" w:rsidRDefault="00BC50FA" w14:paraId="2EC424A7" w14:textId="3C6E4359">
      <w:pPr>
        <w:pStyle w:val="Lijstalinea"/>
        <w:numPr>
          <w:ilvl w:val="0"/>
          <w:numId w:val="16"/>
        </w:numPr>
        <w:spacing w:after="0" w:line="240" w:lineRule="atLeast"/>
        <w:rPr>
          <w:iCs/>
          <w:szCs w:val="18"/>
        </w:rPr>
      </w:pPr>
      <w:r w:rsidRPr="00701607">
        <w:rPr>
          <w:b/>
          <w:bCs/>
          <w:iCs/>
          <w:szCs w:val="18"/>
        </w:rPr>
        <w:t>Scope en globale uitgangspunten</w:t>
      </w:r>
    </w:p>
    <w:p w:rsidRPr="00483369" w:rsidR="004A4B16" w:rsidP="008532BC" w:rsidRDefault="004A4B16" w14:paraId="617D5978" w14:textId="77777777">
      <w:pPr>
        <w:rPr>
          <w:iCs/>
          <w:szCs w:val="18"/>
        </w:rPr>
      </w:pPr>
      <w:r>
        <w:rPr>
          <w:i/>
          <w:szCs w:val="18"/>
        </w:rPr>
        <w:t>Strategische en tactische doelen van het DG Bedrijfsleven en Innovatie</w:t>
      </w:r>
    </w:p>
    <w:p w:rsidR="004A4B16" w:rsidP="008532BC" w:rsidRDefault="00F141BE" w14:paraId="20DE2EEE" w14:textId="7D45F68E">
      <w:pPr>
        <w:rPr>
          <w:iCs/>
          <w:szCs w:val="18"/>
        </w:rPr>
      </w:pPr>
      <w:r>
        <w:rPr>
          <w:iCs/>
          <w:szCs w:val="18"/>
        </w:rPr>
        <w:t xml:space="preserve">Het </w:t>
      </w:r>
      <w:r w:rsidR="008532BC">
        <w:rPr>
          <w:iCs/>
          <w:szCs w:val="18"/>
        </w:rPr>
        <w:t>d</w:t>
      </w:r>
      <w:r w:rsidR="00A53EF7">
        <w:rPr>
          <w:iCs/>
          <w:szCs w:val="18"/>
        </w:rPr>
        <w:t>irectoraat-</w:t>
      </w:r>
      <w:r w:rsidR="008532BC">
        <w:rPr>
          <w:iCs/>
          <w:szCs w:val="18"/>
        </w:rPr>
        <w:t>g</w:t>
      </w:r>
      <w:r w:rsidR="00A53EF7">
        <w:rPr>
          <w:iCs/>
          <w:szCs w:val="18"/>
        </w:rPr>
        <w:t xml:space="preserve">eneraal </w:t>
      </w:r>
      <w:r w:rsidR="004A4B16">
        <w:rPr>
          <w:iCs/>
          <w:szCs w:val="18"/>
        </w:rPr>
        <w:t xml:space="preserve">Bedrijfsleven en Innovatie </w:t>
      </w:r>
      <w:r>
        <w:rPr>
          <w:iCs/>
          <w:szCs w:val="18"/>
        </w:rPr>
        <w:t>(B&amp;I)</w:t>
      </w:r>
      <w:r w:rsidR="005E6A7A">
        <w:rPr>
          <w:iCs/>
          <w:szCs w:val="18"/>
        </w:rPr>
        <w:t xml:space="preserve"> van het ministerie van EZ</w:t>
      </w:r>
      <w:r>
        <w:rPr>
          <w:iCs/>
          <w:szCs w:val="18"/>
        </w:rPr>
        <w:t xml:space="preserve"> </w:t>
      </w:r>
      <w:r w:rsidR="004A4B16">
        <w:rPr>
          <w:iCs/>
          <w:szCs w:val="18"/>
        </w:rPr>
        <w:t xml:space="preserve">heeft </w:t>
      </w:r>
      <w:r w:rsidR="00162D74">
        <w:rPr>
          <w:iCs/>
          <w:szCs w:val="18"/>
        </w:rPr>
        <w:t xml:space="preserve">in de afgelopen periode </w:t>
      </w:r>
      <w:r w:rsidR="004A4B16">
        <w:rPr>
          <w:iCs/>
          <w:szCs w:val="18"/>
        </w:rPr>
        <w:t xml:space="preserve">vier beleidsdoelen </w:t>
      </w:r>
      <w:r w:rsidR="00F04374">
        <w:rPr>
          <w:iCs/>
          <w:szCs w:val="18"/>
        </w:rPr>
        <w:t>o</w:t>
      </w:r>
      <w:r w:rsidR="004A4B16">
        <w:rPr>
          <w:iCs/>
          <w:szCs w:val="18"/>
        </w:rPr>
        <w:t>p strategisch niveau</w:t>
      </w:r>
      <w:r w:rsidR="005E6A7A">
        <w:rPr>
          <w:iCs/>
          <w:szCs w:val="18"/>
        </w:rPr>
        <w:t xml:space="preserve"> geformuleerd</w:t>
      </w:r>
      <w:r w:rsidR="004A4B16">
        <w:rPr>
          <w:iCs/>
          <w:szCs w:val="18"/>
        </w:rPr>
        <w:t>:</w:t>
      </w:r>
    </w:p>
    <w:p w:rsidR="006C072C" w:rsidP="008532BC" w:rsidRDefault="006C072C" w14:paraId="50EBF684" w14:textId="77777777">
      <w:pPr>
        <w:rPr>
          <w:iCs/>
          <w:szCs w:val="18"/>
        </w:rPr>
      </w:pPr>
    </w:p>
    <w:p w:rsidRPr="00DB0FD9" w:rsidR="004A4B16" w:rsidP="008532BC" w:rsidRDefault="004A4B16" w14:paraId="06BB2E3E" w14:textId="4DBA92FF">
      <w:pPr>
        <w:pStyle w:val="Lijstalinea"/>
        <w:numPr>
          <w:ilvl w:val="0"/>
          <w:numId w:val="22"/>
        </w:numPr>
        <w:spacing w:after="0" w:line="240" w:lineRule="atLeast"/>
        <w:rPr>
          <w:rFonts w:ascii="Verdana" w:hAnsi="Verdana"/>
          <w:iCs/>
          <w:sz w:val="18"/>
          <w:szCs w:val="18"/>
        </w:rPr>
      </w:pPr>
      <w:r w:rsidRPr="00DB0FD9">
        <w:rPr>
          <w:rFonts w:ascii="Verdana" w:hAnsi="Verdana"/>
          <w:iCs/>
          <w:sz w:val="18"/>
          <w:szCs w:val="18"/>
        </w:rPr>
        <w:t>Verduurzaming van het Nederlandse bedrijfsleven</w:t>
      </w:r>
    </w:p>
    <w:p w:rsidRPr="00DB0FD9" w:rsidR="004A4B16" w:rsidP="008532BC" w:rsidRDefault="004A4B16" w14:paraId="55E9A277" w14:textId="4580A0C6">
      <w:pPr>
        <w:pStyle w:val="Lijstalinea"/>
        <w:numPr>
          <w:ilvl w:val="0"/>
          <w:numId w:val="22"/>
        </w:numPr>
        <w:spacing w:after="0" w:line="240" w:lineRule="atLeast"/>
        <w:rPr>
          <w:rFonts w:ascii="Verdana" w:hAnsi="Verdana"/>
          <w:iCs/>
          <w:sz w:val="18"/>
          <w:szCs w:val="18"/>
        </w:rPr>
      </w:pPr>
      <w:r w:rsidRPr="00DB0FD9">
        <w:rPr>
          <w:rFonts w:ascii="Verdana" w:hAnsi="Verdana"/>
          <w:iCs/>
          <w:sz w:val="18"/>
          <w:szCs w:val="18"/>
        </w:rPr>
        <w:t>Een uitmuntend ondernemings- en vestigingsklimaat</w:t>
      </w:r>
    </w:p>
    <w:p w:rsidRPr="00DB0FD9" w:rsidR="004A4B16" w:rsidP="008532BC" w:rsidRDefault="004A4B16" w14:paraId="7F0A93EE" w14:textId="3FD4C478">
      <w:pPr>
        <w:pStyle w:val="Lijstalinea"/>
        <w:numPr>
          <w:ilvl w:val="0"/>
          <w:numId w:val="22"/>
        </w:numPr>
        <w:spacing w:after="0" w:line="240" w:lineRule="atLeast"/>
        <w:rPr>
          <w:rFonts w:ascii="Verdana" w:hAnsi="Verdana"/>
          <w:iCs/>
          <w:sz w:val="18"/>
          <w:szCs w:val="18"/>
        </w:rPr>
      </w:pPr>
      <w:r w:rsidRPr="00DB0FD9">
        <w:rPr>
          <w:rFonts w:ascii="Verdana" w:hAnsi="Verdana"/>
          <w:iCs/>
          <w:sz w:val="18"/>
          <w:szCs w:val="18"/>
        </w:rPr>
        <w:t>Innovatiebevordering &amp; economische vernieuwing sectoren</w:t>
      </w:r>
    </w:p>
    <w:p w:rsidRPr="00DB0FD9" w:rsidR="004A4B16" w:rsidP="008532BC" w:rsidRDefault="004A4B16" w14:paraId="53DA1675" w14:textId="1F5E139C">
      <w:pPr>
        <w:pStyle w:val="Lijstalinea"/>
        <w:numPr>
          <w:ilvl w:val="0"/>
          <w:numId w:val="22"/>
        </w:numPr>
        <w:spacing w:after="0" w:line="240" w:lineRule="atLeast"/>
        <w:rPr>
          <w:rFonts w:ascii="Verdana" w:hAnsi="Verdana"/>
          <w:iCs/>
          <w:sz w:val="18"/>
          <w:szCs w:val="18"/>
        </w:rPr>
      </w:pPr>
      <w:r w:rsidRPr="00DB0FD9">
        <w:rPr>
          <w:rFonts w:ascii="Verdana" w:hAnsi="Verdana"/>
          <w:iCs/>
          <w:sz w:val="18"/>
          <w:szCs w:val="18"/>
        </w:rPr>
        <w:t>Een weerbaar Europa &amp; sterke Nederlandse regio's: beleidsrealisatie in partnerschap met Rijk-Regio-Europa-internationaal</w:t>
      </w:r>
    </w:p>
    <w:p w:rsidR="004A4B16" w:rsidP="008532BC" w:rsidRDefault="004A4B16" w14:paraId="709C703A" w14:textId="77777777">
      <w:pPr>
        <w:ind w:left="284" w:hanging="284"/>
        <w:rPr>
          <w:iCs/>
          <w:szCs w:val="18"/>
        </w:rPr>
      </w:pPr>
    </w:p>
    <w:p w:rsidR="009D3E25" w:rsidP="008532BC" w:rsidRDefault="004A4B16" w14:paraId="6BD23005" w14:textId="77777777">
      <w:pPr>
        <w:rPr>
          <w:iCs/>
          <w:szCs w:val="18"/>
        </w:rPr>
      </w:pPr>
      <w:r>
        <w:rPr>
          <w:iCs/>
          <w:szCs w:val="18"/>
        </w:rPr>
        <w:t>De voorziene periodieke rapportages richten zich op de strategische doelen B en C, omdat deze de instrumenten bevatten die aansluiten op de SEA-thema’s Innovatiebeleid en Ondernemerschap.</w:t>
      </w:r>
    </w:p>
    <w:p w:rsidRPr="00FE3DF7" w:rsidR="004A4B16" w:rsidP="008532BC" w:rsidRDefault="004A4B16" w14:paraId="3C8A4639" w14:textId="55A66735">
      <w:pPr>
        <w:rPr>
          <w:iCs/>
          <w:szCs w:val="18"/>
        </w:rPr>
      </w:pPr>
      <w:r>
        <w:rPr>
          <w:iCs/>
          <w:szCs w:val="18"/>
        </w:rPr>
        <w:t xml:space="preserve"> </w:t>
      </w:r>
    </w:p>
    <w:p w:rsidR="004A4B16" w:rsidP="008532BC" w:rsidRDefault="004A4B16" w14:paraId="4B818C8D" w14:textId="33433783">
      <w:pPr>
        <w:rPr>
          <w:iCs/>
          <w:szCs w:val="18"/>
        </w:rPr>
      </w:pPr>
      <w:r w:rsidRPr="00FE3DF7">
        <w:rPr>
          <w:iCs/>
          <w:szCs w:val="18"/>
        </w:rPr>
        <w:t xml:space="preserve">Binnen de strategische doelen B en C zijn tactische doelen geformuleerd. </w:t>
      </w:r>
      <w:r>
        <w:rPr>
          <w:iCs/>
          <w:szCs w:val="18"/>
        </w:rPr>
        <w:t>Een deel van het instrumentarium valt primair onder deze twee strategische doelen, maar heeft</w:t>
      </w:r>
      <w:r w:rsidRPr="0082164C">
        <w:rPr>
          <w:iCs/>
          <w:szCs w:val="18"/>
        </w:rPr>
        <w:t xml:space="preserve"> ook een duidelijke </w:t>
      </w:r>
      <w:r>
        <w:rPr>
          <w:iCs/>
          <w:szCs w:val="18"/>
        </w:rPr>
        <w:t>internationale of juist regionale component. Denk bijvoorbeeld aan de Regionale Ontwikkelingsmaatschappijen (</w:t>
      </w:r>
      <w:proofErr w:type="spellStart"/>
      <w:r>
        <w:rPr>
          <w:iCs/>
          <w:szCs w:val="18"/>
        </w:rPr>
        <w:t>ROM’s</w:t>
      </w:r>
      <w:proofErr w:type="spellEnd"/>
      <w:r>
        <w:rPr>
          <w:iCs/>
          <w:szCs w:val="18"/>
        </w:rPr>
        <w:t xml:space="preserve">): deze vormen allereerst een onderdeel van een goed werkende financieringsmarkt, maar zijn ook gericht op versterking van de regio’s. De onderliggende tactische doelen </w:t>
      </w:r>
      <w:r w:rsidR="00F575DB">
        <w:rPr>
          <w:iCs/>
          <w:szCs w:val="18"/>
        </w:rPr>
        <w:t xml:space="preserve">zoals ze onderdeel vormen van deze periodieke rapportages </w:t>
      </w:r>
      <w:r>
        <w:rPr>
          <w:iCs/>
          <w:szCs w:val="18"/>
        </w:rPr>
        <w:t>zijn:</w:t>
      </w:r>
    </w:p>
    <w:p w:rsidRPr="00AC3559" w:rsidR="006C072C" w:rsidP="008532BC" w:rsidRDefault="006C072C" w14:paraId="196A7C6E" w14:textId="77777777">
      <w:pPr>
        <w:rPr>
          <w:iCs/>
          <w:szCs w:val="18"/>
        </w:rPr>
      </w:pPr>
    </w:p>
    <w:p w:rsidRPr="00FE3DF7" w:rsidR="004A4B16" w:rsidP="008532BC" w:rsidRDefault="004A4B16" w14:paraId="43F9CF1F" w14:textId="77777777">
      <w:pPr>
        <w:ind w:left="794" w:hanging="397"/>
        <w:rPr>
          <w:iCs/>
          <w:szCs w:val="18"/>
        </w:rPr>
      </w:pPr>
      <w:r w:rsidRPr="00FE3DF7">
        <w:rPr>
          <w:iCs/>
          <w:szCs w:val="18"/>
        </w:rPr>
        <w:t>B1.</w:t>
      </w:r>
      <w:r w:rsidRPr="00FE3DF7">
        <w:rPr>
          <w:iCs/>
          <w:szCs w:val="18"/>
        </w:rPr>
        <w:tab/>
        <w:t>Toegang tot financiering met een effectief kapitaalmarktinstrumentarium en een goed werkende financieringsmarkt</w:t>
      </w:r>
    </w:p>
    <w:p w:rsidRPr="00FE3DF7" w:rsidR="004A4B16" w:rsidP="008532BC" w:rsidRDefault="004A4B16" w14:paraId="448D6007" w14:textId="77777777">
      <w:pPr>
        <w:ind w:left="794" w:hanging="397"/>
        <w:rPr>
          <w:iCs/>
          <w:szCs w:val="18"/>
        </w:rPr>
      </w:pPr>
      <w:r w:rsidRPr="00FE3DF7">
        <w:rPr>
          <w:iCs/>
          <w:szCs w:val="18"/>
        </w:rPr>
        <w:t>B3.</w:t>
      </w:r>
      <w:r w:rsidRPr="00FE3DF7">
        <w:rPr>
          <w:iCs/>
          <w:szCs w:val="18"/>
        </w:rPr>
        <w:tab/>
        <w:t>Adequate wet- en regelgeving voor ondernemerschap, inclusief het verlichten van regeldruk voor bedrijven</w:t>
      </w:r>
    </w:p>
    <w:p w:rsidRPr="00FE3DF7" w:rsidR="004A4B16" w:rsidP="008532BC" w:rsidRDefault="004A4B16" w14:paraId="7EA9B96A" w14:textId="77777777">
      <w:pPr>
        <w:ind w:left="794" w:hanging="397"/>
        <w:rPr>
          <w:iCs/>
          <w:szCs w:val="18"/>
        </w:rPr>
      </w:pPr>
      <w:r w:rsidRPr="00FE3DF7">
        <w:rPr>
          <w:iCs/>
          <w:szCs w:val="18"/>
        </w:rPr>
        <w:t>B4.</w:t>
      </w:r>
      <w:r w:rsidRPr="00FE3DF7">
        <w:rPr>
          <w:iCs/>
          <w:szCs w:val="18"/>
        </w:rPr>
        <w:tab/>
        <w:t>Bevorderen van de beschikbaarheid van voldoende (technisch) geschoold personeel (menselijk kapitaal); met focus op de transities &amp; groeisectoren</w:t>
      </w:r>
    </w:p>
    <w:p w:rsidRPr="00FE3DF7" w:rsidR="004A4B16" w:rsidP="008532BC" w:rsidRDefault="004A4B16" w14:paraId="503B25A5" w14:textId="77777777">
      <w:pPr>
        <w:ind w:left="794" w:hanging="397"/>
        <w:rPr>
          <w:iCs/>
          <w:szCs w:val="18"/>
        </w:rPr>
      </w:pPr>
      <w:r w:rsidRPr="00FE3DF7">
        <w:rPr>
          <w:iCs/>
          <w:szCs w:val="18"/>
        </w:rPr>
        <w:t>B5.</w:t>
      </w:r>
      <w:r w:rsidRPr="00FE3DF7">
        <w:rPr>
          <w:iCs/>
          <w:szCs w:val="18"/>
        </w:rPr>
        <w:tab/>
        <w:t>Zorgdragen voor kennisveiligheid en het realiseren van een modern IE-systeem dat aanzet tot kennisbenutting en kennisbescherming</w:t>
      </w:r>
    </w:p>
    <w:p w:rsidRPr="00FE3DF7" w:rsidR="004A4B16" w:rsidP="008532BC" w:rsidRDefault="004A4B16" w14:paraId="08201AD0" w14:textId="77777777">
      <w:pPr>
        <w:ind w:left="794" w:hanging="397"/>
        <w:rPr>
          <w:iCs/>
          <w:szCs w:val="18"/>
        </w:rPr>
      </w:pPr>
      <w:r w:rsidRPr="00FE3DF7">
        <w:rPr>
          <w:iCs/>
          <w:szCs w:val="18"/>
        </w:rPr>
        <w:t>B6.</w:t>
      </w:r>
      <w:r w:rsidRPr="00FE3DF7">
        <w:rPr>
          <w:iCs/>
          <w:szCs w:val="18"/>
        </w:rPr>
        <w:tab/>
        <w:t>Attractief vestigings- &amp; investeringsklimaat, inclusief gerichte acquisitie buitenlandse bedrijven en investeringen</w:t>
      </w:r>
    </w:p>
    <w:p w:rsidRPr="00FE3DF7" w:rsidR="004A4B16" w:rsidP="008532BC" w:rsidRDefault="004A4B16" w14:paraId="52B1584E" w14:textId="77777777">
      <w:pPr>
        <w:ind w:left="794" w:hanging="397"/>
        <w:rPr>
          <w:iCs/>
          <w:szCs w:val="18"/>
        </w:rPr>
      </w:pPr>
      <w:r w:rsidRPr="00FE3DF7">
        <w:rPr>
          <w:iCs/>
          <w:szCs w:val="18"/>
        </w:rPr>
        <w:t>B7.</w:t>
      </w:r>
      <w:r w:rsidRPr="00FE3DF7">
        <w:rPr>
          <w:iCs/>
          <w:szCs w:val="18"/>
        </w:rPr>
        <w:tab/>
        <w:t>Een goede en toegankelijke publieke dienstverlening voor ondernemers, inclusief adequate voorlichting, informatievoorziening en een actueel Handelsregister</w:t>
      </w:r>
    </w:p>
    <w:p w:rsidRPr="00FE3DF7" w:rsidR="004A4B16" w:rsidP="008532BC" w:rsidRDefault="004A4B16" w14:paraId="789591C2" w14:textId="77777777">
      <w:pPr>
        <w:ind w:left="794" w:hanging="397"/>
        <w:rPr>
          <w:iCs/>
          <w:szCs w:val="18"/>
        </w:rPr>
      </w:pPr>
      <w:r w:rsidRPr="00FE3DF7">
        <w:rPr>
          <w:iCs/>
          <w:szCs w:val="18"/>
        </w:rPr>
        <w:t>C1.</w:t>
      </w:r>
      <w:r w:rsidRPr="00FE3DF7">
        <w:rPr>
          <w:iCs/>
          <w:szCs w:val="18"/>
        </w:rPr>
        <w:tab/>
      </w:r>
      <w:proofErr w:type="spellStart"/>
      <w:r w:rsidRPr="00FE3DF7">
        <w:rPr>
          <w:iCs/>
          <w:szCs w:val="18"/>
        </w:rPr>
        <w:t>Missiegedreven</w:t>
      </w:r>
      <w:proofErr w:type="spellEnd"/>
      <w:r w:rsidRPr="00FE3DF7">
        <w:rPr>
          <w:iCs/>
          <w:szCs w:val="18"/>
        </w:rPr>
        <w:t xml:space="preserve"> innovatiebeleid: realiseren PPS-innovatieprogramma's met economische en maatschappelijke impact, inclusief de bijdrage van de (top)sectoren (</w:t>
      </w:r>
      <w:proofErr w:type="spellStart"/>
      <w:r w:rsidRPr="00FE3DF7">
        <w:rPr>
          <w:iCs/>
          <w:szCs w:val="18"/>
        </w:rPr>
        <w:t>KICs</w:t>
      </w:r>
      <w:proofErr w:type="spellEnd"/>
      <w:r w:rsidRPr="00FE3DF7">
        <w:rPr>
          <w:iCs/>
          <w:szCs w:val="18"/>
        </w:rPr>
        <w:t>)</w:t>
      </w:r>
    </w:p>
    <w:p w:rsidRPr="00FE3DF7" w:rsidR="004A4B16" w:rsidP="008532BC" w:rsidRDefault="004A4B16" w14:paraId="1D05AF1F" w14:textId="77777777">
      <w:pPr>
        <w:ind w:left="794" w:hanging="397"/>
        <w:rPr>
          <w:iCs/>
          <w:szCs w:val="18"/>
        </w:rPr>
      </w:pPr>
      <w:r w:rsidRPr="00FE3DF7">
        <w:rPr>
          <w:iCs/>
          <w:szCs w:val="18"/>
        </w:rPr>
        <w:t>C2.</w:t>
      </w:r>
      <w:r w:rsidRPr="00FE3DF7">
        <w:rPr>
          <w:iCs/>
          <w:szCs w:val="18"/>
        </w:rPr>
        <w:tab/>
        <w:t>Innovatie bedrijfsleven versterken met een doelmatig en doeltreffend instrumentarium</w:t>
      </w:r>
    </w:p>
    <w:p w:rsidRPr="00FE3DF7" w:rsidR="004A4B16" w:rsidP="008532BC" w:rsidRDefault="004A4B16" w14:paraId="7E1C049C" w14:textId="77777777">
      <w:pPr>
        <w:ind w:left="794" w:hanging="397"/>
        <w:rPr>
          <w:iCs/>
          <w:szCs w:val="18"/>
        </w:rPr>
      </w:pPr>
      <w:r w:rsidRPr="00FE3DF7">
        <w:rPr>
          <w:iCs/>
          <w:szCs w:val="18"/>
        </w:rPr>
        <w:t>C3.</w:t>
      </w:r>
      <w:r w:rsidRPr="00FE3DF7">
        <w:rPr>
          <w:iCs/>
          <w:szCs w:val="18"/>
        </w:rPr>
        <w:tab/>
        <w:t>Het realiseren van een excellent toepassingsgericht kennisstelsel</w:t>
      </w:r>
    </w:p>
    <w:p w:rsidRPr="00FE3DF7" w:rsidR="004A4B16" w:rsidP="008532BC" w:rsidRDefault="004A4B16" w14:paraId="13E9D866" w14:textId="77777777">
      <w:pPr>
        <w:ind w:left="794" w:hanging="397"/>
        <w:rPr>
          <w:iCs/>
          <w:szCs w:val="18"/>
        </w:rPr>
      </w:pPr>
      <w:r w:rsidRPr="00FE3DF7">
        <w:rPr>
          <w:iCs/>
          <w:szCs w:val="18"/>
        </w:rPr>
        <w:t>C4.</w:t>
      </w:r>
      <w:r w:rsidRPr="00FE3DF7">
        <w:rPr>
          <w:iCs/>
          <w:szCs w:val="18"/>
        </w:rPr>
        <w:tab/>
        <w:t>Valorisatie van kennis &amp; onderzoek en het vergroten van innovatieve toepassingen</w:t>
      </w:r>
    </w:p>
    <w:p w:rsidRPr="00FE3DF7" w:rsidR="004A4B16" w:rsidP="008532BC" w:rsidRDefault="004A4B16" w14:paraId="0D1F811F" w14:textId="10162B36">
      <w:pPr>
        <w:ind w:left="794" w:hanging="397"/>
        <w:rPr>
          <w:iCs/>
          <w:szCs w:val="18"/>
        </w:rPr>
      </w:pPr>
      <w:r w:rsidRPr="00FE3DF7">
        <w:rPr>
          <w:iCs/>
          <w:szCs w:val="18"/>
        </w:rPr>
        <w:t>C5.</w:t>
      </w:r>
      <w:r w:rsidRPr="00FE3DF7">
        <w:rPr>
          <w:iCs/>
          <w:szCs w:val="18"/>
        </w:rPr>
        <w:tab/>
        <w:t xml:space="preserve">Het integraal ondersteunen van start- &amp; </w:t>
      </w:r>
      <w:proofErr w:type="spellStart"/>
      <w:r w:rsidRPr="00FE3DF7">
        <w:rPr>
          <w:iCs/>
          <w:szCs w:val="18"/>
        </w:rPr>
        <w:t>scale</w:t>
      </w:r>
      <w:proofErr w:type="spellEnd"/>
      <w:r w:rsidRPr="00FE3DF7">
        <w:rPr>
          <w:iCs/>
          <w:szCs w:val="18"/>
        </w:rPr>
        <w:t xml:space="preserve"> ups</w:t>
      </w:r>
    </w:p>
    <w:p w:rsidRPr="00FE3DF7" w:rsidR="004A4B16" w:rsidP="008532BC" w:rsidRDefault="004A4B16" w14:paraId="0CA9415B" w14:textId="77777777">
      <w:pPr>
        <w:ind w:left="794" w:hanging="397"/>
        <w:rPr>
          <w:iCs/>
          <w:szCs w:val="18"/>
        </w:rPr>
      </w:pPr>
      <w:r w:rsidRPr="00FE3DF7">
        <w:rPr>
          <w:iCs/>
          <w:szCs w:val="18"/>
        </w:rPr>
        <w:t>C6.</w:t>
      </w:r>
      <w:r w:rsidRPr="00FE3DF7">
        <w:rPr>
          <w:iCs/>
          <w:szCs w:val="18"/>
        </w:rPr>
        <w:tab/>
        <w:t>Het ondersteunen van de digitale transitie van bedrijven en sectoren</w:t>
      </w:r>
    </w:p>
    <w:p w:rsidRPr="00FE3DF7" w:rsidR="004A4B16" w:rsidP="008532BC" w:rsidRDefault="004A4B16" w14:paraId="543CF149" w14:textId="77777777">
      <w:pPr>
        <w:ind w:left="794" w:hanging="397"/>
        <w:rPr>
          <w:iCs/>
          <w:szCs w:val="18"/>
        </w:rPr>
      </w:pPr>
      <w:r w:rsidRPr="00FE3DF7">
        <w:rPr>
          <w:iCs/>
          <w:szCs w:val="18"/>
        </w:rPr>
        <w:t>C7.</w:t>
      </w:r>
      <w:r w:rsidRPr="00FE3DF7">
        <w:rPr>
          <w:iCs/>
          <w:szCs w:val="18"/>
        </w:rPr>
        <w:tab/>
        <w:t>Het versterken van de concurrentiekracht en de economische vernieuwing van sectoren</w:t>
      </w:r>
    </w:p>
    <w:p w:rsidRPr="00FE3DF7" w:rsidR="004A4B16" w:rsidP="008532BC" w:rsidRDefault="004A4B16" w14:paraId="41016452" w14:textId="77777777">
      <w:pPr>
        <w:rPr>
          <w:iCs/>
          <w:szCs w:val="18"/>
        </w:rPr>
      </w:pPr>
    </w:p>
    <w:p w:rsidR="004A4B16" w:rsidP="008532BC" w:rsidRDefault="004A4B16" w14:paraId="6D727FB8" w14:textId="1A91485D">
      <w:pPr>
        <w:rPr>
          <w:iCs/>
          <w:szCs w:val="18"/>
        </w:rPr>
      </w:pPr>
      <w:r w:rsidRPr="00FE3DF7">
        <w:rPr>
          <w:iCs/>
          <w:szCs w:val="18"/>
        </w:rPr>
        <w:t xml:space="preserve">In </w:t>
      </w:r>
      <w:r w:rsidR="00C60F6C">
        <w:rPr>
          <w:iCs/>
          <w:szCs w:val="18"/>
        </w:rPr>
        <w:t>de</w:t>
      </w:r>
      <w:r w:rsidRPr="00FE3DF7">
        <w:rPr>
          <w:iCs/>
          <w:szCs w:val="18"/>
        </w:rPr>
        <w:t xml:space="preserve"> periodieke rapportages worden </w:t>
      </w:r>
      <w:r>
        <w:rPr>
          <w:iCs/>
          <w:szCs w:val="18"/>
        </w:rPr>
        <w:t>beleids</w:t>
      </w:r>
      <w:r w:rsidRPr="00FE3DF7">
        <w:rPr>
          <w:iCs/>
          <w:szCs w:val="18"/>
        </w:rPr>
        <w:t>instrumenten gerelateerd aan de</w:t>
      </w:r>
      <w:r w:rsidR="0075018B">
        <w:rPr>
          <w:iCs/>
          <w:szCs w:val="18"/>
        </w:rPr>
        <w:t>ze</w:t>
      </w:r>
      <w:r w:rsidRPr="00FE3DF7">
        <w:rPr>
          <w:iCs/>
          <w:szCs w:val="18"/>
        </w:rPr>
        <w:t xml:space="preserve"> tactische doelen en </w:t>
      </w:r>
      <w:r w:rsidR="0075018B">
        <w:rPr>
          <w:iCs/>
          <w:szCs w:val="18"/>
        </w:rPr>
        <w:t xml:space="preserve">overkoepelende </w:t>
      </w:r>
      <w:r w:rsidRPr="00FE3DF7">
        <w:rPr>
          <w:iCs/>
          <w:szCs w:val="18"/>
        </w:rPr>
        <w:t xml:space="preserve">strategische doelen. Instrumenten die vallen onder het thema Ondernemerschap zijn veelal te relateren aan tactische doelen onder strategisch doel B en instrumenten die vallen onder het thema Innovatiebeleid </w:t>
      </w:r>
      <w:r w:rsidR="00C60F6C">
        <w:rPr>
          <w:iCs/>
          <w:szCs w:val="18"/>
        </w:rPr>
        <w:t xml:space="preserve">veelal </w:t>
      </w:r>
      <w:r w:rsidRPr="00FE3DF7">
        <w:rPr>
          <w:iCs/>
          <w:szCs w:val="18"/>
        </w:rPr>
        <w:t xml:space="preserve">aan tactische doelen onder strategisch doel C. Er zijn instrumenten die aan meerdere tactische doelen relateren. </w:t>
      </w:r>
      <w:r>
        <w:rPr>
          <w:iCs/>
          <w:szCs w:val="18"/>
        </w:rPr>
        <w:t xml:space="preserve">Deze instrumenten zullen als onderdeel van de beleidsmix van beide doelen beschouwd worden in de periodieke rapportages. </w:t>
      </w:r>
    </w:p>
    <w:p w:rsidR="004A4B16" w:rsidP="008532BC" w:rsidRDefault="004A4B16" w14:paraId="5C9A9F31" w14:textId="77777777">
      <w:pPr>
        <w:rPr>
          <w:iCs/>
          <w:szCs w:val="18"/>
        </w:rPr>
      </w:pPr>
    </w:p>
    <w:p w:rsidRPr="0007164B" w:rsidR="004A4B16" w:rsidP="008532BC" w:rsidRDefault="004A4B16" w14:paraId="32DA03A0" w14:textId="77777777">
      <w:pPr>
        <w:rPr>
          <w:iCs/>
          <w:szCs w:val="18"/>
        </w:rPr>
      </w:pPr>
      <w:r>
        <w:rPr>
          <w:i/>
          <w:szCs w:val="18"/>
        </w:rPr>
        <w:t xml:space="preserve">Doeltreffendheid, doelmatigheid en </w:t>
      </w:r>
      <w:proofErr w:type="spellStart"/>
      <w:r>
        <w:rPr>
          <w:i/>
          <w:szCs w:val="18"/>
        </w:rPr>
        <w:t>doelgroepbereik</w:t>
      </w:r>
      <w:proofErr w:type="spellEnd"/>
      <w:r>
        <w:rPr>
          <w:i/>
          <w:szCs w:val="18"/>
        </w:rPr>
        <w:t xml:space="preserve"> in de context van de beleidsmix</w:t>
      </w:r>
    </w:p>
    <w:p w:rsidR="00B63B9D" w:rsidP="008532BC" w:rsidRDefault="00B63B9D" w14:paraId="265D32BD" w14:textId="5DFAB261">
      <w:pPr>
        <w:rPr>
          <w:iCs/>
          <w:szCs w:val="18"/>
        </w:rPr>
      </w:pPr>
      <w:r>
        <w:rPr>
          <w:iCs/>
          <w:szCs w:val="18"/>
        </w:rPr>
        <w:t>I</w:t>
      </w:r>
      <w:r w:rsidRPr="00FE3DF7" w:rsidR="004A4B16">
        <w:rPr>
          <w:iCs/>
          <w:szCs w:val="18"/>
        </w:rPr>
        <w:t xml:space="preserve">n de periodieke rapportages </w:t>
      </w:r>
      <w:r>
        <w:rPr>
          <w:iCs/>
          <w:szCs w:val="18"/>
        </w:rPr>
        <w:t xml:space="preserve">zullen </w:t>
      </w:r>
      <w:r w:rsidR="004A4B16">
        <w:rPr>
          <w:iCs/>
          <w:szCs w:val="18"/>
        </w:rPr>
        <w:t xml:space="preserve">bestaande </w:t>
      </w:r>
      <w:r w:rsidRPr="00FE3DF7" w:rsidR="004A4B16">
        <w:rPr>
          <w:iCs/>
          <w:szCs w:val="18"/>
        </w:rPr>
        <w:t xml:space="preserve">uitspraken over </w:t>
      </w:r>
      <w:r>
        <w:rPr>
          <w:iCs/>
          <w:szCs w:val="18"/>
        </w:rPr>
        <w:t xml:space="preserve">het </w:t>
      </w:r>
      <w:proofErr w:type="spellStart"/>
      <w:r>
        <w:rPr>
          <w:iCs/>
          <w:szCs w:val="18"/>
        </w:rPr>
        <w:t>doelgroepbereik</w:t>
      </w:r>
      <w:proofErr w:type="spellEnd"/>
      <w:r>
        <w:rPr>
          <w:iCs/>
          <w:szCs w:val="18"/>
        </w:rPr>
        <w:t xml:space="preserve">, </w:t>
      </w:r>
      <w:r w:rsidRPr="00FE3DF7" w:rsidR="004A4B16">
        <w:rPr>
          <w:iCs/>
          <w:szCs w:val="18"/>
        </w:rPr>
        <w:t xml:space="preserve">de doeltreffendheid en doelmatigheid van afzonderlijke </w:t>
      </w:r>
      <w:r w:rsidR="004A4B16">
        <w:rPr>
          <w:iCs/>
          <w:szCs w:val="18"/>
        </w:rPr>
        <w:t>beleids</w:t>
      </w:r>
      <w:r w:rsidRPr="00FE3DF7" w:rsidR="004A4B16">
        <w:rPr>
          <w:iCs/>
          <w:szCs w:val="18"/>
        </w:rPr>
        <w:t>instrumenten</w:t>
      </w:r>
      <w:r w:rsidR="004A4B16">
        <w:rPr>
          <w:iCs/>
          <w:szCs w:val="18"/>
        </w:rPr>
        <w:t xml:space="preserve"> in kaart worden gebracht</w:t>
      </w:r>
      <w:r w:rsidRPr="00FE3DF7" w:rsidR="004A4B16">
        <w:rPr>
          <w:iCs/>
          <w:szCs w:val="18"/>
        </w:rPr>
        <w:t xml:space="preserve"> op basis van evaluaties </w:t>
      </w:r>
      <w:r w:rsidR="002F5DF2">
        <w:rPr>
          <w:iCs/>
          <w:szCs w:val="18"/>
        </w:rPr>
        <w:t xml:space="preserve">en monitors </w:t>
      </w:r>
      <w:r w:rsidRPr="00FE3DF7" w:rsidR="004A4B16">
        <w:rPr>
          <w:iCs/>
          <w:szCs w:val="18"/>
        </w:rPr>
        <w:t xml:space="preserve">die zijn uitgevoerd van de </w:t>
      </w:r>
      <w:r w:rsidR="004A4B16">
        <w:rPr>
          <w:iCs/>
          <w:szCs w:val="18"/>
        </w:rPr>
        <w:t>beleids</w:t>
      </w:r>
      <w:r w:rsidRPr="00FE3DF7" w:rsidR="004A4B16">
        <w:rPr>
          <w:iCs/>
          <w:szCs w:val="18"/>
        </w:rPr>
        <w:t xml:space="preserve">instrumenten. </w:t>
      </w:r>
      <w:r w:rsidR="0024245D">
        <w:rPr>
          <w:iCs/>
          <w:szCs w:val="18"/>
        </w:rPr>
        <w:t xml:space="preserve">Die inzichten zullen gecombineerd worden </w:t>
      </w:r>
      <w:r w:rsidR="00971865">
        <w:rPr>
          <w:iCs/>
          <w:szCs w:val="18"/>
        </w:rPr>
        <w:t>in synthese</w:t>
      </w:r>
      <w:r w:rsidR="002F5DF2">
        <w:rPr>
          <w:iCs/>
          <w:szCs w:val="18"/>
        </w:rPr>
        <w:t>s</w:t>
      </w:r>
      <w:r w:rsidR="00971865">
        <w:rPr>
          <w:iCs/>
          <w:szCs w:val="18"/>
        </w:rPr>
        <w:t xml:space="preserve"> </w:t>
      </w:r>
      <w:r w:rsidR="0024245D">
        <w:rPr>
          <w:iCs/>
          <w:szCs w:val="18"/>
        </w:rPr>
        <w:t>om</w:t>
      </w:r>
      <w:r>
        <w:rPr>
          <w:iCs/>
          <w:szCs w:val="18"/>
        </w:rPr>
        <w:t xml:space="preserve"> </w:t>
      </w:r>
      <w:r w:rsidR="00971865">
        <w:rPr>
          <w:iCs/>
          <w:szCs w:val="18"/>
        </w:rPr>
        <w:t xml:space="preserve">zo </w:t>
      </w:r>
      <w:r w:rsidRPr="00FE3DF7" w:rsidR="004A4B16">
        <w:rPr>
          <w:iCs/>
          <w:szCs w:val="18"/>
        </w:rPr>
        <w:t xml:space="preserve">het niveau van afzonderlijke instrumenten </w:t>
      </w:r>
      <w:r w:rsidR="0024245D">
        <w:rPr>
          <w:iCs/>
          <w:szCs w:val="18"/>
        </w:rPr>
        <w:t xml:space="preserve">te </w:t>
      </w:r>
      <w:r>
        <w:rPr>
          <w:iCs/>
          <w:szCs w:val="18"/>
        </w:rPr>
        <w:t xml:space="preserve">overstijgen </w:t>
      </w:r>
      <w:r w:rsidR="00BF3E4E">
        <w:rPr>
          <w:iCs/>
          <w:szCs w:val="18"/>
        </w:rPr>
        <w:t xml:space="preserve">en </w:t>
      </w:r>
      <w:r w:rsidRPr="00FE3DF7" w:rsidR="004A4B16">
        <w:rPr>
          <w:iCs/>
          <w:szCs w:val="18"/>
        </w:rPr>
        <w:t xml:space="preserve">de </w:t>
      </w:r>
      <w:r>
        <w:rPr>
          <w:iCs/>
          <w:szCs w:val="18"/>
        </w:rPr>
        <w:t xml:space="preserve">gehele </w:t>
      </w:r>
      <w:r w:rsidRPr="00FE3DF7" w:rsidR="004A4B16">
        <w:rPr>
          <w:iCs/>
          <w:szCs w:val="18"/>
        </w:rPr>
        <w:t xml:space="preserve">beleidsmix te beoordelen op </w:t>
      </w:r>
      <w:r w:rsidR="004A4B16">
        <w:rPr>
          <w:iCs/>
          <w:szCs w:val="18"/>
        </w:rPr>
        <w:t xml:space="preserve">(voorwaarden voor) </w:t>
      </w:r>
      <w:r w:rsidRPr="00FE3DF7" w:rsidR="004A4B16">
        <w:rPr>
          <w:iCs/>
          <w:szCs w:val="18"/>
        </w:rPr>
        <w:t>doeltreffendheid en doelmatigheid</w:t>
      </w:r>
      <w:r>
        <w:rPr>
          <w:iCs/>
          <w:szCs w:val="18"/>
        </w:rPr>
        <w:t>.</w:t>
      </w:r>
      <w:r w:rsidRPr="00FE3DF7" w:rsidR="004A4B16">
        <w:rPr>
          <w:iCs/>
          <w:szCs w:val="18"/>
        </w:rPr>
        <w:t xml:space="preserve"> </w:t>
      </w:r>
    </w:p>
    <w:p w:rsidR="00B63B9D" w:rsidP="008532BC" w:rsidRDefault="00B63B9D" w14:paraId="6AD63E9B" w14:textId="77777777">
      <w:pPr>
        <w:rPr>
          <w:iCs/>
          <w:szCs w:val="18"/>
        </w:rPr>
      </w:pPr>
    </w:p>
    <w:p w:rsidR="004A4B16" w:rsidP="008532BC" w:rsidRDefault="00B63B9D" w14:paraId="70C9EF62" w14:textId="3E697C06">
      <w:pPr>
        <w:rPr>
          <w:iCs/>
          <w:szCs w:val="18"/>
        </w:rPr>
      </w:pPr>
      <w:r>
        <w:rPr>
          <w:iCs/>
          <w:szCs w:val="18"/>
        </w:rPr>
        <w:t xml:space="preserve">Dat zal gebeuren </w:t>
      </w:r>
      <w:r w:rsidRPr="00FE3DF7" w:rsidR="004A4B16">
        <w:rPr>
          <w:iCs/>
          <w:szCs w:val="18"/>
        </w:rPr>
        <w:t xml:space="preserve">op het niveau van </w:t>
      </w:r>
      <w:r>
        <w:rPr>
          <w:iCs/>
          <w:szCs w:val="18"/>
        </w:rPr>
        <w:t xml:space="preserve">de </w:t>
      </w:r>
      <w:r w:rsidRPr="00FE3DF7" w:rsidR="004A4B16">
        <w:rPr>
          <w:iCs/>
          <w:szCs w:val="18"/>
        </w:rPr>
        <w:t xml:space="preserve">tactische doelen en </w:t>
      </w:r>
      <w:r>
        <w:rPr>
          <w:iCs/>
          <w:szCs w:val="18"/>
        </w:rPr>
        <w:t xml:space="preserve">op dat </w:t>
      </w:r>
      <w:r w:rsidRPr="00FE3DF7" w:rsidR="004A4B16">
        <w:rPr>
          <w:iCs/>
          <w:szCs w:val="18"/>
        </w:rPr>
        <w:t xml:space="preserve">van het </w:t>
      </w:r>
      <w:r>
        <w:rPr>
          <w:iCs/>
          <w:szCs w:val="18"/>
        </w:rPr>
        <w:t xml:space="preserve">algehele </w:t>
      </w:r>
      <w:r w:rsidRPr="00FE3DF7" w:rsidR="004A4B16">
        <w:rPr>
          <w:iCs/>
          <w:szCs w:val="18"/>
        </w:rPr>
        <w:t xml:space="preserve">beleid </w:t>
      </w:r>
      <w:r>
        <w:rPr>
          <w:iCs/>
          <w:szCs w:val="18"/>
        </w:rPr>
        <w:t>gericht op</w:t>
      </w:r>
      <w:r w:rsidRPr="00FE3DF7">
        <w:rPr>
          <w:iCs/>
          <w:szCs w:val="18"/>
        </w:rPr>
        <w:t xml:space="preserve"> </w:t>
      </w:r>
      <w:r w:rsidRPr="00FE3DF7" w:rsidR="004A4B16">
        <w:rPr>
          <w:iCs/>
          <w:szCs w:val="18"/>
        </w:rPr>
        <w:t xml:space="preserve">innovatie dan wel ondernemerschap. Per tactisch doel </w:t>
      </w:r>
      <w:r w:rsidR="006430A1">
        <w:rPr>
          <w:iCs/>
          <w:szCs w:val="18"/>
        </w:rPr>
        <w:t>wordt</w:t>
      </w:r>
      <w:r>
        <w:rPr>
          <w:iCs/>
          <w:szCs w:val="18"/>
        </w:rPr>
        <w:t xml:space="preserve"> hiervoor </w:t>
      </w:r>
      <w:r w:rsidRPr="00FE3DF7" w:rsidR="004A4B16">
        <w:rPr>
          <w:iCs/>
          <w:szCs w:val="18"/>
        </w:rPr>
        <w:t>door het ministerie een beleidstheorie opgesteld. Tijdens de uitvoering van de periodieke rapportages kunnen de uitvoerende bureaus hierop reflecteren</w:t>
      </w:r>
      <w:r w:rsidR="004A4B16">
        <w:rPr>
          <w:iCs/>
          <w:szCs w:val="18"/>
        </w:rPr>
        <w:t xml:space="preserve"> en deze toetsen op witte vlekken</w:t>
      </w:r>
      <w:r w:rsidRPr="00FE3DF7" w:rsidR="004A4B16">
        <w:rPr>
          <w:iCs/>
          <w:szCs w:val="18"/>
        </w:rPr>
        <w:t>.</w:t>
      </w:r>
    </w:p>
    <w:p w:rsidR="00E56B7D" w:rsidP="008532BC" w:rsidRDefault="00E56B7D" w14:paraId="27435B4F" w14:textId="77777777">
      <w:pPr>
        <w:rPr>
          <w:iCs/>
          <w:szCs w:val="18"/>
        </w:rPr>
      </w:pPr>
    </w:p>
    <w:p w:rsidRPr="00FE3DF7" w:rsidR="00E56B7D" w:rsidP="008532BC" w:rsidRDefault="00E56B7D" w14:paraId="341FD7A2" w14:textId="0B327EA9">
      <w:pPr>
        <w:rPr>
          <w:iCs/>
          <w:szCs w:val="18"/>
        </w:rPr>
      </w:pPr>
      <w:r>
        <w:rPr>
          <w:iCs/>
          <w:szCs w:val="18"/>
        </w:rPr>
        <w:t xml:space="preserve">Specifiek voor het tactisch doel dat raakt aan bedrijfsfinanciering zal </w:t>
      </w:r>
      <w:r w:rsidR="004A5EF2">
        <w:rPr>
          <w:iCs/>
          <w:szCs w:val="18"/>
        </w:rPr>
        <w:t xml:space="preserve">aangesloten worden op </w:t>
      </w:r>
      <w:r>
        <w:rPr>
          <w:iCs/>
          <w:szCs w:val="18"/>
        </w:rPr>
        <w:t xml:space="preserve">het recent uitgevoerde Interdepartementaal Beleidsonderzoek (IBO) Bedrijfsfinanciering. De inzichten </w:t>
      </w:r>
      <w:r w:rsidR="004A5EF2">
        <w:rPr>
          <w:iCs/>
          <w:szCs w:val="18"/>
        </w:rPr>
        <w:t xml:space="preserve">uit het IBO zullen </w:t>
      </w:r>
      <w:r>
        <w:rPr>
          <w:iCs/>
          <w:szCs w:val="18"/>
        </w:rPr>
        <w:t xml:space="preserve">waar nodig aangevuld </w:t>
      </w:r>
      <w:r w:rsidR="004A5EF2">
        <w:rPr>
          <w:iCs/>
          <w:szCs w:val="18"/>
        </w:rPr>
        <w:t xml:space="preserve">worden </w:t>
      </w:r>
      <w:r>
        <w:rPr>
          <w:iCs/>
          <w:szCs w:val="18"/>
        </w:rPr>
        <w:t xml:space="preserve">met </w:t>
      </w:r>
      <w:r w:rsidRPr="004A5EF2" w:rsidR="004A5EF2">
        <w:rPr>
          <w:iCs/>
          <w:szCs w:val="18"/>
        </w:rPr>
        <w:t>die uit recentere</w:t>
      </w:r>
      <w:r w:rsidR="004A5EF2">
        <w:rPr>
          <w:iCs/>
          <w:szCs w:val="18"/>
        </w:rPr>
        <w:t xml:space="preserve"> evaluaties </w:t>
      </w:r>
      <w:r>
        <w:rPr>
          <w:iCs/>
          <w:szCs w:val="18"/>
        </w:rPr>
        <w:t>van financieringsinstrumenten.</w:t>
      </w:r>
    </w:p>
    <w:p w:rsidR="00E56B7D" w:rsidP="008532BC" w:rsidRDefault="00E56B7D" w14:paraId="5E788957" w14:textId="77777777">
      <w:pPr>
        <w:rPr>
          <w:iCs/>
          <w:szCs w:val="18"/>
        </w:rPr>
      </w:pPr>
    </w:p>
    <w:p w:rsidRPr="00A25FB9" w:rsidR="004A4B16" w:rsidP="008532BC" w:rsidRDefault="00E56B7D" w14:paraId="0DF16FC7" w14:textId="65A44175">
      <w:pPr>
        <w:keepNext/>
        <w:rPr>
          <w:i/>
          <w:szCs w:val="18"/>
        </w:rPr>
      </w:pPr>
      <w:r w:rsidRPr="00A25FB9">
        <w:rPr>
          <w:i/>
          <w:szCs w:val="18"/>
        </w:rPr>
        <w:t xml:space="preserve">Ontbrekende evaluaties </w:t>
      </w:r>
    </w:p>
    <w:p w:rsidR="004A4B16" w:rsidP="008532BC" w:rsidRDefault="004A4B16" w14:paraId="0259CB70" w14:textId="0D4A2194">
      <w:pPr>
        <w:rPr>
          <w:iCs/>
          <w:szCs w:val="18"/>
        </w:rPr>
      </w:pPr>
      <w:r>
        <w:rPr>
          <w:iCs/>
          <w:szCs w:val="18"/>
        </w:rPr>
        <w:t>Niet v</w:t>
      </w:r>
      <w:r w:rsidRPr="00FE3DF7">
        <w:rPr>
          <w:iCs/>
          <w:szCs w:val="18"/>
        </w:rPr>
        <w:t xml:space="preserve">an alle instrumenten zal </w:t>
      </w:r>
      <w:r w:rsidR="00BF3E4E">
        <w:rPr>
          <w:iCs/>
          <w:szCs w:val="18"/>
        </w:rPr>
        <w:t xml:space="preserve">tijdig </w:t>
      </w:r>
      <w:r w:rsidRPr="00FE3DF7">
        <w:rPr>
          <w:iCs/>
          <w:szCs w:val="18"/>
        </w:rPr>
        <w:t xml:space="preserve">een evaluatie beschikbaar zijn. Dit speelt met name bij instrumenten die nog maar relatief kort bestaan en waarvan evaluaties </w:t>
      </w:r>
      <w:r w:rsidR="00BF3E4E">
        <w:rPr>
          <w:iCs/>
          <w:szCs w:val="18"/>
        </w:rPr>
        <w:t>simpelweg nog niet hebben plaatsgevonden</w:t>
      </w:r>
      <w:r w:rsidRPr="00FE3DF7">
        <w:rPr>
          <w:iCs/>
          <w:szCs w:val="18"/>
        </w:rPr>
        <w:t xml:space="preserve">. </w:t>
      </w:r>
      <w:r w:rsidR="00F9737A">
        <w:rPr>
          <w:iCs/>
          <w:szCs w:val="18"/>
        </w:rPr>
        <w:t xml:space="preserve">Zij </w:t>
      </w:r>
      <w:r w:rsidRPr="00FE3DF7">
        <w:rPr>
          <w:iCs/>
          <w:szCs w:val="18"/>
        </w:rPr>
        <w:t xml:space="preserve">kunnen </w:t>
      </w:r>
      <w:r w:rsidR="00F9737A">
        <w:rPr>
          <w:iCs/>
          <w:szCs w:val="18"/>
        </w:rPr>
        <w:t xml:space="preserve">al wel </w:t>
      </w:r>
      <w:r w:rsidRPr="00FE3DF7">
        <w:rPr>
          <w:iCs/>
          <w:szCs w:val="18"/>
        </w:rPr>
        <w:t>beoordeeld worden op hun bijdrage</w:t>
      </w:r>
      <w:r>
        <w:rPr>
          <w:iCs/>
          <w:szCs w:val="18"/>
        </w:rPr>
        <w:t>n</w:t>
      </w:r>
      <w:r w:rsidRPr="00FE3DF7">
        <w:rPr>
          <w:iCs/>
          <w:szCs w:val="18"/>
        </w:rPr>
        <w:t xml:space="preserve"> aan een beleidsmix per tactisch doel</w:t>
      </w:r>
      <w:r>
        <w:rPr>
          <w:iCs/>
          <w:szCs w:val="18"/>
        </w:rPr>
        <w:t xml:space="preserve"> en aan het bereiken van de overkoepelende strategische doelen en beleidsvisie. De </w:t>
      </w:r>
      <w:r w:rsidR="004A2ACA">
        <w:rPr>
          <w:iCs/>
          <w:szCs w:val="18"/>
        </w:rPr>
        <w:t xml:space="preserve">te beantwoorden </w:t>
      </w:r>
      <w:r>
        <w:rPr>
          <w:iCs/>
          <w:szCs w:val="18"/>
        </w:rPr>
        <w:t xml:space="preserve">vraag is dan of de beleidsinzet een </w:t>
      </w:r>
      <w:r w:rsidRPr="00FE3DF7">
        <w:rPr>
          <w:iCs/>
          <w:szCs w:val="18"/>
        </w:rPr>
        <w:t>evenwichtig</w:t>
      </w:r>
      <w:r>
        <w:rPr>
          <w:iCs/>
          <w:szCs w:val="18"/>
        </w:rPr>
        <w:t>e bijdrage levert aan de beleidsmix</w:t>
      </w:r>
      <w:r w:rsidRPr="00FE3DF7">
        <w:rPr>
          <w:iCs/>
          <w:szCs w:val="18"/>
        </w:rPr>
        <w:t xml:space="preserve"> en verschillende knelpunten/marktimperfecties goed adresseert</w:t>
      </w:r>
      <w:r>
        <w:rPr>
          <w:iCs/>
          <w:szCs w:val="18"/>
        </w:rPr>
        <w:t>, en of de doelgroep van een instrument de juiste is, gegeven de context van het tactisch doel</w:t>
      </w:r>
      <w:r w:rsidRPr="00FE3DF7">
        <w:rPr>
          <w:iCs/>
          <w:szCs w:val="18"/>
        </w:rPr>
        <w:t>.</w:t>
      </w:r>
    </w:p>
    <w:p w:rsidR="004A4B16" w:rsidP="008532BC" w:rsidRDefault="004A4B16" w14:paraId="49DE2642" w14:textId="77777777">
      <w:pPr>
        <w:rPr>
          <w:iCs/>
          <w:szCs w:val="18"/>
        </w:rPr>
      </w:pPr>
    </w:p>
    <w:p w:rsidR="004A4B16" w:rsidP="008532BC" w:rsidRDefault="00F9737A" w14:paraId="2E97B25C" w14:textId="1BE778CB">
      <w:pPr>
        <w:rPr>
          <w:iCs/>
          <w:szCs w:val="18"/>
        </w:rPr>
      </w:pPr>
      <w:r>
        <w:rPr>
          <w:iCs/>
          <w:szCs w:val="18"/>
        </w:rPr>
        <w:t>Ook</w:t>
      </w:r>
      <w:r w:rsidRPr="00FE3DF7" w:rsidR="004A4B16">
        <w:rPr>
          <w:iCs/>
          <w:szCs w:val="18"/>
        </w:rPr>
        <w:t xml:space="preserve"> het </w:t>
      </w:r>
      <w:proofErr w:type="spellStart"/>
      <w:r w:rsidRPr="00FE3DF7" w:rsidR="004A4B16">
        <w:rPr>
          <w:iCs/>
          <w:szCs w:val="18"/>
        </w:rPr>
        <w:t>missiegedreven</w:t>
      </w:r>
      <w:proofErr w:type="spellEnd"/>
      <w:r w:rsidRPr="00FE3DF7" w:rsidR="004A4B16">
        <w:rPr>
          <w:iCs/>
          <w:szCs w:val="18"/>
        </w:rPr>
        <w:t xml:space="preserve"> innovatiebeleid </w:t>
      </w:r>
      <w:r>
        <w:rPr>
          <w:iCs/>
          <w:szCs w:val="18"/>
        </w:rPr>
        <w:t xml:space="preserve">is nog niet geëvalueerd. Dit is een </w:t>
      </w:r>
      <w:r w:rsidRPr="00FE3DF7" w:rsidR="004A4B16">
        <w:rPr>
          <w:iCs/>
          <w:szCs w:val="18"/>
        </w:rPr>
        <w:t xml:space="preserve">bredere systeemaanpak gericht op het adresseren van maatschappelijke uitdagingen en de ontwikkeling van sleuteltechnologieën. Een evaluatie </w:t>
      </w:r>
      <w:r w:rsidR="004E7669">
        <w:rPr>
          <w:iCs/>
          <w:szCs w:val="18"/>
        </w:rPr>
        <w:t>daar</w:t>
      </w:r>
      <w:r w:rsidRPr="00FE3DF7" w:rsidR="004A4B16">
        <w:rPr>
          <w:iCs/>
          <w:szCs w:val="18"/>
        </w:rPr>
        <w:t>van kent grote uitdagingen en is in 2026 gepland. Wel zijn evaluaties beschikbaar van diverse instrumenten die onder het missiedreven innovatiebeleid vallen</w:t>
      </w:r>
      <w:r w:rsidR="004A4B16">
        <w:rPr>
          <w:iCs/>
          <w:szCs w:val="18"/>
        </w:rPr>
        <w:t xml:space="preserve"> en is er in 2021 een voortgangsrapportage aan uw</w:t>
      </w:r>
      <w:r w:rsidR="004E7669">
        <w:rPr>
          <w:iCs/>
          <w:szCs w:val="18"/>
        </w:rPr>
        <w:t xml:space="preserve"> </w:t>
      </w:r>
      <w:r w:rsidR="004A4B16">
        <w:rPr>
          <w:iCs/>
          <w:szCs w:val="18"/>
        </w:rPr>
        <w:t>Kamer gestuurd</w:t>
      </w:r>
      <w:r w:rsidR="004A4B16">
        <w:rPr>
          <w:rStyle w:val="Voetnootmarkering"/>
          <w:iCs/>
          <w:szCs w:val="18"/>
        </w:rPr>
        <w:footnoteReference w:id="3"/>
      </w:r>
      <w:r w:rsidRPr="00FE3DF7" w:rsidR="004A4B16">
        <w:rPr>
          <w:iCs/>
          <w:szCs w:val="18"/>
        </w:rPr>
        <w:t>.</w:t>
      </w:r>
      <w:r w:rsidR="004A4B16">
        <w:rPr>
          <w:iCs/>
          <w:szCs w:val="18"/>
        </w:rPr>
        <w:t xml:space="preserve"> </w:t>
      </w:r>
    </w:p>
    <w:p w:rsidR="004A4B16" w:rsidP="008532BC" w:rsidRDefault="004A4B16" w14:paraId="6128D63D" w14:textId="77777777">
      <w:pPr>
        <w:rPr>
          <w:iCs/>
          <w:szCs w:val="18"/>
        </w:rPr>
      </w:pPr>
    </w:p>
    <w:p w:rsidRPr="004A0ACE" w:rsidR="0038171F" w:rsidP="008532BC" w:rsidRDefault="0038171F" w14:paraId="4A1220AD" w14:textId="12C187EB">
      <w:pPr>
        <w:rPr>
          <w:i/>
          <w:szCs w:val="18"/>
        </w:rPr>
      </w:pPr>
      <w:r>
        <w:rPr>
          <w:i/>
          <w:szCs w:val="18"/>
        </w:rPr>
        <w:t>Flankerend beleid</w:t>
      </w:r>
    </w:p>
    <w:p w:rsidR="004A4B16" w:rsidP="008532BC" w:rsidRDefault="00105DB8" w14:paraId="76AFCA88" w14:textId="2B8E4684">
      <w:pPr>
        <w:rPr>
          <w:iCs/>
          <w:szCs w:val="18"/>
        </w:rPr>
      </w:pPr>
      <w:r>
        <w:rPr>
          <w:iCs/>
          <w:szCs w:val="18"/>
        </w:rPr>
        <w:t>A</w:t>
      </w:r>
      <w:r w:rsidRPr="00FE3DF7" w:rsidR="004A4B16">
        <w:rPr>
          <w:iCs/>
          <w:szCs w:val="18"/>
        </w:rPr>
        <w:t xml:space="preserve">ls </w:t>
      </w:r>
      <w:r>
        <w:rPr>
          <w:iCs/>
          <w:szCs w:val="18"/>
        </w:rPr>
        <w:t xml:space="preserve">breder </w:t>
      </w:r>
      <w:r w:rsidRPr="00FE3DF7" w:rsidR="004A4B16">
        <w:rPr>
          <w:iCs/>
          <w:szCs w:val="18"/>
        </w:rPr>
        <w:t xml:space="preserve">aandachtspunt </w:t>
      </w:r>
      <w:r>
        <w:rPr>
          <w:iCs/>
          <w:szCs w:val="18"/>
        </w:rPr>
        <w:t xml:space="preserve">geldt </w:t>
      </w:r>
      <w:r w:rsidRPr="00FE3DF7" w:rsidR="004A4B16">
        <w:rPr>
          <w:iCs/>
          <w:szCs w:val="18"/>
        </w:rPr>
        <w:t xml:space="preserve">dat er bij diverse tactische doelen beleid wordt gevoerd dat regisserend, coördinerend, ondersteunend of sturend van aard is, al dan niet in aanvulling op de inzet van financiële instrumenten. Dat type beleid heeft geen budgettair beslag van instrumenten en wordt gefinancierd vanuit de apparaatsuitgaven van het kerndepartement en RVO als uitvoeringsorganisatie. Over het algemeen zijn </w:t>
      </w:r>
      <w:r w:rsidR="00524689">
        <w:rPr>
          <w:iCs/>
          <w:szCs w:val="18"/>
        </w:rPr>
        <w:t xml:space="preserve">daar </w:t>
      </w:r>
      <w:r w:rsidRPr="00FE3DF7" w:rsidR="004A4B16">
        <w:rPr>
          <w:iCs/>
          <w:szCs w:val="18"/>
        </w:rPr>
        <w:t xml:space="preserve">geen evaluaties </w:t>
      </w:r>
      <w:r w:rsidR="00524689">
        <w:rPr>
          <w:iCs/>
          <w:szCs w:val="18"/>
        </w:rPr>
        <w:t xml:space="preserve">van </w:t>
      </w:r>
      <w:r w:rsidRPr="00FE3DF7" w:rsidR="004A4B16">
        <w:rPr>
          <w:iCs/>
          <w:szCs w:val="18"/>
        </w:rPr>
        <w:t xml:space="preserve">beschikbaar. </w:t>
      </w:r>
    </w:p>
    <w:p w:rsidR="004A4B16" w:rsidP="008532BC" w:rsidRDefault="004A4B16" w14:paraId="50F9C495" w14:textId="77777777">
      <w:pPr>
        <w:rPr>
          <w:iCs/>
          <w:szCs w:val="18"/>
        </w:rPr>
      </w:pPr>
    </w:p>
    <w:p w:rsidR="00C04A1E" w:rsidP="008532BC" w:rsidRDefault="004A4B16" w14:paraId="7067A62A" w14:textId="14A1DB85">
      <w:pPr>
        <w:rPr>
          <w:iCs/>
          <w:szCs w:val="18"/>
        </w:rPr>
      </w:pPr>
      <w:r w:rsidRPr="00FE3DF7">
        <w:rPr>
          <w:iCs/>
          <w:szCs w:val="18"/>
        </w:rPr>
        <w:t xml:space="preserve">De inzet is om dit type beleid wel mee te laten nemen bij de analyses en beoordelingen van de beleidsmix per tactisch doel. </w:t>
      </w:r>
      <w:r w:rsidR="00C04A1E">
        <w:rPr>
          <w:iCs/>
          <w:szCs w:val="18"/>
        </w:rPr>
        <w:t xml:space="preserve">Het </w:t>
      </w:r>
      <w:r w:rsidRPr="00FE3DF7">
        <w:rPr>
          <w:iCs/>
          <w:szCs w:val="18"/>
        </w:rPr>
        <w:t xml:space="preserve">is te beoordelen op legitimiteit, plaats in de beleidsmix en doelgroepen waar het beleid zich op richt. Verder kan literatuur daar waar mogelijk benut worden om een inschatting te maken van bijdragen van het beleid aan het realiseren van de tactische doelen waar </w:t>
      </w:r>
      <w:r w:rsidR="00A91A9A">
        <w:rPr>
          <w:iCs/>
          <w:szCs w:val="18"/>
        </w:rPr>
        <w:t xml:space="preserve">het </w:t>
      </w:r>
      <w:r w:rsidRPr="00FE3DF7">
        <w:rPr>
          <w:iCs/>
          <w:szCs w:val="18"/>
        </w:rPr>
        <w:t xml:space="preserve">betreffende </w:t>
      </w:r>
      <w:r w:rsidRPr="00A91A9A">
        <w:rPr>
          <w:iCs/>
          <w:szCs w:val="18"/>
        </w:rPr>
        <w:t>instrument</w:t>
      </w:r>
      <w:r w:rsidRPr="00701607" w:rsidR="00A91A9A">
        <w:rPr>
          <w:iCs/>
          <w:szCs w:val="18"/>
        </w:rPr>
        <w:t>arium</w:t>
      </w:r>
      <w:r w:rsidRPr="00FE3DF7">
        <w:rPr>
          <w:iCs/>
          <w:szCs w:val="18"/>
        </w:rPr>
        <w:t xml:space="preserve"> aan gerelateerd </w:t>
      </w:r>
      <w:r w:rsidR="00A91A9A">
        <w:rPr>
          <w:iCs/>
          <w:szCs w:val="18"/>
        </w:rPr>
        <w:t>is</w:t>
      </w:r>
      <w:r w:rsidRPr="00FE3DF7">
        <w:rPr>
          <w:iCs/>
          <w:szCs w:val="18"/>
        </w:rPr>
        <w:t>.</w:t>
      </w:r>
      <w:r>
        <w:rPr>
          <w:iCs/>
          <w:szCs w:val="18"/>
        </w:rPr>
        <w:t xml:space="preserve"> </w:t>
      </w:r>
    </w:p>
    <w:p w:rsidR="00C04A1E" w:rsidP="008532BC" w:rsidRDefault="00C04A1E" w14:paraId="579FAE7A" w14:textId="77777777">
      <w:pPr>
        <w:rPr>
          <w:iCs/>
          <w:szCs w:val="18"/>
        </w:rPr>
      </w:pPr>
    </w:p>
    <w:p w:rsidR="004A4B16" w:rsidP="008532BC" w:rsidRDefault="004A4B16" w14:paraId="18F767AA" w14:textId="26F7BBEF">
      <w:pPr>
        <w:rPr>
          <w:iCs/>
          <w:szCs w:val="18"/>
        </w:rPr>
      </w:pPr>
      <w:r>
        <w:rPr>
          <w:iCs/>
          <w:szCs w:val="18"/>
        </w:rPr>
        <w:t xml:space="preserve">Uitzondering hierop is het beleid ten aanzien van het </w:t>
      </w:r>
      <w:r w:rsidRPr="00D10233">
        <w:rPr>
          <w:iCs/>
          <w:szCs w:val="18"/>
        </w:rPr>
        <w:t>bevorderen van menselijk kapitaal</w:t>
      </w:r>
      <w:r w:rsidR="00F30B49">
        <w:rPr>
          <w:iCs/>
          <w:szCs w:val="18"/>
        </w:rPr>
        <w:t xml:space="preserve"> (tactisch doel B4)</w:t>
      </w:r>
      <w:r>
        <w:rPr>
          <w:iCs/>
          <w:szCs w:val="18"/>
        </w:rPr>
        <w:t xml:space="preserve">. </w:t>
      </w:r>
      <w:r w:rsidR="00C04A1E">
        <w:rPr>
          <w:iCs/>
          <w:szCs w:val="18"/>
        </w:rPr>
        <w:t>Dat bestaat volledig uit flankerend beleid w</w:t>
      </w:r>
      <w:r>
        <w:rPr>
          <w:iCs/>
          <w:szCs w:val="18"/>
        </w:rPr>
        <w:t xml:space="preserve">aarvoor </w:t>
      </w:r>
      <w:r w:rsidRPr="00D10233">
        <w:rPr>
          <w:iCs/>
          <w:szCs w:val="18"/>
        </w:rPr>
        <w:t xml:space="preserve">een lichte, kwalitatieve evaluatie </w:t>
      </w:r>
      <w:r w:rsidR="00C04A1E">
        <w:rPr>
          <w:iCs/>
          <w:szCs w:val="18"/>
        </w:rPr>
        <w:t xml:space="preserve">zal </w:t>
      </w:r>
      <w:r w:rsidRPr="00D10233">
        <w:rPr>
          <w:iCs/>
          <w:szCs w:val="18"/>
        </w:rPr>
        <w:t xml:space="preserve">worden </w:t>
      </w:r>
      <w:r>
        <w:rPr>
          <w:iCs/>
          <w:szCs w:val="18"/>
        </w:rPr>
        <w:t>uitgevoerd als onderdeel van de periodieke rapportage op het thema Ondernemerschap.</w:t>
      </w:r>
    </w:p>
    <w:p w:rsidR="004A4B16" w:rsidP="008532BC" w:rsidRDefault="004A4B16" w14:paraId="6650AEEF" w14:textId="77777777">
      <w:pPr>
        <w:rPr>
          <w:iCs/>
          <w:szCs w:val="18"/>
        </w:rPr>
      </w:pPr>
    </w:p>
    <w:p w:rsidRPr="002C5F28" w:rsidR="004A4B16" w:rsidP="008532BC" w:rsidRDefault="004A4B16" w14:paraId="40540049" w14:textId="77777777">
      <w:pPr>
        <w:rPr>
          <w:iCs/>
          <w:szCs w:val="18"/>
        </w:rPr>
      </w:pPr>
      <w:r>
        <w:rPr>
          <w:i/>
          <w:szCs w:val="18"/>
        </w:rPr>
        <w:t>Budgettair beslag</w:t>
      </w:r>
    </w:p>
    <w:p w:rsidR="009F4957" w:rsidP="008532BC" w:rsidRDefault="00A542B1" w14:paraId="0B376692" w14:textId="01DFC18A">
      <w:pPr>
        <w:rPr>
          <w:iCs/>
          <w:szCs w:val="18"/>
        </w:rPr>
      </w:pPr>
      <w:r>
        <w:rPr>
          <w:iCs/>
          <w:szCs w:val="18"/>
        </w:rPr>
        <w:t>De reikwijdte van de periodieke rapportages bestaat uit h</w:t>
      </w:r>
      <w:r w:rsidR="009F4957">
        <w:rPr>
          <w:iCs/>
          <w:szCs w:val="18"/>
        </w:rPr>
        <w:t>et instrumentarium binnen de beleidsartikelen 2 en 3 dat gerelateerd is aan de thema’s Ondernemerschap en Innovatiebeleid, aangevuld met de extracomptabele fiscale regelingen op deze beleidsterreinen binnen de Miljoenennota van het Ministerie van Financiën. De bedragen worden gekoppeld aan de tactische doelen, waarmee ze een belangrijke rol kunnen spelen bij de beoordeling van de beleidsmix per tactisch doel.</w:t>
      </w:r>
      <w:r w:rsidR="00F47CEF">
        <w:rPr>
          <w:iCs/>
          <w:szCs w:val="18"/>
        </w:rPr>
        <w:t xml:space="preserve"> </w:t>
      </w:r>
      <w:r w:rsidRPr="00F47CEF" w:rsidR="00F47CEF">
        <w:rPr>
          <w:szCs w:val="18"/>
        </w:rPr>
        <w:t>Over de onderzoeksperiode wordt een meerjarig budgettair overzicht opgesteld.</w:t>
      </w:r>
    </w:p>
    <w:p w:rsidR="008532BC" w:rsidP="008532BC" w:rsidRDefault="008532BC" w14:paraId="464AB79A" w14:textId="77777777">
      <w:pPr>
        <w:rPr>
          <w:i/>
          <w:szCs w:val="18"/>
        </w:rPr>
      </w:pPr>
    </w:p>
    <w:p w:rsidRPr="00C12578" w:rsidR="004A4B16" w:rsidP="008532BC" w:rsidRDefault="004A4B16" w14:paraId="333FA490" w14:textId="33A1190C">
      <w:pPr>
        <w:rPr>
          <w:iCs/>
          <w:szCs w:val="18"/>
        </w:rPr>
      </w:pPr>
      <w:r>
        <w:rPr>
          <w:i/>
          <w:szCs w:val="18"/>
        </w:rPr>
        <w:t>Aanbestedingsprocedure</w:t>
      </w:r>
      <w:r w:rsidR="00AA2AC1">
        <w:rPr>
          <w:i/>
          <w:szCs w:val="18"/>
        </w:rPr>
        <w:t xml:space="preserve"> en complementariteit tussen de periodieke rapportages</w:t>
      </w:r>
    </w:p>
    <w:p w:rsidR="004A4B16" w:rsidP="008532BC" w:rsidRDefault="00F168C7" w14:paraId="2B990526" w14:textId="01CB7739">
      <w:pPr>
        <w:rPr>
          <w:iCs/>
          <w:szCs w:val="18"/>
        </w:rPr>
      </w:pPr>
      <w:r>
        <w:rPr>
          <w:iCs/>
          <w:szCs w:val="18"/>
        </w:rPr>
        <w:t>De periodieke rapportages worden aanbesteed</w:t>
      </w:r>
      <w:r w:rsidR="004A4B16">
        <w:rPr>
          <w:iCs/>
          <w:szCs w:val="18"/>
        </w:rPr>
        <w:t xml:space="preserve"> </w:t>
      </w:r>
      <w:r>
        <w:rPr>
          <w:iCs/>
          <w:szCs w:val="18"/>
        </w:rPr>
        <w:t xml:space="preserve">in één Europese aanbesteding </w:t>
      </w:r>
      <w:r w:rsidR="004A4B16">
        <w:rPr>
          <w:iCs/>
          <w:szCs w:val="18"/>
        </w:rPr>
        <w:t>met twee percelen</w:t>
      </w:r>
      <w:r w:rsidR="004A4C1E">
        <w:rPr>
          <w:iCs/>
          <w:szCs w:val="18"/>
        </w:rPr>
        <w:t>,</w:t>
      </w:r>
      <w:r w:rsidR="00B2223C">
        <w:rPr>
          <w:iCs/>
          <w:szCs w:val="18"/>
        </w:rPr>
        <w:t xml:space="preserve"> waarbij de onderzoeksbureaus gevraagd </w:t>
      </w:r>
      <w:r w:rsidR="00064CE1">
        <w:rPr>
          <w:iCs/>
          <w:szCs w:val="18"/>
        </w:rPr>
        <w:t xml:space="preserve">zullen </w:t>
      </w:r>
      <w:r w:rsidR="00B2223C">
        <w:rPr>
          <w:iCs/>
          <w:szCs w:val="18"/>
        </w:rPr>
        <w:t xml:space="preserve">worden te reflecteren op de complementariteit tussen de twee </w:t>
      </w:r>
      <w:r w:rsidR="00B80311">
        <w:rPr>
          <w:iCs/>
          <w:szCs w:val="18"/>
        </w:rPr>
        <w:t>beleidsthema’s</w:t>
      </w:r>
      <w:r>
        <w:rPr>
          <w:iCs/>
          <w:szCs w:val="18"/>
        </w:rPr>
        <w:t>.</w:t>
      </w:r>
      <w:r w:rsidR="00844C08">
        <w:rPr>
          <w:iCs/>
          <w:szCs w:val="18"/>
        </w:rPr>
        <w:t xml:space="preserve"> </w:t>
      </w:r>
      <w:r w:rsidRPr="000F6FE0" w:rsidR="00AD20D2">
        <w:rPr>
          <w:iCs/>
          <w:szCs w:val="18"/>
        </w:rPr>
        <w:t xml:space="preserve">In een kabinetsreactie bij aanbieding van de twee periodieke rapportages aan </w:t>
      </w:r>
      <w:r w:rsidR="00AD20D2">
        <w:rPr>
          <w:iCs/>
          <w:szCs w:val="18"/>
        </w:rPr>
        <w:t>uw</w:t>
      </w:r>
      <w:r w:rsidRPr="000F6FE0" w:rsidR="00AD20D2">
        <w:rPr>
          <w:iCs/>
          <w:szCs w:val="18"/>
        </w:rPr>
        <w:t xml:space="preserve"> Kamer zal de verbinding tussen beide rapportages nader worden gelegd door de resultaten ook op overkoepelend niveau voor beide beleidsterreinen te beschouwen en te belichten vanuit een integrale beleidsvisie op ondernemerschap en innovatie.</w:t>
      </w:r>
      <w:r w:rsidR="00AD20D2">
        <w:rPr>
          <w:iCs/>
          <w:szCs w:val="18"/>
        </w:rPr>
        <w:t xml:space="preserve"> </w:t>
      </w:r>
    </w:p>
    <w:p w:rsidR="004A4B16" w:rsidP="008532BC" w:rsidRDefault="004A4B16" w14:paraId="519E684C" w14:textId="77777777">
      <w:pPr>
        <w:rPr>
          <w:iCs/>
          <w:szCs w:val="18"/>
        </w:rPr>
      </w:pPr>
    </w:p>
    <w:p w:rsidRPr="00BA7110" w:rsidR="004A4B16" w:rsidP="008532BC" w:rsidRDefault="004A4B16" w14:paraId="45140B5E" w14:textId="77777777">
      <w:pPr>
        <w:pStyle w:val="Lijstalinea"/>
        <w:numPr>
          <w:ilvl w:val="0"/>
          <w:numId w:val="16"/>
        </w:numPr>
        <w:spacing w:after="0" w:line="240" w:lineRule="atLeast"/>
        <w:rPr>
          <w:rFonts w:ascii="Verdana" w:hAnsi="Verdana"/>
          <w:b/>
          <w:bCs/>
          <w:iCs/>
          <w:sz w:val="18"/>
          <w:szCs w:val="18"/>
        </w:rPr>
      </w:pPr>
      <w:r w:rsidRPr="00ED78AB">
        <w:rPr>
          <w:rFonts w:ascii="Verdana" w:hAnsi="Verdana"/>
          <w:b/>
          <w:bCs/>
          <w:iCs/>
          <w:sz w:val="18"/>
          <w:szCs w:val="18"/>
        </w:rPr>
        <w:t>Verdere schets van de beoogde aanpak</w:t>
      </w:r>
    </w:p>
    <w:p w:rsidR="00A53EF7" w:rsidP="008532BC" w:rsidRDefault="00A53EF7" w14:paraId="74C3DF99" w14:textId="77777777">
      <w:pPr>
        <w:rPr>
          <w:iCs/>
          <w:szCs w:val="18"/>
        </w:rPr>
      </w:pPr>
    </w:p>
    <w:p w:rsidRPr="00701607" w:rsidR="00A53EF7" w:rsidP="008532BC" w:rsidRDefault="00A53EF7" w14:paraId="39EC23F4" w14:textId="77777777">
      <w:pPr>
        <w:rPr>
          <w:i/>
          <w:szCs w:val="18"/>
        </w:rPr>
      </w:pPr>
      <w:r w:rsidRPr="00701607">
        <w:rPr>
          <w:i/>
          <w:szCs w:val="18"/>
        </w:rPr>
        <w:t>Beoogde aanpak op hoofdlijnen</w:t>
      </w:r>
    </w:p>
    <w:p w:rsidRPr="0026087F" w:rsidR="004A4B16" w:rsidP="008532BC" w:rsidRDefault="00A53EF7" w14:paraId="2D04F43C" w14:textId="7B8CC4FF">
      <w:pPr>
        <w:rPr>
          <w:iCs/>
          <w:szCs w:val="18"/>
        </w:rPr>
      </w:pPr>
      <w:r>
        <w:rPr>
          <w:iCs/>
          <w:szCs w:val="18"/>
        </w:rPr>
        <w:t xml:space="preserve">Voor de </w:t>
      </w:r>
      <w:r w:rsidRPr="0026087F" w:rsidR="004A4B16">
        <w:rPr>
          <w:iCs/>
          <w:szCs w:val="18"/>
        </w:rPr>
        <w:t>period</w:t>
      </w:r>
      <w:r w:rsidR="004A4B16">
        <w:rPr>
          <w:iCs/>
          <w:szCs w:val="18"/>
        </w:rPr>
        <w:t>ieke</w:t>
      </w:r>
      <w:r w:rsidRPr="0026087F" w:rsidR="004A4B16">
        <w:rPr>
          <w:iCs/>
          <w:szCs w:val="18"/>
        </w:rPr>
        <w:t xml:space="preserve"> rapportage</w:t>
      </w:r>
      <w:r>
        <w:rPr>
          <w:iCs/>
          <w:szCs w:val="18"/>
        </w:rPr>
        <w:t xml:space="preserve">s is een aanpak beoogd waarbij </w:t>
      </w:r>
      <w:r w:rsidRPr="0026087F" w:rsidR="004A4B16">
        <w:rPr>
          <w:iCs/>
          <w:szCs w:val="18"/>
        </w:rPr>
        <w:t xml:space="preserve">schematisch op hoofdlijnen het volgende proces </w:t>
      </w:r>
      <w:r w:rsidR="002A0B01">
        <w:rPr>
          <w:iCs/>
          <w:szCs w:val="18"/>
        </w:rPr>
        <w:t xml:space="preserve">wordt </w:t>
      </w:r>
      <w:r w:rsidRPr="0026087F" w:rsidR="004A4B16">
        <w:rPr>
          <w:iCs/>
          <w:szCs w:val="18"/>
        </w:rPr>
        <w:t>af</w:t>
      </w:r>
      <w:r w:rsidR="002A0B01">
        <w:rPr>
          <w:iCs/>
          <w:szCs w:val="18"/>
        </w:rPr>
        <w:t>ge</w:t>
      </w:r>
      <w:r w:rsidRPr="0026087F" w:rsidR="004A4B16">
        <w:rPr>
          <w:iCs/>
          <w:szCs w:val="18"/>
        </w:rPr>
        <w:t>lopen:</w:t>
      </w:r>
    </w:p>
    <w:p w:rsidRPr="00FE3DF7" w:rsidR="004A4B16" w:rsidP="008532BC" w:rsidRDefault="004A4B16" w14:paraId="321A6888" w14:textId="77777777">
      <w:pPr>
        <w:pStyle w:val="Lijstalinea"/>
        <w:numPr>
          <w:ilvl w:val="0"/>
          <w:numId w:val="15"/>
        </w:numPr>
        <w:spacing w:after="0" w:line="240" w:lineRule="atLeast"/>
        <w:rPr>
          <w:rFonts w:ascii="Verdana" w:hAnsi="Verdana"/>
          <w:iCs/>
          <w:sz w:val="18"/>
          <w:szCs w:val="18"/>
        </w:rPr>
      </w:pPr>
      <w:r w:rsidRPr="00FE3DF7">
        <w:rPr>
          <w:rFonts w:ascii="Verdana" w:hAnsi="Verdana"/>
          <w:iCs/>
          <w:sz w:val="18"/>
          <w:szCs w:val="18"/>
        </w:rPr>
        <w:t>Analyse van de tactische doelen waar de instrumenten binnen het in beschouwing te nemen thema Ondernemerschap dan wel Innovatiebeleid aan te relateren zijn en de daarbij behorende beleidstheorieën.</w:t>
      </w:r>
    </w:p>
    <w:p w:rsidR="004A4B16" w:rsidP="008532BC" w:rsidRDefault="004A4B16" w14:paraId="3A28EEDE" w14:textId="77777777">
      <w:pPr>
        <w:pStyle w:val="Lijstalinea"/>
        <w:numPr>
          <w:ilvl w:val="0"/>
          <w:numId w:val="15"/>
        </w:numPr>
        <w:spacing w:after="0" w:line="240" w:lineRule="atLeast"/>
        <w:rPr>
          <w:rFonts w:ascii="Verdana" w:hAnsi="Verdana"/>
          <w:iCs/>
          <w:sz w:val="18"/>
          <w:szCs w:val="18"/>
        </w:rPr>
      </w:pPr>
      <w:r w:rsidRPr="00FE3DF7">
        <w:rPr>
          <w:rFonts w:ascii="Verdana" w:hAnsi="Verdana"/>
          <w:iCs/>
          <w:sz w:val="18"/>
          <w:szCs w:val="18"/>
        </w:rPr>
        <w:t>Analyse van het pakket aan instrumenten per tactisch doel en de bijbehorende financiële middelen, voor zover het om financiële instrumenten gaat.</w:t>
      </w:r>
    </w:p>
    <w:p w:rsidRPr="00FE3DF7" w:rsidR="004A4B16" w:rsidP="008532BC" w:rsidRDefault="004A4B16" w14:paraId="4F607CBC" w14:textId="77777777">
      <w:pPr>
        <w:pStyle w:val="Lijstalinea"/>
        <w:numPr>
          <w:ilvl w:val="0"/>
          <w:numId w:val="15"/>
        </w:numPr>
        <w:spacing w:after="0" w:line="240" w:lineRule="atLeast"/>
        <w:rPr>
          <w:rFonts w:ascii="Verdana" w:hAnsi="Verdana"/>
          <w:iCs/>
          <w:sz w:val="18"/>
          <w:szCs w:val="18"/>
        </w:rPr>
      </w:pPr>
      <w:r w:rsidRPr="00FE3DF7">
        <w:rPr>
          <w:rFonts w:ascii="Verdana" w:hAnsi="Verdana"/>
          <w:iCs/>
          <w:sz w:val="18"/>
          <w:szCs w:val="18"/>
        </w:rPr>
        <w:t>Reflectie op de beleidstheorieën en beoordeling van instrumentenpakketten per tactisch doel op evenwichtigheid qua te adresseren knelpunten/mark</w:t>
      </w:r>
      <w:r>
        <w:rPr>
          <w:rFonts w:ascii="Verdana" w:hAnsi="Verdana"/>
          <w:iCs/>
          <w:sz w:val="18"/>
          <w:szCs w:val="18"/>
        </w:rPr>
        <w:t>t</w:t>
      </w:r>
      <w:r w:rsidRPr="00FE3DF7">
        <w:rPr>
          <w:rFonts w:ascii="Verdana" w:hAnsi="Verdana"/>
          <w:iCs/>
          <w:sz w:val="18"/>
          <w:szCs w:val="18"/>
        </w:rPr>
        <w:t>imperfecties</w:t>
      </w:r>
      <w:r>
        <w:rPr>
          <w:rFonts w:ascii="Verdana" w:hAnsi="Verdana"/>
          <w:iCs/>
          <w:sz w:val="18"/>
          <w:szCs w:val="18"/>
        </w:rPr>
        <w:t>, en een reflectie op evenwichtigheid van het instrumentenpakket over de thema’s heen.</w:t>
      </w:r>
      <w:r w:rsidRPr="00FE3DF7" w:rsidDel="00366BC5">
        <w:rPr>
          <w:rFonts w:ascii="Verdana" w:hAnsi="Verdana"/>
          <w:iCs/>
          <w:sz w:val="18"/>
          <w:szCs w:val="18"/>
        </w:rPr>
        <w:t xml:space="preserve"> </w:t>
      </w:r>
    </w:p>
    <w:p w:rsidRPr="00FE3DF7" w:rsidR="004A4B16" w:rsidP="008532BC" w:rsidRDefault="004A4B16" w14:paraId="439E1A14" w14:textId="47748CF4">
      <w:pPr>
        <w:pStyle w:val="Lijstalinea"/>
        <w:numPr>
          <w:ilvl w:val="0"/>
          <w:numId w:val="15"/>
        </w:numPr>
        <w:spacing w:after="0" w:line="240" w:lineRule="atLeast"/>
        <w:rPr>
          <w:rFonts w:ascii="Verdana" w:hAnsi="Verdana"/>
          <w:iCs/>
          <w:sz w:val="18"/>
          <w:szCs w:val="18"/>
        </w:rPr>
      </w:pPr>
      <w:r w:rsidRPr="00FE3DF7">
        <w:rPr>
          <w:rFonts w:ascii="Verdana" w:hAnsi="Verdana"/>
          <w:iCs/>
          <w:sz w:val="18"/>
          <w:szCs w:val="18"/>
        </w:rPr>
        <w:t xml:space="preserve">Bestudering van evaluaties </w:t>
      </w:r>
      <w:r w:rsidR="002A0B01">
        <w:rPr>
          <w:rFonts w:ascii="Verdana" w:hAnsi="Verdana"/>
          <w:iCs/>
          <w:sz w:val="18"/>
          <w:szCs w:val="18"/>
        </w:rPr>
        <w:t xml:space="preserve">en monitors </w:t>
      </w:r>
      <w:r w:rsidRPr="00FE3DF7">
        <w:rPr>
          <w:rFonts w:ascii="Verdana" w:hAnsi="Verdana"/>
          <w:iCs/>
          <w:sz w:val="18"/>
          <w:szCs w:val="18"/>
        </w:rPr>
        <w:t xml:space="preserve">van instrumenten binnen het betreffende thema en in kaart brengen van conclusies met betrekking tot </w:t>
      </w:r>
      <w:r>
        <w:rPr>
          <w:rFonts w:ascii="Verdana" w:hAnsi="Verdana"/>
          <w:iCs/>
          <w:sz w:val="18"/>
          <w:szCs w:val="18"/>
        </w:rPr>
        <w:t xml:space="preserve">(voorwaarden voor) </w:t>
      </w:r>
      <w:r w:rsidRPr="00FE3DF7">
        <w:rPr>
          <w:rFonts w:ascii="Verdana" w:hAnsi="Verdana"/>
          <w:iCs/>
          <w:sz w:val="18"/>
          <w:szCs w:val="18"/>
        </w:rPr>
        <w:t xml:space="preserve">doeltreffendheid en doelmatigheid, alsmede het </w:t>
      </w:r>
      <w:proofErr w:type="spellStart"/>
      <w:r w:rsidRPr="00FE3DF7">
        <w:rPr>
          <w:rFonts w:ascii="Verdana" w:hAnsi="Verdana"/>
          <w:iCs/>
          <w:sz w:val="18"/>
          <w:szCs w:val="18"/>
        </w:rPr>
        <w:t>doelgroepbereik</w:t>
      </w:r>
      <w:proofErr w:type="spellEnd"/>
      <w:r w:rsidRPr="00FE3DF7">
        <w:rPr>
          <w:rFonts w:ascii="Verdana" w:hAnsi="Verdana"/>
          <w:iCs/>
          <w:sz w:val="18"/>
          <w:szCs w:val="18"/>
        </w:rPr>
        <w:t xml:space="preserve"> van instrumenten</w:t>
      </w:r>
      <w:r>
        <w:rPr>
          <w:rStyle w:val="Voetnootmarkering"/>
          <w:rFonts w:ascii="Verdana" w:hAnsi="Verdana"/>
          <w:iCs/>
          <w:sz w:val="18"/>
          <w:szCs w:val="18"/>
        </w:rPr>
        <w:footnoteReference w:id="4"/>
      </w:r>
      <w:r w:rsidRPr="00FE3DF7">
        <w:rPr>
          <w:rFonts w:ascii="Verdana" w:hAnsi="Verdana"/>
          <w:iCs/>
          <w:sz w:val="18"/>
          <w:szCs w:val="18"/>
        </w:rPr>
        <w:t>.</w:t>
      </w:r>
      <w:r>
        <w:rPr>
          <w:rFonts w:ascii="Verdana" w:hAnsi="Verdana"/>
          <w:iCs/>
          <w:sz w:val="18"/>
          <w:szCs w:val="18"/>
        </w:rPr>
        <w:t xml:space="preserve"> Hierbij ook oog hebbende voor de totale beleidsmix per tactisch doel en de bijdragen van flankerend beleid aan het bereiken van de tactische doelen.</w:t>
      </w:r>
    </w:p>
    <w:p w:rsidRPr="00FE3DF7" w:rsidR="004A4B16" w:rsidP="008532BC" w:rsidRDefault="004A4B16" w14:paraId="235B4CAE" w14:textId="77777777">
      <w:pPr>
        <w:pStyle w:val="Lijstalinea"/>
        <w:numPr>
          <w:ilvl w:val="0"/>
          <w:numId w:val="15"/>
        </w:numPr>
        <w:spacing w:after="0" w:line="240" w:lineRule="atLeast"/>
        <w:rPr>
          <w:rFonts w:ascii="Verdana" w:hAnsi="Verdana"/>
          <w:iCs/>
          <w:sz w:val="18"/>
          <w:szCs w:val="18"/>
        </w:rPr>
      </w:pPr>
      <w:r w:rsidRPr="00FE3DF7">
        <w:rPr>
          <w:rFonts w:ascii="Verdana" w:hAnsi="Verdana"/>
          <w:iCs/>
          <w:sz w:val="18"/>
          <w:szCs w:val="18"/>
        </w:rPr>
        <w:t xml:space="preserve">Per tactisch doel in beeld brengen </w:t>
      </w:r>
      <w:r>
        <w:rPr>
          <w:rFonts w:ascii="Verdana" w:hAnsi="Verdana"/>
          <w:iCs/>
          <w:sz w:val="18"/>
          <w:szCs w:val="18"/>
        </w:rPr>
        <w:t xml:space="preserve">van </w:t>
      </w:r>
      <w:r w:rsidRPr="00FE3DF7">
        <w:rPr>
          <w:rFonts w:ascii="Verdana" w:hAnsi="Verdana"/>
          <w:iCs/>
          <w:sz w:val="18"/>
          <w:szCs w:val="18"/>
        </w:rPr>
        <w:t xml:space="preserve">de conclusies die over doeltreffendheid en doelmatigheid van instrumenten zijn te formuleren op basis van de uitgevoerde evaluaties. Hierbij is ook het </w:t>
      </w:r>
      <w:proofErr w:type="spellStart"/>
      <w:r w:rsidRPr="00FE3DF7">
        <w:rPr>
          <w:rFonts w:ascii="Verdana" w:hAnsi="Verdana"/>
          <w:iCs/>
          <w:sz w:val="18"/>
          <w:szCs w:val="18"/>
        </w:rPr>
        <w:t>doelgroepbereik</w:t>
      </w:r>
      <w:proofErr w:type="spellEnd"/>
      <w:r w:rsidRPr="00FE3DF7">
        <w:rPr>
          <w:rFonts w:ascii="Verdana" w:hAnsi="Verdana"/>
          <w:iCs/>
          <w:sz w:val="18"/>
          <w:szCs w:val="18"/>
        </w:rPr>
        <w:t xml:space="preserve"> van de instrumenten te schetsen, als afzonderlijk aspect gerelateerd aan zowel de doeltreffendheid als de doelmatigheid van het beleid.</w:t>
      </w:r>
    </w:p>
    <w:p w:rsidRPr="00FE3DF7" w:rsidR="004A4B16" w:rsidP="008532BC" w:rsidRDefault="004A4B16" w14:paraId="009979C5" w14:textId="77777777">
      <w:pPr>
        <w:pStyle w:val="Lijstalinea"/>
        <w:numPr>
          <w:ilvl w:val="0"/>
          <w:numId w:val="15"/>
        </w:numPr>
        <w:spacing w:after="0" w:line="240" w:lineRule="atLeast"/>
        <w:rPr>
          <w:rFonts w:ascii="Verdana" w:hAnsi="Verdana"/>
          <w:iCs/>
          <w:sz w:val="18"/>
          <w:szCs w:val="18"/>
        </w:rPr>
      </w:pPr>
      <w:r w:rsidRPr="00FE3DF7">
        <w:rPr>
          <w:rFonts w:ascii="Verdana" w:hAnsi="Verdana"/>
          <w:iCs/>
          <w:sz w:val="18"/>
          <w:szCs w:val="18"/>
        </w:rPr>
        <w:t>Per tactisch doel in kaart brengen van welke instrumenten geen evaluaties beschikbaar zijn</w:t>
      </w:r>
      <w:r>
        <w:rPr>
          <w:rFonts w:ascii="Verdana" w:hAnsi="Verdana"/>
          <w:iCs/>
          <w:sz w:val="18"/>
          <w:szCs w:val="18"/>
        </w:rPr>
        <w:t xml:space="preserve"> en de financiële omvang hiervan</w:t>
      </w:r>
      <w:r w:rsidRPr="00FE3DF7">
        <w:rPr>
          <w:rFonts w:ascii="Verdana" w:hAnsi="Verdana"/>
          <w:iCs/>
          <w:sz w:val="18"/>
          <w:szCs w:val="18"/>
        </w:rPr>
        <w:t>. Die instrumenten vervolgens beoordelen op legitimiteit en plaats in de beleidsmix en bezien in hoeverre er inschattingen van effectiviteit kunnen worden gegeven op basis van literatuur.</w:t>
      </w:r>
    </w:p>
    <w:p w:rsidR="004A4B16" w:rsidP="008532BC" w:rsidRDefault="004A4B16" w14:paraId="1AE123C8" w14:textId="77777777">
      <w:pPr>
        <w:pStyle w:val="Lijstalinea"/>
        <w:numPr>
          <w:ilvl w:val="0"/>
          <w:numId w:val="15"/>
        </w:numPr>
        <w:spacing w:after="0" w:line="240" w:lineRule="atLeast"/>
        <w:rPr>
          <w:rFonts w:ascii="Verdana" w:hAnsi="Verdana"/>
          <w:iCs/>
          <w:sz w:val="18"/>
          <w:szCs w:val="18"/>
        </w:rPr>
      </w:pPr>
      <w:r w:rsidRPr="00FE3DF7">
        <w:rPr>
          <w:rFonts w:ascii="Verdana" w:hAnsi="Verdana"/>
          <w:iCs/>
          <w:sz w:val="18"/>
          <w:szCs w:val="18"/>
        </w:rPr>
        <w:t>Conclusies trekken over de doeltreffendheid en doelmatigheid van instrumenten in totaliteit en kennislacunes</w:t>
      </w:r>
      <w:r>
        <w:rPr>
          <w:rFonts w:ascii="Verdana" w:hAnsi="Verdana"/>
          <w:iCs/>
          <w:sz w:val="18"/>
          <w:szCs w:val="18"/>
        </w:rPr>
        <w:t xml:space="preserve"> die daarbij gelden.</w:t>
      </w:r>
    </w:p>
    <w:p w:rsidR="004A4B16" w:rsidP="008532BC" w:rsidRDefault="004A4B16" w14:paraId="4A265F63" w14:textId="77777777">
      <w:pPr>
        <w:pStyle w:val="Lijstalinea"/>
        <w:numPr>
          <w:ilvl w:val="0"/>
          <w:numId w:val="15"/>
        </w:numPr>
        <w:spacing w:after="0" w:line="240" w:lineRule="atLeast"/>
        <w:rPr>
          <w:rFonts w:ascii="Verdana" w:hAnsi="Verdana"/>
          <w:iCs/>
          <w:sz w:val="18"/>
          <w:szCs w:val="18"/>
        </w:rPr>
      </w:pPr>
      <w:r>
        <w:rPr>
          <w:rFonts w:ascii="Verdana" w:hAnsi="Verdana"/>
          <w:iCs/>
          <w:sz w:val="18"/>
          <w:szCs w:val="18"/>
        </w:rPr>
        <w:t xml:space="preserve">Formuleren van mogelijkheden voor het vergroten van de doeltreffendheid en doelmatigheid van het beleid of de voorwaarden daarvoor. </w:t>
      </w:r>
    </w:p>
    <w:p w:rsidR="004A4B16" w:rsidP="008532BC" w:rsidRDefault="004A4B16" w14:paraId="3D2632FE" w14:textId="77777777">
      <w:pPr>
        <w:pStyle w:val="Lijstalinea"/>
        <w:numPr>
          <w:ilvl w:val="0"/>
          <w:numId w:val="15"/>
        </w:numPr>
        <w:spacing w:after="0" w:line="240" w:lineRule="atLeast"/>
        <w:rPr>
          <w:rFonts w:ascii="Verdana" w:hAnsi="Verdana"/>
          <w:iCs/>
          <w:sz w:val="18"/>
          <w:szCs w:val="18"/>
        </w:rPr>
      </w:pPr>
      <w:r>
        <w:rPr>
          <w:rFonts w:ascii="Verdana" w:hAnsi="Verdana"/>
          <w:iCs/>
          <w:sz w:val="18"/>
          <w:szCs w:val="18"/>
        </w:rPr>
        <w:t xml:space="preserve">Eén of meer besparingsvarianten uitwerken waarmee op doelmatige wijze </w:t>
      </w:r>
      <w:r w:rsidRPr="00A165CE">
        <w:rPr>
          <w:rFonts w:ascii="Verdana" w:hAnsi="Verdana" w:cs="Arial"/>
          <w:sz w:val="18"/>
          <w:szCs w:val="18"/>
        </w:rPr>
        <w:t>een besparing van 20% op de budgettaire grondslag van het beleidsthema kan worden gerealiseer</w:t>
      </w:r>
      <w:r>
        <w:rPr>
          <w:rFonts w:ascii="Verdana" w:hAnsi="Verdana" w:cs="Arial"/>
          <w:sz w:val="18"/>
          <w:szCs w:val="18"/>
        </w:rPr>
        <w:t>d</w:t>
      </w:r>
      <w:r>
        <w:rPr>
          <w:rFonts w:ascii="Verdana" w:hAnsi="Verdana"/>
          <w:iCs/>
          <w:sz w:val="18"/>
          <w:szCs w:val="18"/>
        </w:rPr>
        <w:t xml:space="preserve">. </w:t>
      </w:r>
      <w:r w:rsidRPr="0049237C">
        <w:rPr>
          <w:rFonts w:ascii="Verdana" w:hAnsi="Verdana"/>
          <w:iCs/>
          <w:sz w:val="18"/>
          <w:szCs w:val="18"/>
        </w:rPr>
        <w:t>Wanneer 20% onmogelijk wordt geacht, kan op voorwaarde van een goede inhoudelijke argumentatie gekozen worden voor een alternatief percentage dat recht doet aan een voor het beleidsterrein significante besparing</w:t>
      </w:r>
      <w:r>
        <w:rPr>
          <w:rFonts w:ascii="Verdana" w:hAnsi="Verdana"/>
          <w:iCs/>
          <w:sz w:val="18"/>
          <w:szCs w:val="18"/>
        </w:rPr>
        <w:t>.</w:t>
      </w:r>
    </w:p>
    <w:p w:rsidR="004A4B16" w:rsidP="008532BC" w:rsidRDefault="004A4B16" w14:paraId="7D7F0A25" w14:textId="77777777">
      <w:pPr>
        <w:ind w:left="60"/>
        <w:rPr>
          <w:iCs/>
          <w:szCs w:val="18"/>
        </w:rPr>
      </w:pPr>
    </w:p>
    <w:p w:rsidR="004A4B16" w:rsidP="008532BC" w:rsidRDefault="004A4B16" w14:paraId="0DB51F69" w14:textId="77777777">
      <w:pPr>
        <w:rPr>
          <w:iCs/>
          <w:szCs w:val="18"/>
        </w:rPr>
      </w:pPr>
      <w:r>
        <w:rPr>
          <w:iCs/>
          <w:szCs w:val="18"/>
        </w:rPr>
        <w:t xml:space="preserve">Het onderzoek langs de hierboven aangegeven lijnen is uit te voeren op basis van deskresearch als onderzoeksmethode, daarbij ook gebruikmakende van de verschillende monitors die op deze twee beleidsterreinen reeds bestaan. Interviews met beleidsmakers en uitvoerders van instrumenten bij met name RVO kan aanvullend van waarde zijn voor een beter begrip van de instrumenten waarvoor geen evaluatie beschikbaar is. </w:t>
      </w:r>
    </w:p>
    <w:p w:rsidR="004A4B16" w:rsidP="008532BC" w:rsidRDefault="004A4B16" w14:paraId="7882BD42" w14:textId="77777777">
      <w:pPr>
        <w:rPr>
          <w:iCs/>
          <w:szCs w:val="18"/>
        </w:rPr>
      </w:pPr>
    </w:p>
    <w:p w:rsidRPr="00840DFF" w:rsidR="004A4B16" w:rsidP="008532BC" w:rsidRDefault="004A4B16" w14:paraId="4AA37D12" w14:textId="77777777">
      <w:pPr>
        <w:rPr>
          <w:iCs/>
          <w:szCs w:val="18"/>
        </w:rPr>
      </w:pPr>
      <w:r>
        <w:rPr>
          <w:i/>
          <w:szCs w:val="18"/>
        </w:rPr>
        <w:t>Onderzoeksvragen</w:t>
      </w:r>
    </w:p>
    <w:p w:rsidR="004A4B16" w:rsidP="008532BC" w:rsidRDefault="00546089" w14:paraId="7D01EB2F" w14:textId="1D84E84E">
      <w:pPr>
        <w:rPr>
          <w:iCs/>
          <w:szCs w:val="18"/>
        </w:rPr>
      </w:pPr>
      <w:r>
        <w:rPr>
          <w:iCs/>
          <w:szCs w:val="18"/>
        </w:rPr>
        <w:t>De h</w:t>
      </w:r>
      <w:r w:rsidRPr="00F93E73" w:rsidR="004A4B16">
        <w:rPr>
          <w:iCs/>
          <w:szCs w:val="18"/>
        </w:rPr>
        <w:t>oofdvragen in het evaluatieonderzoek zijn voorlopig als volgt te verwoorden:</w:t>
      </w:r>
    </w:p>
    <w:p w:rsidR="004A4B16" w:rsidP="008532BC" w:rsidRDefault="004A4B16" w14:paraId="4DA86D7F" w14:textId="77777777">
      <w:pPr>
        <w:contextualSpacing/>
        <w:rPr>
          <w:b/>
          <w:iCs/>
          <w:szCs w:val="18"/>
        </w:rPr>
      </w:pPr>
    </w:p>
    <w:p w:rsidRPr="00681426" w:rsidR="004A4B16" w:rsidP="008532BC" w:rsidRDefault="004A4B16" w14:paraId="517D920E" w14:textId="77777777">
      <w:pPr>
        <w:contextualSpacing/>
        <w:rPr>
          <w:bCs/>
          <w:iCs/>
          <w:szCs w:val="18"/>
          <w:u w:val="single"/>
        </w:rPr>
      </w:pPr>
      <w:r w:rsidRPr="00681426">
        <w:rPr>
          <w:bCs/>
          <w:iCs/>
          <w:szCs w:val="18"/>
          <w:u w:val="single"/>
        </w:rPr>
        <w:t>Beleidsmix</w:t>
      </w:r>
    </w:p>
    <w:p w:rsidR="004A4B16" w:rsidP="008532BC" w:rsidRDefault="004A4B16" w14:paraId="1FCAE5A3" w14:textId="3A4700DC">
      <w:pPr>
        <w:rPr>
          <w:iCs/>
          <w:szCs w:val="18"/>
        </w:rPr>
      </w:pPr>
      <w:r w:rsidRPr="00AB6BA8">
        <w:rPr>
          <w:iCs/>
          <w:szCs w:val="18"/>
        </w:rPr>
        <w:t xml:space="preserve">Schets </w:t>
      </w:r>
      <w:r w:rsidRPr="00AB6BA8" w:rsidR="00AB6BA8">
        <w:rPr>
          <w:iCs/>
          <w:szCs w:val="18"/>
        </w:rPr>
        <w:t xml:space="preserve">en beoordeel </w:t>
      </w:r>
      <w:r w:rsidRPr="00AB6BA8">
        <w:rPr>
          <w:iCs/>
          <w:szCs w:val="18"/>
        </w:rPr>
        <w:t>de beleidsmix per tactisch doel. Benoem daarbij de instrumenten die onderdeel uitmaken van de periodieke rapportage, maar ook de overige inzet die op de tactische doelen wordt gepleegd, zoals netwerken, het organiseren van evenementen, coördinatiefuncties, etc. Benoem ook de inzet van andere departementen, zoals het beleid van OCW op het terrein van menselijk kapitaal.</w:t>
      </w:r>
    </w:p>
    <w:p w:rsidRPr="00C57CCB" w:rsidR="009D3E25" w:rsidP="008532BC" w:rsidRDefault="009D3E25" w14:paraId="4D3B6190" w14:textId="77777777">
      <w:pPr>
        <w:rPr>
          <w:iCs/>
          <w:szCs w:val="18"/>
        </w:rPr>
      </w:pPr>
    </w:p>
    <w:p w:rsidRPr="00681426" w:rsidR="004A4B16" w:rsidP="008532BC" w:rsidRDefault="004A4B16" w14:paraId="45D865B2" w14:textId="77777777">
      <w:pPr>
        <w:contextualSpacing/>
        <w:rPr>
          <w:iCs/>
          <w:szCs w:val="18"/>
          <w:u w:val="single"/>
        </w:rPr>
      </w:pPr>
      <w:proofErr w:type="spellStart"/>
      <w:r w:rsidRPr="00681426">
        <w:rPr>
          <w:iCs/>
          <w:szCs w:val="18"/>
          <w:u w:val="single"/>
        </w:rPr>
        <w:t>Doelgroepbereik</w:t>
      </w:r>
      <w:proofErr w:type="spellEnd"/>
    </w:p>
    <w:p w:rsidRPr="00AB6BA8" w:rsidR="004A4B16" w:rsidP="008532BC" w:rsidRDefault="004A4B16" w14:paraId="19C24272" w14:textId="646D1BC0">
      <w:pPr>
        <w:rPr>
          <w:iCs/>
          <w:szCs w:val="18"/>
        </w:rPr>
      </w:pPr>
      <w:r w:rsidRPr="00AB6BA8">
        <w:rPr>
          <w:iCs/>
          <w:szCs w:val="18"/>
        </w:rPr>
        <w:t>Geef een overzicht van de conclusies m</w:t>
      </w:r>
      <w:r w:rsidR="00E96FF8">
        <w:rPr>
          <w:iCs/>
          <w:szCs w:val="18"/>
        </w:rPr>
        <w:t>et betrekking tot</w:t>
      </w:r>
      <w:r w:rsidRPr="00AB6BA8">
        <w:rPr>
          <w:iCs/>
          <w:szCs w:val="18"/>
        </w:rPr>
        <w:t xml:space="preserve"> </w:t>
      </w:r>
      <w:r w:rsidR="00E96FF8">
        <w:rPr>
          <w:iCs/>
          <w:szCs w:val="18"/>
        </w:rPr>
        <w:t xml:space="preserve">het </w:t>
      </w:r>
      <w:proofErr w:type="spellStart"/>
      <w:r w:rsidRPr="00AB6BA8">
        <w:rPr>
          <w:iCs/>
          <w:szCs w:val="18"/>
        </w:rPr>
        <w:t>doelgroepbereik</w:t>
      </w:r>
      <w:proofErr w:type="spellEnd"/>
      <w:r w:rsidRPr="00AB6BA8">
        <w:rPr>
          <w:iCs/>
          <w:szCs w:val="18"/>
        </w:rPr>
        <w:t xml:space="preserve"> van de verschillende instrumenten en geef een beschouwing van het </w:t>
      </w:r>
      <w:proofErr w:type="spellStart"/>
      <w:r w:rsidRPr="00AB6BA8">
        <w:rPr>
          <w:iCs/>
          <w:szCs w:val="18"/>
        </w:rPr>
        <w:t>doelgroepbereik</w:t>
      </w:r>
      <w:proofErr w:type="spellEnd"/>
      <w:r w:rsidRPr="00AB6BA8">
        <w:rPr>
          <w:iCs/>
          <w:szCs w:val="18"/>
        </w:rPr>
        <w:t xml:space="preserve"> van de instrumentenmix op het niveau van het tactisch doel. </w:t>
      </w:r>
    </w:p>
    <w:p w:rsidRPr="007F2E0D" w:rsidR="004A4B16" w:rsidP="008532BC" w:rsidRDefault="004A4B16" w14:paraId="44B3C232" w14:textId="77777777">
      <w:pPr>
        <w:rPr>
          <w:b/>
          <w:bCs/>
          <w:iCs/>
          <w:szCs w:val="18"/>
        </w:rPr>
      </w:pPr>
    </w:p>
    <w:p w:rsidRPr="00681426" w:rsidR="004A4B16" w:rsidP="008532BC" w:rsidRDefault="004A4B16" w14:paraId="3F2DD6B9" w14:textId="77777777">
      <w:pPr>
        <w:contextualSpacing/>
        <w:rPr>
          <w:iCs/>
          <w:szCs w:val="18"/>
          <w:u w:val="single"/>
        </w:rPr>
      </w:pPr>
      <w:r w:rsidRPr="00681426">
        <w:rPr>
          <w:iCs/>
          <w:szCs w:val="18"/>
          <w:u w:val="single"/>
        </w:rPr>
        <w:t>Doeltreffendheid van het beleid</w:t>
      </w:r>
    </w:p>
    <w:p w:rsidR="004A4B16" w:rsidP="008532BC" w:rsidRDefault="004A4B16" w14:paraId="5C9359E3" w14:textId="6B10C477">
      <w:pPr>
        <w:rPr>
          <w:iCs/>
          <w:szCs w:val="18"/>
        </w:rPr>
      </w:pPr>
      <w:r w:rsidRPr="00AB6BA8">
        <w:rPr>
          <w:iCs/>
          <w:szCs w:val="18"/>
        </w:rPr>
        <w:t>Geef een overzicht van de conclusies m</w:t>
      </w:r>
      <w:r w:rsidR="00E96FF8">
        <w:rPr>
          <w:iCs/>
          <w:szCs w:val="18"/>
        </w:rPr>
        <w:t>et betrekking tot</w:t>
      </w:r>
      <w:r w:rsidRPr="00AB6BA8">
        <w:rPr>
          <w:iCs/>
          <w:szCs w:val="18"/>
        </w:rPr>
        <w:t xml:space="preserve"> </w:t>
      </w:r>
      <w:r w:rsidR="00E96FF8">
        <w:rPr>
          <w:iCs/>
          <w:szCs w:val="18"/>
        </w:rPr>
        <w:t xml:space="preserve">de </w:t>
      </w:r>
      <w:r w:rsidRPr="00AB6BA8">
        <w:rPr>
          <w:iCs/>
          <w:szCs w:val="18"/>
        </w:rPr>
        <w:t xml:space="preserve">doeltreffendheid van de verschillende instrumenten en geef een beschouwing van de doeltreffendheid van de instrumentenmix op het niveau van het tactisch doel en op het niveau van het </w:t>
      </w:r>
      <w:r w:rsidR="00E96FF8">
        <w:rPr>
          <w:iCs/>
          <w:szCs w:val="18"/>
        </w:rPr>
        <w:t>overkoepelende beleidsthema (innovatie- dan wel ondernemerschapsbeleid)</w:t>
      </w:r>
      <w:r w:rsidRPr="00AB6BA8">
        <w:rPr>
          <w:iCs/>
          <w:szCs w:val="18"/>
        </w:rPr>
        <w:t>. Breng hierbij per instrument ook de positie op de effectladder in kaart van de uitgevoerde effectmeting</w:t>
      </w:r>
      <w:r>
        <w:rPr>
          <w:rStyle w:val="Voetnootmarkering"/>
          <w:iCs/>
          <w:szCs w:val="18"/>
        </w:rPr>
        <w:footnoteReference w:id="5"/>
      </w:r>
      <w:r w:rsidRPr="00AB6BA8">
        <w:rPr>
          <w:iCs/>
          <w:szCs w:val="18"/>
        </w:rPr>
        <w:t xml:space="preserve">. </w:t>
      </w:r>
    </w:p>
    <w:p w:rsidRPr="00AB6BA8" w:rsidR="009D3E25" w:rsidP="008532BC" w:rsidRDefault="009D3E25" w14:paraId="0C145034" w14:textId="77777777">
      <w:pPr>
        <w:rPr>
          <w:iCs/>
          <w:szCs w:val="18"/>
        </w:rPr>
      </w:pPr>
    </w:p>
    <w:p w:rsidRPr="00AB6BA8" w:rsidR="004A4B16" w:rsidP="008532BC" w:rsidRDefault="004A4B16" w14:paraId="4FD89309" w14:textId="440DD70F">
      <w:pPr>
        <w:rPr>
          <w:b/>
          <w:bCs/>
          <w:iCs/>
          <w:szCs w:val="18"/>
        </w:rPr>
      </w:pPr>
      <w:r w:rsidRPr="00AB6BA8">
        <w:rPr>
          <w:iCs/>
          <w:szCs w:val="18"/>
        </w:rPr>
        <w:t>Specifiek voor het thema menselijk kapitaal:</w:t>
      </w:r>
      <w:r w:rsidRPr="00AB6BA8">
        <w:rPr>
          <w:b/>
          <w:bCs/>
          <w:iCs/>
          <w:szCs w:val="18"/>
        </w:rPr>
        <w:t xml:space="preserve"> </w:t>
      </w:r>
      <w:r w:rsidR="00AB6BA8">
        <w:rPr>
          <w:iCs/>
          <w:szCs w:val="18"/>
        </w:rPr>
        <w:t>voer</w:t>
      </w:r>
      <w:r w:rsidRPr="00AB6BA8">
        <w:rPr>
          <w:iCs/>
          <w:szCs w:val="18"/>
        </w:rPr>
        <w:t xml:space="preserve"> een lichte kwalitatieve evaluatie </w:t>
      </w:r>
      <w:r w:rsidR="00AB6BA8">
        <w:rPr>
          <w:iCs/>
          <w:szCs w:val="18"/>
        </w:rPr>
        <w:t xml:space="preserve">uit </w:t>
      </w:r>
      <w:r w:rsidRPr="00AB6BA8">
        <w:rPr>
          <w:iCs/>
          <w:szCs w:val="18"/>
        </w:rPr>
        <w:t>van de bestaande instrumenten gericht op het terugdringen van tekorten in ICT en technici en onderzoek hun doeltreffendheid in het licht van algemeen arbeidsmarktbeleid.</w:t>
      </w:r>
    </w:p>
    <w:p w:rsidR="004A4B16" w:rsidP="008532BC" w:rsidRDefault="004A4B16" w14:paraId="428DA413" w14:textId="77777777">
      <w:pPr>
        <w:contextualSpacing/>
        <w:rPr>
          <w:b/>
          <w:bCs/>
          <w:iCs/>
          <w:szCs w:val="18"/>
        </w:rPr>
      </w:pPr>
    </w:p>
    <w:p w:rsidRPr="00681426" w:rsidR="004A4B16" w:rsidP="008532BC" w:rsidRDefault="004A4B16" w14:paraId="4EDC44A5" w14:textId="77777777">
      <w:pPr>
        <w:contextualSpacing/>
        <w:rPr>
          <w:iCs/>
          <w:szCs w:val="18"/>
          <w:u w:val="single"/>
        </w:rPr>
      </w:pPr>
      <w:r w:rsidRPr="00681426">
        <w:rPr>
          <w:iCs/>
          <w:szCs w:val="18"/>
          <w:u w:val="single"/>
        </w:rPr>
        <w:t>Doelmatigheid van het beleid</w:t>
      </w:r>
    </w:p>
    <w:p w:rsidRPr="00697C77" w:rsidR="004A4B16" w:rsidP="008532BC" w:rsidRDefault="004A4B16" w14:paraId="73423C50" w14:textId="1795AC80">
      <w:pPr>
        <w:rPr>
          <w:iCs/>
          <w:szCs w:val="18"/>
        </w:rPr>
      </w:pPr>
      <w:r w:rsidRPr="00697C77">
        <w:rPr>
          <w:iCs/>
          <w:szCs w:val="18"/>
        </w:rPr>
        <w:t>Geef een overzicht van de conclusies m</w:t>
      </w:r>
      <w:r w:rsidR="00E96FF8">
        <w:rPr>
          <w:iCs/>
          <w:szCs w:val="18"/>
        </w:rPr>
        <w:t>et betrekking tot</w:t>
      </w:r>
      <w:r w:rsidRPr="00697C77">
        <w:rPr>
          <w:iCs/>
          <w:szCs w:val="18"/>
        </w:rPr>
        <w:t xml:space="preserve"> doelmatigheid van het beleid bij de verschillende instrumenten en geef een beschouwing van de doelmatigheid van de instrumentenmix op het niveau van het tactisch doel en op het niveau van het</w:t>
      </w:r>
      <w:r w:rsidR="00E96FF8">
        <w:rPr>
          <w:iCs/>
          <w:szCs w:val="18"/>
        </w:rPr>
        <w:t xml:space="preserve"> overkoepelende beleidsthema (innovatie- dan wel ondernemerschapsbeleid)</w:t>
      </w:r>
      <w:r w:rsidRPr="00697C77">
        <w:rPr>
          <w:iCs/>
          <w:szCs w:val="18"/>
        </w:rPr>
        <w:t xml:space="preserve"> Bezie de effecten van het beleid hierbij in verhouding tot de ingezette beleidsmiddelen. Betrek per instrument ook de positie op de effectladder van de uitgevoerde effectmeting. </w:t>
      </w:r>
    </w:p>
    <w:p w:rsidR="004A4B16" w:rsidP="008532BC" w:rsidRDefault="004A4B16" w14:paraId="6FCBD35A" w14:textId="77777777">
      <w:pPr>
        <w:contextualSpacing/>
        <w:rPr>
          <w:b/>
          <w:bCs/>
          <w:iCs/>
          <w:szCs w:val="18"/>
        </w:rPr>
      </w:pPr>
    </w:p>
    <w:p w:rsidRPr="00681426" w:rsidR="004A4B16" w:rsidP="008532BC" w:rsidRDefault="004A4B16" w14:paraId="79781369" w14:textId="77777777">
      <w:pPr>
        <w:contextualSpacing/>
        <w:rPr>
          <w:iCs/>
          <w:szCs w:val="18"/>
          <w:u w:val="single"/>
        </w:rPr>
      </w:pPr>
      <w:r w:rsidRPr="00681426">
        <w:rPr>
          <w:iCs/>
          <w:szCs w:val="18"/>
          <w:u w:val="single"/>
        </w:rPr>
        <w:t>Doelmatigheid van de uitvoering</w:t>
      </w:r>
    </w:p>
    <w:p w:rsidR="004A4B16" w:rsidP="008532BC" w:rsidRDefault="004A4B16" w14:paraId="0E8D9CC2" w14:textId="54F486BA">
      <w:pPr>
        <w:rPr>
          <w:iCs/>
          <w:szCs w:val="18"/>
        </w:rPr>
      </w:pPr>
      <w:r w:rsidRPr="00697C77">
        <w:rPr>
          <w:iCs/>
          <w:szCs w:val="18"/>
        </w:rPr>
        <w:t>Geef een overzicht van de conclusies m</w:t>
      </w:r>
      <w:r w:rsidR="00122635">
        <w:rPr>
          <w:iCs/>
          <w:szCs w:val="18"/>
        </w:rPr>
        <w:t xml:space="preserve">et betrekking tot de </w:t>
      </w:r>
      <w:r w:rsidRPr="00697C77">
        <w:rPr>
          <w:iCs/>
          <w:szCs w:val="18"/>
        </w:rPr>
        <w:t xml:space="preserve">uitvoering van de verschillende instrumenten en geef een beschouwing van de </w:t>
      </w:r>
      <w:r w:rsidR="009F2B4F">
        <w:rPr>
          <w:iCs/>
          <w:szCs w:val="18"/>
        </w:rPr>
        <w:t>doelmatigheid van de uitvoering</w:t>
      </w:r>
      <w:r w:rsidRPr="00697C77">
        <w:rPr>
          <w:iCs/>
          <w:szCs w:val="18"/>
        </w:rPr>
        <w:t xml:space="preserve"> op het niveau van het tactisch doel. Richt hierbij de aandacht in het bijzonder op uitvoeringskosten en administratieve lasten en voor zover beschikbaar op de mate van complexiteit van de regelingen.</w:t>
      </w:r>
    </w:p>
    <w:p w:rsidR="00496C0C" w:rsidP="008532BC" w:rsidRDefault="00496C0C" w14:paraId="7C9CA0D0" w14:textId="4AF37785">
      <w:pPr>
        <w:rPr>
          <w:iCs/>
          <w:szCs w:val="18"/>
          <w:u w:val="single"/>
        </w:rPr>
      </w:pPr>
    </w:p>
    <w:p w:rsidRPr="00681426" w:rsidR="004A4B16" w:rsidP="008532BC" w:rsidRDefault="004A4B16" w14:paraId="60F4CC62" w14:textId="5D8CC634">
      <w:pPr>
        <w:rPr>
          <w:iCs/>
          <w:szCs w:val="18"/>
          <w:u w:val="single"/>
        </w:rPr>
      </w:pPr>
      <w:r w:rsidRPr="00681426">
        <w:rPr>
          <w:iCs/>
          <w:szCs w:val="18"/>
          <w:u w:val="single"/>
        </w:rPr>
        <w:t>Advies</w:t>
      </w:r>
    </w:p>
    <w:p w:rsidR="004A4B16" w:rsidP="008532BC" w:rsidRDefault="004A4B16" w14:paraId="1D696201" w14:textId="349144B2">
      <w:pPr>
        <w:rPr>
          <w:iCs/>
          <w:szCs w:val="18"/>
        </w:rPr>
      </w:pPr>
      <w:r w:rsidRPr="00697C77">
        <w:rPr>
          <w:iCs/>
          <w:szCs w:val="18"/>
        </w:rPr>
        <w:t>Geef aanbevelingen voor de samenstelling van de beleidsmix per tactisch doel.</w:t>
      </w:r>
      <w:r w:rsidR="00697C77">
        <w:rPr>
          <w:iCs/>
          <w:szCs w:val="18"/>
        </w:rPr>
        <w:t xml:space="preserve"> </w:t>
      </w:r>
      <w:r>
        <w:rPr>
          <w:iCs/>
          <w:szCs w:val="18"/>
        </w:rPr>
        <w:t>Lever input voor het opstellen van een 20%-besparingsvariant, stem deze af met de opdrachtgever en de begeleidingscommissie en werk de besparingsvariant uit, financieel en qua te verwachten effecten bij toepassing ervan.</w:t>
      </w:r>
    </w:p>
    <w:p w:rsidRPr="00641DDE" w:rsidR="00162D7B" w:rsidP="008532BC" w:rsidRDefault="00162D7B" w14:paraId="111300C1" w14:textId="77777777">
      <w:pPr>
        <w:jc w:val="both"/>
        <w:rPr>
          <w:iCs/>
          <w:szCs w:val="18"/>
        </w:rPr>
      </w:pPr>
      <w:bookmarkStart w:name="_Hlk176257879" w:id="0"/>
      <w:r w:rsidRPr="00641DDE">
        <w:rPr>
          <w:iCs/>
          <w:szCs w:val="18"/>
        </w:rPr>
        <w:t>Geef aan waar de huidige beleidsmix verbeterd kan worden. Breng opties voor intensivering in beeld waar dat nodig is. Doe voorstellen om daaraan tegemoet te komen en werk ook deze financieel en qua te verwachten effecten uit.</w:t>
      </w:r>
    </w:p>
    <w:bookmarkEnd w:id="0"/>
    <w:p w:rsidRPr="00CB7CA2" w:rsidR="004A4B16" w:rsidP="008532BC" w:rsidRDefault="004A4B16" w14:paraId="6EE18140" w14:textId="77777777">
      <w:pPr>
        <w:rPr>
          <w:szCs w:val="18"/>
        </w:rPr>
      </w:pPr>
    </w:p>
    <w:p w:rsidRPr="00CB7CA2" w:rsidR="004A4B16" w:rsidP="008532BC" w:rsidRDefault="008519D0" w14:paraId="5C2859A0" w14:textId="552BC9E8">
      <w:pPr>
        <w:pStyle w:val="Lijstalinea"/>
        <w:numPr>
          <w:ilvl w:val="0"/>
          <w:numId w:val="16"/>
        </w:numPr>
        <w:spacing w:after="0" w:line="240" w:lineRule="atLeast"/>
        <w:contextualSpacing w:val="0"/>
        <w:rPr>
          <w:rFonts w:ascii="Verdana" w:hAnsi="Verdana"/>
          <w:b/>
          <w:bCs/>
          <w:iCs/>
          <w:sz w:val="18"/>
          <w:szCs w:val="18"/>
        </w:rPr>
      </w:pPr>
      <w:r>
        <w:rPr>
          <w:rFonts w:ascii="Verdana" w:hAnsi="Verdana"/>
          <w:b/>
          <w:bCs/>
          <w:iCs/>
          <w:sz w:val="18"/>
          <w:szCs w:val="18"/>
        </w:rPr>
        <w:t>Borging kwaliteit en planning</w:t>
      </w:r>
    </w:p>
    <w:p w:rsidR="00366C89" w:rsidP="008532BC" w:rsidRDefault="004A4B16" w14:paraId="6E8EAF49" w14:textId="77777777">
      <w:pPr>
        <w:rPr>
          <w:szCs w:val="18"/>
        </w:rPr>
      </w:pPr>
      <w:r>
        <w:rPr>
          <w:szCs w:val="18"/>
        </w:rPr>
        <w:t xml:space="preserve">De aanbestedingsdocumenten worden opgesteld in overleg met </w:t>
      </w:r>
      <w:r w:rsidR="00122635">
        <w:rPr>
          <w:szCs w:val="18"/>
        </w:rPr>
        <w:t xml:space="preserve">een </w:t>
      </w:r>
      <w:r>
        <w:rPr>
          <w:szCs w:val="18"/>
        </w:rPr>
        <w:t>onafhankelijke methodologisch deskundige</w:t>
      </w:r>
      <w:r w:rsidR="00122635">
        <w:rPr>
          <w:szCs w:val="18"/>
        </w:rPr>
        <w:t xml:space="preserve"> op het terrein van beleidsevaluaties</w:t>
      </w:r>
      <w:r>
        <w:rPr>
          <w:szCs w:val="18"/>
        </w:rPr>
        <w:t>: Pierre Koning, professor aan de Vrije Universiteit (VU). De in deze brief beschreven opzet van de periodieke rapportages is reeds met hem afgestemd.</w:t>
      </w:r>
    </w:p>
    <w:p w:rsidR="00366C89" w:rsidP="008532BC" w:rsidRDefault="00366C89" w14:paraId="430B953F" w14:textId="77777777">
      <w:pPr>
        <w:rPr>
          <w:szCs w:val="18"/>
        </w:rPr>
      </w:pPr>
    </w:p>
    <w:p w:rsidR="004A4B16" w:rsidP="008532BC" w:rsidRDefault="00366C89" w14:paraId="0B152F95" w14:textId="5A2B0DD8">
      <w:pPr>
        <w:rPr>
          <w:szCs w:val="18"/>
        </w:rPr>
      </w:pPr>
      <w:r w:rsidRPr="00442442">
        <w:rPr>
          <w:szCs w:val="18"/>
        </w:rPr>
        <w:t>Voorts is beoogd dat er één begeleidingscommissie wordt ingesteld voor beide periodieke rapportages. Dat biedt de mogelijkheid om bij de uitvoering een vergelijkbare aanpak en de onderlinge verwevenheid te borgen om te komen tot coherente uitspraken over de doeltreffendheid en doelmatigheid van beide beleidsthema’s.</w:t>
      </w:r>
      <w:r>
        <w:rPr>
          <w:szCs w:val="18"/>
        </w:rPr>
        <w:t xml:space="preserve"> Deze begeleidingscommissie wordt tevens betrokken bij de kabinetsreactie en zal de komende maanden worden samengesteld.</w:t>
      </w:r>
      <w:r w:rsidR="00F979E5">
        <w:rPr>
          <w:szCs w:val="18"/>
        </w:rPr>
        <w:t xml:space="preserve"> Deze </w:t>
      </w:r>
      <w:r w:rsidR="00122635">
        <w:rPr>
          <w:szCs w:val="18"/>
        </w:rPr>
        <w:t xml:space="preserve">zal naast een onafhankelijke voorzitter en de genoemde methodologisch deskundige bestaan </w:t>
      </w:r>
      <w:r w:rsidR="004A4B16">
        <w:rPr>
          <w:szCs w:val="18"/>
        </w:rPr>
        <w:t>uit ambtelijke vertegenwoordigers van de ministeries van EZ (zowel beleid</w:t>
      </w:r>
      <w:r w:rsidR="00F979E5">
        <w:rPr>
          <w:szCs w:val="18"/>
        </w:rPr>
        <w:t>sdirecties</w:t>
      </w:r>
      <w:r w:rsidR="00E51613">
        <w:rPr>
          <w:szCs w:val="18"/>
        </w:rPr>
        <w:t xml:space="preserve"> Innovatie &amp; Kennis en Ondernemingsklimaat</w:t>
      </w:r>
      <w:r w:rsidR="004A4B16">
        <w:rPr>
          <w:szCs w:val="18"/>
        </w:rPr>
        <w:t xml:space="preserve"> als </w:t>
      </w:r>
      <w:r w:rsidR="00F979E5">
        <w:rPr>
          <w:szCs w:val="18"/>
        </w:rPr>
        <w:t xml:space="preserve">directie </w:t>
      </w:r>
      <w:r w:rsidR="004A4B16">
        <w:rPr>
          <w:szCs w:val="18"/>
        </w:rPr>
        <w:t>F</w:t>
      </w:r>
      <w:r w:rsidR="00F979E5">
        <w:rPr>
          <w:szCs w:val="18"/>
        </w:rPr>
        <w:t>inancieel-</w:t>
      </w:r>
      <w:r w:rsidR="004A4B16">
        <w:rPr>
          <w:szCs w:val="18"/>
        </w:rPr>
        <w:t>E</w:t>
      </w:r>
      <w:r w:rsidR="00F979E5">
        <w:rPr>
          <w:szCs w:val="18"/>
        </w:rPr>
        <w:t xml:space="preserve">conomische </w:t>
      </w:r>
      <w:r w:rsidR="004A4B16">
        <w:rPr>
          <w:szCs w:val="18"/>
        </w:rPr>
        <w:t>Z</w:t>
      </w:r>
      <w:r w:rsidR="00F979E5">
        <w:rPr>
          <w:szCs w:val="18"/>
        </w:rPr>
        <w:t>aken</w:t>
      </w:r>
      <w:r w:rsidR="004A4B16">
        <w:rPr>
          <w:szCs w:val="18"/>
        </w:rPr>
        <w:t>) en Financiën (I</w:t>
      </w:r>
      <w:r w:rsidR="00F979E5">
        <w:rPr>
          <w:szCs w:val="18"/>
        </w:rPr>
        <w:t xml:space="preserve">nspectie der </w:t>
      </w:r>
      <w:r w:rsidR="004A4B16">
        <w:rPr>
          <w:szCs w:val="18"/>
        </w:rPr>
        <w:t>R</w:t>
      </w:r>
      <w:r w:rsidR="00F979E5">
        <w:rPr>
          <w:szCs w:val="18"/>
        </w:rPr>
        <w:t>ijksfinanciën</w:t>
      </w:r>
      <w:r w:rsidR="004A4B16">
        <w:rPr>
          <w:szCs w:val="18"/>
        </w:rPr>
        <w:t xml:space="preserve">) en </w:t>
      </w:r>
      <w:r w:rsidR="00122635">
        <w:rPr>
          <w:szCs w:val="18"/>
        </w:rPr>
        <w:t xml:space="preserve">verder </w:t>
      </w:r>
      <w:r w:rsidR="00F979E5">
        <w:rPr>
          <w:szCs w:val="18"/>
        </w:rPr>
        <w:t xml:space="preserve">een of meerdere </w:t>
      </w:r>
      <w:r w:rsidR="004A4B16">
        <w:rPr>
          <w:szCs w:val="18"/>
        </w:rPr>
        <w:t>wetenschappelijke experts</w:t>
      </w:r>
      <w:r w:rsidR="00F979E5">
        <w:rPr>
          <w:szCs w:val="18"/>
        </w:rPr>
        <w:t xml:space="preserve"> en vertegenwoordigers van belangenorganisaties</w:t>
      </w:r>
      <w:r w:rsidR="004A4B16">
        <w:rPr>
          <w:szCs w:val="18"/>
        </w:rPr>
        <w:t xml:space="preserve">. </w:t>
      </w:r>
    </w:p>
    <w:p w:rsidR="004A4B16" w:rsidP="008532BC" w:rsidRDefault="004A4B16" w14:paraId="46CF1B34" w14:textId="77777777">
      <w:pPr>
        <w:rPr>
          <w:szCs w:val="18"/>
        </w:rPr>
      </w:pPr>
    </w:p>
    <w:p w:rsidRPr="0067176C" w:rsidR="004A4B16" w:rsidP="008532BC" w:rsidRDefault="0067176C" w14:paraId="12537CF3" w14:textId="1BD92685">
      <w:pPr>
        <w:rPr>
          <w:szCs w:val="18"/>
        </w:rPr>
      </w:pPr>
      <w:r w:rsidRPr="0067176C">
        <w:rPr>
          <w:szCs w:val="18"/>
        </w:rPr>
        <w:t xml:space="preserve">Ik streef ernaar </w:t>
      </w:r>
      <w:r>
        <w:rPr>
          <w:szCs w:val="18"/>
        </w:rPr>
        <w:t xml:space="preserve">in januari 2025 </w:t>
      </w:r>
      <w:r w:rsidRPr="0067176C">
        <w:rPr>
          <w:szCs w:val="18"/>
        </w:rPr>
        <w:t xml:space="preserve">met het onderzoek te starten en uw Kamer voor </w:t>
      </w:r>
      <w:r>
        <w:rPr>
          <w:szCs w:val="18"/>
        </w:rPr>
        <w:t xml:space="preserve">het </w:t>
      </w:r>
      <w:r w:rsidRPr="0067176C">
        <w:rPr>
          <w:szCs w:val="18"/>
        </w:rPr>
        <w:t>eind</w:t>
      </w:r>
      <w:r>
        <w:rPr>
          <w:szCs w:val="18"/>
        </w:rPr>
        <w:t xml:space="preserve"> van dat jaar</w:t>
      </w:r>
      <w:r w:rsidRPr="0067176C">
        <w:rPr>
          <w:szCs w:val="18"/>
        </w:rPr>
        <w:t xml:space="preserve"> te informeren over de uitkomsten van de periodieke </w:t>
      </w:r>
      <w:r>
        <w:rPr>
          <w:szCs w:val="18"/>
        </w:rPr>
        <w:t>r</w:t>
      </w:r>
      <w:r w:rsidRPr="0067176C">
        <w:rPr>
          <w:szCs w:val="18"/>
        </w:rPr>
        <w:t>apportage en het</w:t>
      </w:r>
      <w:r w:rsidR="00192FA3">
        <w:rPr>
          <w:szCs w:val="18"/>
        </w:rPr>
        <w:t xml:space="preserve"> </w:t>
      </w:r>
      <w:r w:rsidRPr="0067176C">
        <w:rPr>
          <w:szCs w:val="18"/>
        </w:rPr>
        <w:t>oordeel van de onafhankelijke deskundige.</w:t>
      </w:r>
    </w:p>
    <w:p w:rsidR="00D22441" w:rsidP="008532BC" w:rsidRDefault="00D22441" w14:paraId="35D751E6" w14:textId="77777777"/>
    <w:p w:rsidRPr="005C65B5" w:rsidR="00591E4A" w:rsidP="008532BC" w:rsidRDefault="00591E4A" w14:paraId="206DBAE0" w14:textId="77777777"/>
    <w:p w:rsidRPr="005C65B5" w:rsidR="00C90702" w:rsidP="008532BC" w:rsidRDefault="00C90702" w14:paraId="2CA6E071" w14:textId="77777777"/>
    <w:p w:rsidRPr="005C65B5" w:rsidR="00C90702" w:rsidP="008532BC" w:rsidRDefault="00C90702" w14:paraId="18FD2A51" w14:textId="77777777"/>
    <w:p w:rsidRPr="00591E4A" w:rsidR="00C90702" w:rsidP="008532BC" w:rsidRDefault="00B67C4F" w14:paraId="434D220B" w14:textId="77777777">
      <w:pPr>
        <w:rPr>
          <w:szCs w:val="18"/>
        </w:rPr>
      </w:pPr>
      <w:r>
        <w:rPr>
          <w:szCs w:val="18"/>
        </w:rPr>
        <w:t xml:space="preserve">Dirk </w:t>
      </w:r>
      <w:proofErr w:type="spellStart"/>
      <w:r>
        <w:rPr>
          <w:szCs w:val="18"/>
        </w:rPr>
        <w:t>Beljaarts</w:t>
      </w:r>
      <w:proofErr w:type="spellEnd"/>
    </w:p>
    <w:p w:rsidR="00664678" w:rsidP="008532BC" w:rsidRDefault="00B67C4F" w14:paraId="3DA71BE8" w14:textId="0ED9F0FC">
      <w:r w:rsidRPr="005C65B5">
        <w:t>Minister van Economische Zaken</w:t>
      </w:r>
    </w:p>
    <w:sectPr w:rsidR="00664678"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D04D5" w14:textId="77777777" w:rsidR="00EC2805" w:rsidRDefault="00EC2805">
      <w:r>
        <w:separator/>
      </w:r>
    </w:p>
    <w:p w14:paraId="443F3240" w14:textId="77777777" w:rsidR="00EC2805" w:rsidRDefault="00EC2805"/>
  </w:endnote>
  <w:endnote w:type="continuationSeparator" w:id="0">
    <w:p w14:paraId="51EA5A03" w14:textId="77777777" w:rsidR="00EC2805" w:rsidRDefault="00EC2805">
      <w:r>
        <w:continuationSeparator/>
      </w:r>
    </w:p>
    <w:p w14:paraId="268BF6D7" w14:textId="77777777" w:rsidR="00EC2805" w:rsidRDefault="00EC28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E64D1"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C7B7B" w14:paraId="4BF5940D" w14:textId="77777777" w:rsidTr="00CA6A25">
      <w:trPr>
        <w:trHeight w:hRule="exact" w:val="240"/>
      </w:trPr>
      <w:tc>
        <w:tcPr>
          <w:tcW w:w="7601" w:type="dxa"/>
          <w:shd w:val="clear" w:color="auto" w:fill="auto"/>
        </w:tcPr>
        <w:p w14:paraId="61AE8BE7" w14:textId="77777777" w:rsidR="00527BD4" w:rsidRDefault="00527BD4" w:rsidP="003F1F6B">
          <w:pPr>
            <w:pStyle w:val="Huisstijl-Rubricering"/>
          </w:pPr>
        </w:p>
      </w:tc>
      <w:tc>
        <w:tcPr>
          <w:tcW w:w="2156" w:type="dxa"/>
        </w:tcPr>
        <w:p w14:paraId="0039FEEE" w14:textId="417087E2" w:rsidR="00527BD4" w:rsidRPr="00645414" w:rsidRDefault="00B67C4F"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721AE1">
            <w:fldChar w:fldCharType="begin"/>
          </w:r>
          <w:r>
            <w:instrText xml:space="preserve"> SECTIONPAGES   \* MERGEFORMAT </w:instrText>
          </w:r>
          <w:r w:rsidR="00721AE1">
            <w:fldChar w:fldCharType="separate"/>
          </w:r>
          <w:r w:rsidR="0030102A">
            <w:t>7</w:t>
          </w:r>
          <w:r w:rsidR="00721AE1">
            <w:fldChar w:fldCharType="end"/>
          </w:r>
        </w:p>
      </w:tc>
    </w:tr>
  </w:tbl>
  <w:p w14:paraId="273D9B48"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C7B7B" w14:paraId="1DF22E88" w14:textId="77777777" w:rsidTr="00CA6A25">
      <w:trPr>
        <w:trHeight w:hRule="exact" w:val="240"/>
      </w:trPr>
      <w:tc>
        <w:tcPr>
          <w:tcW w:w="7601" w:type="dxa"/>
          <w:shd w:val="clear" w:color="auto" w:fill="auto"/>
        </w:tcPr>
        <w:p w14:paraId="5D7BFEED" w14:textId="77777777" w:rsidR="00527BD4" w:rsidRDefault="00527BD4" w:rsidP="008C356D">
          <w:pPr>
            <w:pStyle w:val="Huisstijl-Rubricering"/>
          </w:pPr>
        </w:p>
      </w:tc>
      <w:tc>
        <w:tcPr>
          <w:tcW w:w="2170" w:type="dxa"/>
        </w:tcPr>
        <w:p w14:paraId="78EFADF9" w14:textId="4FF9D110" w:rsidR="00527BD4" w:rsidRPr="00ED539E" w:rsidRDefault="00B67C4F"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3779BE">
            <w:fldChar w:fldCharType="begin"/>
          </w:r>
          <w:r>
            <w:instrText xml:space="preserve"> SECTIONPAGES   \* MERGEFORMAT </w:instrText>
          </w:r>
          <w:r w:rsidR="003779BE">
            <w:fldChar w:fldCharType="separate"/>
          </w:r>
          <w:r w:rsidR="0030102A">
            <w:t>7</w:t>
          </w:r>
          <w:r w:rsidR="003779BE">
            <w:fldChar w:fldCharType="end"/>
          </w:r>
        </w:p>
      </w:tc>
    </w:tr>
  </w:tbl>
  <w:p w14:paraId="6EEFE1A8" w14:textId="77777777" w:rsidR="00527BD4" w:rsidRPr="00BC3B53" w:rsidRDefault="00527BD4" w:rsidP="008C356D">
    <w:pPr>
      <w:pStyle w:val="Voettekst"/>
      <w:spacing w:line="240" w:lineRule="auto"/>
      <w:rPr>
        <w:sz w:val="2"/>
        <w:szCs w:val="2"/>
      </w:rPr>
    </w:pPr>
  </w:p>
  <w:p w14:paraId="03B0EA7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2811A" w14:textId="77777777" w:rsidR="00EC2805" w:rsidRDefault="00EC2805">
      <w:r>
        <w:separator/>
      </w:r>
    </w:p>
    <w:p w14:paraId="78EFAA38" w14:textId="77777777" w:rsidR="00EC2805" w:rsidRDefault="00EC2805"/>
  </w:footnote>
  <w:footnote w:type="continuationSeparator" w:id="0">
    <w:p w14:paraId="56FAF6CC" w14:textId="77777777" w:rsidR="00EC2805" w:rsidRDefault="00EC2805">
      <w:r>
        <w:continuationSeparator/>
      </w:r>
    </w:p>
    <w:p w14:paraId="74DAE080" w14:textId="77777777" w:rsidR="00EC2805" w:rsidRDefault="00EC2805"/>
  </w:footnote>
  <w:footnote w:id="1">
    <w:p w14:paraId="450921DC" w14:textId="30CFD579" w:rsidR="009E733E" w:rsidRPr="009E733E" w:rsidRDefault="009E733E" w:rsidP="008532BC">
      <w:pPr>
        <w:pStyle w:val="Voetnoottekst"/>
      </w:pPr>
      <w:r>
        <w:rPr>
          <w:rStyle w:val="Voetnootmarkering"/>
        </w:rPr>
        <w:footnoteRef/>
      </w:r>
      <w:r>
        <w:t xml:space="preserve"> </w:t>
      </w:r>
      <w:r w:rsidRPr="009E733E">
        <w:t xml:space="preserve">Dit gebeurt conform de </w:t>
      </w:r>
      <w:r w:rsidRPr="0067176C">
        <w:rPr>
          <w:i/>
          <w:iCs/>
        </w:rPr>
        <w:t>Regeling periodiek evaluatieonderzoek 2022</w:t>
      </w:r>
      <w:r>
        <w:rPr>
          <w:i/>
          <w:iCs/>
        </w:rPr>
        <w:t xml:space="preserve"> </w:t>
      </w:r>
      <w:r>
        <w:t>van de Minister van Financiën.</w:t>
      </w:r>
    </w:p>
  </w:footnote>
  <w:footnote w:id="2">
    <w:p w14:paraId="730B1075" w14:textId="3F177885" w:rsidR="004A4B16" w:rsidRPr="009D3E25" w:rsidRDefault="004A4B16" w:rsidP="008532BC">
      <w:pPr>
        <w:pStyle w:val="Voetnoottekst"/>
      </w:pPr>
      <w:r>
        <w:rPr>
          <w:rStyle w:val="Voetnootmarkering"/>
        </w:rPr>
        <w:footnoteRef/>
      </w:r>
      <w:r w:rsidRPr="009D3E25">
        <w:t xml:space="preserve"> </w:t>
      </w:r>
      <w:hyperlink r:id="rId1" w:history="1">
        <w:r w:rsidR="00EE776F" w:rsidRPr="00104551">
          <w:rPr>
            <w:rStyle w:val="Hyperlink"/>
          </w:rPr>
          <w:t>https://www.bedrijvenbeleidinbeeld.nl/downloads/publicaties/2020/5/13/beleidsdoorlichting-artikelen-2-en-3</w:t>
        </w:r>
      </w:hyperlink>
      <w:r w:rsidR="00EE776F">
        <w:t xml:space="preserve"> </w:t>
      </w:r>
    </w:p>
  </w:footnote>
  <w:footnote w:id="3">
    <w:p w14:paraId="6BD7EA88" w14:textId="77777777" w:rsidR="004A4B16" w:rsidRPr="009D3E25" w:rsidRDefault="004A4B16" w:rsidP="008532BC">
      <w:pPr>
        <w:pStyle w:val="Voetnoottekst"/>
      </w:pPr>
      <w:r>
        <w:rPr>
          <w:rStyle w:val="Voetnootmarkering"/>
        </w:rPr>
        <w:footnoteRef/>
      </w:r>
      <w:r w:rsidRPr="009D3E25">
        <w:t xml:space="preserve"> </w:t>
      </w:r>
      <w:hyperlink r:id="rId2" w:history="1">
        <w:r w:rsidRPr="009D3E25">
          <w:rPr>
            <w:rStyle w:val="Hyperlink"/>
          </w:rPr>
          <w:t>https://zoek.officielebekendmakingen.nl/blg-1001940</w:t>
        </w:r>
      </w:hyperlink>
      <w:r w:rsidRPr="009D3E25">
        <w:t xml:space="preserve"> </w:t>
      </w:r>
    </w:p>
  </w:footnote>
  <w:footnote w:id="4">
    <w:p w14:paraId="554D64BB" w14:textId="77777777" w:rsidR="004A4B16" w:rsidRPr="00096DED" w:rsidRDefault="004A4B16" w:rsidP="008532BC">
      <w:pPr>
        <w:pStyle w:val="Voetnoottekst"/>
      </w:pPr>
      <w:r>
        <w:rPr>
          <w:rStyle w:val="Voetnootmarkering"/>
        </w:rPr>
        <w:footnoteRef/>
      </w:r>
      <w:r>
        <w:t xml:space="preserve"> Zie de tabel in de bijlage voor een overzicht van evaluaties en monitors per tactisch doel en jaar.</w:t>
      </w:r>
    </w:p>
  </w:footnote>
  <w:footnote w:id="5">
    <w:p w14:paraId="151E478E" w14:textId="77777777" w:rsidR="004A4B16" w:rsidRPr="00C9251B" w:rsidRDefault="004A4B16" w:rsidP="008532BC">
      <w:pPr>
        <w:pStyle w:val="Voetnoottekst"/>
      </w:pPr>
      <w:r>
        <w:rPr>
          <w:rStyle w:val="Voetnootmarkering"/>
        </w:rPr>
        <w:footnoteRef/>
      </w:r>
      <w:r>
        <w:t xml:space="preserve"> </w:t>
      </w:r>
      <w:r w:rsidRPr="00C9251B">
        <w:t xml:space="preserve">De </w:t>
      </w:r>
      <w:r>
        <w:t xml:space="preserve">door onderzoeksbureau SEO ontwikkelde </w:t>
      </w:r>
      <w:r w:rsidRPr="00C9251B">
        <w:t>effectladder kent een kwalificatie toe aan de kwaliteit van de evaluatie op basis van de eigenschappen van de gebruikte onderzoeksmethode.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C7B7B" w14:paraId="0D8E92E4" w14:textId="77777777" w:rsidTr="00A50CF6">
      <w:tc>
        <w:tcPr>
          <w:tcW w:w="2156" w:type="dxa"/>
          <w:shd w:val="clear" w:color="auto" w:fill="auto"/>
        </w:tcPr>
        <w:p w14:paraId="0C3FFB0B" w14:textId="77777777" w:rsidR="00527BD4" w:rsidRPr="005819CE" w:rsidRDefault="00B67C4F" w:rsidP="00A50CF6">
          <w:pPr>
            <w:pStyle w:val="Huisstijl-Adres"/>
            <w:rPr>
              <w:b/>
            </w:rPr>
          </w:pPr>
          <w:r>
            <w:rPr>
              <w:b/>
            </w:rPr>
            <w:t>Directoraat-generaal Bedrijfsleven &amp; Innovatie</w:t>
          </w:r>
          <w:r w:rsidRPr="005819CE">
            <w:rPr>
              <w:b/>
            </w:rPr>
            <w:br/>
          </w:r>
        </w:p>
      </w:tc>
    </w:tr>
    <w:tr w:rsidR="007C7B7B" w14:paraId="450187AE" w14:textId="77777777" w:rsidTr="00A50CF6">
      <w:trPr>
        <w:trHeight w:hRule="exact" w:val="200"/>
      </w:trPr>
      <w:tc>
        <w:tcPr>
          <w:tcW w:w="2156" w:type="dxa"/>
          <w:shd w:val="clear" w:color="auto" w:fill="auto"/>
        </w:tcPr>
        <w:p w14:paraId="31A5E9A7" w14:textId="77777777" w:rsidR="00527BD4" w:rsidRPr="005819CE" w:rsidRDefault="00527BD4" w:rsidP="00A50CF6"/>
      </w:tc>
    </w:tr>
    <w:tr w:rsidR="007C7B7B" w14:paraId="74C20187" w14:textId="77777777" w:rsidTr="00502512">
      <w:trPr>
        <w:trHeight w:hRule="exact" w:val="774"/>
      </w:trPr>
      <w:tc>
        <w:tcPr>
          <w:tcW w:w="2156" w:type="dxa"/>
          <w:shd w:val="clear" w:color="auto" w:fill="auto"/>
        </w:tcPr>
        <w:p w14:paraId="66BEFA25" w14:textId="77777777" w:rsidR="00527BD4" w:rsidRDefault="00B67C4F" w:rsidP="003A5290">
          <w:pPr>
            <w:pStyle w:val="Huisstijl-Kopje"/>
          </w:pPr>
          <w:r>
            <w:t>Ons kenmerk</w:t>
          </w:r>
        </w:p>
        <w:p w14:paraId="478F58C6" w14:textId="77777777" w:rsidR="00502512" w:rsidRPr="00502512" w:rsidRDefault="00B67C4F" w:rsidP="003A5290">
          <w:pPr>
            <w:pStyle w:val="Huisstijl-Kopje"/>
            <w:rPr>
              <w:b w:val="0"/>
            </w:rPr>
          </w:pPr>
          <w:r>
            <w:rPr>
              <w:b w:val="0"/>
            </w:rPr>
            <w:t>DGBI</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t>86650512</w:t>
              </w:r>
              <w:r w:rsidR="00721AE1">
                <w:rPr>
                  <w:b w:val="0"/>
                </w:rPr>
                <w:fldChar w:fldCharType="end"/>
              </w:r>
            </w:sdtContent>
          </w:sdt>
        </w:p>
        <w:p w14:paraId="614D7D05" w14:textId="77777777" w:rsidR="00527BD4" w:rsidRPr="005819CE" w:rsidRDefault="00527BD4" w:rsidP="00361A56">
          <w:pPr>
            <w:pStyle w:val="Huisstijl-Kopje"/>
          </w:pPr>
        </w:p>
      </w:tc>
    </w:tr>
  </w:tbl>
  <w:p w14:paraId="51C19AA4" w14:textId="77777777" w:rsidR="00527BD4" w:rsidRDefault="00527BD4" w:rsidP="008C356D">
    <w:pPr>
      <w:pStyle w:val="Koptekst"/>
      <w:rPr>
        <w:rFonts w:cs="Verdana-Bold"/>
        <w:b/>
        <w:bCs/>
        <w:smallCaps/>
        <w:szCs w:val="18"/>
      </w:rPr>
    </w:pPr>
  </w:p>
  <w:p w14:paraId="0B567680" w14:textId="77777777" w:rsidR="00527BD4" w:rsidRDefault="00527BD4" w:rsidP="008C356D"/>
  <w:p w14:paraId="0F0CB5B7" w14:textId="77777777" w:rsidR="00527BD4" w:rsidRPr="00740712" w:rsidRDefault="00527BD4" w:rsidP="008C356D"/>
  <w:p w14:paraId="75A3DD35" w14:textId="77777777" w:rsidR="00527BD4" w:rsidRPr="00217880" w:rsidRDefault="00527BD4" w:rsidP="008C356D">
    <w:pPr>
      <w:spacing w:line="0" w:lineRule="atLeast"/>
      <w:rPr>
        <w:sz w:val="2"/>
        <w:szCs w:val="2"/>
      </w:rPr>
    </w:pPr>
  </w:p>
  <w:p w14:paraId="2A6A2F25" w14:textId="77777777" w:rsidR="00527BD4" w:rsidRDefault="00527BD4" w:rsidP="004F44C2">
    <w:pPr>
      <w:pStyle w:val="Koptekst"/>
      <w:rPr>
        <w:rFonts w:cs="Verdana-Bold"/>
        <w:b/>
        <w:bCs/>
        <w:smallCaps/>
        <w:szCs w:val="18"/>
      </w:rPr>
    </w:pPr>
  </w:p>
  <w:p w14:paraId="469F5FB4" w14:textId="77777777" w:rsidR="00527BD4" w:rsidRDefault="00527BD4" w:rsidP="004F44C2"/>
  <w:p w14:paraId="6B275E3F" w14:textId="77777777" w:rsidR="00527BD4" w:rsidRPr="00740712" w:rsidRDefault="00527BD4" w:rsidP="004F44C2"/>
  <w:p w14:paraId="60577944"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C7B7B" w14:paraId="24DD3D00" w14:textId="77777777" w:rsidTr="00751A6A">
      <w:trPr>
        <w:trHeight w:val="2636"/>
      </w:trPr>
      <w:tc>
        <w:tcPr>
          <w:tcW w:w="737" w:type="dxa"/>
          <w:shd w:val="clear" w:color="auto" w:fill="auto"/>
        </w:tcPr>
        <w:p w14:paraId="5FD26B7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671C66B" w14:textId="77777777" w:rsidR="00527BD4" w:rsidRDefault="00B67C4F"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65867329" wp14:editId="71FCD431">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75D5C46B" w14:textId="77777777" w:rsidR="007269E3" w:rsidRDefault="007269E3" w:rsidP="00651CEE">
          <w:pPr>
            <w:framePr w:w="6340" w:h="2750" w:hRule="exact" w:hSpace="180" w:wrap="around" w:vAnchor="page" w:hAnchor="text" w:x="3873" w:y="-140"/>
            <w:spacing w:line="240" w:lineRule="auto"/>
          </w:pPr>
        </w:p>
      </w:tc>
    </w:tr>
  </w:tbl>
  <w:p w14:paraId="5679F3DA" w14:textId="77777777" w:rsidR="00527BD4" w:rsidRDefault="00527BD4" w:rsidP="00D0609E">
    <w:pPr>
      <w:framePr w:w="6340" w:h="2750" w:hRule="exact" w:hSpace="180" w:wrap="around" w:vAnchor="page" w:hAnchor="text" w:x="3873" w:y="-140"/>
    </w:pPr>
  </w:p>
  <w:p w14:paraId="1F8CDDA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C7B7B" w14:paraId="636D0A77" w14:textId="77777777" w:rsidTr="00A50CF6">
      <w:tc>
        <w:tcPr>
          <w:tcW w:w="2160" w:type="dxa"/>
          <w:shd w:val="clear" w:color="auto" w:fill="auto"/>
        </w:tcPr>
        <w:p w14:paraId="7A1FC88C" w14:textId="77777777" w:rsidR="00527BD4" w:rsidRPr="005819CE" w:rsidRDefault="00B67C4F" w:rsidP="00A50CF6">
          <w:pPr>
            <w:pStyle w:val="Huisstijl-Adres"/>
            <w:rPr>
              <w:b/>
            </w:rPr>
          </w:pPr>
          <w:r>
            <w:rPr>
              <w:b/>
            </w:rPr>
            <w:t>Directoraat-generaal Bedrijfsleven &amp; Innovatie</w:t>
          </w:r>
          <w:r w:rsidRPr="005819CE">
            <w:rPr>
              <w:b/>
            </w:rPr>
            <w:br/>
          </w:r>
        </w:p>
        <w:p w14:paraId="305D993F" w14:textId="77777777" w:rsidR="00527BD4" w:rsidRPr="00BE5ED9" w:rsidRDefault="00B67C4F" w:rsidP="00A50CF6">
          <w:pPr>
            <w:pStyle w:val="Huisstijl-Adres"/>
          </w:pPr>
          <w:r>
            <w:rPr>
              <w:b/>
            </w:rPr>
            <w:t>Bezoekadres</w:t>
          </w:r>
          <w:r>
            <w:rPr>
              <w:b/>
            </w:rPr>
            <w:br/>
          </w:r>
          <w:r>
            <w:t>Bezuidenhoutseweg 73</w:t>
          </w:r>
          <w:r w:rsidRPr="005819CE">
            <w:br/>
          </w:r>
          <w:r>
            <w:t>2594 AC Den Haag</w:t>
          </w:r>
        </w:p>
        <w:p w14:paraId="11CCDF6E" w14:textId="77777777" w:rsidR="00EF495B" w:rsidRDefault="00B67C4F" w:rsidP="0098788A">
          <w:pPr>
            <w:pStyle w:val="Huisstijl-Adres"/>
          </w:pPr>
          <w:r>
            <w:rPr>
              <w:b/>
            </w:rPr>
            <w:t>Postadres</w:t>
          </w:r>
          <w:r>
            <w:rPr>
              <w:b/>
            </w:rPr>
            <w:br/>
          </w:r>
          <w:r>
            <w:t>Postbus 20401</w:t>
          </w:r>
          <w:r w:rsidRPr="005819CE">
            <w:br/>
            <w:t>2500 E</w:t>
          </w:r>
          <w:r>
            <w:t>K</w:t>
          </w:r>
          <w:r w:rsidRPr="005819CE">
            <w:t xml:space="preserve"> Den Haag</w:t>
          </w:r>
        </w:p>
        <w:p w14:paraId="7BA434C2" w14:textId="77777777" w:rsidR="00EF495B" w:rsidRPr="005B3814" w:rsidRDefault="00B67C4F" w:rsidP="0098788A">
          <w:pPr>
            <w:pStyle w:val="Huisstijl-Adres"/>
          </w:pPr>
          <w:r>
            <w:rPr>
              <w:b/>
            </w:rPr>
            <w:t>Overheidsidentificatienr</w:t>
          </w:r>
          <w:r>
            <w:rPr>
              <w:b/>
            </w:rPr>
            <w:br/>
          </w:r>
          <w:r w:rsidRPr="005B3814">
            <w:t>00000001003214369000</w:t>
          </w:r>
        </w:p>
        <w:p w14:paraId="405A4DF2" w14:textId="4185B5D8" w:rsidR="00527BD4" w:rsidRPr="005819CE" w:rsidRDefault="00B67C4F" w:rsidP="004A4B16">
          <w:pPr>
            <w:pStyle w:val="Huisstijl-Adres"/>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7C7B7B" w14:paraId="0A2B1158" w14:textId="77777777" w:rsidTr="00A50CF6">
      <w:trPr>
        <w:trHeight w:hRule="exact" w:val="200"/>
      </w:trPr>
      <w:tc>
        <w:tcPr>
          <w:tcW w:w="2160" w:type="dxa"/>
          <w:shd w:val="clear" w:color="auto" w:fill="auto"/>
        </w:tcPr>
        <w:p w14:paraId="693750FE" w14:textId="77777777" w:rsidR="00527BD4" w:rsidRPr="005819CE" w:rsidRDefault="00527BD4" w:rsidP="00A50CF6"/>
      </w:tc>
    </w:tr>
    <w:tr w:rsidR="007C7B7B" w14:paraId="0B210AF3" w14:textId="77777777" w:rsidTr="00A50CF6">
      <w:tc>
        <w:tcPr>
          <w:tcW w:w="2160" w:type="dxa"/>
          <w:shd w:val="clear" w:color="auto" w:fill="auto"/>
        </w:tcPr>
        <w:p w14:paraId="3145141E" w14:textId="77777777" w:rsidR="000C0163" w:rsidRPr="005819CE" w:rsidRDefault="00B67C4F" w:rsidP="000C0163">
          <w:pPr>
            <w:pStyle w:val="Huisstijl-Kopje"/>
          </w:pPr>
          <w:r>
            <w:t>Ons kenmerk</w:t>
          </w:r>
          <w:r w:rsidRPr="005819CE">
            <w:t xml:space="preserve"> </w:t>
          </w:r>
        </w:p>
        <w:p w14:paraId="48F0F7C3" w14:textId="45CCE065" w:rsidR="00527BD4" w:rsidRPr="005819CE" w:rsidRDefault="00B67C4F" w:rsidP="00A50CF6">
          <w:pPr>
            <w:pStyle w:val="Huisstijl-Gegeven"/>
          </w:pPr>
          <w:r>
            <w:t>DGBI</w:t>
          </w:r>
          <w:r w:rsidR="00926AE2">
            <w:t xml:space="preserve"> / </w:t>
          </w:r>
          <w:r w:rsidR="00475DC4">
            <w:t xml:space="preserve"> </w:t>
          </w:r>
          <w:r w:rsidR="00475DC4" w:rsidRPr="00475DC4">
            <w:t>86650512</w:t>
          </w:r>
        </w:p>
        <w:p w14:paraId="5F5DD2D9" w14:textId="77777777" w:rsidR="00527BD4" w:rsidRPr="005819CE" w:rsidRDefault="00B67C4F" w:rsidP="00A50CF6">
          <w:pPr>
            <w:pStyle w:val="Huisstijl-Kopje"/>
          </w:pPr>
          <w:r>
            <w:t>Bijlage(n)</w:t>
          </w:r>
        </w:p>
        <w:p w14:paraId="2D6EB4F6" w14:textId="77777777" w:rsidR="00527BD4" w:rsidRPr="005819CE" w:rsidRDefault="00B67C4F" w:rsidP="00A50CF6">
          <w:pPr>
            <w:pStyle w:val="Huisstijl-Gegeven"/>
          </w:pPr>
          <w:r>
            <w:t>1</w:t>
          </w:r>
        </w:p>
      </w:tc>
    </w:tr>
  </w:tbl>
  <w:p w14:paraId="0DADCDFE"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C7B7B" w14:paraId="08132FA4" w14:textId="77777777" w:rsidTr="007610AA">
      <w:trPr>
        <w:trHeight w:val="400"/>
      </w:trPr>
      <w:tc>
        <w:tcPr>
          <w:tcW w:w="7520" w:type="dxa"/>
          <w:gridSpan w:val="2"/>
          <w:shd w:val="clear" w:color="auto" w:fill="auto"/>
        </w:tcPr>
        <w:p w14:paraId="5FC44836" w14:textId="77777777" w:rsidR="00527BD4" w:rsidRPr="00BC3B53" w:rsidRDefault="00B67C4F" w:rsidP="00A50CF6">
          <w:pPr>
            <w:pStyle w:val="Huisstijl-Retouradres"/>
          </w:pPr>
          <w:r>
            <w:t>&gt; Retouradres Postbus 20401 2500 EK Den Haag</w:t>
          </w:r>
        </w:p>
      </w:tc>
    </w:tr>
    <w:tr w:rsidR="007C7B7B" w14:paraId="0F545A60" w14:textId="77777777" w:rsidTr="007610AA">
      <w:tc>
        <w:tcPr>
          <w:tcW w:w="7520" w:type="dxa"/>
          <w:gridSpan w:val="2"/>
          <w:shd w:val="clear" w:color="auto" w:fill="auto"/>
        </w:tcPr>
        <w:p w14:paraId="631748E5" w14:textId="77777777" w:rsidR="00527BD4" w:rsidRPr="00983E8F" w:rsidRDefault="00527BD4" w:rsidP="00A50CF6">
          <w:pPr>
            <w:pStyle w:val="Huisstijl-Rubricering"/>
          </w:pPr>
        </w:p>
      </w:tc>
    </w:tr>
    <w:tr w:rsidR="007C7B7B" w14:paraId="4026C28A" w14:textId="77777777" w:rsidTr="007610AA">
      <w:trPr>
        <w:trHeight w:hRule="exact" w:val="2440"/>
      </w:trPr>
      <w:tc>
        <w:tcPr>
          <w:tcW w:w="7520" w:type="dxa"/>
          <w:gridSpan w:val="2"/>
          <w:shd w:val="clear" w:color="auto" w:fill="auto"/>
        </w:tcPr>
        <w:p w14:paraId="544EA048" w14:textId="77777777" w:rsidR="00475DC4" w:rsidRPr="008F06CE" w:rsidRDefault="00475DC4" w:rsidP="001A5D6F">
          <w:pPr>
            <w:tabs>
              <w:tab w:val="left" w:pos="5580"/>
            </w:tabs>
            <w:rPr>
              <w:szCs w:val="18"/>
            </w:rPr>
          </w:pPr>
          <w:r w:rsidRPr="008F06CE">
            <w:rPr>
              <w:szCs w:val="18"/>
            </w:rPr>
            <w:t>De Voorzitter van de Tweede Kamer</w:t>
          </w:r>
        </w:p>
        <w:p w14:paraId="6767D2C1" w14:textId="77777777" w:rsidR="00475DC4" w:rsidRPr="008F06CE" w:rsidRDefault="00475DC4" w:rsidP="001A5D6F">
          <w:pPr>
            <w:tabs>
              <w:tab w:val="left" w:pos="5580"/>
            </w:tabs>
            <w:rPr>
              <w:szCs w:val="18"/>
            </w:rPr>
          </w:pPr>
          <w:r w:rsidRPr="008F06CE">
            <w:rPr>
              <w:szCs w:val="18"/>
            </w:rPr>
            <w:t>der Staten-Generaal</w:t>
          </w:r>
        </w:p>
        <w:p w14:paraId="150D25D6" w14:textId="77777777" w:rsidR="00475DC4" w:rsidRPr="000F5C1D" w:rsidRDefault="00475DC4" w:rsidP="001A5D6F">
          <w:pPr>
            <w:tabs>
              <w:tab w:val="left" w:pos="5580"/>
            </w:tabs>
            <w:rPr>
              <w:szCs w:val="18"/>
            </w:rPr>
          </w:pPr>
          <w:r w:rsidRPr="000F5C1D">
            <w:rPr>
              <w:szCs w:val="18"/>
            </w:rPr>
            <w:t>Prinses Irenestraat 6</w:t>
          </w:r>
        </w:p>
        <w:p w14:paraId="167FCEA1" w14:textId="34712F8D" w:rsidR="007C7B7B" w:rsidRDefault="00475DC4">
          <w:pPr>
            <w:pStyle w:val="Huisstijl-NAW"/>
          </w:pPr>
          <w:r w:rsidRPr="000F5C1D">
            <w:t>2595 BD  DEN HAAG</w:t>
          </w:r>
        </w:p>
      </w:tc>
    </w:tr>
    <w:tr w:rsidR="007C7B7B" w14:paraId="2C2C06F2" w14:textId="77777777" w:rsidTr="007610AA">
      <w:trPr>
        <w:trHeight w:hRule="exact" w:val="400"/>
      </w:trPr>
      <w:tc>
        <w:tcPr>
          <w:tcW w:w="7520" w:type="dxa"/>
          <w:gridSpan w:val="2"/>
          <w:shd w:val="clear" w:color="auto" w:fill="auto"/>
        </w:tcPr>
        <w:p w14:paraId="2A020FF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C7B7B" w14:paraId="25E06BFD" w14:textId="77777777" w:rsidTr="007610AA">
      <w:trPr>
        <w:trHeight w:val="240"/>
      </w:trPr>
      <w:tc>
        <w:tcPr>
          <w:tcW w:w="900" w:type="dxa"/>
          <w:shd w:val="clear" w:color="auto" w:fill="auto"/>
        </w:tcPr>
        <w:p w14:paraId="301347EF" w14:textId="77777777" w:rsidR="00527BD4" w:rsidRPr="007709EF" w:rsidRDefault="00B67C4F" w:rsidP="00A50CF6">
          <w:pPr>
            <w:rPr>
              <w:szCs w:val="18"/>
            </w:rPr>
          </w:pPr>
          <w:r>
            <w:rPr>
              <w:szCs w:val="18"/>
            </w:rPr>
            <w:t>Datum</w:t>
          </w:r>
        </w:p>
      </w:tc>
      <w:tc>
        <w:tcPr>
          <w:tcW w:w="6620" w:type="dxa"/>
          <w:shd w:val="clear" w:color="auto" w:fill="auto"/>
        </w:tcPr>
        <w:p w14:paraId="6EBB6361" w14:textId="0D7DEF23" w:rsidR="00527BD4" w:rsidRPr="00874EE7" w:rsidRDefault="000E2F2A" w:rsidP="00A50CF6">
          <w:r>
            <w:t>16 september 2024</w:t>
          </w:r>
        </w:p>
      </w:tc>
    </w:tr>
    <w:tr w:rsidR="007C7B7B" w14:paraId="7936523B" w14:textId="77777777" w:rsidTr="007610AA">
      <w:trPr>
        <w:trHeight w:val="240"/>
      </w:trPr>
      <w:tc>
        <w:tcPr>
          <w:tcW w:w="900" w:type="dxa"/>
          <w:shd w:val="clear" w:color="auto" w:fill="auto"/>
        </w:tcPr>
        <w:p w14:paraId="2D9B842E" w14:textId="77777777" w:rsidR="00527BD4" w:rsidRPr="007709EF" w:rsidRDefault="00B67C4F" w:rsidP="00A50CF6">
          <w:pPr>
            <w:rPr>
              <w:szCs w:val="18"/>
            </w:rPr>
          </w:pPr>
          <w:r>
            <w:rPr>
              <w:szCs w:val="18"/>
            </w:rPr>
            <w:t>Betreft</w:t>
          </w:r>
        </w:p>
      </w:tc>
      <w:tc>
        <w:tcPr>
          <w:tcW w:w="6620" w:type="dxa"/>
          <w:shd w:val="clear" w:color="auto" w:fill="auto"/>
        </w:tcPr>
        <w:p w14:paraId="422AA630" w14:textId="77777777" w:rsidR="00527BD4" w:rsidRPr="007709EF" w:rsidRDefault="00B67C4F" w:rsidP="00A50CF6">
          <w:r>
            <w:t>Opzet periodieke rapportages Innovatiebeleid en Ondernemerschap 2020-2025</w:t>
          </w:r>
        </w:p>
      </w:tc>
    </w:tr>
  </w:tbl>
  <w:p w14:paraId="33FD969F"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5FC9702">
      <w:start w:val="1"/>
      <w:numFmt w:val="bullet"/>
      <w:pStyle w:val="Lijstopsomteken"/>
      <w:lvlText w:val="•"/>
      <w:lvlJc w:val="left"/>
      <w:pPr>
        <w:tabs>
          <w:tab w:val="num" w:pos="227"/>
        </w:tabs>
        <w:ind w:left="227" w:hanging="227"/>
      </w:pPr>
      <w:rPr>
        <w:rFonts w:ascii="Verdana" w:hAnsi="Verdana" w:hint="default"/>
        <w:sz w:val="18"/>
        <w:szCs w:val="18"/>
      </w:rPr>
    </w:lvl>
    <w:lvl w:ilvl="1" w:tplc="ADE6D3E4" w:tentative="1">
      <w:start w:val="1"/>
      <w:numFmt w:val="bullet"/>
      <w:lvlText w:val="o"/>
      <w:lvlJc w:val="left"/>
      <w:pPr>
        <w:tabs>
          <w:tab w:val="num" w:pos="1440"/>
        </w:tabs>
        <w:ind w:left="1440" w:hanging="360"/>
      </w:pPr>
      <w:rPr>
        <w:rFonts w:ascii="Courier New" w:hAnsi="Courier New" w:cs="Courier New" w:hint="default"/>
      </w:rPr>
    </w:lvl>
    <w:lvl w:ilvl="2" w:tplc="73480B04" w:tentative="1">
      <w:start w:val="1"/>
      <w:numFmt w:val="bullet"/>
      <w:lvlText w:val=""/>
      <w:lvlJc w:val="left"/>
      <w:pPr>
        <w:tabs>
          <w:tab w:val="num" w:pos="2160"/>
        </w:tabs>
        <w:ind w:left="2160" w:hanging="360"/>
      </w:pPr>
      <w:rPr>
        <w:rFonts w:ascii="Wingdings" w:hAnsi="Wingdings" w:hint="default"/>
      </w:rPr>
    </w:lvl>
    <w:lvl w:ilvl="3" w:tplc="DCE4B51A" w:tentative="1">
      <w:start w:val="1"/>
      <w:numFmt w:val="bullet"/>
      <w:lvlText w:val=""/>
      <w:lvlJc w:val="left"/>
      <w:pPr>
        <w:tabs>
          <w:tab w:val="num" w:pos="2880"/>
        </w:tabs>
        <w:ind w:left="2880" w:hanging="360"/>
      </w:pPr>
      <w:rPr>
        <w:rFonts w:ascii="Symbol" w:hAnsi="Symbol" w:hint="default"/>
      </w:rPr>
    </w:lvl>
    <w:lvl w:ilvl="4" w:tplc="1B4EC14A" w:tentative="1">
      <w:start w:val="1"/>
      <w:numFmt w:val="bullet"/>
      <w:lvlText w:val="o"/>
      <w:lvlJc w:val="left"/>
      <w:pPr>
        <w:tabs>
          <w:tab w:val="num" w:pos="3600"/>
        </w:tabs>
        <w:ind w:left="3600" w:hanging="360"/>
      </w:pPr>
      <w:rPr>
        <w:rFonts w:ascii="Courier New" w:hAnsi="Courier New" w:cs="Courier New" w:hint="default"/>
      </w:rPr>
    </w:lvl>
    <w:lvl w:ilvl="5" w:tplc="B1020D9A" w:tentative="1">
      <w:start w:val="1"/>
      <w:numFmt w:val="bullet"/>
      <w:lvlText w:val=""/>
      <w:lvlJc w:val="left"/>
      <w:pPr>
        <w:tabs>
          <w:tab w:val="num" w:pos="4320"/>
        </w:tabs>
        <w:ind w:left="4320" w:hanging="360"/>
      </w:pPr>
      <w:rPr>
        <w:rFonts w:ascii="Wingdings" w:hAnsi="Wingdings" w:hint="default"/>
      </w:rPr>
    </w:lvl>
    <w:lvl w:ilvl="6" w:tplc="258E0324" w:tentative="1">
      <w:start w:val="1"/>
      <w:numFmt w:val="bullet"/>
      <w:lvlText w:val=""/>
      <w:lvlJc w:val="left"/>
      <w:pPr>
        <w:tabs>
          <w:tab w:val="num" w:pos="5040"/>
        </w:tabs>
        <w:ind w:left="5040" w:hanging="360"/>
      </w:pPr>
      <w:rPr>
        <w:rFonts w:ascii="Symbol" w:hAnsi="Symbol" w:hint="default"/>
      </w:rPr>
    </w:lvl>
    <w:lvl w:ilvl="7" w:tplc="D3469AC8" w:tentative="1">
      <w:start w:val="1"/>
      <w:numFmt w:val="bullet"/>
      <w:lvlText w:val="o"/>
      <w:lvlJc w:val="left"/>
      <w:pPr>
        <w:tabs>
          <w:tab w:val="num" w:pos="5760"/>
        </w:tabs>
        <w:ind w:left="5760" w:hanging="360"/>
      </w:pPr>
      <w:rPr>
        <w:rFonts w:ascii="Courier New" w:hAnsi="Courier New" w:cs="Courier New" w:hint="default"/>
      </w:rPr>
    </w:lvl>
    <w:lvl w:ilvl="8" w:tplc="9B9ACD7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4B6608"/>
    <w:multiLevelType w:val="hybridMultilevel"/>
    <w:tmpl w:val="27E27046"/>
    <w:lvl w:ilvl="0" w:tplc="84F8AE54">
      <w:numFmt w:val="bullet"/>
      <w:lvlText w:val="-"/>
      <w:lvlJc w:val="left"/>
      <w:pPr>
        <w:ind w:left="420" w:hanging="360"/>
      </w:pPr>
      <w:rPr>
        <w:rFonts w:ascii="Verdana" w:eastAsiaTheme="minorHAnsi" w:hAnsi="Verdana" w:cs="Arial" w:hint="default"/>
        <w:color w:val="auto"/>
        <w:sz w:val="18"/>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12" w15:restartNumberingAfterBreak="0">
    <w:nsid w:val="1038730A"/>
    <w:multiLevelType w:val="hybridMultilevel"/>
    <w:tmpl w:val="A59E4712"/>
    <w:lvl w:ilvl="0" w:tplc="04130001">
      <w:start w:val="1"/>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7C387A"/>
    <w:multiLevelType w:val="hybridMultilevel"/>
    <w:tmpl w:val="0D70BF64"/>
    <w:lvl w:ilvl="0" w:tplc="7F36ACB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E555FEF"/>
    <w:multiLevelType w:val="hybridMultilevel"/>
    <w:tmpl w:val="50F0923E"/>
    <w:lvl w:ilvl="0" w:tplc="113C7BCA">
      <w:start w:val="1"/>
      <w:numFmt w:val="bullet"/>
      <w:pStyle w:val="Lijstopsomteken2"/>
      <w:lvlText w:val="–"/>
      <w:lvlJc w:val="left"/>
      <w:pPr>
        <w:tabs>
          <w:tab w:val="num" w:pos="227"/>
        </w:tabs>
        <w:ind w:left="227" w:firstLine="0"/>
      </w:pPr>
      <w:rPr>
        <w:rFonts w:ascii="Verdana" w:hAnsi="Verdana" w:hint="default"/>
      </w:rPr>
    </w:lvl>
    <w:lvl w:ilvl="1" w:tplc="701AFF02" w:tentative="1">
      <w:start w:val="1"/>
      <w:numFmt w:val="bullet"/>
      <w:lvlText w:val="o"/>
      <w:lvlJc w:val="left"/>
      <w:pPr>
        <w:tabs>
          <w:tab w:val="num" w:pos="1440"/>
        </w:tabs>
        <w:ind w:left="1440" w:hanging="360"/>
      </w:pPr>
      <w:rPr>
        <w:rFonts w:ascii="Courier New" w:hAnsi="Courier New" w:cs="Courier New" w:hint="default"/>
      </w:rPr>
    </w:lvl>
    <w:lvl w:ilvl="2" w:tplc="84A4EB9C" w:tentative="1">
      <w:start w:val="1"/>
      <w:numFmt w:val="bullet"/>
      <w:lvlText w:val=""/>
      <w:lvlJc w:val="left"/>
      <w:pPr>
        <w:tabs>
          <w:tab w:val="num" w:pos="2160"/>
        </w:tabs>
        <w:ind w:left="2160" w:hanging="360"/>
      </w:pPr>
      <w:rPr>
        <w:rFonts w:ascii="Wingdings" w:hAnsi="Wingdings" w:hint="default"/>
      </w:rPr>
    </w:lvl>
    <w:lvl w:ilvl="3" w:tplc="7DF83654" w:tentative="1">
      <w:start w:val="1"/>
      <w:numFmt w:val="bullet"/>
      <w:lvlText w:val=""/>
      <w:lvlJc w:val="left"/>
      <w:pPr>
        <w:tabs>
          <w:tab w:val="num" w:pos="2880"/>
        </w:tabs>
        <w:ind w:left="2880" w:hanging="360"/>
      </w:pPr>
      <w:rPr>
        <w:rFonts w:ascii="Symbol" w:hAnsi="Symbol" w:hint="default"/>
      </w:rPr>
    </w:lvl>
    <w:lvl w:ilvl="4" w:tplc="9184E920" w:tentative="1">
      <w:start w:val="1"/>
      <w:numFmt w:val="bullet"/>
      <w:lvlText w:val="o"/>
      <w:lvlJc w:val="left"/>
      <w:pPr>
        <w:tabs>
          <w:tab w:val="num" w:pos="3600"/>
        </w:tabs>
        <w:ind w:left="3600" w:hanging="360"/>
      </w:pPr>
      <w:rPr>
        <w:rFonts w:ascii="Courier New" w:hAnsi="Courier New" w:cs="Courier New" w:hint="default"/>
      </w:rPr>
    </w:lvl>
    <w:lvl w:ilvl="5" w:tplc="224C4448" w:tentative="1">
      <w:start w:val="1"/>
      <w:numFmt w:val="bullet"/>
      <w:lvlText w:val=""/>
      <w:lvlJc w:val="left"/>
      <w:pPr>
        <w:tabs>
          <w:tab w:val="num" w:pos="4320"/>
        </w:tabs>
        <w:ind w:left="4320" w:hanging="360"/>
      </w:pPr>
      <w:rPr>
        <w:rFonts w:ascii="Wingdings" w:hAnsi="Wingdings" w:hint="default"/>
      </w:rPr>
    </w:lvl>
    <w:lvl w:ilvl="6" w:tplc="E2DA64C6" w:tentative="1">
      <w:start w:val="1"/>
      <w:numFmt w:val="bullet"/>
      <w:lvlText w:val=""/>
      <w:lvlJc w:val="left"/>
      <w:pPr>
        <w:tabs>
          <w:tab w:val="num" w:pos="5040"/>
        </w:tabs>
        <w:ind w:left="5040" w:hanging="360"/>
      </w:pPr>
      <w:rPr>
        <w:rFonts w:ascii="Symbol" w:hAnsi="Symbol" w:hint="default"/>
      </w:rPr>
    </w:lvl>
    <w:lvl w:ilvl="7" w:tplc="84F89B20" w:tentative="1">
      <w:start w:val="1"/>
      <w:numFmt w:val="bullet"/>
      <w:lvlText w:val="o"/>
      <w:lvlJc w:val="left"/>
      <w:pPr>
        <w:tabs>
          <w:tab w:val="num" w:pos="5760"/>
        </w:tabs>
        <w:ind w:left="5760" w:hanging="360"/>
      </w:pPr>
      <w:rPr>
        <w:rFonts w:ascii="Courier New" w:hAnsi="Courier New" w:cs="Courier New" w:hint="default"/>
      </w:rPr>
    </w:lvl>
    <w:lvl w:ilvl="8" w:tplc="8EE8CC0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843016"/>
    <w:multiLevelType w:val="hybridMultilevel"/>
    <w:tmpl w:val="F1D03FD2"/>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A1E5ABE"/>
    <w:multiLevelType w:val="hybridMultilevel"/>
    <w:tmpl w:val="1EF26CB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7631FA"/>
    <w:multiLevelType w:val="hybridMultilevel"/>
    <w:tmpl w:val="818E925C"/>
    <w:lvl w:ilvl="0" w:tplc="FBCEAE7C">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61141472"/>
    <w:multiLevelType w:val="hybridMultilevel"/>
    <w:tmpl w:val="20FA6034"/>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4A73790"/>
    <w:multiLevelType w:val="hybridMultilevel"/>
    <w:tmpl w:val="9EA6EB78"/>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7D03146"/>
    <w:multiLevelType w:val="hybridMultilevel"/>
    <w:tmpl w:val="9AD6AB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71855116">
    <w:abstractNumId w:val="10"/>
  </w:num>
  <w:num w:numId="2" w16cid:durableId="1914510125">
    <w:abstractNumId w:val="7"/>
  </w:num>
  <w:num w:numId="3" w16cid:durableId="213276855">
    <w:abstractNumId w:val="6"/>
  </w:num>
  <w:num w:numId="4" w16cid:durableId="247233723">
    <w:abstractNumId w:val="5"/>
  </w:num>
  <w:num w:numId="5" w16cid:durableId="2105959306">
    <w:abstractNumId w:val="4"/>
  </w:num>
  <w:num w:numId="6" w16cid:durableId="585312597">
    <w:abstractNumId w:val="8"/>
  </w:num>
  <w:num w:numId="7" w16cid:durableId="873543356">
    <w:abstractNumId w:val="3"/>
  </w:num>
  <w:num w:numId="8" w16cid:durableId="120073972">
    <w:abstractNumId w:val="2"/>
  </w:num>
  <w:num w:numId="9" w16cid:durableId="680279492">
    <w:abstractNumId w:val="1"/>
  </w:num>
  <w:num w:numId="10" w16cid:durableId="971055744">
    <w:abstractNumId w:val="0"/>
  </w:num>
  <w:num w:numId="11" w16cid:durableId="627781784">
    <w:abstractNumId w:val="9"/>
  </w:num>
  <w:num w:numId="12" w16cid:durableId="411321779">
    <w:abstractNumId w:val="13"/>
  </w:num>
  <w:num w:numId="13" w16cid:durableId="1080836488">
    <w:abstractNumId w:val="18"/>
  </w:num>
  <w:num w:numId="14" w16cid:durableId="1625845739">
    <w:abstractNumId w:val="15"/>
  </w:num>
  <w:num w:numId="15" w16cid:durableId="1296451495">
    <w:abstractNumId w:val="11"/>
  </w:num>
  <w:num w:numId="16" w16cid:durableId="1188760219">
    <w:abstractNumId w:val="19"/>
  </w:num>
  <w:num w:numId="17" w16cid:durableId="253588101">
    <w:abstractNumId w:val="12"/>
  </w:num>
  <w:num w:numId="18" w16cid:durableId="552040098">
    <w:abstractNumId w:val="22"/>
  </w:num>
  <w:num w:numId="19" w16cid:durableId="1562666328">
    <w:abstractNumId w:val="16"/>
  </w:num>
  <w:num w:numId="20" w16cid:durableId="1394431955">
    <w:abstractNumId w:val="17"/>
  </w:num>
  <w:num w:numId="21" w16cid:durableId="698168081">
    <w:abstractNumId w:val="20"/>
  </w:num>
  <w:num w:numId="22" w16cid:durableId="1043289629">
    <w:abstractNumId w:val="21"/>
  </w:num>
  <w:num w:numId="23" w16cid:durableId="49808331">
    <w:abstractNumId w:val="14"/>
  </w:num>
  <w:num w:numId="24" w16cid:durableId="558714535">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2730D"/>
    <w:rsid w:val="00033CDD"/>
    <w:rsid w:val="00034A84"/>
    <w:rsid w:val="00035E67"/>
    <w:rsid w:val="000366F3"/>
    <w:rsid w:val="00042A5B"/>
    <w:rsid w:val="0006024D"/>
    <w:rsid w:val="000620F7"/>
    <w:rsid w:val="00064CE1"/>
    <w:rsid w:val="000705B7"/>
    <w:rsid w:val="00071F28"/>
    <w:rsid w:val="00074079"/>
    <w:rsid w:val="00092799"/>
    <w:rsid w:val="00092C5F"/>
    <w:rsid w:val="00096680"/>
    <w:rsid w:val="000A0F36"/>
    <w:rsid w:val="000A174A"/>
    <w:rsid w:val="000A3E0A"/>
    <w:rsid w:val="000A65AC"/>
    <w:rsid w:val="000A7159"/>
    <w:rsid w:val="000B08A3"/>
    <w:rsid w:val="000B7281"/>
    <w:rsid w:val="000B7FAB"/>
    <w:rsid w:val="000C0163"/>
    <w:rsid w:val="000C1BA1"/>
    <w:rsid w:val="000C3EA9"/>
    <w:rsid w:val="000D0225"/>
    <w:rsid w:val="000E2F2A"/>
    <w:rsid w:val="000E7895"/>
    <w:rsid w:val="000F161D"/>
    <w:rsid w:val="000F3CAA"/>
    <w:rsid w:val="00102ABB"/>
    <w:rsid w:val="00105DB8"/>
    <w:rsid w:val="00121BF0"/>
    <w:rsid w:val="00122635"/>
    <w:rsid w:val="00123704"/>
    <w:rsid w:val="001267EE"/>
    <w:rsid w:val="001270C7"/>
    <w:rsid w:val="00132540"/>
    <w:rsid w:val="00133F0F"/>
    <w:rsid w:val="0014786A"/>
    <w:rsid w:val="001516A4"/>
    <w:rsid w:val="00151E5F"/>
    <w:rsid w:val="00153E28"/>
    <w:rsid w:val="001569AB"/>
    <w:rsid w:val="001608DE"/>
    <w:rsid w:val="00162D74"/>
    <w:rsid w:val="00162D7B"/>
    <w:rsid w:val="00164D63"/>
    <w:rsid w:val="0016725C"/>
    <w:rsid w:val="001726F3"/>
    <w:rsid w:val="00173C51"/>
    <w:rsid w:val="00174CC2"/>
    <w:rsid w:val="00176CC6"/>
    <w:rsid w:val="00181BE4"/>
    <w:rsid w:val="00185576"/>
    <w:rsid w:val="00185951"/>
    <w:rsid w:val="00192FA3"/>
    <w:rsid w:val="00196B8B"/>
    <w:rsid w:val="001A2BEA"/>
    <w:rsid w:val="001A6D93"/>
    <w:rsid w:val="001B4D37"/>
    <w:rsid w:val="001B760B"/>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9BF"/>
    <w:rsid w:val="00236CFE"/>
    <w:rsid w:val="0024245D"/>
    <w:rsid w:val="002428E3"/>
    <w:rsid w:val="00243031"/>
    <w:rsid w:val="00260BAF"/>
    <w:rsid w:val="002626F1"/>
    <w:rsid w:val="002650F7"/>
    <w:rsid w:val="00273F3B"/>
    <w:rsid w:val="00274DB7"/>
    <w:rsid w:val="00275984"/>
    <w:rsid w:val="00280F74"/>
    <w:rsid w:val="002822CA"/>
    <w:rsid w:val="00284936"/>
    <w:rsid w:val="00286998"/>
    <w:rsid w:val="00291AB7"/>
    <w:rsid w:val="00292EB2"/>
    <w:rsid w:val="0029422B"/>
    <w:rsid w:val="002A0938"/>
    <w:rsid w:val="002A0B01"/>
    <w:rsid w:val="002B153C"/>
    <w:rsid w:val="002B52FC"/>
    <w:rsid w:val="002C2830"/>
    <w:rsid w:val="002D001A"/>
    <w:rsid w:val="002D28E2"/>
    <w:rsid w:val="002D317B"/>
    <w:rsid w:val="002D3587"/>
    <w:rsid w:val="002D502D"/>
    <w:rsid w:val="002D7A8F"/>
    <w:rsid w:val="002E0F69"/>
    <w:rsid w:val="002F5147"/>
    <w:rsid w:val="002F5DF2"/>
    <w:rsid w:val="002F7ABD"/>
    <w:rsid w:val="0030102A"/>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66C89"/>
    <w:rsid w:val="00371048"/>
    <w:rsid w:val="0037396C"/>
    <w:rsid w:val="00374126"/>
    <w:rsid w:val="0037421D"/>
    <w:rsid w:val="00376093"/>
    <w:rsid w:val="003779BE"/>
    <w:rsid w:val="0038171F"/>
    <w:rsid w:val="00383DA1"/>
    <w:rsid w:val="00385F30"/>
    <w:rsid w:val="00393696"/>
    <w:rsid w:val="00393963"/>
    <w:rsid w:val="00395048"/>
    <w:rsid w:val="00395575"/>
    <w:rsid w:val="00395672"/>
    <w:rsid w:val="003A06C8"/>
    <w:rsid w:val="003A0D7C"/>
    <w:rsid w:val="003A5290"/>
    <w:rsid w:val="003B0155"/>
    <w:rsid w:val="003B7EE7"/>
    <w:rsid w:val="003C05A6"/>
    <w:rsid w:val="003C2CCB"/>
    <w:rsid w:val="003D39EC"/>
    <w:rsid w:val="003D5DED"/>
    <w:rsid w:val="003E3DD5"/>
    <w:rsid w:val="003F07C6"/>
    <w:rsid w:val="003F1F6B"/>
    <w:rsid w:val="003F3757"/>
    <w:rsid w:val="003F38BD"/>
    <w:rsid w:val="003F44B7"/>
    <w:rsid w:val="004008E9"/>
    <w:rsid w:val="00413D48"/>
    <w:rsid w:val="00435213"/>
    <w:rsid w:val="00437E66"/>
    <w:rsid w:val="00441AC2"/>
    <w:rsid w:val="00442397"/>
    <w:rsid w:val="0044249B"/>
    <w:rsid w:val="0045023C"/>
    <w:rsid w:val="00451A5B"/>
    <w:rsid w:val="00452BCD"/>
    <w:rsid w:val="00452CEA"/>
    <w:rsid w:val="0046299C"/>
    <w:rsid w:val="00465B52"/>
    <w:rsid w:val="00466966"/>
    <w:rsid w:val="0046708E"/>
    <w:rsid w:val="00472A65"/>
    <w:rsid w:val="00474463"/>
    <w:rsid w:val="00474B75"/>
    <w:rsid w:val="00475DC4"/>
    <w:rsid w:val="00483F0B"/>
    <w:rsid w:val="00496319"/>
    <w:rsid w:val="00496C0C"/>
    <w:rsid w:val="00497279"/>
    <w:rsid w:val="004A0ACE"/>
    <w:rsid w:val="004A163B"/>
    <w:rsid w:val="004A2ACA"/>
    <w:rsid w:val="004A4B16"/>
    <w:rsid w:val="004A4C1E"/>
    <w:rsid w:val="004A5EF2"/>
    <w:rsid w:val="004A670A"/>
    <w:rsid w:val="004B5465"/>
    <w:rsid w:val="004B70F0"/>
    <w:rsid w:val="004C21A8"/>
    <w:rsid w:val="004D505E"/>
    <w:rsid w:val="004D72CA"/>
    <w:rsid w:val="004E2242"/>
    <w:rsid w:val="004E505E"/>
    <w:rsid w:val="004E7669"/>
    <w:rsid w:val="004F42FF"/>
    <w:rsid w:val="004F44C2"/>
    <w:rsid w:val="00502512"/>
    <w:rsid w:val="00503FD2"/>
    <w:rsid w:val="00505262"/>
    <w:rsid w:val="00516022"/>
    <w:rsid w:val="00521CEE"/>
    <w:rsid w:val="00524689"/>
    <w:rsid w:val="00524FB4"/>
    <w:rsid w:val="00527BD4"/>
    <w:rsid w:val="0053122C"/>
    <w:rsid w:val="00537095"/>
    <w:rsid w:val="005403C8"/>
    <w:rsid w:val="005429DC"/>
    <w:rsid w:val="00546089"/>
    <w:rsid w:val="005565F9"/>
    <w:rsid w:val="00561E64"/>
    <w:rsid w:val="00573041"/>
    <w:rsid w:val="00575B80"/>
    <w:rsid w:val="0057620F"/>
    <w:rsid w:val="005819CE"/>
    <w:rsid w:val="0058298D"/>
    <w:rsid w:val="00584C1A"/>
    <w:rsid w:val="0059135C"/>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E6A7A"/>
    <w:rsid w:val="005F62D3"/>
    <w:rsid w:val="005F6D11"/>
    <w:rsid w:val="00600CF0"/>
    <w:rsid w:val="006048F4"/>
    <w:rsid w:val="0060656C"/>
    <w:rsid w:val="0060660A"/>
    <w:rsid w:val="00613B1D"/>
    <w:rsid w:val="00617A44"/>
    <w:rsid w:val="006202B6"/>
    <w:rsid w:val="00625CD0"/>
    <w:rsid w:val="0062627D"/>
    <w:rsid w:val="00627432"/>
    <w:rsid w:val="006430A1"/>
    <w:rsid w:val="006448E4"/>
    <w:rsid w:val="00645414"/>
    <w:rsid w:val="00651CEE"/>
    <w:rsid w:val="00653606"/>
    <w:rsid w:val="006610E9"/>
    <w:rsid w:val="00661591"/>
    <w:rsid w:val="00664678"/>
    <w:rsid w:val="0066632F"/>
    <w:rsid w:val="0067176C"/>
    <w:rsid w:val="00674A89"/>
    <w:rsid w:val="00674F3D"/>
    <w:rsid w:val="00681426"/>
    <w:rsid w:val="00685545"/>
    <w:rsid w:val="006864B3"/>
    <w:rsid w:val="00692D64"/>
    <w:rsid w:val="00697C77"/>
    <w:rsid w:val="006A10F8"/>
    <w:rsid w:val="006A2100"/>
    <w:rsid w:val="006A5C3B"/>
    <w:rsid w:val="006A72E0"/>
    <w:rsid w:val="006B0BF3"/>
    <w:rsid w:val="006B4CA7"/>
    <w:rsid w:val="006B720F"/>
    <w:rsid w:val="006B775E"/>
    <w:rsid w:val="006B7BC7"/>
    <w:rsid w:val="006C072C"/>
    <w:rsid w:val="006C2535"/>
    <w:rsid w:val="006C441E"/>
    <w:rsid w:val="006C4B90"/>
    <w:rsid w:val="006D1016"/>
    <w:rsid w:val="006D17F2"/>
    <w:rsid w:val="006E3546"/>
    <w:rsid w:val="006E3FA9"/>
    <w:rsid w:val="006E7D82"/>
    <w:rsid w:val="006F038F"/>
    <w:rsid w:val="006F0F93"/>
    <w:rsid w:val="006F31F2"/>
    <w:rsid w:val="006F7494"/>
    <w:rsid w:val="006F751F"/>
    <w:rsid w:val="00701607"/>
    <w:rsid w:val="00705433"/>
    <w:rsid w:val="00707046"/>
    <w:rsid w:val="00711BDE"/>
    <w:rsid w:val="00714DC5"/>
    <w:rsid w:val="00715237"/>
    <w:rsid w:val="00721AE1"/>
    <w:rsid w:val="007254A5"/>
    <w:rsid w:val="00725748"/>
    <w:rsid w:val="007269E3"/>
    <w:rsid w:val="007340EF"/>
    <w:rsid w:val="00735D88"/>
    <w:rsid w:val="0073720D"/>
    <w:rsid w:val="00737507"/>
    <w:rsid w:val="00740712"/>
    <w:rsid w:val="00742AB9"/>
    <w:rsid w:val="00746C31"/>
    <w:rsid w:val="0075018B"/>
    <w:rsid w:val="00751A6A"/>
    <w:rsid w:val="00754FBF"/>
    <w:rsid w:val="007610AA"/>
    <w:rsid w:val="007709EF"/>
    <w:rsid w:val="00782701"/>
    <w:rsid w:val="00783559"/>
    <w:rsid w:val="00794851"/>
    <w:rsid w:val="0079551B"/>
    <w:rsid w:val="0079559A"/>
    <w:rsid w:val="00797AA5"/>
    <w:rsid w:val="007A26BD"/>
    <w:rsid w:val="007A4105"/>
    <w:rsid w:val="007B4503"/>
    <w:rsid w:val="007B47C5"/>
    <w:rsid w:val="007C406E"/>
    <w:rsid w:val="007C5183"/>
    <w:rsid w:val="007C7573"/>
    <w:rsid w:val="007C7B7B"/>
    <w:rsid w:val="007E2B20"/>
    <w:rsid w:val="007F1FE4"/>
    <w:rsid w:val="007F439C"/>
    <w:rsid w:val="007F510A"/>
    <w:rsid w:val="007F5331"/>
    <w:rsid w:val="007F6B96"/>
    <w:rsid w:val="00800CCA"/>
    <w:rsid w:val="00806120"/>
    <w:rsid w:val="00806F63"/>
    <w:rsid w:val="00810C93"/>
    <w:rsid w:val="00812028"/>
    <w:rsid w:val="00812DD8"/>
    <w:rsid w:val="00813082"/>
    <w:rsid w:val="00814D03"/>
    <w:rsid w:val="008164C9"/>
    <w:rsid w:val="00820371"/>
    <w:rsid w:val="00820736"/>
    <w:rsid w:val="00821FC1"/>
    <w:rsid w:val="00823AE2"/>
    <w:rsid w:val="008276E4"/>
    <w:rsid w:val="0083178B"/>
    <w:rsid w:val="00831EE4"/>
    <w:rsid w:val="00833695"/>
    <w:rsid w:val="008336B7"/>
    <w:rsid w:val="00833A8E"/>
    <w:rsid w:val="00836ACA"/>
    <w:rsid w:val="0083738B"/>
    <w:rsid w:val="00841C80"/>
    <w:rsid w:val="00842CD8"/>
    <w:rsid w:val="008431FA"/>
    <w:rsid w:val="00844C08"/>
    <w:rsid w:val="00847444"/>
    <w:rsid w:val="008517C6"/>
    <w:rsid w:val="008519D0"/>
    <w:rsid w:val="008532BC"/>
    <w:rsid w:val="008547BA"/>
    <w:rsid w:val="008553C7"/>
    <w:rsid w:val="00857FEB"/>
    <w:rsid w:val="008601AF"/>
    <w:rsid w:val="00872271"/>
    <w:rsid w:val="00874EE7"/>
    <w:rsid w:val="0088043D"/>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2290"/>
    <w:rsid w:val="00926AE2"/>
    <w:rsid w:val="009272F0"/>
    <w:rsid w:val="00930B13"/>
    <w:rsid w:val="009311C8"/>
    <w:rsid w:val="0093189B"/>
    <w:rsid w:val="00933376"/>
    <w:rsid w:val="00933A2F"/>
    <w:rsid w:val="0094248E"/>
    <w:rsid w:val="009716D8"/>
    <w:rsid w:val="00971865"/>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1215"/>
    <w:rsid w:val="009C3F20"/>
    <w:rsid w:val="009C7AD9"/>
    <w:rsid w:val="009C7CA1"/>
    <w:rsid w:val="009D043D"/>
    <w:rsid w:val="009D3E25"/>
    <w:rsid w:val="009E3C59"/>
    <w:rsid w:val="009E733E"/>
    <w:rsid w:val="009F2B4F"/>
    <w:rsid w:val="009F3259"/>
    <w:rsid w:val="009F4957"/>
    <w:rsid w:val="00A037D5"/>
    <w:rsid w:val="00A056DE"/>
    <w:rsid w:val="00A128AD"/>
    <w:rsid w:val="00A16D7E"/>
    <w:rsid w:val="00A21E76"/>
    <w:rsid w:val="00A23BC8"/>
    <w:rsid w:val="00A245F8"/>
    <w:rsid w:val="00A25FB9"/>
    <w:rsid w:val="00A30E68"/>
    <w:rsid w:val="00A31933"/>
    <w:rsid w:val="00A329D2"/>
    <w:rsid w:val="00A34AA0"/>
    <w:rsid w:val="00A3715C"/>
    <w:rsid w:val="00A413B4"/>
    <w:rsid w:val="00A41FE2"/>
    <w:rsid w:val="00A46FEF"/>
    <w:rsid w:val="00A47948"/>
    <w:rsid w:val="00A50CF6"/>
    <w:rsid w:val="00A53EF7"/>
    <w:rsid w:val="00A542B1"/>
    <w:rsid w:val="00A56946"/>
    <w:rsid w:val="00A6170E"/>
    <w:rsid w:val="00A63B8C"/>
    <w:rsid w:val="00A715F8"/>
    <w:rsid w:val="00A77F6F"/>
    <w:rsid w:val="00A831FD"/>
    <w:rsid w:val="00A83352"/>
    <w:rsid w:val="00A850A2"/>
    <w:rsid w:val="00A91A9A"/>
    <w:rsid w:val="00A91FA3"/>
    <w:rsid w:val="00A927D3"/>
    <w:rsid w:val="00AA2AC1"/>
    <w:rsid w:val="00AA7FC9"/>
    <w:rsid w:val="00AB237D"/>
    <w:rsid w:val="00AB5933"/>
    <w:rsid w:val="00AB6BA8"/>
    <w:rsid w:val="00AD20D2"/>
    <w:rsid w:val="00AD677E"/>
    <w:rsid w:val="00AE013D"/>
    <w:rsid w:val="00AE11B7"/>
    <w:rsid w:val="00AE7F68"/>
    <w:rsid w:val="00AF2321"/>
    <w:rsid w:val="00AF52F6"/>
    <w:rsid w:val="00AF52FD"/>
    <w:rsid w:val="00AF54A8"/>
    <w:rsid w:val="00AF7237"/>
    <w:rsid w:val="00B0043A"/>
    <w:rsid w:val="00B00D75"/>
    <w:rsid w:val="00B0207A"/>
    <w:rsid w:val="00B070CB"/>
    <w:rsid w:val="00B12456"/>
    <w:rsid w:val="00B145F0"/>
    <w:rsid w:val="00B2223C"/>
    <w:rsid w:val="00B259C8"/>
    <w:rsid w:val="00B26CCF"/>
    <w:rsid w:val="00B30FC2"/>
    <w:rsid w:val="00B331A2"/>
    <w:rsid w:val="00B36267"/>
    <w:rsid w:val="00B425F0"/>
    <w:rsid w:val="00B42DFA"/>
    <w:rsid w:val="00B5255D"/>
    <w:rsid w:val="00B531DD"/>
    <w:rsid w:val="00B55014"/>
    <w:rsid w:val="00B57A89"/>
    <w:rsid w:val="00B608D4"/>
    <w:rsid w:val="00B62232"/>
    <w:rsid w:val="00B63B9D"/>
    <w:rsid w:val="00B67C4F"/>
    <w:rsid w:val="00B70BF3"/>
    <w:rsid w:val="00B71DC2"/>
    <w:rsid w:val="00B80311"/>
    <w:rsid w:val="00B849F5"/>
    <w:rsid w:val="00B91CCD"/>
    <w:rsid w:val="00B91CFC"/>
    <w:rsid w:val="00B93893"/>
    <w:rsid w:val="00BA1397"/>
    <w:rsid w:val="00BA50F9"/>
    <w:rsid w:val="00BA7E0A"/>
    <w:rsid w:val="00BC2C00"/>
    <w:rsid w:val="00BC3B53"/>
    <w:rsid w:val="00BC3B96"/>
    <w:rsid w:val="00BC4AE3"/>
    <w:rsid w:val="00BC50FA"/>
    <w:rsid w:val="00BC5B28"/>
    <w:rsid w:val="00BD2370"/>
    <w:rsid w:val="00BE3F88"/>
    <w:rsid w:val="00BE4756"/>
    <w:rsid w:val="00BE5ED9"/>
    <w:rsid w:val="00BE7B41"/>
    <w:rsid w:val="00BF3E4E"/>
    <w:rsid w:val="00C04A1E"/>
    <w:rsid w:val="00C15A91"/>
    <w:rsid w:val="00C206F1"/>
    <w:rsid w:val="00C217E1"/>
    <w:rsid w:val="00C219B1"/>
    <w:rsid w:val="00C26D8D"/>
    <w:rsid w:val="00C34336"/>
    <w:rsid w:val="00C4015B"/>
    <w:rsid w:val="00C40C60"/>
    <w:rsid w:val="00C43FE6"/>
    <w:rsid w:val="00C5258E"/>
    <w:rsid w:val="00C530C9"/>
    <w:rsid w:val="00C60F6C"/>
    <w:rsid w:val="00C619A7"/>
    <w:rsid w:val="00C62B9F"/>
    <w:rsid w:val="00C73D5F"/>
    <w:rsid w:val="00C82AFE"/>
    <w:rsid w:val="00C83DBC"/>
    <w:rsid w:val="00C86DF3"/>
    <w:rsid w:val="00C90702"/>
    <w:rsid w:val="00C97C80"/>
    <w:rsid w:val="00CA47D3"/>
    <w:rsid w:val="00CA6533"/>
    <w:rsid w:val="00CA6A25"/>
    <w:rsid w:val="00CA6A3F"/>
    <w:rsid w:val="00CA7C99"/>
    <w:rsid w:val="00CC5227"/>
    <w:rsid w:val="00CC6290"/>
    <w:rsid w:val="00CC6947"/>
    <w:rsid w:val="00CD233D"/>
    <w:rsid w:val="00CD3499"/>
    <w:rsid w:val="00CD362D"/>
    <w:rsid w:val="00CD55C1"/>
    <w:rsid w:val="00CE101D"/>
    <w:rsid w:val="00CE1814"/>
    <w:rsid w:val="00CE1A95"/>
    <w:rsid w:val="00CE1C84"/>
    <w:rsid w:val="00CE5055"/>
    <w:rsid w:val="00CF053F"/>
    <w:rsid w:val="00CF1A17"/>
    <w:rsid w:val="00CF65AC"/>
    <w:rsid w:val="00D0375A"/>
    <w:rsid w:val="00D0609E"/>
    <w:rsid w:val="00D078E1"/>
    <w:rsid w:val="00D100E9"/>
    <w:rsid w:val="00D17942"/>
    <w:rsid w:val="00D21E4B"/>
    <w:rsid w:val="00D22441"/>
    <w:rsid w:val="00D23522"/>
    <w:rsid w:val="00D25D87"/>
    <w:rsid w:val="00D264D6"/>
    <w:rsid w:val="00D312C4"/>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1138"/>
    <w:rsid w:val="00D9360B"/>
    <w:rsid w:val="00D95C88"/>
    <w:rsid w:val="00D97B2E"/>
    <w:rsid w:val="00DA241E"/>
    <w:rsid w:val="00DB0FD9"/>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401DC"/>
    <w:rsid w:val="00E44940"/>
    <w:rsid w:val="00E51469"/>
    <w:rsid w:val="00E51613"/>
    <w:rsid w:val="00E56B7D"/>
    <w:rsid w:val="00E634E3"/>
    <w:rsid w:val="00E717C4"/>
    <w:rsid w:val="00E77E18"/>
    <w:rsid w:val="00E77F89"/>
    <w:rsid w:val="00E80330"/>
    <w:rsid w:val="00E806C5"/>
    <w:rsid w:val="00E80E71"/>
    <w:rsid w:val="00E84AF0"/>
    <w:rsid w:val="00E850D3"/>
    <w:rsid w:val="00E853D6"/>
    <w:rsid w:val="00E876B9"/>
    <w:rsid w:val="00E96FF8"/>
    <w:rsid w:val="00EC0DFF"/>
    <w:rsid w:val="00EC237D"/>
    <w:rsid w:val="00EC2805"/>
    <w:rsid w:val="00EC2918"/>
    <w:rsid w:val="00EC4D0E"/>
    <w:rsid w:val="00EC4E2B"/>
    <w:rsid w:val="00ED072A"/>
    <w:rsid w:val="00ED539E"/>
    <w:rsid w:val="00EE2409"/>
    <w:rsid w:val="00EE4A1F"/>
    <w:rsid w:val="00EE4C2D"/>
    <w:rsid w:val="00EE776F"/>
    <w:rsid w:val="00EF1B5A"/>
    <w:rsid w:val="00EF24FB"/>
    <w:rsid w:val="00EF2CCA"/>
    <w:rsid w:val="00EF495B"/>
    <w:rsid w:val="00EF60DC"/>
    <w:rsid w:val="00F00F54"/>
    <w:rsid w:val="00F03963"/>
    <w:rsid w:val="00F04374"/>
    <w:rsid w:val="00F11068"/>
    <w:rsid w:val="00F1192F"/>
    <w:rsid w:val="00F1256D"/>
    <w:rsid w:val="00F13A4E"/>
    <w:rsid w:val="00F141BE"/>
    <w:rsid w:val="00F168C7"/>
    <w:rsid w:val="00F172BB"/>
    <w:rsid w:val="00F17B10"/>
    <w:rsid w:val="00F21BEF"/>
    <w:rsid w:val="00F2315B"/>
    <w:rsid w:val="00F30B49"/>
    <w:rsid w:val="00F34805"/>
    <w:rsid w:val="00F41A6F"/>
    <w:rsid w:val="00F45A25"/>
    <w:rsid w:val="00F47CEF"/>
    <w:rsid w:val="00F50F86"/>
    <w:rsid w:val="00F53F91"/>
    <w:rsid w:val="00F575DB"/>
    <w:rsid w:val="00F61569"/>
    <w:rsid w:val="00F61A72"/>
    <w:rsid w:val="00F62B67"/>
    <w:rsid w:val="00F66F13"/>
    <w:rsid w:val="00F7083A"/>
    <w:rsid w:val="00F74073"/>
    <w:rsid w:val="00F75603"/>
    <w:rsid w:val="00F845B4"/>
    <w:rsid w:val="00F8713B"/>
    <w:rsid w:val="00F93E73"/>
    <w:rsid w:val="00F93F9E"/>
    <w:rsid w:val="00F9737A"/>
    <w:rsid w:val="00F979E5"/>
    <w:rsid w:val="00FA2CD7"/>
    <w:rsid w:val="00FB06ED"/>
    <w:rsid w:val="00FC2311"/>
    <w:rsid w:val="00FC3165"/>
    <w:rsid w:val="00FC36AB"/>
    <w:rsid w:val="00FC4300"/>
    <w:rsid w:val="00FC7F66"/>
    <w:rsid w:val="00FD3148"/>
    <w:rsid w:val="00FD5776"/>
    <w:rsid w:val="00FE1CB6"/>
    <w:rsid w:val="00FE486B"/>
    <w:rsid w:val="00FE4F08"/>
    <w:rsid w:val="00FE6C91"/>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16E75"/>
  <w15:docId w15:val="{67A1A1D1-9496-4F9D-B2A4-F25E9625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4A4B16"/>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oetnootmarkering">
    <w:name w:val="footnote reference"/>
    <w:basedOn w:val="Standaardalinea-lettertype"/>
    <w:uiPriority w:val="99"/>
    <w:semiHidden/>
    <w:unhideWhenUsed/>
    <w:rsid w:val="004A4B16"/>
    <w:rPr>
      <w:vertAlign w:val="superscript"/>
    </w:rPr>
  </w:style>
  <w:style w:type="character" w:styleId="Verwijzingopmerking">
    <w:name w:val="annotation reference"/>
    <w:basedOn w:val="Standaardalinea-lettertype"/>
    <w:uiPriority w:val="99"/>
    <w:semiHidden/>
    <w:unhideWhenUsed/>
    <w:rsid w:val="004A4B16"/>
    <w:rPr>
      <w:sz w:val="16"/>
      <w:szCs w:val="16"/>
    </w:rPr>
  </w:style>
  <w:style w:type="paragraph" w:styleId="Tekstopmerking">
    <w:name w:val="annotation text"/>
    <w:basedOn w:val="Standaard"/>
    <w:link w:val="TekstopmerkingChar"/>
    <w:uiPriority w:val="99"/>
    <w:unhideWhenUsed/>
    <w:rsid w:val="004A4B16"/>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4A4B16"/>
    <w:rPr>
      <w:rFonts w:asciiTheme="minorHAnsi" w:eastAsiaTheme="minorHAnsi" w:hAnsiTheme="minorHAnsi" w:cstheme="minorBidi"/>
      <w:kern w:val="2"/>
      <w:lang w:val="nl-NL"/>
      <w14:ligatures w14:val="standardContextual"/>
    </w:rPr>
  </w:style>
  <w:style w:type="paragraph" w:styleId="Revisie">
    <w:name w:val="Revision"/>
    <w:hidden/>
    <w:uiPriority w:val="99"/>
    <w:semiHidden/>
    <w:rsid w:val="009E733E"/>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E44940"/>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E44940"/>
    <w:rPr>
      <w:rFonts w:ascii="Verdana" w:eastAsiaTheme="minorHAnsi" w:hAnsi="Verdana" w:cstheme="minorBidi"/>
      <w:b/>
      <w:bCs/>
      <w:kern w:val="2"/>
      <w:lang w:val="nl-NL" w:eastAsia="nl-NL"/>
      <w14:ligatures w14:val="standardContextual"/>
    </w:rPr>
  </w:style>
  <w:style w:type="character" w:styleId="Onopgelostemelding">
    <w:name w:val="Unresolved Mention"/>
    <w:basedOn w:val="Standaardalinea-lettertype"/>
    <w:uiPriority w:val="99"/>
    <w:semiHidden/>
    <w:unhideWhenUsed/>
    <w:rsid w:val="00EE7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928296">
      <w:bodyDiv w:val="1"/>
      <w:marLeft w:val="0"/>
      <w:marRight w:val="0"/>
      <w:marTop w:val="0"/>
      <w:marBottom w:val="0"/>
      <w:divBdr>
        <w:top w:val="none" w:sz="0" w:space="0" w:color="auto"/>
        <w:left w:val="none" w:sz="0" w:space="0" w:color="auto"/>
        <w:bottom w:val="none" w:sz="0" w:space="0" w:color="auto"/>
        <w:right w:val="none" w:sz="0" w:space="0" w:color="auto"/>
      </w:divBdr>
    </w:div>
    <w:div w:id="198084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zoek.officielebekendmakingen.nl/blg-1001940" TargetMode="External"/><Relationship Id="rId1" Type="http://schemas.openxmlformats.org/officeDocument/2006/relationships/hyperlink" Target="https://www.bedrijvenbeleidinbeeld.nl/downloads/publicaties/2020/5/13/beleidsdoorlichting-artikelen-2-en-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532419">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A4515"/>
    <w:rsid w:val="001B5323"/>
    <w:rsid w:val="002369BF"/>
    <w:rsid w:val="002D7A8F"/>
    <w:rsid w:val="00414B72"/>
    <w:rsid w:val="0046299C"/>
    <w:rsid w:val="00510450"/>
    <w:rsid w:val="00532419"/>
    <w:rsid w:val="00561E64"/>
    <w:rsid w:val="006B720F"/>
    <w:rsid w:val="00711BDE"/>
    <w:rsid w:val="00776140"/>
    <w:rsid w:val="00794851"/>
    <w:rsid w:val="0079559A"/>
    <w:rsid w:val="007D0E47"/>
    <w:rsid w:val="007E3837"/>
    <w:rsid w:val="008164C9"/>
    <w:rsid w:val="00820736"/>
    <w:rsid w:val="009C7AD9"/>
    <w:rsid w:val="00A22FC5"/>
    <w:rsid w:val="00B46C70"/>
    <w:rsid w:val="00B5255D"/>
    <w:rsid w:val="00B57A89"/>
    <w:rsid w:val="00B91CCD"/>
    <w:rsid w:val="00BB5D1A"/>
    <w:rsid w:val="00C34336"/>
    <w:rsid w:val="00C83ECB"/>
    <w:rsid w:val="00F708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2705</ap:Words>
  <ap:Characters>14881</ap:Characters>
  <ap:DocSecurity>0</ap:DocSecurity>
  <ap:Lines>124</ap:Lines>
  <ap:Paragraphs>35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vt:lpstr>
      <vt:lpstr>-</vt:lpstr>
    </vt:vector>
  </ap:TitlesOfParts>
  <ap:LinksUpToDate>false</ap:LinksUpToDate>
  <ap:CharactersWithSpaces>17551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2024-09-10T13:36:00.0000000Z</dcterms:created>
  <dcterms:modified xsi:type="dcterms:W3CDTF">2024-09-16T07:53:00.0000000Z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spant</vt:lpwstr>
  </property>
  <property fmtid="{D5CDD505-2E9C-101B-9397-08002B2CF9AE}" pid="3" name="AUTHOR_ID">
    <vt:lpwstr>spant</vt:lpwstr>
  </property>
  <property fmtid="{D5CDD505-2E9C-101B-9397-08002B2CF9AE}" pid="4" name="A_ADRES">
    <vt:lpwstr>De voorzitter van de Tweede Kamer der Staten-Generaal
Postbus 20018
2500 EA DEN HAAG</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Opzet periodieke rapportages Innovatiebeleid en Ondernemerschap 2020-2025</vt:lpwstr>
  </property>
  <property fmtid="{D5CDD505-2E9C-101B-9397-08002B2CF9AE}" pid="9" name="documentId">
    <vt:lpwstr>86650512</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spant</vt:lpwstr>
  </property>
</Properties>
</file>