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D12E0" w:rsidR="003C7F6B" w:rsidP="00E3357E" w:rsidRDefault="003C7F6B" w14:paraId="157615CD" w14:textId="0B17BBE7">
      <w:pPr>
        <w:pStyle w:val="broodtekst"/>
        <w:spacing w:line="276" w:lineRule="auto"/>
        <w:ind w:left="360"/>
      </w:pPr>
    </w:p>
    <w:p w:rsidRPr="00ED12E0" w:rsidR="003C7F6B" w:rsidP="00E3357E" w:rsidRDefault="003C7F6B" w14:paraId="6E2F1DF4" w14:textId="77777777">
      <w:pPr>
        <w:pStyle w:val="broodtekst"/>
        <w:spacing w:line="276" w:lineRule="auto"/>
      </w:pPr>
    </w:p>
    <w:p w:rsidRPr="00ED12E0" w:rsidR="003C7F6B" w:rsidP="00E3357E" w:rsidRDefault="003C7F6B" w14:paraId="209D1A98" w14:textId="77777777">
      <w:pPr>
        <w:pStyle w:val="broodtekst"/>
        <w:spacing w:line="276" w:lineRule="auto"/>
        <w:sectPr w:rsidRPr="00ED12E0" w:rsidR="003C7F6B" w:rsidSect="0078052C">
          <w:headerReference w:type="even" r:id="rId7"/>
          <w:footerReference w:type="even" r:id="rId8"/>
          <w:footerReference w:type="default" r:id="rId9"/>
          <w:headerReference w:type="first" r:id="rId10"/>
          <w:footerReference w:type="first" r:id="rId11"/>
          <w:pgSz w:w="11906" w:h="16838" w:code="9"/>
          <w:pgMar w:top="4683" w:right="2818" w:bottom="1758" w:left="1588" w:header="2398" w:footer="561" w:gutter="0"/>
          <w:cols w:space="720"/>
          <w:titlePg/>
          <w:docGrid w:linePitch="360"/>
        </w:sectPr>
      </w:pPr>
    </w:p>
    <w:p w:rsidRPr="00ED12E0" w:rsidR="008D59D8" w:rsidP="00E3357E" w:rsidRDefault="00832F2C" w14:paraId="461203EC" w14:textId="77777777">
      <w:pPr>
        <w:pStyle w:val="broodtekst"/>
        <w:spacing w:line="276" w:lineRule="auto"/>
        <w:rPr>
          <w:b/>
        </w:rPr>
      </w:pPr>
      <w:bookmarkStart w:name="cursor" w:id="0"/>
      <w:bookmarkEnd w:id="0"/>
      <w:r w:rsidRPr="00ED12E0">
        <w:rPr>
          <w:b/>
        </w:rPr>
        <w:t>Besluit van</w:t>
      </w:r>
    </w:p>
    <w:p w:rsidRPr="00ED12E0" w:rsidR="00832F2C" w:rsidP="00E3357E" w:rsidRDefault="00832F2C" w14:paraId="3C2D523F" w14:textId="284E32EB">
      <w:pPr>
        <w:spacing w:line="276" w:lineRule="auto"/>
        <w:rPr>
          <w:rFonts w:cs="Arial"/>
          <w:b/>
          <w:szCs w:val="18"/>
        </w:rPr>
      </w:pPr>
      <w:proofErr w:type="gramStart"/>
      <w:r w:rsidRPr="00ED12E0">
        <w:rPr>
          <w:b/>
        </w:rPr>
        <w:t>tot</w:t>
      </w:r>
      <w:proofErr w:type="gramEnd"/>
      <w:r w:rsidRPr="00ED12E0">
        <w:rPr>
          <w:b/>
        </w:rPr>
        <w:t xml:space="preserve"> </w:t>
      </w:r>
      <w:r w:rsidRPr="00ED12E0" w:rsidR="009431DE">
        <w:rPr>
          <w:b/>
        </w:rPr>
        <w:t xml:space="preserve">wijziging van </w:t>
      </w:r>
      <w:r w:rsidRPr="00ED12E0" w:rsidR="00ED3118">
        <w:rPr>
          <w:b/>
        </w:rPr>
        <w:t>het Besluit bekostiging financieel toezicht 2019</w:t>
      </w:r>
      <w:r w:rsidRPr="00ED12E0" w:rsidR="007F5CC2">
        <w:rPr>
          <w:b/>
        </w:rPr>
        <w:t xml:space="preserve"> </w:t>
      </w:r>
      <w:r w:rsidRPr="00ED12E0" w:rsidR="00895520">
        <w:rPr>
          <w:rFonts w:cs="Arial"/>
          <w:b/>
          <w:szCs w:val="18"/>
        </w:rPr>
        <w:t>in verband met</w:t>
      </w:r>
      <w:r w:rsidRPr="00ED12E0" w:rsidR="00C709F4">
        <w:rPr>
          <w:rFonts w:cs="Arial"/>
          <w:b/>
          <w:szCs w:val="18"/>
        </w:rPr>
        <w:t xml:space="preserve"> Verordening (EU) 2023/1114 betreffende cryptoactivamarkten</w:t>
      </w:r>
      <w:r w:rsidRPr="00ED12E0" w:rsidR="005464D6">
        <w:rPr>
          <w:rFonts w:cs="Arial"/>
          <w:b/>
          <w:szCs w:val="18"/>
        </w:rPr>
        <w:t xml:space="preserve">, </w:t>
      </w:r>
      <w:r w:rsidRPr="00ED12E0" w:rsidR="00FD771A">
        <w:rPr>
          <w:rFonts w:cs="Arial"/>
          <w:b/>
          <w:szCs w:val="18"/>
        </w:rPr>
        <w:t xml:space="preserve">de </w:t>
      </w:r>
      <w:r w:rsidRPr="00ED12E0" w:rsidR="005464D6">
        <w:rPr>
          <w:rFonts w:cs="Arial"/>
          <w:b/>
          <w:szCs w:val="18"/>
        </w:rPr>
        <w:t xml:space="preserve">herziening van de procentuele kostenverdeling van de Autoriteit Financiële Markten en enkele </w:t>
      </w:r>
      <w:r w:rsidRPr="00ED12E0" w:rsidR="00CB50AE">
        <w:rPr>
          <w:rFonts w:cs="Arial"/>
          <w:b/>
          <w:szCs w:val="18"/>
        </w:rPr>
        <w:t>technische verbeteringen</w:t>
      </w:r>
    </w:p>
    <w:p w:rsidRPr="00ED12E0" w:rsidR="00832F2C" w:rsidP="00E3357E" w:rsidRDefault="00832F2C" w14:paraId="31B908BD" w14:textId="77777777">
      <w:pPr>
        <w:spacing w:line="276" w:lineRule="auto"/>
      </w:pPr>
    </w:p>
    <w:p w:rsidRPr="00ED12E0" w:rsidR="00832F2C" w:rsidP="00E3357E" w:rsidRDefault="00832F2C" w14:paraId="229109F0" w14:textId="77777777">
      <w:pPr>
        <w:spacing w:line="276" w:lineRule="auto"/>
      </w:pPr>
    </w:p>
    <w:p w:rsidRPr="00ED12E0" w:rsidR="00832F2C" w:rsidP="00E3357E" w:rsidRDefault="00832F2C" w14:paraId="3136F668" w14:textId="77777777">
      <w:pPr>
        <w:spacing w:line="276" w:lineRule="auto"/>
      </w:pPr>
    </w:p>
    <w:p w:rsidRPr="00ED12E0" w:rsidR="00EA2B4D" w:rsidP="00E3357E" w:rsidRDefault="00EA2B4D" w14:paraId="2497D2CB" w14:textId="3891EE3E">
      <w:pPr>
        <w:spacing w:line="276" w:lineRule="auto"/>
      </w:pPr>
      <w:r w:rsidRPr="00ED12E0">
        <w:t xml:space="preserve">Op de voordracht van Onze Minister van Financiën van [• </w:t>
      </w:r>
      <w:r w:rsidRPr="00ED12E0" w:rsidR="006D4F44">
        <w:t>datum</w:t>
      </w:r>
      <w:r w:rsidRPr="00ED12E0">
        <w:t>], [• kenmerk], directie Financiële Markten;</w:t>
      </w:r>
    </w:p>
    <w:p w:rsidRPr="00ED12E0" w:rsidR="00EA2B4D" w:rsidP="00E3357E" w:rsidRDefault="00EA2B4D" w14:paraId="6F7E7582" w14:textId="378EEDB5">
      <w:pPr>
        <w:spacing w:line="276" w:lineRule="auto"/>
        <w:rPr>
          <w:rFonts w:ascii="Times New Roman" w:hAnsi="Times New Roman"/>
          <w:sz w:val="24"/>
        </w:rPr>
      </w:pPr>
      <w:r w:rsidRPr="00ED12E0">
        <w:t xml:space="preserve">Gelet op artikel </w:t>
      </w:r>
      <w:r w:rsidRPr="00ED12E0" w:rsidR="00DE47AC">
        <w:t>15, derde en vierde lid, van de Wet bekostiging financieel toezicht 2019;</w:t>
      </w:r>
    </w:p>
    <w:p w:rsidRPr="00ED12E0" w:rsidR="00EA2B4D" w:rsidP="00E3357E" w:rsidRDefault="00EA2B4D" w14:paraId="616EEC2B" w14:textId="77777777">
      <w:pPr>
        <w:spacing w:line="276" w:lineRule="auto"/>
      </w:pPr>
      <w:r w:rsidRPr="00ED12E0">
        <w:t>De Afdeling advisering van de Raad van State gehoord (advies van [•…], nr. [•…]);</w:t>
      </w:r>
    </w:p>
    <w:p w:rsidRPr="00ED12E0" w:rsidR="00EA2B4D" w:rsidP="00E3357E" w:rsidRDefault="00EA2B4D" w14:paraId="776715D8" w14:textId="7D2C4422">
      <w:pPr>
        <w:spacing w:line="276" w:lineRule="auto"/>
      </w:pPr>
      <w:r w:rsidRPr="00ED12E0">
        <w:t xml:space="preserve">Gezien het nader rapport van Onze Minister van Financiën van [• </w:t>
      </w:r>
      <w:r w:rsidRPr="00ED12E0" w:rsidR="006D4F44">
        <w:t>datum</w:t>
      </w:r>
      <w:r w:rsidRPr="00ED12E0">
        <w:t>], [• kenmerk], directie Financiële Markten;</w:t>
      </w:r>
    </w:p>
    <w:p w:rsidRPr="00ED12E0" w:rsidR="00832F2C" w:rsidP="00E3357E" w:rsidRDefault="00832F2C" w14:paraId="48BDF2B5" w14:textId="77777777">
      <w:pPr>
        <w:spacing w:line="276" w:lineRule="auto"/>
      </w:pPr>
    </w:p>
    <w:p w:rsidRPr="00ED12E0" w:rsidR="00832F2C" w:rsidP="00E3357E" w:rsidRDefault="00832F2C" w14:paraId="3A14F1AE" w14:textId="77777777">
      <w:pPr>
        <w:pStyle w:val="Plattetekstinspringen"/>
        <w:spacing w:line="276" w:lineRule="auto"/>
        <w:ind w:firstLine="0"/>
        <w:rPr>
          <w:rFonts w:ascii="Verdana" w:hAnsi="Verdana"/>
          <w:spacing w:val="4"/>
          <w:sz w:val="18"/>
          <w:szCs w:val="18"/>
        </w:rPr>
      </w:pPr>
      <w:r w:rsidRPr="00ED12E0">
        <w:rPr>
          <w:rFonts w:ascii="Verdana" w:hAnsi="Verdana"/>
          <w:spacing w:val="4"/>
          <w:sz w:val="18"/>
          <w:szCs w:val="18"/>
        </w:rPr>
        <w:t>Hebben goedgevonden en verstaan:</w:t>
      </w:r>
    </w:p>
    <w:p w:rsidRPr="00ED12E0" w:rsidR="00832F2C" w:rsidP="00E3357E" w:rsidRDefault="00832F2C" w14:paraId="50887794" w14:textId="77777777">
      <w:pPr>
        <w:spacing w:line="276" w:lineRule="auto"/>
      </w:pPr>
    </w:p>
    <w:p w:rsidRPr="00ED12E0" w:rsidR="00832F2C" w:rsidP="00E3357E" w:rsidRDefault="00832F2C" w14:paraId="1E603AAA" w14:textId="77777777">
      <w:pPr>
        <w:spacing w:line="276" w:lineRule="auto"/>
      </w:pPr>
    </w:p>
    <w:p w:rsidRPr="00ED12E0" w:rsidR="00EA2B4D" w:rsidP="00E3357E" w:rsidRDefault="00EA2B4D" w14:paraId="6CB753B0" w14:textId="77777777">
      <w:pPr>
        <w:widowControl w:val="0"/>
        <w:spacing w:line="276" w:lineRule="auto"/>
        <w:rPr>
          <w:b/>
          <w:szCs w:val="18"/>
        </w:rPr>
      </w:pPr>
      <w:bookmarkStart w:name="_Hlk157086710" w:id="1"/>
      <w:bookmarkStart w:name="_Hlk155797947" w:id="2"/>
      <w:r w:rsidRPr="00ED12E0">
        <w:rPr>
          <w:b/>
          <w:szCs w:val="18"/>
        </w:rPr>
        <w:t>ARTIKEL I</w:t>
      </w:r>
    </w:p>
    <w:p w:rsidRPr="00ED12E0" w:rsidR="00832F2C" w:rsidP="00E3357E" w:rsidRDefault="00832F2C" w14:paraId="50126F29" w14:textId="77777777">
      <w:pPr>
        <w:spacing w:line="276" w:lineRule="auto"/>
      </w:pPr>
    </w:p>
    <w:p w:rsidRPr="00ED12E0" w:rsidR="00772050" w:rsidP="00E3357E" w:rsidRDefault="00772050" w14:paraId="6E3F6B35" w14:textId="74BB7097">
      <w:pPr>
        <w:widowControl w:val="0"/>
        <w:spacing w:line="276" w:lineRule="auto"/>
        <w:rPr>
          <w:szCs w:val="18"/>
        </w:rPr>
      </w:pPr>
      <w:bookmarkStart w:name="_Hlk155357993" w:id="3"/>
      <w:r w:rsidRPr="00ED12E0">
        <w:rPr>
          <w:szCs w:val="18"/>
        </w:rPr>
        <w:t xml:space="preserve">Het </w:t>
      </w:r>
      <w:r w:rsidRPr="00ED12E0">
        <w:rPr>
          <w:b/>
          <w:szCs w:val="18"/>
        </w:rPr>
        <w:t xml:space="preserve">Besluit </w:t>
      </w:r>
      <w:r w:rsidRPr="00ED12E0" w:rsidR="00ED3118">
        <w:rPr>
          <w:b/>
          <w:szCs w:val="18"/>
        </w:rPr>
        <w:t>bekostiging financieel toezicht 2019</w:t>
      </w:r>
      <w:r w:rsidRPr="00ED12E0">
        <w:rPr>
          <w:szCs w:val="18"/>
        </w:rPr>
        <w:t xml:space="preserve"> wordt gewijzigd als volgt:</w:t>
      </w:r>
    </w:p>
    <w:p w:rsidRPr="00ED12E0" w:rsidR="005464D6" w:rsidP="00E3357E" w:rsidRDefault="005464D6" w14:paraId="0B3BEA63" w14:textId="1FC60048">
      <w:pPr>
        <w:widowControl w:val="0"/>
        <w:spacing w:line="276" w:lineRule="auto"/>
        <w:rPr>
          <w:szCs w:val="18"/>
        </w:rPr>
      </w:pPr>
    </w:p>
    <w:p w:rsidRPr="00ED12E0" w:rsidR="00A16C6A" w:rsidP="00E3357E" w:rsidRDefault="001C0B05" w14:paraId="4291040C" w14:textId="6E5D5C8F">
      <w:pPr>
        <w:spacing w:line="276" w:lineRule="auto"/>
        <w:rPr>
          <w:bCs/>
        </w:rPr>
      </w:pPr>
      <w:r w:rsidRPr="00ED12E0">
        <w:rPr>
          <w:bCs/>
        </w:rPr>
        <w:t>A</w:t>
      </w:r>
    </w:p>
    <w:p w:rsidRPr="00ED12E0" w:rsidR="00A16C6A" w:rsidP="00E3357E" w:rsidRDefault="00A16C6A" w14:paraId="52CEA1CF" w14:textId="77777777">
      <w:pPr>
        <w:spacing w:line="276" w:lineRule="auto"/>
        <w:rPr>
          <w:bCs/>
        </w:rPr>
      </w:pPr>
    </w:p>
    <w:p w:rsidRPr="00ED12E0" w:rsidR="00A16C6A" w:rsidP="00E3357E" w:rsidRDefault="00A16C6A" w14:paraId="71EFAC13" w14:textId="77777777">
      <w:pPr>
        <w:spacing w:line="276" w:lineRule="auto"/>
        <w:rPr>
          <w:rFonts w:eastAsia="Calibri"/>
          <w:bCs/>
          <w:szCs w:val="22"/>
          <w:lang w:eastAsia="en-US"/>
        </w:rPr>
      </w:pPr>
      <w:r w:rsidRPr="00ED12E0">
        <w:rPr>
          <w:rFonts w:eastAsia="Calibri"/>
          <w:bCs/>
          <w:szCs w:val="22"/>
          <w:lang w:eastAsia="en-US"/>
        </w:rPr>
        <w:t>Aan hoofdstuk 3 wordt een artikel toegevoegd, luidende:</w:t>
      </w:r>
    </w:p>
    <w:p w:rsidRPr="00ED12E0" w:rsidR="00F06AAA" w:rsidP="00E3357E" w:rsidRDefault="00F06AAA" w14:paraId="25348531" w14:textId="77777777">
      <w:pPr>
        <w:spacing w:line="276" w:lineRule="auto"/>
        <w:rPr>
          <w:rFonts w:eastAsia="Calibri"/>
          <w:b/>
          <w:bCs/>
          <w:szCs w:val="22"/>
          <w:lang w:eastAsia="en-US"/>
        </w:rPr>
      </w:pPr>
    </w:p>
    <w:p w:rsidRPr="00ED12E0" w:rsidR="00A16C6A" w:rsidP="00E3357E" w:rsidRDefault="00A16C6A" w14:paraId="12A95BC7" w14:textId="3580B1DF">
      <w:pPr>
        <w:spacing w:line="276" w:lineRule="auto"/>
        <w:rPr>
          <w:rFonts w:eastAsia="Calibri"/>
          <w:b/>
          <w:bCs/>
          <w:szCs w:val="22"/>
          <w:lang w:eastAsia="en-US"/>
        </w:rPr>
      </w:pPr>
      <w:r w:rsidRPr="00ED12E0">
        <w:rPr>
          <w:rFonts w:eastAsia="Calibri"/>
          <w:b/>
          <w:bCs/>
          <w:szCs w:val="22"/>
          <w:lang w:eastAsia="en-US"/>
        </w:rPr>
        <w:t>Artikel 12a. Geconsolideerde situatie</w:t>
      </w:r>
    </w:p>
    <w:p w:rsidRPr="00ED12E0" w:rsidR="00F06AAA" w:rsidP="00E3357E" w:rsidRDefault="00F06AAA" w14:paraId="69E94248" w14:textId="77777777">
      <w:pPr>
        <w:spacing w:line="276" w:lineRule="auto"/>
        <w:rPr>
          <w:rFonts w:eastAsia="Calibri"/>
          <w:bCs/>
          <w:szCs w:val="22"/>
          <w:lang w:eastAsia="en-US"/>
        </w:rPr>
      </w:pPr>
    </w:p>
    <w:p w:rsidRPr="00ED12E0" w:rsidR="00A16C6A" w:rsidP="002D2C26" w:rsidRDefault="004E371E" w14:paraId="063292F9" w14:textId="0EB4DA4E">
      <w:pPr>
        <w:widowControl w:val="0"/>
        <w:spacing w:line="276" w:lineRule="auto"/>
        <w:rPr>
          <w:rFonts w:eastAsia="Calibri"/>
          <w:bCs/>
          <w:szCs w:val="22"/>
          <w:lang w:eastAsia="en-US"/>
        </w:rPr>
      </w:pPr>
      <w:r w:rsidRPr="00ED12E0">
        <w:rPr>
          <w:rFonts w:eastAsia="Calibri"/>
          <w:bCs/>
          <w:szCs w:val="22"/>
          <w:lang w:eastAsia="en-US"/>
        </w:rPr>
        <w:t>Voor</w:t>
      </w:r>
      <w:r w:rsidRPr="00ED12E0" w:rsidR="00A16C6A">
        <w:rPr>
          <w:rFonts w:eastAsia="Calibri"/>
          <w:bCs/>
          <w:szCs w:val="22"/>
          <w:lang w:eastAsia="en-US"/>
        </w:rPr>
        <w:t xml:space="preserve"> personen in de categorieën “Banken en clearinginstellingen”, “Banken en kredietunies”, “Depositogarantiestelsel: banken” en “Resolutie: Banken en beleggingsondernemingen” stelt de toezichthouder de maatstaf in voorkomend geval vast op basis van de geconsolideerde situatie</w:t>
      </w:r>
      <w:r w:rsidRPr="00ED12E0" w:rsidR="00F22141">
        <w:rPr>
          <w:rFonts w:eastAsia="Calibri"/>
          <w:bCs/>
          <w:szCs w:val="22"/>
          <w:lang w:eastAsia="en-US"/>
        </w:rPr>
        <w:t>,</w:t>
      </w:r>
      <w:r w:rsidRPr="00ED12E0" w:rsidR="00A16C6A">
        <w:rPr>
          <w:rFonts w:eastAsia="Calibri"/>
          <w:bCs/>
          <w:szCs w:val="22"/>
          <w:lang w:eastAsia="en-US"/>
        </w:rPr>
        <w:t xml:space="preserve"> bedoeld in </w:t>
      </w:r>
      <w:r w:rsidRPr="00ED12E0" w:rsidR="001C0B05">
        <w:rPr>
          <w:rFonts w:eastAsia="Calibri"/>
          <w:bCs/>
          <w:szCs w:val="22"/>
          <w:lang w:eastAsia="en-US"/>
        </w:rPr>
        <w:t>Verordening (EU) nr. 575/2013 (CRR)</w:t>
      </w:r>
      <w:r w:rsidRPr="00ED12E0" w:rsidR="00A16C6A">
        <w:rPr>
          <w:rFonts w:eastAsia="Calibri"/>
          <w:bCs/>
          <w:szCs w:val="22"/>
          <w:lang w:eastAsia="en-US"/>
        </w:rPr>
        <w:t>.</w:t>
      </w:r>
    </w:p>
    <w:p w:rsidRPr="00ED12E0" w:rsidR="007E76B5" w:rsidP="002D2C26" w:rsidRDefault="007E76B5" w14:paraId="65F17E46" w14:textId="77777777">
      <w:pPr>
        <w:widowControl w:val="0"/>
        <w:spacing w:line="276" w:lineRule="auto"/>
        <w:rPr>
          <w:rFonts w:eastAsia="Calibri"/>
          <w:bCs/>
          <w:szCs w:val="22"/>
          <w:lang w:eastAsia="en-US"/>
        </w:rPr>
      </w:pPr>
    </w:p>
    <w:p w:rsidRPr="00ED12E0" w:rsidR="007E76B5" w:rsidP="002D2C26" w:rsidRDefault="007E76B5" w14:paraId="71B8EA7A" w14:textId="47493C1A">
      <w:pPr>
        <w:widowControl w:val="0"/>
        <w:spacing w:line="276" w:lineRule="auto"/>
        <w:rPr>
          <w:rFonts w:eastAsia="Calibri"/>
          <w:bCs/>
          <w:szCs w:val="22"/>
          <w:lang w:eastAsia="en-US"/>
        </w:rPr>
      </w:pPr>
      <w:r w:rsidRPr="00ED12E0">
        <w:rPr>
          <w:rFonts w:eastAsia="Calibri"/>
          <w:bCs/>
          <w:szCs w:val="22"/>
          <w:lang w:eastAsia="en-US"/>
        </w:rPr>
        <w:t>B</w:t>
      </w:r>
    </w:p>
    <w:p w:rsidRPr="00ED12E0" w:rsidR="007E76B5" w:rsidP="002D2C26" w:rsidRDefault="007E76B5" w14:paraId="6DA63F99" w14:textId="056C0371">
      <w:pPr>
        <w:widowControl w:val="0"/>
        <w:spacing w:line="276" w:lineRule="auto"/>
        <w:rPr>
          <w:rFonts w:eastAsia="Calibri"/>
          <w:bCs/>
          <w:szCs w:val="22"/>
          <w:lang w:eastAsia="en-US"/>
        </w:rPr>
      </w:pPr>
    </w:p>
    <w:p w:rsidRPr="00ED12E0" w:rsidR="007E76B5" w:rsidP="002D2C26" w:rsidRDefault="007E76B5" w14:paraId="151A878A" w14:textId="4D9DC02A">
      <w:pPr>
        <w:widowControl w:val="0"/>
        <w:spacing w:line="276" w:lineRule="auto"/>
        <w:rPr>
          <w:rFonts w:eastAsia="Calibri"/>
          <w:bCs/>
          <w:szCs w:val="22"/>
          <w:lang w:eastAsia="en-US"/>
        </w:rPr>
      </w:pPr>
      <w:r w:rsidRPr="00ED12E0">
        <w:rPr>
          <w:rFonts w:eastAsia="Calibri"/>
          <w:bCs/>
          <w:szCs w:val="22"/>
          <w:lang w:eastAsia="en-US"/>
        </w:rPr>
        <w:t>Na artikel 13 wordt een artikel ingevoegd, luidende:</w:t>
      </w:r>
    </w:p>
    <w:p w:rsidRPr="00ED12E0" w:rsidR="007E76B5" w:rsidP="002D2C26" w:rsidRDefault="007E76B5" w14:paraId="2001B922" w14:textId="77777777">
      <w:pPr>
        <w:widowControl w:val="0"/>
        <w:spacing w:line="276" w:lineRule="auto"/>
        <w:rPr>
          <w:rFonts w:eastAsia="Calibri"/>
          <w:bCs/>
          <w:szCs w:val="22"/>
          <w:lang w:eastAsia="en-US"/>
        </w:rPr>
      </w:pPr>
    </w:p>
    <w:p w:rsidRPr="00ED12E0" w:rsidR="007E76B5" w:rsidP="00855A17" w:rsidRDefault="007E76B5" w14:paraId="6BFC5F7D" w14:textId="3BEE5B1F">
      <w:pPr>
        <w:keepNext/>
        <w:widowControl w:val="0"/>
        <w:spacing w:line="276" w:lineRule="auto"/>
        <w:rPr>
          <w:rFonts w:eastAsia="Calibri"/>
          <w:bCs/>
          <w:szCs w:val="22"/>
          <w:lang w:eastAsia="en-US"/>
        </w:rPr>
      </w:pPr>
      <w:r w:rsidRPr="00ED12E0">
        <w:rPr>
          <w:rFonts w:eastAsia="Calibri"/>
          <w:b/>
          <w:szCs w:val="22"/>
          <w:lang w:eastAsia="en-US"/>
        </w:rPr>
        <w:lastRenderedPageBreak/>
        <w:t xml:space="preserve">Artikel 13a. Overgangsbepaling </w:t>
      </w:r>
      <w:r w:rsidRPr="00ED12E0" w:rsidR="00287F8C">
        <w:rPr>
          <w:rFonts w:eastAsia="Calibri"/>
          <w:b/>
          <w:szCs w:val="22"/>
          <w:lang w:eastAsia="en-US"/>
        </w:rPr>
        <w:t>verrekening</w:t>
      </w:r>
      <w:r w:rsidRPr="00ED12E0">
        <w:rPr>
          <w:rFonts w:eastAsia="Calibri"/>
          <w:b/>
          <w:szCs w:val="22"/>
          <w:lang w:eastAsia="en-US"/>
        </w:rPr>
        <w:t xml:space="preserve"> virtuele valuta</w:t>
      </w:r>
      <w:r w:rsidRPr="00ED12E0" w:rsidR="00287F8C">
        <w:rPr>
          <w:rFonts w:eastAsia="Calibri"/>
          <w:b/>
          <w:szCs w:val="22"/>
          <w:lang w:eastAsia="en-US"/>
        </w:rPr>
        <w:t xml:space="preserve"> 2024</w:t>
      </w:r>
    </w:p>
    <w:p w:rsidRPr="00ED12E0" w:rsidR="00B33AC2" w:rsidP="00111B44" w:rsidRDefault="00B33AC2" w14:paraId="3EFE1DD9" w14:textId="77777777">
      <w:pPr>
        <w:rPr>
          <w:rFonts w:eastAsia="Calibri"/>
          <w:bCs/>
          <w:szCs w:val="22"/>
          <w:lang w:eastAsia="en-US"/>
        </w:rPr>
      </w:pPr>
    </w:p>
    <w:p w:rsidRPr="00ED12E0" w:rsidR="007E76B5" w:rsidP="00111B44" w:rsidRDefault="007E76B5" w14:paraId="205D13C2" w14:textId="1CCB8341">
      <w:pPr>
        <w:rPr>
          <w:rFonts w:eastAsia="Calibri"/>
          <w:bCs/>
          <w:szCs w:val="22"/>
          <w:lang w:eastAsia="en-US"/>
        </w:rPr>
      </w:pPr>
      <w:r w:rsidRPr="00ED12E0">
        <w:rPr>
          <w:rFonts w:eastAsia="Calibri"/>
          <w:bCs/>
          <w:szCs w:val="22"/>
          <w:lang w:eastAsia="en-US"/>
        </w:rPr>
        <w:t xml:space="preserve">1. In afwijking van artikel 6, tweede lid, verrekent de Nederlandsche Bank het verschil van de toezichtcategorie “Aanbieders van diensten met betrekking tot virtuele valuta” over 2024 </w:t>
      </w:r>
      <w:r w:rsidRPr="00ED12E0" w:rsidR="00287F8C">
        <w:rPr>
          <w:rFonts w:eastAsia="Calibri"/>
          <w:bCs/>
          <w:szCs w:val="22"/>
          <w:lang w:eastAsia="en-US"/>
        </w:rPr>
        <w:t xml:space="preserve">verhoudingsgewijs </w:t>
      </w:r>
      <w:r w:rsidRPr="00ED12E0">
        <w:rPr>
          <w:rFonts w:eastAsia="Calibri"/>
          <w:bCs/>
          <w:szCs w:val="22"/>
          <w:lang w:eastAsia="en-US"/>
        </w:rPr>
        <w:t>met de begrote kosten voor alle toezichtcategorieën in 2025</w:t>
      </w:r>
      <w:r w:rsidRPr="00ED12E0" w:rsidR="00F23A7A">
        <w:rPr>
          <w:rFonts w:eastAsia="Calibri"/>
          <w:bCs/>
          <w:szCs w:val="22"/>
          <w:lang w:eastAsia="en-US"/>
        </w:rPr>
        <w:t>.</w:t>
      </w:r>
    </w:p>
    <w:p w:rsidRPr="00ED12E0" w:rsidR="007E76B5" w:rsidP="002D2C26" w:rsidRDefault="007E76B5" w14:paraId="15C5D15E" w14:textId="55F945A8">
      <w:pPr>
        <w:widowControl w:val="0"/>
        <w:spacing w:line="276" w:lineRule="auto"/>
        <w:rPr>
          <w:rFonts w:eastAsia="Calibri"/>
          <w:bCs/>
          <w:szCs w:val="22"/>
          <w:lang w:eastAsia="en-US"/>
        </w:rPr>
      </w:pPr>
      <w:r w:rsidRPr="00ED12E0">
        <w:rPr>
          <w:rFonts w:eastAsia="Calibri"/>
          <w:bCs/>
          <w:szCs w:val="22"/>
          <w:lang w:eastAsia="en-US"/>
        </w:rPr>
        <w:t xml:space="preserve">2. </w:t>
      </w:r>
      <w:r w:rsidRPr="00ED12E0" w:rsidR="00F23A7A">
        <w:rPr>
          <w:rFonts w:eastAsia="Calibri"/>
          <w:bCs/>
          <w:szCs w:val="22"/>
          <w:lang w:eastAsia="en-US"/>
        </w:rPr>
        <w:t>In afwijking van artikel 6, derde lid,</w:t>
      </w:r>
      <w:r w:rsidRPr="00ED12E0" w:rsidR="00287F8C">
        <w:rPr>
          <w:rFonts w:eastAsia="Calibri"/>
          <w:bCs/>
          <w:szCs w:val="22"/>
          <w:lang w:eastAsia="en-US"/>
        </w:rPr>
        <w:t xml:space="preserve"> laat de Nederlandsche Bank</w:t>
      </w:r>
      <w:r w:rsidRPr="00ED12E0" w:rsidR="00F23A7A">
        <w:rPr>
          <w:rFonts w:eastAsia="Calibri"/>
          <w:bCs/>
          <w:szCs w:val="22"/>
          <w:lang w:eastAsia="en-US"/>
        </w:rPr>
        <w:t xml:space="preserve"> bij de berekening </w:t>
      </w:r>
      <w:r w:rsidRPr="00ED12E0" w:rsidR="008718C0">
        <w:rPr>
          <w:rFonts w:eastAsia="Calibri"/>
          <w:bCs/>
          <w:szCs w:val="22"/>
          <w:lang w:eastAsia="en-US"/>
        </w:rPr>
        <w:t>van de verhouding</w:t>
      </w:r>
      <w:r w:rsidRPr="00ED12E0" w:rsidR="001F59BA">
        <w:rPr>
          <w:rFonts w:eastAsia="Calibri"/>
          <w:bCs/>
          <w:szCs w:val="22"/>
          <w:lang w:eastAsia="en-US"/>
        </w:rPr>
        <w:t xml:space="preserve"> </w:t>
      </w:r>
      <w:r w:rsidRPr="00ED12E0" w:rsidR="008718C0">
        <w:rPr>
          <w:rFonts w:eastAsia="Calibri"/>
          <w:bCs/>
          <w:szCs w:val="22"/>
          <w:lang w:eastAsia="en-US"/>
        </w:rPr>
        <w:t xml:space="preserve">over het jaar </w:t>
      </w:r>
      <w:r w:rsidRPr="00ED12E0" w:rsidR="001F59BA">
        <w:rPr>
          <w:rFonts w:eastAsia="Calibri"/>
          <w:bCs/>
          <w:szCs w:val="22"/>
          <w:lang w:eastAsia="en-US"/>
        </w:rPr>
        <w:t>2024</w:t>
      </w:r>
      <w:r w:rsidRPr="00ED12E0" w:rsidR="00F23A7A">
        <w:rPr>
          <w:rFonts w:eastAsia="Calibri"/>
          <w:bCs/>
          <w:szCs w:val="22"/>
          <w:lang w:eastAsia="en-US"/>
        </w:rPr>
        <w:t xml:space="preserve">, </w:t>
      </w:r>
      <w:r w:rsidRPr="00ED12E0" w:rsidR="00287F8C">
        <w:rPr>
          <w:rFonts w:eastAsia="Calibri"/>
          <w:bCs/>
          <w:szCs w:val="22"/>
          <w:lang w:eastAsia="en-US"/>
        </w:rPr>
        <w:t>de toezichtcategorie “Aanbieders van diensten met betrekking tot virtuele valuta” buiten beschouwing.</w:t>
      </w:r>
    </w:p>
    <w:bookmarkEnd w:id="1"/>
    <w:p w:rsidRPr="00ED12E0" w:rsidR="00FB5496" w:rsidP="00E3357E" w:rsidRDefault="00FB5496" w14:paraId="6D31A124" w14:textId="77777777">
      <w:pPr>
        <w:widowControl w:val="0"/>
        <w:spacing w:line="276" w:lineRule="auto"/>
        <w:rPr>
          <w:szCs w:val="18"/>
        </w:rPr>
      </w:pPr>
    </w:p>
    <w:bookmarkEnd w:id="2"/>
    <w:p w:rsidRPr="00ED12E0" w:rsidR="00772050" w:rsidP="00E3357E" w:rsidRDefault="00287F8C" w14:paraId="2DE7A6DC" w14:textId="2D73B927">
      <w:pPr>
        <w:widowControl w:val="0"/>
        <w:spacing w:line="276" w:lineRule="auto"/>
        <w:rPr>
          <w:szCs w:val="18"/>
        </w:rPr>
      </w:pPr>
      <w:r w:rsidRPr="00ED12E0">
        <w:rPr>
          <w:szCs w:val="18"/>
        </w:rPr>
        <w:t>C</w:t>
      </w:r>
    </w:p>
    <w:p w:rsidRPr="00ED12E0" w:rsidR="00B35BD3" w:rsidP="00E3357E" w:rsidRDefault="00B35BD3" w14:paraId="0F6A2A86" w14:textId="76EE0E59">
      <w:pPr>
        <w:widowControl w:val="0"/>
        <w:spacing w:line="276" w:lineRule="auto"/>
        <w:rPr>
          <w:szCs w:val="18"/>
        </w:rPr>
      </w:pPr>
    </w:p>
    <w:p w:rsidRPr="00ED12E0" w:rsidR="00B35BD3" w:rsidP="00E3357E" w:rsidRDefault="00B35BD3" w14:paraId="1B914730" w14:textId="75D4E37B">
      <w:pPr>
        <w:widowControl w:val="0"/>
        <w:spacing w:line="276" w:lineRule="auto"/>
        <w:rPr>
          <w:szCs w:val="18"/>
        </w:rPr>
      </w:pPr>
      <w:r w:rsidRPr="00ED12E0">
        <w:rPr>
          <w:szCs w:val="18"/>
        </w:rPr>
        <w:t>Bijlage 1, onderdeel A, komt te luiden:</w:t>
      </w:r>
    </w:p>
    <w:p w:rsidRPr="00ED12E0" w:rsidR="00B35BD3" w:rsidP="00E3357E" w:rsidRDefault="00B35BD3" w14:paraId="2A70BFEF" w14:textId="77777777">
      <w:pPr>
        <w:widowControl w:val="0"/>
        <w:spacing w:line="276" w:lineRule="auto"/>
        <w:rPr>
          <w:b/>
          <w:bCs/>
          <w:szCs w:val="18"/>
        </w:rPr>
      </w:pPr>
    </w:p>
    <w:p w:rsidRPr="00ED12E0" w:rsidR="00B35BD3" w:rsidP="008A0127" w:rsidRDefault="00B35BD3" w14:paraId="276376A6" w14:textId="7333EF50">
      <w:pPr>
        <w:keepNext/>
        <w:widowControl w:val="0"/>
        <w:spacing w:line="276" w:lineRule="auto"/>
        <w:rPr>
          <w:b/>
          <w:bCs/>
          <w:szCs w:val="18"/>
        </w:rPr>
      </w:pPr>
      <w:r w:rsidRPr="00ED12E0">
        <w:rPr>
          <w:b/>
          <w:bCs/>
          <w:szCs w:val="18"/>
        </w:rPr>
        <w:t>A. Toezichtcategorieën en procentuele verdeling</w:t>
      </w:r>
    </w:p>
    <w:p w:rsidRPr="00ED12E0" w:rsidR="002D2C26" w:rsidP="008A0127" w:rsidRDefault="002D2C26" w14:paraId="6356E876" w14:textId="77777777">
      <w:pPr>
        <w:keepNext/>
        <w:widowControl w:val="0"/>
        <w:spacing w:line="276" w:lineRule="auto"/>
        <w:rPr>
          <w:b/>
          <w:bCs/>
          <w:szCs w:val="18"/>
        </w:rPr>
      </w:pPr>
    </w:p>
    <w:tbl>
      <w:tblPr>
        <w:tblStyle w:val="Tabelraster"/>
        <w:tblW w:w="0" w:type="auto"/>
        <w:tblCellMar>
          <w:top w:w="57" w:type="dxa"/>
          <w:bottom w:w="57" w:type="dxa"/>
        </w:tblCellMar>
        <w:tblLook w:val="04A0" w:firstRow="1" w:lastRow="0" w:firstColumn="1" w:lastColumn="0" w:noHBand="0" w:noVBand="1"/>
        <w:tblDescription w:val="tabel"/>
      </w:tblPr>
      <w:tblGrid>
        <w:gridCol w:w="6658"/>
        <w:gridCol w:w="1439"/>
      </w:tblGrid>
      <w:tr w:rsidRPr="00ED12E0" w:rsidR="00ED12E0" w:rsidTr="00A914B6" w14:paraId="388B2ABA" w14:textId="77777777">
        <w:tc>
          <w:tcPr>
            <w:tcW w:w="6658" w:type="dxa"/>
            <w:hideMark/>
          </w:tcPr>
          <w:p w:rsidRPr="00ED12E0" w:rsidR="001653D9" w:rsidP="008A0127" w:rsidRDefault="001653D9" w14:paraId="3B8852C0" w14:textId="77777777">
            <w:pPr>
              <w:keepNext/>
              <w:spacing w:line="276" w:lineRule="auto"/>
              <w:rPr>
                <w:b/>
                <w:bCs/>
                <w:sz w:val="16"/>
                <w:szCs w:val="16"/>
              </w:rPr>
            </w:pPr>
            <w:r w:rsidRPr="00ED12E0">
              <w:rPr>
                <w:b/>
                <w:bCs/>
                <w:sz w:val="16"/>
                <w:szCs w:val="16"/>
              </w:rPr>
              <w:t>Toezichtcategorie</w:t>
            </w:r>
          </w:p>
        </w:tc>
        <w:tc>
          <w:tcPr>
            <w:tcW w:w="1439" w:type="dxa"/>
            <w:hideMark/>
          </w:tcPr>
          <w:p w:rsidRPr="00ED12E0" w:rsidR="001653D9" w:rsidP="008A0127" w:rsidRDefault="005F3339" w14:paraId="77DB7101" w14:textId="7C67B32F">
            <w:pPr>
              <w:keepNext/>
              <w:spacing w:line="276" w:lineRule="auto"/>
              <w:rPr>
                <w:b/>
                <w:bCs/>
                <w:sz w:val="16"/>
                <w:szCs w:val="16"/>
              </w:rPr>
            </w:pPr>
            <w:r w:rsidRPr="00ED12E0">
              <w:rPr>
                <w:b/>
                <w:bCs/>
                <w:sz w:val="16"/>
                <w:szCs w:val="16"/>
              </w:rPr>
              <w:t>Procentueel aandeel</w:t>
            </w:r>
          </w:p>
        </w:tc>
      </w:tr>
      <w:tr w:rsidRPr="00ED12E0" w:rsidR="00ED12E0" w:rsidTr="00A914B6" w14:paraId="66CAF765" w14:textId="77777777">
        <w:tc>
          <w:tcPr>
            <w:tcW w:w="6658" w:type="dxa"/>
            <w:hideMark/>
          </w:tcPr>
          <w:p w:rsidRPr="00ED12E0" w:rsidR="001653D9" w:rsidP="008A0127" w:rsidRDefault="001653D9" w14:paraId="4DF2E2AF" w14:textId="4BEDE70F">
            <w:pPr>
              <w:keepNext/>
              <w:spacing w:line="276" w:lineRule="auto"/>
              <w:rPr>
                <w:sz w:val="16"/>
                <w:szCs w:val="16"/>
              </w:rPr>
            </w:pPr>
            <w:r w:rsidRPr="00ED12E0">
              <w:rPr>
                <w:sz w:val="16"/>
                <w:szCs w:val="16"/>
              </w:rPr>
              <w:t>1. Aanbieders van krediet</w:t>
            </w:r>
          </w:p>
        </w:tc>
        <w:tc>
          <w:tcPr>
            <w:tcW w:w="1439" w:type="dxa"/>
          </w:tcPr>
          <w:p w:rsidRPr="00ED12E0" w:rsidR="001653D9" w:rsidP="002832A3" w:rsidRDefault="002832A3" w14:paraId="79EF277E" w14:textId="76A44294">
            <w:pPr>
              <w:keepNext/>
              <w:spacing w:line="276" w:lineRule="auto"/>
              <w:jc w:val="right"/>
              <w:rPr>
                <w:sz w:val="16"/>
                <w:szCs w:val="16"/>
              </w:rPr>
            </w:pPr>
            <w:r w:rsidRPr="00ED12E0">
              <w:rPr>
                <w:sz w:val="16"/>
                <w:szCs w:val="16"/>
              </w:rPr>
              <w:t>3,8%</w:t>
            </w:r>
          </w:p>
        </w:tc>
      </w:tr>
      <w:tr w:rsidRPr="00ED12E0" w:rsidR="00ED12E0" w:rsidTr="00A914B6" w14:paraId="1CC1FBFB" w14:textId="77777777">
        <w:tc>
          <w:tcPr>
            <w:tcW w:w="6658" w:type="dxa"/>
            <w:hideMark/>
          </w:tcPr>
          <w:p w:rsidRPr="00ED12E0" w:rsidR="001653D9" w:rsidP="008A0127" w:rsidRDefault="001653D9" w14:paraId="1381C9D1" w14:textId="0625B0E4">
            <w:pPr>
              <w:keepNext/>
              <w:spacing w:line="276" w:lineRule="auto"/>
              <w:rPr>
                <w:sz w:val="16"/>
                <w:szCs w:val="16"/>
              </w:rPr>
            </w:pPr>
            <w:r w:rsidRPr="00ED12E0">
              <w:rPr>
                <w:sz w:val="16"/>
                <w:szCs w:val="16"/>
              </w:rPr>
              <w:t>2. Accountantsorganisaties</w:t>
            </w:r>
          </w:p>
        </w:tc>
        <w:tc>
          <w:tcPr>
            <w:tcW w:w="1439" w:type="dxa"/>
          </w:tcPr>
          <w:p w:rsidRPr="00ED12E0" w:rsidR="001653D9" w:rsidP="002832A3" w:rsidRDefault="002832A3" w14:paraId="75280E85" w14:textId="328A2480">
            <w:pPr>
              <w:keepNext/>
              <w:spacing w:line="276" w:lineRule="auto"/>
              <w:jc w:val="right"/>
              <w:rPr>
                <w:sz w:val="16"/>
                <w:szCs w:val="16"/>
              </w:rPr>
            </w:pPr>
            <w:r w:rsidRPr="00ED12E0">
              <w:rPr>
                <w:sz w:val="16"/>
                <w:szCs w:val="16"/>
              </w:rPr>
              <w:t>16,6%</w:t>
            </w:r>
          </w:p>
        </w:tc>
      </w:tr>
      <w:tr w:rsidRPr="00ED12E0" w:rsidR="00ED12E0" w:rsidTr="00A914B6" w14:paraId="6568ECF9" w14:textId="77777777">
        <w:tc>
          <w:tcPr>
            <w:tcW w:w="6658" w:type="dxa"/>
            <w:hideMark/>
          </w:tcPr>
          <w:p w:rsidRPr="00ED12E0" w:rsidR="001653D9" w:rsidP="008A0127" w:rsidRDefault="001653D9" w14:paraId="58EC82CE" w14:textId="63562439">
            <w:pPr>
              <w:keepNext/>
              <w:spacing w:line="276" w:lineRule="auto"/>
              <w:rPr>
                <w:sz w:val="16"/>
                <w:szCs w:val="16"/>
              </w:rPr>
            </w:pPr>
            <w:r w:rsidRPr="00ED12E0">
              <w:rPr>
                <w:sz w:val="16"/>
                <w:szCs w:val="16"/>
              </w:rPr>
              <w:t xml:space="preserve">3. Adviseurs, bemiddelaars en </w:t>
            </w:r>
            <w:proofErr w:type="spellStart"/>
            <w:r w:rsidRPr="00ED12E0">
              <w:rPr>
                <w:sz w:val="16"/>
                <w:szCs w:val="16"/>
              </w:rPr>
              <w:t>crowdfundingdienstverleners</w:t>
            </w:r>
            <w:proofErr w:type="spellEnd"/>
          </w:p>
        </w:tc>
        <w:tc>
          <w:tcPr>
            <w:tcW w:w="1439" w:type="dxa"/>
          </w:tcPr>
          <w:p w:rsidRPr="00ED12E0" w:rsidR="001653D9" w:rsidP="002832A3" w:rsidRDefault="002832A3" w14:paraId="046302A3" w14:textId="5A157ADC">
            <w:pPr>
              <w:keepNext/>
              <w:spacing w:line="276" w:lineRule="auto"/>
              <w:jc w:val="right"/>
              <w:rPr>
                <w:sz w:val="16"/>
                <w:szCs w:val="16"/>
              </w:rPr>
            </w:pPr>
            <w:r w:rsidRPr="00ED12E0">
              <w:rPr>
                <w:sz w:val="16"/>
                <w:szCs w:val="16"/>
              </w:rPr>
              <w:t>10,7%</w:t>
            </w:r>
          </w:p>
        </w:tc>
      </w:tr>
      <w:tr w:rsidRPr="00ED12E0" w:rsidR="00ED12E0" w:rsidTr="00A914B6" w14:paraId="32D9563D" w14:textId="77777777">
        <w:tc>
          <w:tcPr>
            <w:tcW w:w="6658" w:type="dxa"/>
            <w:hideMark/>
          </w:tcPr>
          <w:p w:rsidRPr="00ED12E0" w:rsidR="001653D9" w:rsidP="008A0127" w:rsidRDefault="001653D9" w14:paraId="0557EA6C" w14:textId="59B66628">
            <w:pPr>
              <w:keepNext/>
              <w:spacing w:line="276" w:lineRule="auto"/>
              <w:rPr>
                <w:sz w:val="16"/>
                <w:szCs w:val="16"/>
              </w:rPr>
            </w:pPr>
            <w:r w:rsidRPr="00ED12E0">
              <w:rPr>
                <w:sz w:val="16"/>
                <w:szCs w:val="16"/>
              </w:rPr>
              <w:t>4. Afwikkelondernemingen, betaalinstellingen</w:t>
            </w:r>
          </w:p>
          <w:p w:rsidRPr="00ED12E0" w:rsidR="001653D9" w:rsidP="008A0127" w:rsidRDefault="001653D9" w14:paraId="18C8DC2C" w14:textId="77777777">
            <w:pPr>
              <w:keepNext/>
              <w:spacing w:line="276" w:lineRule="auto"/>
              <w:rPr>
                <w:sz w:val="16"/>
                <w:szCs w:val="16"/>
              </w:rPr>
            </w:pPr>
            <w:proofErr w:type="gramStart"/>
            <w:r w:rsidRPr="00ED12E0">
              <w:rPr>
                <w:sz w:val="16"/>
                <w:szCs w:val="16"/>
              </w:rPr>
              <w:t>en</w:t>
            </w:r>
            <w:proofErr w:type="gramEnd"/>
            <w:r w:rsidRPr="00ED12E0">
              <w:rPr>
                <w:sz w:val="16"/>
                <w:szCs w:val="16"/>
              </w:rPr>
              <w:t xml:space="preserve"> elektronischgeldinstellingen</w:t>
            </w:r>
          </w:p>
        </w:tc>
        <w:tc>
          <w:tcPr>
            <w:tcW w:w="1439" w:type="dxa"/>
          </w:tcPr>
          <w:p w:rsidRPr="00ED12E0" w:rsidR="001653D9" w:rsidP="002832A3" w:rsidRDefault="002832A3" w14:paraId="6CB33A88" w14:textId="61D4E1FC">
            <w:pPr>
              <w:keepNext/>
              <w:spacing w:line="276" w:lineRule="auto"/>
              <w:jc w:val="right"/>
              <w:rPr>
                <w:sz w:val="16"/>
                <w:szCs w:val="16"/>
              </w:rPr>
            </w:pPr>
            <w:r w:rsidRPr="00ED12E0">
              <w:rPr>
                <w:sz w:val="16"/>
                <w:szCs w:val="16"/>
              </w:rPr>
              <w:t>0,3%</w:t>
            </w:r>
          </w:p>
        </w:tc>
      </w:tr>
      <w:tr w:rsidRPr="00ED12E0" w:rsidR="00ED12E0" w:rsidTr="00A914B6" w14:paraId="31BDF80E" w14:textId="77777777">
        <w:tc>
          <w:tcPr>
            <w:tcW w:w="6658" w:type="dxa"/>
            <w:hideMark/>
          </w:tcPr>
          <w:p w:rsidRPr="00ED12E0" w:rsidR="001653D9" w:rsidP="008A0127" w:rsidRDefault="001653D9" w14:paraId="56CE2C1D" w14:textId="249EAC4B">
            <w:pPr>
              <w:keepNext/>
              <w:spacing w:line="276" w:lineRule="auto"/>
              <w:rPr>
                <w:sz w:val="16"/>
                <w:szCs w:val="16"/>
              </w:rPr>
            </w:pPr>
            <w:r w:rsidRPr="00ED12E0">
              <w:rPr>
                <w:sz w:val="16"/>
                <w:szCs w:val="16"/>
              </w:rPr>
              <w:t>5. Banken en clearinginstellingen</w:t>
            </w:r>
          </w:p>
        </w:tc>
        <w:tc>
          <w:tcPr>
            <w:tcW w:w="1439" w:type="dxa"/>
          </w:tcPr>
          <w:p w:rsidRPr="00ED12E0" w:rsidR="001653D9" w:rsidP="002832A3" w:rsidRDefault="002832A3" w14:paraId="3E7F3917" w14:textId="3B0C338C">
            <w:pPr>
              <w:keepNext/>
              <w:spacing w:line="276" w:lineRule="auto"/>
              <w:jc w:val="right"/>
              <w:rPr>
                <w:sz w:val="16"/>
                <w:szCs w:val="16"/>
              </w:rPr>
            </w:pPr>
            <w:r w:rsidRPr="00ED12E0">
              <w:rPr>
                <w:sz w:val="16"/>
                <w:szCs w:val="16"/>
              </w:rPr>
              <w:t>13,3%</w:t>
            </w:r>
          </w:p>
        </w:tc>
      </w:tr>
      <w:tr w:rsidRPr="00ED12E0" w:rsidR="00ED12E0" w:rsidTr="00A914B6" w14:paraId="01AA18D8" w14:textId="77777777">
        <w:tc>
          <w:tcPr>
            <w:tcW w:w="6658" w:type="dxa"/>
            <w:hideMark/>
          </w:tcPr>
          <w:p w:rsidRPr="00ED12E0" w:rsidR="001653D9" w:rsidP="008A0127" w:rsidRDefault="000C2BCA" w14:paraId="5FE1FC9D" w14:textId="7B7582D1">
            <w:pPr>
              <w:keepNext/>
              <w:spacing w:line="276" w:lineRule="auto"/>
              <w:rPr>
                <w:sz w:val="16"/>
                <w:szCs w:val="16"/>
              </w:rPr>
            </w:pPr>
            <w:r w:rsidRPr="00ED12E0">
              <w:rPr>
                <w:sz w:val="16"/>
                <w:szCs w:val="16"/>
              </w:rPr>
              <w:t xml:space="preserve">6. </w:t>
            </w:r>
            <w:r w:rsidRPr="00ED12E0">
              <w:rPr>
                <w:bCs/>
                <w:sz w:val="16"/>
                <w:szCs w:val="16"/>
              </w:rPr>
              <w:t>Beheerders van beleggingsinstellingen en icbe’s, bewaarders, aanbieders van beleggingsobjecten en beleggingsondernemingen die beleggingsdiensten verlenen</w:t>
            </w:r>
          </w:p>
        </w:tc>
        <w:tc>
          <w:tcPr>
            <w:tcW w:w="1439" w:type="dxa"/>
          </w:tcPr>
          <w:p w:rsidRPr="00ED12E0" w:rsidR="001653D9" w:rsidP="002832A3" w:rsidRDefault="002832A3" w14:paraId="7BA4F078" w14:textId="3F9A30C6">
            <w:pPr>
              <w:keepNext/>
              <w:spacing w:line="276" w:lineRule="auto"/>
              <w:jc w:val="right"/>
              <w:rPr>
                <w:sz w:val="16"/>
                <w:szCs w:val="16"/>
              </w:rPr>
            </w:pPr>
            <w:r w:rsidRPr="00ED12E0">
              <w:rPr>
                <w:sz w:val="16"/>
                <w:szCs w:val="16"/>
              </w:rPr>
              <w:t>20,0%</w:t>
            </w:r>
          </w:p>
        </w:tc>
      </w:tr>
      <w:tr w:rsidRPr="00ED12E0" w:rsidR="00ED12E0" w:rsidTr="00A914B6" w14:paraId="13FD129C" w14:textId="77777777">
        <w:tc>
          <w:tcPr>
            <w:tcW w:w="6658" w:type="dxa"/>
            <w:hideMark/>
          </w:tcPr>
          <w:p w:rsidRPr="00ED12E0" w:rsidR="001653D9" w:rsidP="008A0127" w:rsidRDefault="001653D9" w14:paraId="7587C3A6" w14:textId="07CDFD75">
            <w:pPr>
              <w:keepNext/>
              <w:spacing w:line="276" w:lineRule="auto"/>
              <w:rPr>
                <w:sz w:val="16"/>
                <w:szCs w:val="16"/>
              </w:rPr>
            </w:pPr>
            <w:r w:rsidRPr="00ED12E0">
              <w:rPr>
                <w:sz w:val="16"/>
                <w:szCs w:val="16"/>
              </w:rPr>
              <w:t>7. Beleggingsondernemingen</w:t>
            </w:r>
            <w:r w:rsidRPr="00ED12E0" w:rsidR="00BF256A">
              <w:rPr>
                <w:sz w:val="16"/>
                <w:szCs w:val="16"/>
              </w:rPr>
              <w:t xml:space="preserve"> uitsluitend</w:t>
            </w:r>
            <w:r w:rsidRPr="00ED12E0">
              <w:rPr>
                <w:sz w:val="16"/>
                <w:szCs w:val="16"/>
              </w:rPr>
              <w:t xml:space="preserve"> voor eigen rekening</w:t>
            </w:r>
          </w:p>
        </w:tc>
        <w:tc>
          <w:tcPr>
            <w:tcW w:w="1439" w:type="dxa"/>
          </w:tcPr>
          <w:p w:rsidRPr="00ED12E0" w:rsidR="001653D9" w:rsidP="002832A3" w:rsidRDefault="002832A3" w14:paraId="7469A573" w14:textId="383909EC">
            <w:pPr>
              <w:keepNext/>
              <w:spacing w:line="276" w:lineRule="auto"/>
              <w:jc w:val="right"/>
              <w:rPr>
                <w:sz w:val="16"/>
                <w:szCs w:val="16"/>
              </w:rPr>
            </w:pPr>
            <w:r w:rsidRPr="00ED12E0">
              <w:rPr>
                <w:sz w:val="16"/>
                <w:szCs w:val="16"/>
              </w:rPr>
              <w:t>1,7%</w:t>
            </w:r>
          </w:p>
        </w:tc>
      </w:tr>
      <w:tr w:rsidRPr="00ED12E0" w:rsidR="00ED12E0" w:rsidTr="00A914B6" w14:paraId="26F3199D" w14:textId="77777777">
        <w:tc>
          <w:tcPr>
            <w:tcW w:w="6658" w:type="dxa"/>
          </w:tcPr>
          <w:p w:rsidRPr="00ED12E0" w:rsidR="001653D9" w:rsidP="008A0127" w:rsidRDefault="001653D9" w14:paraId="25E0760F" w14:textId="23E58CD7">
            <w:pPr>
              <w:keepNext/>
              <w:spacing w:line="276" w:lineRule="auto"/>
              <w:rPr>
                <w:sz w:val="16"/>
                <w:szCs w:val="16"/>
              </w:rPr>
            </w:pPr>
            <w:r w:rsidRPr="00ED12E0">
              <w:rPr>
                <w:sz w:val="16"/>
                <w:szCs w:val="16"/>
              </w:rPr>
              <w:t>8. Crypto</w:t>
            </w:r>
            <w:r w:rsidRPr="00ED12E0" w:rsidR="00D14665">
              <w:rPr>
                <w:sz w:val="16"/>
                <w:szCs w:val="16"/>
              </w:rPr>
              <w:t>act</w:t>
            </w:r>
            <w:r w:rsidRPr="00ED12E0" w:rsidR="00BA655D">
              <w:rPr>
                <w:sz w:val="16"/>
                <w:szCs w:val="16"/>
              </w:rPr>
              <w:t>i</w:t>
            </w:r>
            <w:r w:rsidRPr="00ED12E0" w:rsidR="00D14665">
              <w:rPr>
                <w:sz w:val="16"/>
                <w:szCs w:val="16"/>
              </w:rPr>
              <w:t>va</w:t>
            </w:r>
            <w:r w:rsidRPr="00ED12E0">
              <w:rPr>
                <w:sz w:val="16"/>
                <w:szCs w:val="16"/>
              </w:rPr>
              <w:t>dienstverleners</w:t>
            </w:r>
          </w:p>
        </w:tc>
        <w:tc>
          <w:tcPr>
            <w:tcW w:w="1439" w:type="dxa"/>
          </w:tcPr>
          <w:p w:rsidRPr="00ED12E0" w:rsidR="001653D9" w:rsidP="002832A3" w:rsidRDefault="002832A3" w14:paraId="2F1DD7F8" w14:textId="02686977">
            <w:pPr>
              <w:keepNext/>
              <w:spacing w:line="276" w:lineRule="auto"/>
              <w:jc w:val="right"/>
              <w:rPr>
                <w:sz w:val="16"/>
                <w:szCs w:val="16"/>
              </w:rPr>
            </w:pPr>
            <w:r w:rsidRPr="00ED12E0">
              <w:rPr>
                <w:sz w:val="16"/>
                <w:szCs w:val="16"/>
              </w:rPr>
              <w:t>3,7%</w:t>
            </w:r>
          </w:p>
        </w:tc>
      </w:tr>
      <w:tr w:rsidRPr="00ED12E0" w:rsidR="00ED12E0" w:rsidTr="00A914B6" w14:paraId="11C89200" w14:textId="77777777">
        <w:tc>
          <w:tcPr>
            <w:tcW w:w="6658" w:type="dxa"/>
            <w:hideMark/>
          </w:tcPr>
          <w:p w:rsidRPr="00ED12E0" w:rsidR="001653D9" w:rsidP="008A0127" w:rsidRDefault="001653D9" w14:paraId="21DEFCF5" w14:textId="40A82B35">
            <w:pPr>
              <w:keepNext/>
              <w:spacing w:line="276" w:lineRule="auto"/>
              <w:rPr>
                <w:sz w:val="16"/>
                <w:szCs w:val="16"/>
              </w:rPr>
            </w:pPr>
            <w:r w:rsidRPr="00ED12E0">
              <w:rPr>
                <w:sz w:val="16"/>
                <w:szCs w:val="16"/>
              </w:rPr>
              <w:t>9. Effectenuitgevende instellingen: markt</w:t>
            </w:r>
          </w:p>
        </w:tc>
        <w:tc>
          <w:tcPr>
            <w:tcW w:w="1439" w:type="dxa"/>
          </w:tcPr>
          <w:p w:rsidRPr="00ED12E0" w:rsidR="001653D9" w:rsidP="002832A3" w:rsidRDefault="002832A3" w14:paraId="029B102F" w14:textId="40B48A56">
            <w:pPr>
              <w:keepNext/>
              <w:spacing w:line="276" w:lineRule="auto"/>
              <w:jc w:val="right"/>
              <w:rPr>
                <w:sz w:val="16"/>
                <w:szCs w:val="16"/>
              </w:rPr>
            </w:pPr>
            <w:r w:rsidRPr="00ED12E0">
              <w:rPr>
                <w:sz w:val="16"/>
                <w:szCs w:val="16"/>
              </w:rPr>
              <w:t>8,8%</w:t>
            </w:r>
          </w:p>
        </w:tc>
      </w:tr>
      <w:tr w:rsidRPr="00ED12E0" w:rsidR="00ED12E0" w:rsidTr="00A914B6" w14:paraId="13D60DFB" w14:textId="77777777">
        <w:tc>
          <w:tcPr>
            <w:tcW w:w="6658" w:type="dxa"/>
            <w:hideMark/>
          </w:tcPr>
          <w:p w:rsidRPr="00ED12E0" w:rsidR="001653D9" w:rsidP="008A0127" w:rsidRDefault="001653D9" w14:paraId="5695C2F2" w14:textId="52D024B4">
            <w:pPr>
              <w:keepNext/>
              <w:spacing w:line="276" w:lineRule="auto"/>
              <w:rPr>
                <w:sz w:val="16"/>
                <w:szCs w:val="16"/>
              </w:rPr>
            </w:pPr>
            <w:r w:rsidRPr="00ED12E0">
              <w:rPr>
                <w:sz w:val="16"/>
                <w:szCs w:val="16"/>
              </w:rPr>
              <w:t>10. Effectenuitgevende instellingen: verslaggeving</w:t>
            </w:r>
          </w:p>
        </w:tc>
        <w:tc>
          <w:tcPr>
            <w:tcW w:w="1439" w:type="dxa"/>
          </w:tcPr>
          <w:p w:rsidRPr="00ED12E0" w:rsidR="001653D9" w:rsidP="002832A3" w:rsidRDefault="002832A3" w14:paraId="4A64B08E" w14:textId="0347A148">
            <w:pPr>
              <w:keepNext/>
              <w:spacing w:line="276" w:lineRule="auto"/>
              <w:jc w:val="right"/>
              <w:rPr>
                <w:sz w:val="16"/>
                <w:szCs w:val="16"/>
              </w:rPr>
            </w:pPr>
            <w:r w:rsidRPr="00ED12E0">
              <w:rPr>
                <w:sz w:val="16"/>
                <w:szCs w:val="16"/>
              </w:rPr>
              <w:t>4,5%</w:t>
            </w:r>
          </w:p>
        </w:tc>
      </w:tr>
      <w:tr w:rsidRPr="00ED12E0" w:rsidR="00ED12E0" w:rsidTr="00A914B6" w14:paraId="58195167" w14:textId="77777777">
        <w:tc>
          <w:tcPr>
            <w:tcW w:w="6658" w:type="dxa"/>
            <w:hideMark/>
          </w:tcPr>
          <w:p w:rsidRPr="00ED12E0" w:rsidR="001653D9" w:rsidP="008A0127" w:rsidRDefault="001653D9" w14:paraId="15E31A39" w14:textId="43AA7CD8">
            <w:pPr>
              <w:keepNext/>
              <w:spacing w:line="276" w:lineRule="auto"/>
              <w:rPr>
                <w:sz w:val="16"/>
                <w:szCs w:val="16"/>
              </w:rPr>
            </w:pPr>
            <w:r w:rsidRPr="00ED12E0">
              <w:rPr>
                <w:sz w:val="16"/>
                <w:szCs w:val="16"/>
              </w:rPr>
              <w:t>11. Financiële infrastructuur</w:t>
            </w:r>
          </w:p>
        </w:tc>
        <w:tc>
          <w:tcPr>
            <w:tcW w:w="1439" w:type="dxa"/>
          </w:tcPr>
          <w:p w:rsidRPr="00ED12E0" w:rsidR="001653D9" w:rsidP="002832A3" w:rsidRDefault="002832A3" w14:paraId="4471AD7C" w14:textId="7D5BC0A8">
            <w:pPr>
              <w:keepNext/>
              <w:spacing w:line="276" w:lineRule="auto"/>
              <w:jc w:val="right"/>
              <w:rPr>
                <w:sz w:val="16"/>
                <w:szCs w:val="16"/>
              </w:rPr>
            </w:pPr>
            <w:r w:rsidRPr="00ED12E0">
              <w:rPr>
                <w:sz w:val="16"/>
                <w:szCs w:val="16"/>
              </w:rPr>
              <w:t>3,2%</w:t>
            </w:r>
          </w:p>
        </w:tc>
      </w:tr>
      <w:tr w:rsidRPr="00ED12E0" w:rsidR="00ED12E0" w:rsidTr="00A914B6" w14:paraId="55C9C4C9" w14:textId="77777777">
        <w:tc>
          <w:tcPr>
            <w:tcW w:w="6658" w:type="dxa"/>
            <w:hideMark/>
          </w:tcPr>
          <w:p w:rsidRPr="00ED12E0" w:rsidR="001653D9" w:rsidP="008A0127" w:rsidRDefault="001653D9" w14:paraId="5E54B0B6" w14:textId="235BCBAC">
            <w:pPr>
              <w:keepNext/>
              <w:spacing w:line="276" w:lineRule="auto"/>
              <w:rPr>
                <w:sz w:val="16"/>
                <w:szCs w:val="16"/>
              </w:rPr>
            </w:pPr>
            <w:r w:rsidRPr="00ED12E0">
              <w:rPr>
                <w:sz w:val="16"/>
                <w:szCs w:val="16"/>
              </w:rPr>
              <w:t>12. Pensioenfondsen en premiepensioeninstellingen</w:t>
            </w:r>
          </w:p>
        </w:tc>
        <w:tc>
          <w:tcPr>
            <w:tcW w:w="1439" w:type="dxa"/>
          </w:tcPr>
          <w:p w:rsidRPr="00ED12E0" w:rsidR="001653D9" w:rsidP="002832A3" w:rsidRDefault="002832A3" w14:paraId="720C1D37" w14:textId="07D48858">
            <w:pPr>
              <w:keepNext/>
              <w:spacing w:line="276" w:lineRule="auto"/>
              <w:jc w:val="right"/>
              <w:rPr>
                <w:sz w:val="16"/>
                <w:szCs w:val="16"/>
              </w:rPr>
            </w:pPr>
            <w:r w:rsidRPr="00ED12E0">
              <w:rPr>
                <w:sz w:val="16"/>
                <w:szCs w:val="16"/>
              </w:rPr>
              <w:t>5,4%</w:t>
            </w:r>
          </w:p>
        </w:tc>
      </w:tr>
      <w:tr w:rsidRPr="00ED12E0" w:rsidR="00ED12E0" w:rsidTr="00A914B6" w14:paraId="0B343AEC" w14:textId="77777777">
        <w:tc>
          <w:tcPr>
            <w:tcW w:w="6658" w:type="dxa"/>
            <w:hideMark/>
          </w:tcPr>
          <w:p w:rsidRPr="00ED12E0" w:rsidR="001653D9" w:rsidP="008A0127" w:rsidRDefault="001653D9" w14:paraId="388F2BF6" w14:textId="7410F4F9">
            <w:pPr>
              <w:keepNext/>
              <w:spacing w:line="276" w:lineRule="auto"/>
              <w:rPr>
                <w:sz w:val="16"/>
                <w:szCs w:val="16"/>
              </w:rPr>
            </w:pPr>
            <w:r w:rsidRPr="00ED12E0">
              <w:rPr>
                <w:sz w:val="16"/>
                <w:szCs w:val="16"/>
              </w:rPr>
              <w:t>13. Verzekeraars: leven en pensioen</w:t>
            </w:r>
          </w:p>
        </w:tc>
        <w:tc>
          <w:tcPr>
            <w:tcW w:w="1439" w:type="dxa"/>
          </w:tcPr>
          <w:p w:rsidRPr="00ED12E0" w:rsidR="001653D9" w:rsidP="002832A3" w:rsidRDefault="002832A3" w14:paraId="67964725" w14:textId="0517954E">
            <w:pPr>
              <w:keepNext/>
              <w:spacing w:line="276" w:lineRule="auto"/>
              <w:jc w:val="right"/>
              <w:rPr>
                <w:sz w:val="16"/>
                <w:szCs w:val="16"/>
              </w:rPr>
            </w:pPr>
            <w:r w:rsidRPr="00ED12E0">
              <w:rPr>
                <w:sz w:val="16"/>
                <w:szCs w:val="16"/>
              </w:rPr>
              <w:t>5,1%</w:t>
            </w:r>
          </w:p>
        </w:tc>
      </w:tr>
      <w:tr w:rsidRPr="00ED12E0" w:rsidR="00ED12E0" w:rsidTr="00A914B6" w14:paraId="5396E9E0" w14:textId="77777777">
        <w:tc>
          <w:tcPr>
            <w:tcW w:w="6658" w:type="dxa"/>
            <w:hideMark/>
          </w:tcPr>
          <w:p w:rsidRPr="00ED12E0" w:rsidR="001653D9" w:rsidP="008A0127" w:rsidRDefault="001653D9" w14:paraId="6DC53976" w14:textId="33D00EB6">
            <w:pPr>
              <w:keepNext/>
              <w:spacing w:line="276" w:lineRule="auto"/>
              <w:rPr>
                <w:sz w:val="16"/>
                <w:szCs w:val="16"/>
              </w:rPr>
            </w:pPr>
            <w:r w:rsidRPr="00ED12E0">
              <w:rPr>
                <w:sz w:val="16"/>
                <w:szCs w:val="16"/>
              </w:rPr>
              <w:t>14. Verzekeraars: schade niet zijnde zorg</w:t>
            </w:r>
          </w:p>
        </w:tc>
        <w:tc>
          <w:tcPr>
            <w:tcW w:w="1439" w:type="dxa"/>
          </w:tcPr>
          <w:p w:rsidRPr="00ED12E0" w:rsidR="001653D9" w:rsidP="002832A3" w:rsidRDefault="002832A3" w14:paraId="423A59E1" w14:textId="78CE2F70">
            <w:pPr>
              <w:keepNext/>
              <w:spacing w:line="276" w:lineRule="auto"/>
              <w:jc w:val="right"/>
              <w:rPr>
                <w:sz w:val="16"/>
                <w:szCs w:val="16"/>
              </w:rPr>
            </w:pPr>
            <w:r w:rsidRPr="00ED12E0">
              <w:rPr>
                <w:sz w:val="16"/>
                <w:szCs w:val="16"/>
              </w:rPr>
              <w:t>2,7%</w:t>
            </w:r>
          </w:p>
        </w:tc>
      </w:tr>
      <w:tr w:rsidRPr="00ED12E0" w:rsidR="001653D9" w:rsidTr="00A914B6" w14:paraId="695D2569" w14:textId="77777777">
        <w:tc>
          <w:tcPr>
            <w:tcW w:w="6658" w:type="dxa"/>
            <w:hideMark/>
          </w:tcPr>
          <w:p w:rsidRPr="00ED12E0" w:rsidR="001653D9" w:rsidP="008A0127" w:rsidRDefault="001653D9" w14:paraId="5F9707BF" w14:textId="13547C45">
            <w:pPr>
              <w:keepNext/>
              <w:spacing w:line="276" w:lineRule="auto"/>
              <w:rPr>
                <w:sz w:val="16"/>
                <w:szCs w:val="16"/>
              </w:rPr>
            </w:pPr>
            <w:r w:rsidRPr="00ED12E0">
              <w:rPr>
                <w:sz w:val="16"/>
                <w:szCs w:val="16"/>
              </w:rPr>
              <w:t>15. Verzekeraars: zorg</w:t>
            </w:r>
          </w:p>
        </w:tc>
        <w:tc>
          <w:tcPr>
            <w:tcW w:w="1439" w:type="dxa"/>
          </w:tcPr>
          <w:p w:rsidRPr="00ED12E0" w:rsidR="001653D9" w:rsidP="002832A3" w:rsidRDefault="002832A3" w14:paraId="40110E44" w14:textId="1793CEFB">
            <w:pPr>
              <w:keepNext/>
              <w:spacing w:line="276" w:lineRule="auto"/>
              <w:jc w:val="right"/>
              <w:rPr>
                <w:sz w:val="16"/>
                <w:szCs w:val="16"/>
              </w:rPr>
            </w:pPr>
            <w:r w:rsidRPr="00ED12E0">
              <w:rPr>
                <w:sz w:val="16"/>
                <w:szCs w:val="16"/>
              </w:rPr>
              <w:t>0,2%</w:t>
            </w:r>
          </w:p>
        </w:tc>
      </w:tr>
    </w:tbl>
    <w:p w:rsidRPr="00ED12E0" w:rsidR="001653D9" w:rsidP="00E3357E" w:rsidRDefault="001653D9" w14:paraId="2FF8F0D5" w14:textId="77777777">
      <w:pPr>
        <w:widowControl w:val="0"/>
        <w:spacing w:line="276" w:lineRule="auto"/>
        <w:rPr>
          <w:szCs w:val="18"/>
        </w:rPr>
      </w:pPr>
    </w:p>
    <w:p w:rsidRPr="00ED12E0" w:rsidR="00B35BD3" w:rsidP="00E3357E" w:rsidRDefault="00287F8C" w14:paraId="6EEC0378" w14:textId="4B92E402">
      <w:pPr>
        <w:widowControl w:val="0"/>
        <w:spacing w:line="276" w:lineRule="auto"/>
        <w:rPr>
          <w:szCs w:val="18"/>
        </w:rPr>
      </w:pPr>
      <w:r w:rsidRPr="00ED12E0">
        <w:rPr>
          <w:szCs w:val="18"/>
        </w:rPr>
        <w:t>D</w:t>
      </w:r>
    </w:p>
    <w:p w:rsidRPr="00ED12E0" w:rsidR="00B35BD3" w:rsidP="00E3357E" w:rsidRDefault="00B35BD3" w14:paraId="4E473583" w14:textId="1CDCC57F">
      <w:pPr>
        <w:widowControl w:val="0"/>
        <w:spacing w:line="276" w:lineRule="auto"/>
        <w:rPr>
          <w:szCs w:val="18"/>
        </w:rPr>
      </w:pPr>
    </w:p>
    <w:p w:rsidRPr="00ED12E0" w:rsidR="00B35BD3" w:rsidP="00E3357E" w:rsidRDefault="00B35BD3" w14:paraId="5C9169FC" w14:textId="7FDE3989">
      <w:pPr>
        <w:widowControl w:val="0"/>
        <w:spacing w:line="276" w:lineRule="auto"/>
        <w:rPr>
          <w:szCs w:val="18"/>
        </w:rPr>
      </w:pPr>
      <w:r w:rsidRPr="00ED12E0">
        <w:rPr>
          <w:szCs w:val="18"/>
        </w:rPr>
        <w:t>Bijlage 1, onderdeel B, wordt als volgt gewijzigd:</w:t>
      </w:r>
    </w:p>
    <w:p w:rsidRPr="00ED12E0" w:rsidR="00767C6A" w:rsidP="00E3357E" w:rsidRDefault="00767C6A" w14:paraId="59DF3634" w14:textId="632F6113">
      <w:pPr>
        <w:widowControl w:val="0"/>
        <w:spacing w:line="276" w:lineRule="auto"/>
        <w:rPr>
          <w:szCs w:val="18"/>
        </w:rPr>
      </w:pPr>
    </w:p>
    <w:p w:rsidRPr="00ED12E0" w:rsidR="00F06AAA" w:rsidP="00E3357E" w:rsidRDefault="00B85AC1" w14:paraId="08661D1C" w14:textId="77777777">
      <w:pPr>
        <w:widowControl w:val="0"/>
        <w:spacing w:line="276" w:lineRule="auto"/>
        <w:rPr>
          <w:szCs w:val="18"/>
        </w:rPr>
      </w:pPr>
      <w:r w:rsidRPr="00ED12E0">
        <w:rPr>
          <w:szCs w:val="18"/>
        </w:rPr>
        <w:t>1</w:t>
      </w:r>
      <w:r w:rsidRPr="00ED12E0" w:rsidR="004B3830">
        <w:rPr>
          <w:szCs w:val="18"/>
        </w:rPr>
        <w:t>. Het opschrift van onderdeel 6 komt te luiden</w:t>
      </w:r>
      <w:r w:rsidRPr="00ED12E0" w:rsidR="00F06AAA">
        <w:rPr>
          <w:szCs w:val="18"/>
        </w:rPr>
        <w:t>:</w:t>
      </w:r>
      <w:r w:rsidRPr="00ED12E0" w:rsidR="004B3830">
        <w:rPr>
          <w:szCs w:val="18"/>
        </w:rPr>
        <w:t xml:space="preserve"> </w:t>
      </w:r>
    </w:p>
    <w:p w:rsidRPr="00ED12E0" w:rsidR="004B3830" w:rsidP="00E3357E" w:rsidRDefault="004B3830" w14:paraId="6794B182" w14:textId="048328D8">
      <w:pPr>
        <w:widowControl w:val="0"/>
        <w:spacing w:line="276" w:lineRule="auto"/>
        <w:rPr>
          <w:bCs/>
        </w:rPr>
      </w:pPr>
      <w:r w:rsidRPr="00ED12E0">
        <w:t xml:space="preserve">6. </w:t>
      </w:r>
      <w:r w:rsidRPr="00ED12E0">
        <w:rPr>
          <w:bCs/>
        </w:rPr>
        <w:t>Beheerders van beleggingsinstellingen en icbe’s, bewaarders, aanbieders van beleggingsobjecten en beleggingsondernemingen die beleggingsdiensten verlenen</w:t>
      </w:r>
    </w:p>
    <w:p w:rsidRPr="00ED12E0" w:rsidR="004B3830" w:rsidP="00E3357E" w:rsidRDefault="004B3830" w14:paraId="70DCB71F" w14:textId="77777777">
      <w:pPr>
        <w:widowControl w:val="0"/>
        <w:spacing w:line="276" w:lineRule="auto"/>
        <w:rPr>
          <w:bCs/>
        </w:rPr>
      </w:pPr>
    </w:p>
    <w:p w:rsidRPr="00ED12E0" w:rsidR="004B3830" w:rsidP="00E3357E" w:rsidRDefault="00B85AC1" w14:paraId="23B51439" w14:textId="042DA174">
      <w:pPr>
        <w:widowControl w:val="0"/>
        <w:spacing w:line="276" w:lineRule="auto"/>
        <w:rPr>
          <w:szCs w:val="18"/>
        </w:rPr>
      </w:pPr>
      <w:r w:rsidRPr="00ED12E0">
        <w:rPr>
          <w:szCs w:val="18"/>
        </w:rPr>
        <w:t>2</w:t>
      </w:r>
      <w:r w:rsidRPr="00ED12E0" w:rsidR="004B3830">
        <w:rPr>
          <w:szCs w:val="18"/>
        </w:rPr>
        <w:t>. In onderdeel 6, kolom Maatstaven, wordt aan het begin van onderdeel a ingevoegd:</w:t>
      </w:r>
    </w:p>
    <w:p w:rsidRPr="00ED12E0" w:rsidR="004B3830" w:rsidP="00E3357E" w:rsidRDefault="004B3830" w14:paraId="38040798" w14:textId="2FA9180E">
      <w:pPr>
        <w:widowControl w:val="0"/>
        <w:spacing w:line="276" w:lineRule="auto"/>
        <w:rPr>
          <w:szCs w:val="18"/>
        </w:rPr>
      </w:pPr>
      <w:r w:rsidRPr="00ED12E0">
        <w:rPr>
          <w:szCs w:val="18"/>
        </w:rPr>
        <w:t>– het op grond van een vergunning als bedoeld in artikel 2:3g Wft uitoefenen van het bedrijf van bewaarder;</w:t>
      </w:r>
    </w:p>
    <w:p w:rsidRPr="00ED12E0" w:rsidR="004B3830" w:rsidP="00E3357E" w:rsidRDefault="004B3830" w14:paraId="599C9EA3" w14:textId="0DA41582">
      <w:pPr>
        <w:widowControl w:val="0"/>
        <w:spacing w:line="276" w:lineRule="auto"/>
        <w:rPr>
          <w:szCs w:val="18"/>
        </w:rPr>
      </w:pPr>
      <w:r w:rsidRPr="00ED12E0">
        <w:rPr>
          <w:szCs w:val="18"/>
        </w:rPr>
        <w:t>– het op grond van een vergunning als bedoeld in artikel 2:55 Wft aanbieden van beleggingsobjecten;</w:t>
      </w:r>
    </w:p>
    <w:p w:rsidRPr="00ED12E0" w:rsidR="004B3830" w:rsidP="00E3357E" w:rsidRDefault="004B3830" w14:paraId="50CFA5BC" w14:textId="77777777">
      <w:pPr>
        <w:widowControl w:val="0"/>
        <w:spacing w:line="276" w:lineRule="auto"/>
        <w:rPr>
          <w:szCs w:val="18"/>
        </w:rPr>
      </w:pPr>
    </w:p>
    <w:p w:rsidRPr="00ED12E0" w:rsidR="004B3830" w:rsidP="00E3357E" w:rsidRDefault="00B85AC1" w14:paraId="26BA9984" w14:textId="003187FC">
      <w:pPr>
        <w:widowControl w:val="0"/>
        <w:spacing w:line="276" w:lineRule="auto"/>
        <w:rPr>
          <w:szCs w:val="18"/>
        </w:rPr>
      </w:pPr>
      <w:r w:rsidRPr="00ED12E0">
        <w:rPr>
          <w:szCs w:val="18"/>
        </w:rPr>
        <w:t>3</w:t>
      </w:r>
      <w:r w:rsidRPr="00ED12E0" w:rsidR="004B3830">
        <w:rPr>
          <w:szCs w:val="18"/>
        </w:rPr>
        <w:t>. Aan onderdeel 6, kolom Maatstaven, wordt aan het slot van onderdeel a toegevoegd:</w:t>
      </w:r>
    </w:p>
    <w:p w:rsidRPr="00ED12E0" w:rsidR="004B3830" w:rsidP="00E3357E" w:rsidRDefault="004B3830" w14:paraId="6E1AE454" w14:textId="67C7E2E7">
      <w:pPr>
        <w:widowControl w:val="0"/>
        <w:spacing w:line="276" w:lineRule="auto"/>
        <w:rPr>
          <w:szCs w:val="18"/>
        </w:rPr>
      </w:pPr>
      <w:r w:rsidRPr="00ED12E0">
        <w:rPr>
          <w:szCs w:val="18"/>
        </w:rPr>
        <w:t>– het op grond van een vergunning overeenkomstig artikel 18, tweede lid, verordening (EU) nr. 1031/2010 aanbieden van broeikasgasemissierechten</w:t>
      </w:r>
      <w:r w:rsidRPr="00ED12E0" w:rsidR="0078473A">
        <w:rPr>
          <w:szCs w:val="18"/>
        </w:rPr>
        <w:t>;</w:t>
      </w:r>
    </w:p>
    <w:p w:rsidRPr="00ED12E0" w:rsidR="00BF256A" w:rsidP="00E3357E" w:rsidRDefault="00BF256A" w14:paraId="6C152497" w14:textId="77777777">
      <w:pPr>
        <w:widowControl w:val="0"/>
        <w:spacing w:line="276" w:lineRule="auto"/>
        <w:rPr>
          <w:szCs w:val="18"/>
        </w:rPr>
      </w:pPr>
    </w:p>
    <w:p w:rsidRPr="00ED12E0" w:rsidR="00BF256A" w:rsidP="00E3357E" w:rsidRDefault="00BF256A" w14:paraId="14395C07" w14:textId="58CD83E8">
      <w:pPr>
        <w:widowControl w:val="0"/>
        <w:spacing w:line="276" w:lineRule="auto"/>
        <w:rPr>
          <w:szCs w:val="18"/>
        </w:rPr>
      </w:pPr>
      <w:r w:rsidRPr="00ED12E0">
        <w:rPr>
          <w:szCs w:val="18"/>
        </w:rPr>
        <w:t>4. In het opschrift van onderdeel 7 wordt “voor eigen rekening” vervangen door “uitsluitend voor eigen rekening”.</w:t>
      </w:r>
    </w:p>
    <w:p w:rsidRPr="00ED12E0" w:rsidR="004B3830" w:rsidP="00E3357E" w:rsidRDefault="004B3830" w14:paraId="4A18BD25" w14:textId="77777777">
      <w:pPr>
        <w:widowControl w:val="0"/>
        <w:spacing w:line="276" w:lineRule="auto"/>
        <w:rPr>
          <w:szCs w:val="18"/>
        </w:rPr>
      </w:pPr>
    </w:p>
    <w:p w:rsidRPr="00ED12E0" w:rsidR="004B3830" w:rsidP="00E3357E" w:rsidRDefault="00883D10" w14:paraId="361BCAD6" w14:textId="722FECD4">
      <w:pPr>
        <w:widowControl w:val="0"/>
        <w:spacing w:line="276" w:lineRule="auto"/>
        <w:rPr>
          <w:szCs w:val="18"/>
        </w:rPr>
      </w:pPr>
      <w:r w:rsidRPr="00ED12E0">
        <w:rPr>
          <w:szCs w:val="18"/>
        </w:rPr>
        <w:t>5</w:t>
      </w:r>
      <w:r w:rsidRPr="00ED12E0" w:rsidR="004B3830">
        <w:rPr>
          <w:szCs w:val="18"/>
        </w:rPr>
        <w:t xml:space="preserve">. </w:t>
      </w:r>
      <w:r w:rsidRPr="00ED12E0" w:rsidR="005A3E82">
        <w:rPr>
          <w:szCs w:val="18"/>
        </w:rPr>
        <w:t>In o</w:t>
      </w:r>
      <w:r w:rsidRPr="00ED12E0" w:rsidR="004B3830">
        <w:rPr>
          <w:szCs w:val="18"/>
        </w:rPr>
        <w:t>nderdeel 7, kolom Maatstaven,</w:t>
      </w:r>
      <w:r w:rsidRPr="00ED12E0" w:rsidR="005A3E82">
        <w:rPr>
          <w:szCs w:val="18"/>
        </w:rPr>
        <w:t xml:space="preserve"> komt onderdeel b te luiden:</w:t>
      </w:r>
    </w:p>
    <w:p w:rsidRPr="00ED12E0" w:rsidR="005A3E82" w:rsidP="00E3357E" w:rsidRDefault="005A3E82" w14:paraId="3E22303C" w14:textId="3FD2AC94">
      <w:pPr>
        <w:widowControl w:val="0"/>
        <w:spacing w:line="276" w:lineRule="auto"/>
        <w:rPr>
          <w:szCs w:val="18"/>
        </w:rPr>
      </w:pPr>
      <w:r w:rsidRPr="00ED12E0">
        <w:rPr>
          <w:szCs w:val="18"/>
        </w:rPr>
        <w:t>b. Aantal transacties.</w:t>
      </w:r>
    </w:p>
    <w:p w:rsidRPr="00ED12E0" w:rsidR="004B3830" w:rsidP="00E3357E" w:rsidRDefault="004B3830" w14:paraId="6DE9200D" w14:textId="77777777">
      <w:pPr>
        <w:widowControl w:val="0"/>
        <w:spacing w:line="276" w:lineRule="auto"/>
        <w:rPr>
          <w:szCs w:val="18"/>
        </w:rPr>
      </w:pPr>
    </w:p>
    <w:p w:rsidRPr="00ED12E0" w:rsidR="00767C6A" w:rsidP="00E3357E" w:rsidRDefault="00883D10" w14:paraId="2BABFD3B" w14:textId="1A105938">
      <w:pPr>
        <w:widowControl w:val="0"/>
        <w:spacing w:line="276" w:lineRule="auto"/>
        <w:rPr>
          <w:szCs w:val="18"/>
        </w:rPr>
      </w:pPr>
      <w:r w:rsidRPr="00ED12E0">
        <w:rPr>
          <w:szCs w:val="18"/>
        </w:rPr>
        <w:t>6</w:t>
      </w:r>
      <w:r w:rsidRPr="00ED12E0" w:rsidR="00767C6A">
        <w:rPr>
          <w:szCs w:val="18"/>
        </w:rPr>
        <w:t xml:space="preserve">. </w:t>
      </w:r>
      <w:r w:rsidRPr="00ED12E0" w:rsidR="00F06AAA">
        <w:rPr>
          <w:szCs w:val="18"/>
        </w:rPr>
        <w:t>De o</w:t>
      </w:r>
      <w:r w:rsidRPr="00ED12E0" w:rsidR="00767C6A">
        <w:rPr>
          <w:szCs w:val="18"/>
        </w:rPr>
        <w:t>nderde</w:t>
      </w:r>
      <w:r w:rsidRPr="00ED12E0" w:rsidR="006D03FA">
        <w:rPr>
          <w:szCs w:val="18"/>
        </w:rPr>
        <w:t>len</w:t>
      </w:r>
      <w:r w:rsidRPr="00ED12E0" w:rsidR="00767C6A">
        <w:rPr>
          <w:szCs w:val="18"/>
        </w:rPr>
        <w:t xml:space="preserve"> 8</w:t>
      </w:r>
      <w:r w:rsidRPr="00ED12E0" w:rsidR="006D03FA">
        <w:rPr>
          <w:szCs w:val="18"/>
        </w:rPr>
        <w:t xml:space="preserve"> en 9</w:t>
      </w:r>
      <w:r w:rsidRPr="00ED12E0" w:rsidR="00767C6A">
        <w:rPr>
          <w:szCs w:val="18"/>
        </w:rPr>
        <w:t xml:space="preserve"> verval</w:t>
      </w:r>
      <w:r w:rsidRPr="00ED12E0" w:rsidR="006D03FA">
        <w:rPr>
          <w:szCs w:val="18"/>
        </w:rPr>
        <w:t>len</w:t>
      </w:r>
      <w:r w:rsidRPr="00ED12E0" w:rsidR="00767C6A">
        <w:rPr>
          <w:szCs w:val="18"/>
        </w:rPr>
        <w:t xml:space="preserve">, onder vernummering van </w:t>
      </w:r>
      <w:r w:rsidRPr="00ED12E0" w:rsidR="00F06AAA">
        <w:rPr>
          <w:szCs w:val="18"/>
        </w:rPr>
        <w:t xml:space="preserve">de </w:t>
      </w:r>
      <w:r w:rsidRPr="00ED12E0" w:rsidR="00767C6A">
        <w:rPr>
          <w:szCs w:val="18"/>
        </w:rPr>
        <w:t>onderde</w:t>
      </w:r>
      <w:r w:rsidRPr="00ED12E0" w:rsidR="006D03FA">
        <w:rPr>
          <w:szCs w:val="18"/>
        </w:rPr>
        <w:t>len 10 tot en met 16 tot 9 tot en met 15.</w:t>
      </w:r>
    </w:p>
    <w:p w:rsidRPr="00ED12E0" w:rsidR="00B35BD3" w:rsidP="00E3357E" w:rsidRDefault="00B35BD3" w14:paraId="30F640FA" w14:textId="20B3219C">
      <w:pPr>
        <w:widowControl w:val="0"/>
        <w:spacing w:line="276" w:lineRule="auto"/>
        <w:rPr>
          <w:szCs w:val="18"/>
        </w:rPr>
      </w:pPr>
    </w:p>
    <w:p w:rsidRPr="00ED12E0" w:rsidR="00B35BD3" w:rsidP="00E3357E" w:rsidRDefault="00883D10" w14:paraId="131D2AB4" w14:textId="53D76CF1">
      <w:pPr>
        <w:widowControl w:val="0"/>
        <w:spacing w:line="276" w:lineRule="auto"/>
        <w:rPr>
          <w:szCs w:val="18"/>
        </w:rPr>
      </w:pPr>
      <w:bookmarkStart w:name="_Hlk163730423" w:id="4"/>
      <w:r w:rsidRPr="00ED12E0">
        <w:rPr>
          <w:szCs w:val="18"/>
        </w:rPr>
        <w:t>7</w:t>
      </w:r>
      <w:r w:rsidRPr="00ED12E0" w:rsidR="00B35BD3">
        <w:rPr>
          <w:szCs w:val="18"/>
        </w:rPr>
        <w:t xml:space="preserve">. </w:t>
      </w:r>
      <w:r w:rsidRPr="00ED12E0" w:rsidR="00767C6A">
        <w:rPr>
          <w:szCs w:val="18"/>
        </w:rPr>
        <w:t xml:space="preserve">Na onderdeel </w:t>
      </w:r>
      <w:r w:rsidRPr="00ED12E0" w:rsidR="006D03FA">
        <w:rPr>
          <w:szCs w:val="18"/>
        </w:rPr>
        <w:t>7</w:t>
      </w:r>
      <w:r w:rsidRPr="00ED12E0" w:rsidR="00767C6A">
        <w:rPr>
          <w:szCs w:val="18"/>
        </w:rPr>
        <w:t xml:space="preserve"> wordt een onderdeel ingevoegd, luidende:</w:t>
      </w:r>
    </w:p>
    <w:p w:rsidRPr="00ED12E0" w:rsidR="002D2C26" w:rsidP="00E3357E" w:rsidRDefault="002D2C26" w14:paraId="10B2CD55" w14:textId="77777777">
      <w:pPr>
        <w:widowControl w:val="0"/>
        <w:spacing w:line="276" w:lineRule="auto"/>
        <w:rPr>
          <w:szCs w:val="18"/>
        </w:rPr>
      </w:pPr>
    </w:p>
    <w:tbl>
      <w:tblPr>
        <w:tblStyle w:val="Tabelraster"/>
        <w:tblW w:w="0" w:type="auto"/>
        <w:tblLook w:val="04A0" w:firstRow="1" w:lastRow="0" w:firstColumn="1" w:lastColumn="0" w:noHBand="0" w:noVBand="1"/>
      </w:tblPr>
      <w:tblGrid>
        <w:gridCol w:w="4048"/>
        <w:gridCol w:w="4049"/>
      </w:tblGrid>
      <w:tr w:rsidRPr="00ED12E0" w:rsidR="00ED12E0" w:rsidTr="0011756B" w14:paraId="2A410EDF" w14:textId="77777777">
        <w:tc>
          <w:tcPr>
            <w:tcW w:w="8097" w:type="dxa"/>
            <w:gridSpan w:val="2"/>
          </w:tcPr>
          <w:p w:rsidRPr="00ED12E0" w:rsidR="00767C6A" w:rsidP="00E3357E" w:rsidRDefault="006D03FA" w14:paraId="71DF9AC3" w14:textId="0BE9B6B7">
            <w:pPr>
              <w:widowControl w:val="0"/>
              <w:spacing w:line="276" w:lineRule="auto"/>
              <w:jc w:val="center"/>
              <w:rPr>
                <w:sz w:val="16"/>
                <w:szCs w:val="16"/>
              </w:rPr>
            </w:pPr>
            <w:r w:rsidRPr="00ED12E0">
              <w:rPr>
                <w:sz w:val="16"/>
                <w:szCs w:val="16"/>
              </w:rPr>
              <w:t>8</w:t>
            </w:r>
            <w:r w:rsidRPr="00ED12E0" w:rsidR="00767C6A">
              <w:rPr>
                <w:sz w:val="16"/>
                <w:szCs w:val="16"/>
              </w:rPr>
              <w:t>. Crypto</w:t>
            </w:r>
            <w:r w:rsidRPr="00ED12E0" w:rsidR="00A135B0">
              <w:rPr>
                <w:sz w:val="16"/>
                <w:szCs w:val="16"/>
              </w:rPr>
              <w:t>activa</w:t>
            </w:r>
            <w:r w:rsidRPr="00ED12E0" w:rsidR="00767C6A">
              <w:rPr>
                <w:sz w:val="16"/>
                <w:szCs w:val="16"/>
              </w:rPr>
              <w:t>dienstverleners</w:t>
            </w:r>
          </w:p>
        </w:tc>
      </w:tr>
      <w:tr w:rsidRPr="00ED12E0" w:rsidR="00767C6A" w:rsidTr="00767C6A" w14:paraId="27554878" w14:textId="77777777">
        <w:tc>
          <w:tcPr>
            <w:tcW w:w="4048" w:type="dxa"/>
          </w:tcPr>
          <w:p w:rsidRPr="00ED12E0" w:rsidR="00ED2FC2" w:rsidP="00A914B6" w:rsidRDefault="00ED2FC2" w14:paraId="0F4D91E6" w14:textId="06BA7D56">
            <w:pPr>
              <w:widowControl w:val="0"/>
              <w:spacing w:before="120" w:after="120" w:line="276" w:lineRule="auto"/>
              <w:rPr>
                <w:sz w:val="16"/>
                <w:szCs w:val="16"/>
              </w:rPr>
            </w:pPr>
            <w:r w:rsidRPr="00ED12E0">
              <w:rPr>
                <w:sz w:val="16"/>
                <w:szCs w:val="16"/>
              </w:rPr>
              <w:t>a. Aanbieder</w:t>
            </w:r>
            <w:r w:rsidRPr="00ED12E0" w:rsidR="00782F37">
              <w:rPr>
                <w:sz w:val="16"/>
                <w:szCs w:val="16"/>
              </w:rPr>
              <w:t>s</w:t>
            </w:r>
            <w:r w:rsidRPr="00ED12E0">
              <w:rPr>
                <w:sz w:val="16"/>
                <w:szCs w:val="16"/>
              </w:rPr>
              <w:t xml:space="preserve"> van cryptoactivadiensten waaraan een vergunning is verleend als bedoeld in artikel </w:t>
            </w:r>
            <w:r w:rsidRPr="00ED12E0" w:rsidR="00BA2602">
              <w:rPr>
                <w:sz w:val="16"/>
                <w:szCs w:val="16"/>
              </w:rPr>
              <w:t>59, eerste lid, onder a,</w:t>
            </w:r>
            <w:r w:rsidRPr="00ED12E0" w:rsidR="00BA2602">
              <w:rPr>
                <w:rFonts w:cs="Verdana"/>
                <w:sz w:val="16"/>
                <w:szCs w:val="16"/>
              </w:rPr>
              <w:t xml:space="preserve"> </w:t>
            </w:r>
            <w:r w:rsidRPr="00ED12E0">
              <w:rPr>
                <w:sz w:val="16"/>
                <w:szCs w:val="16"/>
              </w:rPr>
              <w:t xml:space="preserve">van </w:t>
            </w:r>
            <w:r w:rsidRPr="00ED12E0" w:rsidR="00487842">
              <w:rPr>
                <w:sz w:val="16"/>
                <w:szCs w:val="16"/>
              </w:rPr>
              <w:t>V</w:t>
            </w:r>
            <w:r w:rsidRPr="00ED12E0">
              <w:rPr>
                <w:sz w:val="16"/>
                <w:szCs w:val="16"/>
              </w:rPr>
              <w:t>erordening (EU) 2023/1114</w:t>
            </w:r>
            <w:r w:rsidRPr="00ED12E0" w:rsidR="00D66B6B">
              <w:rPr>
                <w:sz w:val="16"/>
                <w:szCs w:val="16"/>
              </w:rPr>
              <w:t xml:space="preserve"> (</w:t>
            </w:r>
            <w:proofErr w:type="spellStart"/>
            <w:r w:rsidRPr="00ED12E0" w:rsidR="00B71B70">
              <w:rPr>
                <w:sz w:val="16"/>
                <w:szCs w:val="16"/>
              </w:rPr>
              <w:t>MiCAR</w:t>
            </w:r>
            <w:proofErr w:type="spellEnd"/>
            <w:r w:rsidRPr="00ED12E0" w:rsidR="00D66B6B">
              <w:rPr>
                <w:sz w:val="16"/>
                <w:szCs w:val="16"/>
              </w:rPr>
              <w:t>)</w:t>
            </w:r>
            <w:r w:rsidRPr="00ED12E0" w:rsidR="00DB4A3E">
              <w:rPr>
                <w:sz w:val="16"/>
                <w:szCs w:val="16"/>
              </w:rPr>
              <w:t>.</w:t>
            </w:r>
          </w:p>
          <w:p w:rsidRPr="00ED12E0" w:rsidR="00767C6A" w:rsidP="00A914B6" w:rsidRDefault="00ED2FC2" w14:paraId="0CFDF001" w14:textId="27F3B908">
            <w:pPr>
              <w:widowControl w:val="0"/>
              <w:spacing w:before="120" w:after="120" w:line="276" w:lineRule="auto"/>
              <w:rPr>
                <w:sz w:val="16"/>
                <w:szCs w:val="16"/>
              </w:rPr>
            </w:pPr>
            <w:r w:rsidRPr="00ED12E0">
              <w:rPr>
                <w:sz w:val="16"/>
                <w:szCs w:val="16"/>
              </w:rPr>
              <w:t xml:space="preserve">b. </w:t>
            </w:r>
            <w:r w:rsidRPr="00ED12E0" w:rsidR="00BA0A64">
              <w:rPr>
                <w:sz w:val="16"/>
                <w:szCs w:val="16"/>
              </w:rPr>
              <w:t>Aanbieder</w:t>
            </w:r>
            <w:r w:rsidRPr="00ED12E0" w:rsidR="00DB4A3E">
              <w:rPr>
                <w:sz w:val="16"/>
                <w:szCs w:val="16"/>
              </w:rPr>
              <w:t>s</w:t>
            </w:r>
            <w:r w:rsidRPr="00ED12E0" w:rsidR="00BA0A64">
              <w:rPr>
                <w:sz w:val="16"/>
                <w:szCs w:val="16"/>
              </w:rPr>
              <w:t xml:space="preserve"> van cryptoactivadiensten</w:t>
            </w:r>
            <w:r w:rsidRPr="00ED12E0">
              <w:rPr>
                <w:sz w:val="16"/>
                <w:szCs w:val="16"/>
              </w:rPr>
              <w:t xml:space="preserve"> die</w:t>
            </w:r>
            <w:r w:rsidRPr="00ED12E0" w:rsidR="00BA0A64">
              <w:rPr>
                <w:sz w:val="16"/>
                <w:szCs w:val="16"/>
              </w:rPr>
              <w:t xml:space="preserve"> een</w:t>
            </w:r>
            <w:r w:rsidRPr="00ED12E0">
              <w:rPr>
                <w:sz w:val="16"/>
                <w:szCs w:val="16"/>
              </w:rPr>
              <w:t xml:space="preserve"> </w:t>
            </w:r>
            <w:r w:rsidRPr="00ED12E0" w:rsidR="00BA0A64">
              <w:rPr>
                <w:sz w:val="16"/>
                <w:szCs w:val="16"/>
              </w:rPr>
              <w:t>kennisgeving he</w:t>
            </w:r>
            <w:r w:rsidRPr="00ED12E0" w:rsidR="00DB4A3E">
              <w:rPr>
                <w:sz w:val="16"/>
                <w:szCs w:val="16"/>
              </w:rPr>
              <w:t>bben</w:t>
            </w:r>
            <w:r w:rsidRPr="00ED12E0" w:rsidR="00BA0A64">
              <w:rPr>
                <w:sz w:val="16"/>
                <w:szCs w:val="16"/>
              </w:rPr>
              <w:t xml:space="preserve"> gedaan</w:t>
            </w:r>
            <w:r w:rsidRPr="00ED12E0">
              <w:rPr>
                <w:sz w:val="16"/>
                <w:szCs w:val="16"/>
              </w:rPr>
              <w:t xml:space="preserve"> als bedoeld in artikel 60, </w:t>
            </w:r>
            <w:r w:rsidRPr="00ED12E0" w:rsidR="00A135B0">
              <w:rPr>
                <w:sz w:val="16"/>
                <w:szCs w:val="16"/>
              </w:rPr>
              <w:t xml:space="preserve">eerste tot en met zesde </w:t>
            </w:r>
            <w:r w:rsidRPr="00ED12E0" w:rsidR="00BA0A64">
              <w:rPr>
                <w:sz w:val="16"/>
                <w:szCs w:val="16"/>
              </w:rPr>
              <w:t>lid</w:t>
            </w:r>
            <w:r w:rsidRPr="00ED12E0">
              <w:rPr>
                <w:sz w:val="16"/>
                <w:szCs w:val="16"/>
              </w:rPr>
              <w:t xml:space="preserve">, van </w:t>
            </w:r>
            <w:r w:rsidRPr="00ED12E0" w:rsidR="00487842">
              <w:rPr>
                <w:sz w:val="16"/>
                <w:szCs w:val="16"/>
              </w:rPr>
              <w:t>V</w:t>
            </w:r>
            <w:r w:rsidRPr="00ED12E0">
              <w:rPr>
                <w:sz w:val="16"/>
                <w:szCs w:val="16"/>
              </w:rPr>
              <w:t>erordening (EU) 2023/1114</w:t>
            </w:r>
            <w:r w:rsidRPr="00ED12E0" w:rsidR="00D66B6B">
              <w:rPr>
                <w:sz w:val="16"/>
                <w:szCs w:val="16"/>
              </w:rPr>
              <w:t xml:space="preserve"> (</w:t>
            </w:r>
            <w:proofErr w:type="spellStart"/>
            <w:r w:rsidRPr="00ED12E0" w:rsidR="00B71B70">
              <w:rPr>
                <w:sz w:val="16"/>
                <w:szCs w:val="16"/>
              </w:rPr>
              <w:t>MiCAR</w:t>
            </w:r>
            <w:proofErr w:type="spellEnd"/>
            <w:r w:rsidRPr="00ED12E0" w:rsidR="00D66B6B">
              <w:rPr>
                <w:sz w:val="16"/>
                <w:szCs w:val="16"/>
              </w:rPr>
              <w:t>)</w:t>
            </w:r>
            <w:r w:rsidRPr="00ED12E0" w:rsidR="00DB4A3E">
              <w:rPr>
                <w:sz w:val="16"/>
                <w:szCs w:val="16"/>
              </w:rPr>
              <w:t>.</w:t>
            </w:r>
          </w:p>
          <w:p w:rsidRPr="00ED12E0" w:rsidR="00782F37" w:rsidP="00A914B6" w:rsidRDefault="00782F37" w14:paraId="50D4D8DC" w14:textId="226FEA1F">
            <w:pPr>
              <w:widowControl w:val="0"/>
              <w:spacing w:before="120" w:after="120" w:line="276" w:lineRule="auto"/>
              <w:rPr>
                <w:sz w:val="16"/>
                <w:szCs w:val="16"/>
              </w:rPr>
            </w:pPr>
            <w:r w:rsidRPr="00ED12E0">
              <w:rPr>
                <w:sz w:val="16"/>
                <w:szCs w:val="16"/>
              </w:rPr>
              <w:t xml:space="preserve">c. Aanbieders voor het wisselen tussen virtuele valuta en fiduciaire valuta die </w:t>
            </w:r>
            <w:r w:rsidRPr="00ED12E0" w:rsidR="00DB4A3E">
              <w:rPr>
                <w:sz w:val="16"/>
                <w:szCs w:val="16"/>
              </w:rPr>
              <w:t>hun diensten aanbieden op grond van artikel IV van de Uitvoeringswet verordening bij geldovermakingen en overdrachten van cryptoactiva te voegen informatie.</w:t>
            </w:r>
          </w:p>
          <w:p w:rsidRPr="00ED12E0" w:rsidR="00782F37" w:rsidP="00A914B6" w:rsidRDefault="00782F37" w14:paraId="1CE4475F" w14:textId="04DB304F">
            <w:pPr>
              <w:widowControl w:val="0"/>
              <w:spacing w:before="120" w:after="120" w:line="276" w:lineRule="auto"/>
              <w:rPr>
                <w:sz w:val="16"/>
                <w:szCs w:val="16"/>
              </w:rPr>
            </w:pPr>
            <w:r w:rsidRPr="00ED12E0">
              <w:rPr>
                <w:sz w:val="16"/>
                <w:szCs w:val="16"/>
              </w:rPr>
              <w:t xml:space="preserve">d. Aanbieders van bewaarportemonnees die </w:t>
            </w:r>
            <w:r w:rsidRPr="00ED12E0" w:rsidR="00DB4A3E">
              <w:rPr>
                <w:sz w:val="16"/>
                <w:szCs w:val="16"/>
              </w:rPr>
              <w:t>hun diensten aanbieden op grond van artikel IV van de Uitvoeringswet verordening bij geldovermakingen en overdrachten van cryptoactiva te voegen informatie.</w:t>
            </w:r>
          </w:p>
        </w:tc>
        <w:tc>
          <w:tcPr>
            <w:tcW w:w="4049" w:type="dxa"/>
          </w:tcPr>
          <w:p w:rsidRPr="00ED12E0" w:rsidR="00023063" w:rsidP="00A914B6" w:rsidRDefault="00023063" w14:paraId="3F806630" w14:textId="092563A6">
            <w:pPr>
              <w:widowControl w:val="0"/>
              <w:spacing w:before="120" w:after="120" w:line="276" w:lineRule="auto"/>
              <w:rPr>
                <w:sz w:val="16"/>
                <w:szCs w:val="16"/>
              </w:rPr>
            </w:pPr>
            <w:r w:rsidRPr="00ED12E0">
              <w:rPr>
                <w:sz w:val="16"/>
                <w:szCs w:val="16"/>
              </w:rPr>
              <w:t xml:space="preserve">a. Aangeboden cryptoactivadiensten als bedoeld in artikel 16, eerste lid, onderdeel 16, van </w:t>
            </w:r>
            <w:r w:rsidRPr="00ED12E0" w:rsidR="00487842">
              <w:rPr>
                <w:sz w:val="16"/>
                <w:szCs w:val="16"/>
              </w:rPr>
              <w:t>V</w:t>
            </w:r>
            <w:r w:rsidRPr="00ED12E0">
              <w:rPr>
                <w:sz w:val="16"/>
                <w:szCs w:val="16"/>
              </w:rPr>
              <w:t>erordening (EU) 2023/1114 (</w:t>
            </w:r>
            <w:proofErr w:type="spellStart"/>
            <w:r w:rsidRPr="00ED12E0" w:rsidR="00B71B70">
              <w:rPr>
                <w:sz w:val="16"/>
                <w:szCs w:val="16"/>
              </w:rPr>
              <w:t>MiCAR</w:t>
            </w:r>
            <w:proofErr w:type="spellEnd"/>
            <w:r w:rsidRPr="00ED12E0">
              <w:rPr>
                <w:sz w:val="16"/>
                <w:szCs w:val="16"/>
              </w:rPr>
              <w:t>).</w:t>
            </w:r>
          </w:p>
          <w:p w:rsidRPr="00ED12E0" w:rsidR="00767C6A" w:rsidP="00A914B6" w:rsidRDefault="00023063" w14:paraId="624C334C" w14:textId="34D0E9A5">
            <w:pPr>
              <w:widowControl w:val="0"/>
              <w:spacing w:before="120" w:after="120" w:line="276" w:lineRule="auto"/>
              <w:rPr>
                <w:sz w:val="16"/>
                <w:szCs w:val="16"/>
              </w:rPr>
            </w:pPr>
            <w:r w:rsidRPr="00ED12E0">
              <w:rPr>
                <w:sz w:val="16"/>
                <w:szCs w:val="16"/>
              </w:rPr>
              <w:t>b</w:t>
            </w:r>
            <w:r w:rsidRPr="00ED12E0" w:rsidR="00767C6A">
              <w:rPr>
                <w:sz w:val="16"/>
                <w:szCs w:val="16"/>
              </w:rPr>
              <w:t xml:space="preserve">. Omzet gerelateerd aan de </w:t>
            </w:r>
            <w:r w:rsidRPr="00ED12E0">
              <w:rPr>
                <w:sz w:val="16"/>
                <w:szCs w:val="16"/>
              </w:rPr>
              <w:t>aangeboden cryptoactivadiensten</w:t>
            </w:r>
            <w:r w:rsidRPr="00ED12E0" w:rsidR="00767C6A">
              <w:rPr>
                <w:sz w:val="16"/>
                <w:szCs w:val="16"/>
              </w:rPr>
              <w:t>.</w:t>
            </w:r>
          </w:p>
          <w:p w:rsidRPr="00ED12E0" w:rsidR="00A11EFD" w:rsidP="00A914B6" w:rsidRDefault="00023063" w14:paraId="29158F44" w14:textId="77777777">
            <w:pPr>
              <w:widowControl w:val="0"/>
              <w:spacing w:before="120" w:after="120" w:line="276" w:lineRule="auto"/>
              <w:rPr>
                <w:sz w:val="16"/>
                <w:szCs w:val="16"/>
              </w:rPr>
            </w:pPr>
            <w:r w:rsidRPr="00ED12E0">
              <w:rPr>
                <w:sz w:val="16"/>
                <w:szCs w:val="16"/>
              </w:rPr>
              <w:t>c</w:t>
            </w:r>
            <w:r w:rsidRPr="00ED12E0" w:rsidR="00ED2FC2">
              <w:rPr>
                <w:sz w:val="16"/>
                <w:szCs w:val="16"/>
              </w:rPr>
              <w:t xml:space="preserve">. </w:t>
            </w:r>
            <w:r w:rsidRPr="00ED12E0">
              <w:rPr>
                <w:sz w:val="16"/>
                <w:szCs w:val="16"/>
              </w:rPr>
              <w:t>Bruto provisie-inkomsten gerelateerd aan de aangeboden cryptoactivadiensten</w:t>
            </w:r>
            <w:r w:rsidRPr="00ED12E0" w:rsidR="00BA0A64">
              <w:rPr>
                <w:sz w:val="16"/>
                <w:szCs w:val="16"/>
              </w:rPr>
              <w:t>.</w:t>
            </w:r>
          </w:p>
          <w:p w:rsidRPr="00ED12E0" w:rsidR="009370D6" w:rsidP="00A914B6" w:rsidRDefault="009370D6" w14:paraId="4F89D24F" w14:textId="1E91C52E">
            <w:pPr>
              <w:widowControl w:val="0"/>
              <w:spacing w:before="120" w:after="120" w:line="276" w:lineRule="auto"/>
              <w:rPr>
                <w:sz w:val="16"/>
                <w:szCs w:val="16"/>
              </w:rPr>
            </w:pPr>
            <w:r w:rsidRPr="00ED12E0">
              <w:rPr>
                <w:sz w:val="16"/>
                <w:szCs w:val="16"/>
              </w:rPr>
              <w:t>d. Aantal transacties.</w:t>
            </w:r>
          </w:p>
          <w:p w:rsidRPr="00ED12E0" w:rsidR="002268D7" w:rsidP="00A914B6" w:rsidRDefault="009370D6" w14:paraId="0B3FEAEE" w14:textId="768F669C">
            <w:pPr>
              <w:widowControl w:val="0"/>
              <w:spacing w:before="120" w:after="120" w:line="276" w:lineRule="auto"/>
              <w:rPr>
                <w:sz w:val="16"/>
                <w:szCs w:val="16"/>
              </w:rPr>
            </w:pPr>
            <w:r w:rsidRPr="00ED12E0">
              <w:rPr>
                <w:sz w:val="16"/>
                <w:szCs w:val="16"/>
              </w:rPr>
              <w:t>e</w:t>
            </w:r>
            <w:r w:rsidRPr="00ED12E0" w:rsidR="002268D7">
              <w:rPr>
                <w:sz w:val="16"/>
                <w:szCs w:val="16"/>
              </w:rPr>
              <w:t>. Omzet verkregen uit het aanbieden van diensten voor het wisselen tussen virtuele valuta en fiduciaire valuta.</w:t>
            </w:r>
          </w:p>
          <w:p w:rsidRPr="00ED12E0" w:rsidR="002268D7" w:rsidP="00A914B6" w:rsidRDefault="009370D6" w14:paraId="7C92D07D" w14:textId="6D7EAE0D">
            <w:pPr>
              <w:spacing w:before="120" w:after="120"/>
              <w:rPr>
                <w:sz w:val="16"/>
                <w:szCs w:val="16"/>
              </w:rPr>
            </w:pPr>
            <w:r w:rsidRPr="00ED12E0">
              <w:rPr>
                <w:sz w:val="16"/>
                <w:szCs w:val="16"/>
              </w:rPr>
              <w:t>f</w:t>
            </w:r>
            <w:r w:rsidRPr="00ED12E0" w:rsidR="002268D7">
              <w:rPr>
                <w:sz w:val="16"/>
                <w:szCs w:val="16"/>
              </w:rPr>
              <w:t>. Omzet verkregen uit het aanbieden van bewaarportemonnees.</w:t>
            </w:r>
          </w:p>
        </w:tc>
      </w:tr>
      <w:bookmarkEnd w:id="4"/>
    </w:tbl>
    <w:p w:rsidRPr="00ED12E0" w:rsidR="00D66B6B" w:rsidP="00E3357E" w:rsidRDefault="00D66B6B" w14:paraId="4E22CA5D" w14:textId="77777777">
      <w:pPr>
        <w:widowControl w:val="0"/>
        <w:spacing w:line="276" w:lineRule="auto"/>
        <w:rPr>
          <w:szCs w:val="18"/>
        </w:rPr>
      </w:pPr>
    </w:p>
    <w:p w:rsidRPr="00ED12E0" w:rsidR="00D66B6B" w:rsidP="00E3357E" w:rsidRDefault="00D66B6B" w14:paraId="0A7C87EA" w14:textId="77777777">
      <w:pPr>
        <w:widowControl w:val="0"/>
        <w:spacing w:line="276" w:lineRule="auto"/>
        <w:rPr>
          <w:szCs w:val="18"/>
        </w:rPr>
      </w:pPr>
    </w:p>
    <w:p w:rsidRPr="00ED12E0" w:rsidR="001C0B05" w:rsidP="00E3357E" w:rsidRDefault="00883D10" w14:paraId="21B4E541" w14:textId="77777777">
      <w:pPr>
        <w:widowControl w:val="0"/>
        <w:spacing w:line="276" w:lineRule="auto"/>
        <w:rPr>
          <w:szCs w:val="18"/>
        </w:rPr>
      </w:pPr>
      <w:r w:rsidRPr="00ED12E0">
        <w:rPr>
          <w:szCs w:val="18"/>
        </w:rPr>
        <w:t>8</w:t>
      </w:r>
      <w:r w:rsidRPr="00ED12E0" w:rsidR="000721BE">
        <w:rPr>
          <w:szCs w:val="18"/>
        </w:rPr>
        <w:t xml:space="preserve">. </w:t>
      </w:r>
      <w:r w:rsidRPr="00ED12E0" w:rsidR="004B3830">
        <w:rPr>
          <w:szCs w:val="18"/>
        </w:rPr>
        <w:t>Het opschrift</w:t>
      </w:r>
      <w:r w:rsidRPr="00ED12E0" w:rsidR="000721BE">
        <w:rPr>
          <w:szCs w:val="18"/>
        </w:rPr>
        <w:t xml:space="preserve"> van onderdeel 11 (nieuw) komt te luiden</w:t>
      </w:r>
      <w:r w:rsidRPr="00ED12E0" w:rsidR="002D2C26">
        <w:rPr>
          <w:szCs w:val="18"/>
        </w:rPr>
        <w:t>:</w:t>
      </w:r>
      <w:r w:rsidRPr="00ED12E0" w:rsidR="000721BE">
        <w:rPr>
          <w:szCs w:val="18"/>
        </w:rPr>
        <w:t xml:space="preserve"> </w:t>
      </w:r>
    </w:p>
    <w:p w:rsidRPr="00ED12E0" w:rsidR="000721BE" w:rsidP="00E3357E" w:rsidRDefault="000721BE" w14:paraId="730BEB99" w14:textId="271D14D5">
      <w:pPr>
        <w:widowControl w:val="0"/>
        <w:spacing w:line="276" w:lineRule="auto"/>
        <w:rPr>
          <w:szCs w:val="18"/>
        </w:rPr>
      </w:pPr>
      <w:r w:rsidRPr="00ED12E0">
        <w:rPr>
          <w:szCs w:val="18"/>
        </w:rPr>
        <w:t>11. Financiële infrastructuur</w:t>
      </w:r>
    </w:p>
    <w:p w:rsidRPr="00ED12E0" w:rsidR="000721BE" w:rsidP="00E3357E" w:rsidRDefault="000721BE" w14:paraId="73A4D40B" w14:textId="77777777">
      <w:pPr>
        <w:widowControl w:val="0"/>
        <w:spacing w:line="276" w:lineRule="auto"/>
        <w:rPr>
          <w:szCs w:val="18"/>
        </w:rPr>
      </w:pPr>
    </w:p>
    <w:p w:rsidRPr="00ED12E0" w:rsidR="00767C6A" w:rsidP="00E3357E" w:rsidRDefault="00883D10" w14:paraId="60E2812C" w14:textId="407CD39D">
      <w:pPr>
        <w:widowControl w:val="0"/>
        <w:spacing w:line="276" w:lineRule="auto"/>
        <w:rPr>
          <w:szCs w:val="18"/>
        </w:rPr>
      </w:pPr>
      <w:r w:rsidRPr="00ED12E0">
        <w:rPr>
          <w:szCs w:val="18"/>
        </w:rPr>
        <w:t>9</w:t>
      </w:r>
      <w:r w:rsidRPr="00ED12E0" w:rsidR="00767C6A">
        <w:rPr>
          <w:szCs w:val="18"/>
        </w:rPr>
        <w:t xml:space="preserve">. </w:t>
      </w:r>
      <w:r w:rsidRPr="00ED12E0" w:rsidR="00EE5972">
        <w:rPr>
          <w:szCs w:val="18"/>
        </w:rPr>
        <w:t>Aan</w:t>
      </w:r>
      <w:r w:rsidRPr="00ED12E0" w:rsidR="00767C6A">
        <w:rPr>
          <w:szCs w:val="18"/>
        </w:rPr>
        <w:t xml:space="preserve"> onderdeel </w:t>
      </w:r>
      <w:r w:rsidRPr="00ED12E0" w:rsidR="00EE5972">
        <w:rPr>
          <w:szCs w:val="18"/>
        </w:rPr>
        <w:t>11</w:t>
      </w:r>
      <w:r w:rsidRPr="00ED12E0" w:rsidR="000721BE">
        <w:rPr>
          <w:szCs w:val="18"/>
        </w:rPr>
        <w:t xml:space="preserve"> (nieuw)</w:t>
      </w:r>
      <w:r w:rsidRPr="00ED12E0" w:rsidR="00767C6A">
        <w:rPr>
          <w:szCs w:val="18"/>
        </w:rPr>
        <w:t>, kolom Personen, word</w:t>
      </w:r>
      <w:r w:rsidRPr="00ED12E0" w:rsidR="006D03FA">
        <w:rPr>
          <w:szCs w:val="18"/>
        </w:rPr>
        <w:t>en twee</w:t>
      </w:r>
      <w:r w:rsidRPr="00ED12E0" w:rsidR="00767C6A">
        <w:rPr>
          <w:szCs w:val="18"/>
        </w:rPr>
        <w:t xml:space="preserve"> onderde</w:t>
      </w:r>
      <w:r w:rsidRPr="00ED12E0" w:rsidR="006D03FA">
        <w:rPr>
          <w:szCs w:val="18"/>
        </w:rPr>
        <w:t>len</w:t>
      </w:r>
      <w:r w:rsidRPr="00ED12E0" w:rsidR="00767C6A">
        <w:rPr>
          <w:szCs w:val="18"/>
        </w:rPr>
        <w:t xml:space="preserve"> toegevoegd, luidende:</w:t>
      </w:r>
    </w:p>
    <w:p w:rsidRPr="00ED12E0" w:rsidR="00767C6A" w:rsidP="00E3357E" w:rsidRDefault="00767C6A" w14:paraId="2CE9624C" w14:textId="4DADF143">
      <w:pPr>
        <w:spacing w:line="276" w:lineRule="auto"/>
        <w:rPr>
          <w:szCs w:val="18"/>
        </w:rPr>
      </w:pPr>
      <w:r w:rsidRPr="00ED12E0">
        <w:rPr>
          <w:szCs w:val="18"/>
        </w:rPr>
        <w:lastRenderedPageBreak/>
        <w:t xml:space="preserve">m. </w:t>
      </w:r>
      <w:r w:rsidRPr="00ED12E0" w:rsidR="00EE5972">
        <w:rPr>
          <w:szCs w:val="18"/>
        </w:rPr>
        <w:t>C</w:t>
      </w:r>
      <w:r w:rsidRPr="00ED12E0">
        <w:rPr>
          <w:szCs w:val="18"/>
        </w:rPr>
        <w:t xml:space="preserve">entrale </w:t>
      </w:r>
      <w:proofErr w:type="spellStart"/>
      <w:r w:rsidRPr="00ED12E0">
        <w:rPr>
          <w:szCs w:val="18"/>
        </w:rPr>
        <w:t>effectenbewaarinstelling</w:t>
      </w:r>
      <w:proofErr w:type="spellEnd"/>
      <w:r w:rsidRPr="00ED12E0">
        <w:rPr>
          <w:szCs w:val="18"/>
        </w:rPr>
        <w:t xml:space="preserve"> waaraan een vergunning is verleend als bedoeld in artikel 16, eerste lid, of artikel 19, eerste lid, van </w:t>
      </w:r>
      <w:r w:rsidRPr="00ED12E0" w:rsidR="00487842">
        <w:rPr>
          <w:szCs w:val="18"/>
        </w:rPr>
        <w:t>V</w:t>
      </w:r>
      <w:r w:rsidRPr="00ED12E0">
        <w:rPr>
          <w:szCs w:val="18"/>
        </w:rPr>
        <w:t>erordening (EU) nr. 909/2014</w:t>
      </w:r>
      <w:r w:rsidRPr="00ED12E0" w:rsidR="001C0B05">
        <w:rPr>
          <w:szCs w:val="18"/>
        </w:rPr>
        <w:t xml:space="preserve"> (CSDR)</w:t>
      </w:r>
      <w:r w:rsidRPr="00ED12E0">
        <w:rPr>
          <w:szCs w:val="18"/>
        </w:rPr>
        <w:t>.</w:t>
      </w:r>
    </w:p>
    <w:p w:rsidRPr="00ED12E0" w:rsidR="00EE5972" w:rsidP="00E3357E" w:rsidRDefault="00EE5972" w14:paraId="1C2624FC" w14:textId="358ED4E2">
      <w:pPr>
        <w:spacing w:line="276" w:lineRule="auto"/>
        <w:rPr>
          <w:szCs w:val="18"/>
        </w:rPr>
      </w:pPr>
      <w:r w:rsidRPr="00ED12E0">
        <w:rPr>
          <w:szCs w:val="18"/>
        </w:rPr>
        <w:t xml:space="preserve">n. Tegenpartij waaraan een vergunning is verleend als bedoeld in artikel 14 van </w:t>
      </w:r>
      <w:r w:rsidRPr="00ED12E0" w:rsidR="00C44763">
        <w:rPr>
          <w:szCs w:val="18"/>
        </w:rPr>
        <w:t>V</w:t>
      </w:r>
      <w:r w:rsidRPr="00ED12E0">
        <w:rPr>
          <w:szCs w:val="18"/>
        </w:rPr>
        <w:t>erordening (EU) nr. 648/2012 (EMIR).</w:t>
      </w:r>
    </w:p>
    <w:p w:rsidRPr="00ED12E0" w:rsidR="00767C6A" w:rsidP="00E3357E" w:rsidRDefault="00767C6A" w14:paraId="76F02E99" w14:textId="77389B04">
      <w:pPr>
        <w:spacing w:line="276" w:lineRule="auto"/>
        <w:rPr>
          <w:szCs w:val="18"/>
        </w:rPr>
      </w:pPr>
    </w:p>
    <w:p w:rsidRPr="00ED12E0" w:rsidR="00767C6A" w:rsidP="00E3357E" w:rsidRDefault="00883D10" w14:paraId="519FD6F9" w14:textId="0B97FA04">
      <w:pPr>
        <w:spacing w:line="276" w:lineRule="auto"/>
        <w:rPr>
          <w:szCs w:val="18"/>
        </w:rPr>
      </w:pPr>
      <w:r w:rsidRPr="00ED12E0">
        <w:rPr>
          <w:szCs w:val="18"/>
        </w:rPr>
        <w:t>10</w:t>
      </w:r>
      <w:r w:rsidRPr="00ED12E0" w:rsidR="006D10C7">
        <w:rPr>
          <w:szCs w:val="18"/>
        </w:rPr>
        <w:t>.</w:t>
      </w:r>
      <w:r w:rsidRPr="00ED12E0" w:rsidR="00767C6A">
        <w:rPr>
          <w:szCs w:val="18"/>
        </w:rPr>
        <w:t xml:space="preserve"> </w:t>
      </w:r>
      <w:r w:rsidRPr="00ED12E0" w:rsidR="00EE5972">
        <w:rPr>
          <w:szCs w:val="18"/>
        </w:rPr>
        <w:t>Aan</w:t>
      </w:r>
      <w:r w:rsidRPr="00ED12E0" w:rsidR="00767C6A">
        <w:rPr>
          <w:szCs w:val="18"/>
        </w:rPr>
        <w:t xml:space="preserve"> onderdeel 1</w:t>
      </w:r>
      <w:r w:rsidRPr="00ED12E0" w:rsidR="00EE5972">
        <w:rPr>
          <w:szCs w:val="18"/>
        </w:rPr>
        <w:t>1</w:t>
      </w:r>
      <w:r w:rsidRPr="00ED12E0" w:rsidR="000721BE">
        <w:rPr>
          <w:szCs w:val="18"/>
        </w:rPr>
        <w:t xml:space="preserve"> (nieuw)</w:t>
      </w:r>
      <w:r w:rsidRPr="00ED12E0" w:rsidR="00767C6A">
        <w:rPr>
          <w:szCs w:val="18"/>
        </w:rPr>
        <w:t xml:space="preserve">, kolom Maatstaven, </w:t>
      </w:r>
      <w:r w:rsidRPr="00ED12E0" w:rsidR="00EE5972">
        <w:rPr>
          <w:szCs w:val="18"/>
        </w:rPr>
        <w:t>worden twee</w:t>
      </w:r>
      <w:r w:rsidRPr="00ED12E0" w:rsidR="00767C6A">
        <w:rPr>
          <w:szCs w:val="18"/>
        </w:rPr>
        <w:t xml:space="preserve"> onderde</w:t>
      </w:r>
      <w:r w:rsidRPr="00ED12E0" w:rsidR="00EE5972">
        <w:rPr>
          <w:szCs w:val="18"/>
        </w:rPr>
        <w:t>len</w:t>
      </w:r>
      <w:r w:rsidRPr="00ED12E0" w:rsidR="00767C6A">
        <w:rPr>
          <w:szCs w:val="18"/>
        </w:rPr>
        <w:t xml:space="preserve"> toegevoegd, luidende:</w:t>
      </w:r>
    </w:p>
    <w:p w:rsidRPr="00ED12E0" w:rsidR="00767C6A" w:rsidP="00E3357E" w:rsidRDefault="00767C6A" w14:paraId="6406816B" w14:textId="09CD98CF">
      <w:pPr>
        <w:spacing w:line="276" w:lineRule="auto"/>
        <w:rPr>
          <w:szCs w:val="18"/>
        </w:rPr>
      </w:pPr>
      <w:r w:rsidRPr="00ED12E0">
        <w:rPr>
          <w:szCs w:val="18"/>
        </w:rPr>
        <w:t xml:space="preserve">e. Het aantal afwikkelingsinstructies dat de centrale </w:t>
      </w:r>
      <w:proofErr w:type="spellStart"/>
      <w:r w:rsidRPr="00ED12E0">
        <w:rPr>
          <w:szCs w:val="18"/>
        </w:rPr>
        <w:t>effectenbewaarinstelling</w:t>
      </w:r>
      <w:proofErr w:type="spellEnd"/>
      <w:r w:rsidRPr="00ED12E0">
        <w:rPr>
          <w:szCs w:val="18"/>
        </w:rPr>
        <w:t xml:space="preserve"> verwerkt.</w:t>
      </w:r>
    </w:p>
    <w:p w:rsidRPr="00ED12E0" w:rsidR="00EE5972" w:rsidP="00E3357E" w:rsidRDefault="00EE5972" w14:paraId="0A6879E8" w14:textId="4389C18F">
      <w:pPr>
        <w:spacing w:line="276" w:lineRule="auto"/>
        <w:rPr>
          <w:szCs w:val="18"/>
        </w:rPr>
      </w:pPr>
      <w:r w:rsidRPr="00ED12E0">
        <w:rPr>
          <w:szCs w:val="18"/>
        </w:rPr>
        <w:t xml:space="preserve">f. De aan de hand van de artikelen 41, 42 en 43 van </w:t>
      </w:r>
      <w:r w:rsidRPr="00ED12E0" w:rsidR="00C44763">
        <w:rPr>
          <w:szCs w:val="18"/>
        </w:rPr>
        <w:t>V</w:t>
      </w:r>
      <w:r w:rsidRPr="00ED12E0">
        <w:rPr>
          <w:szCs w:val="18"/>
        </w:rPr>
        <w:t>erordening (EU) nr. 648/2012 (EMIR) te bepalen waarde van het geheel aan middelen dat de centrale tegenpartij aanhoudt ter dekking van de risico’s die zij loopt.</w:t>
      </w:r>
    </w:p>
    <w:p w:rsidRPr="00ED12E0" w:rsidR="00767C6A" w:rsidP="00E3357E" w:rsidRDefault="00767C6A" w14:paraId="1C976550" w14:textId="77777777">
      <w:pPr>
        <w:widowControl w:val="0"/>
        <w:spacing w:line="276" w:lineRule="auto"/>
        <w:rPr>
          <w:szCs w:val="18"/>
        </w:rPr>
      </w:pPr>
    </w:p>
    <w:p w:rsidRPr="00ED12E0" w:rsidR="00EA2B4D" w:rsidP="00E3357E" w:rsidRDefault="00B85AC1" w14:paraId="078F735D" w14:textId="3E040D2F">
      <w:pPr>
        <w:widowControl w:val="0"/>
        <w:spacing w:line="276" w:lineRule="auto"/>
        <w:rPr>
          <w:szCs w:val="18"/>
        </w:rPr>
      </w:pPr>
      <w:r w:rsidRPr="00ED12E0">
        <w:rPr>
          <w:szCs w:val="18"/>
        </w:rPr>
        <w:t>1</w:t>
      </w:r>
      <w:r w:rsidRPr="00ED12E0" w:rsidR="00883D10">
        <w:rPr>
          <w:szCs w:val="18"/>
        </w:rPr>
        <w:t>1</w:t>
      </w:r>
      <w:r w:rsidRPr="00ED12E0" w:rsidR="00B35BD3">
        <w:rPr>
          <w:szCs w:val="18"/>
        </w:rPr>
        <w:t xml:space="preserve">. In </w:t>
      </w:r>
      <w:r w:rsidRPr="00ED12E0" w:rsidR="00ED3118">
        <w:rPr>
          <w:szCs w:val="18"/>
        </w:rPr>
        <w:t>onderdeel 1</w:t>
      </w:r>
      <w:r w:rsidRPr="00ED12E0" w:rsidR="000721BE">
        <w:rPr>
          <w:szCs w:val="18"/>
        </w:rPr>
        <w:t>3 (nieuw)</w:t>
      </w:r>
      <w:r w:rsidRPr="00ED12E0" w:rsidR="00ED3118">
        <w:rPr>
          <w:szCs w:val="18"/>
        </w:rPr>
        <w:t>, kolom Personen</w:t>
      </w:r>
      <w:r w:rsidRPr="00ED12E0" w:rsidR="00B35BD3">
        <w:rPr>
          <w:szCs w:val="18"/>
        </w:rPr>
        <w:t>, wordt</w:t>
      </w:r>
      <w:r w:rsidRPr="00ED12E0" w:rsidR="00ED3118">
        <w:rPr>
          <w:szCs w:val="18"/>
        </w:rPr>
        <w:t xml:space="preserve"> na “Levensverzekeraars waaraan een vergunning is verleend als bedoeld in artikel 2:27, eerste lid,” ingevoegd “onderscheidenlijk 2:48, eerste lid</w:t>
      </w:r>
      <w:r w:rsidRPr="00ED12E0" w:rsidR="00B35BD3">
        <w:rPr>
          <w:szCs w:val="18"/>
        </w:rPr>
        <w:t>,</w:t>
      </w:r>
      <w:r w:rsidRPr="00ED12E0" w:rsidR="00ED3118">
        <w:rPr>
          <w:szCs w:val="18"/>
        </w:rPr>
        <w:t>”.</w:t>
      </w:r>
    </w:p>
    <w:bookmarkEnd w:id="3"/>
    <w:p w:rsidRPr="00ED12E0" w:rsidR="00EA2B4D" w:rsidP="00E3357E" w:rsidRDefault="00EA2B4D" w14:paraId="25497654" w14:textId="3F3DEDE2">
      <w:pPr>
        <w:spacing w:line="276" w:lineRule="auto"/>
      </w:pPr>
    </w:p>
    <w:p w:rsidRPr="00ED12E0" w:rsidR="001F01A4" w:rsidP="00E3357E" w:rsidRDefault="00287F8C" w14:paraId="45DBD702" w14:textId="0F3EC688">
      <w:pPr>
        <w:spacing w:line="276" w:lineRule="auto"/>
      </w:pPr>
      <w:r w:rsidRPr="00ED12E0">
        <w:t>E</w:t>
      </w:r>
    </w:p>
    <w:p w:rsidRPr="00ED12E0" w:rsidR="001F01A4" w:rsidP="00E3357E" w:rsidRDefault="001F01A4" w14:paraId="7C7CF8BA" w14:textId="615EFF6A">
      <w:pPr>
        <w:spacing w:line="276" w:lineRule="auto"/>
      </w:pPr>
    </w:p>
    <w:p w:rsidRPr="00ED12E0" w:rsidR="001F01A4" w:rsidP="00E3357E" w:rsidRDefault="001F01A4" w14:paraId="4F0F1D2D" w14:textId="23383711">
      <w:pPr>
        <w:spacing w:line="276" w:lineRule="auto"/>
      </w:pPr>
      <w:r w:rsidRPr="00ED12E0">
        <w:t>Bijlage 2, onderdeel A, komt te luiden:</w:t>
      </w:r>
    </w:p>
    <w:p w:rsidRPr="00ED12E0" w:rsidR="002D2C26" w:rsidP="00E3357E" w:rsidRDefault="002D2C26" w14:paraId="522520B6" w14:textId="77777777">
      <w:pPr>
        <w:spacing w:line="276" w:lineRule="auto"/>
        <w:rPr>
          <w:b/>
          <w:bCs/>
        </w:rPr>
      </w:pPr>
    </w:p>
    <w:p w:rsidRPr="00ED12E0" w:rsidR="00533583" w:rsidP="00E3357E" w:rsidRDefault="001F01A4" w14:paraId="00FA9B35" w14:textId="2CD3BDCD">
      <w:pPr>
        <w:spacing w:line="276" w:lineRule="auto"/>
        <w:rPr>
          <w:b/>
          <w:bCs/>
        </w:rPr>
      </w:pPr>
      <w:r w:rsidRPr="00ED12E0">
        <w:rPr>
          <w:b/>
          <w:bCs/>
        </w:rPr>
        <w:t>A. Toezichtcategorieën</w:t>
      </w:r>
    </w:p>
    <w:p w:rsidRPr="00ED12E0" w:rsidR="00487842" w:rsidP="00E3357E" w:rsidRDefault="00487842" w14:paraId="3FC3C30F" w14:textId="77777777">
      <w:pPr>
        <w:spacing w:line="276" w:lineRule="auto"/>
      </w:pPr>
    </w:p>
    <w:p w:rsidRPr="00ED12E0" w:rsidR="001F01A4" w:rsidP="00E3357E" w:rsidRDefault="001F01A4" w14:paraId="11D4C7E7" w14:textId="15D24C3F">
      <w:pPr>
        <w:spacing w:line="276" w:lineRule="auto"/>
      </w:pPr>
      <w:r w:rsidRPr="00ED12E0">
        <w:t>1. Banken</w:t>
      </w:r>
      <w:r w:rsidRPr="00ED12E0" w:rsidR="00477C2E">
        <w:t xml:space="preserve"> </w:t>
      </w:r>
      <w:r w:rsidRPr="00ED12E0" w:rsidR="00A135B0">
        <w:t>en kredietunies</w:t>
      </w:r>
      <w:r w:rsidRPr="00ED12E0">
        <w:t>;</w:t>
      </w:r>
    </w:p>
    <w:p w:rsidRPr="00ED12E0" w:rsidR="00477C2E" w:rsidP="00E3357E" w:rsidRDefault="001F01A4" w14:paraId="34DFCAB7" w14:textId="33EA3980">
      <w:pPr>
        <w:spacing w:line="276" w:lineRule="auto"/>
      </w:pPr>
      <w:r w:rsidRPr="00ED12E0">
        <w:t>2. Beheerders van beleggingsinstellingen en icbe’s, beleggingsondernemingen, bewaarders</w:t>
      </w:r>
      <w:r w:rsidRPr="00ED12E0" w:rsidR="00477C2E">
        <w:t xml:space="preserve">, </w:t>
      </w:r>
      <w:r w:rsidRPr="00ED12E0">
        <w:t>marktexploitanten die een MTF of georganiseerde handelsfaciliteit exploiteren</w:t>
      </w:r>
      <w:r w:rsidRPr="00ED12E0" w:rsidR="00E65DE0">
        <w:t xml:space="preserve">, </w:t>
      </w:r>
      <w:r w:rsidRPr="00ED12E0" w:rsidR="00533583">
        <w:t>uitgevers van activagerelateerde tokens</w:t>
      </w:r>
      <w:r w:rsidRPr="00ED12E0" w:rsidR="00E65DE0">
        <w:t xml:space="preserve"> </w:t>
      </w:r>
      <w:r w:rsidRPr="00ED12E0" w:rsidR="00533583">
        <w:t>en cryptoactivadienstverleners</w:t>
      </w:r>
      <w:r w:rsidRPr="00ED12E0" w:rsidR="00A135B0">
        <w:t>;</w:t>
      </w:r>
    </w:p>
    <w:p w:rsidRPr="00ED12E0" w:rsidR="001F01A4" w:rsidP="00E3357E" w:rsidRDefault="001F01A4" w14:paraId="248F4787" w14:textId="14E52F61">
      <w:pPr>
        <w:spacing w:line="276" w:lineRule="auto"/>
      </w:pPr>
      <w:r w:rsidRPr="00ED12E0">
        <w:t>3. Betaalinstellingen, clearinginstellingen</w:t>
      </w:r>
      <w:r w:rsidRPr="00ED12E0" w:rsidR="00477C2E">
        <w:t xml:space="preserve"> en </w:t>
      </w:r>
      <w:r w:rsidRPr="00ED12E0">
        <w:t>elektronischgeldinstellingen;</w:t>
      </w:r>
    </w:p>
    <w:p w:rsidRPr="00ED12E0" w:rsidR="001F01A4" w:rsidP="00E3357E" w:rsidRDefault="001F01A4" w14:paraId="53DE153B" w14:textId="37574D78">
      <w:pPr>
        <w:spacing w:line="276" w:lineRule="auto"/>
      </w:pPr>
      <w:r w:rsidRPr="00ED12E0">
        <w:t>4. Depositogarantiestelsel: banken</w:t>
      </w:r>
      <w:r w:rsidRPr="00ED12E0" w:rsidR="00477C2E">
        <w:t>;</w:t>
      </w:r>
    </w:p>
    <w:p w:rsidRPr="00ED12E0" w:rsidR="001F01A4" w:rsidP="00E3357E" w:rsidRDefault="001F01A4" w14:paraId="2449372A" w14:textId="2B43B509">
      <w:pPr>
        <w:spacing w:line="276" w:lineRule="auto"/>
      </w:pPr>
      <w:r w:rsidRPr="00ED12E0">
        <w:t>5. Pensioenfondsen en premiepensioeninstellingen;</w:t>
      </w:r>
    </w:p>
    <w:p w:rsidRPr="00ED12E0" w:rsidR="001F01A4" w:rsidP="00E3357E" w:rsidRDefault="001F01A4" w14:paraId="59053A02" w14:textId="5F84D5D6">
      <w:pPr>
        <w:spacing w:line="276" w:lineRule="auto"/>
      </w:pPr>
      <w:r w:rsidRPr="00ED12E0">
        <w:t>6. Resolutie: Banken en beleggingsondernemingen;</w:t>
      </w:r>
    </w:p>
    <w:p w:rsidRPr="00ED12E0" w:rsidR="001F01A4" w:rsidP="00E3357E" w:rsidRDefault="001F01A4" w14:paraId="6AF27367" w14:textId="060C5C18">
      <w:pPr>
        <w:spacing w:line="276" w:lineRule="auto"/>
      </w:pPr>
      <w:r w:rsidRPr="00ED12E0">
        <w:t>7. Resolutie: Verzekeraars;</w:t>
      </w:r>
    </w:p>
    <w:p w:rsidRPr="00ED12E0" w:rsidR="001F01A4" w:rsidP="00E3357E" w:rsidRDefault="001F01A4" w14:paraId="70BAA8FE" w14:textId="2335C708">
      <w:pPr>
        <w:spacing w:line="276" w:lineRule="auto"/>
      </w:pPr>
      <w:r w:rsidRPr="00ED12E0">
        <w:t>8. Trustkantoren;</w:t>
      </w:r>
    </w:p>
    <w:p w:rsidRPr="00ED12E0" w:rsidR="001F01A4" w:rsidP="00E3357E" w:rsidRDefault="001F01A4" w14:paraId="3762EBEF" w14:textId="61214E3A">
      <w:pPr>
        <w:spacing w:line="276" w:lineRule="auto"/>
      </w:pPr>
      <w:r w:rsidRPr="00ED12E0">
        <w:t>9. Verzekeraars niet zijnde zorgverzekeraars;</w:t>
      </w:r>
    </w:p>
    <w:p w:rsidRPr="00ED12E0" w:rsidR="001F01A4" w:rsidP="00E3357E" w:rsidRDefault="001F01A4" w14:paraId="0C3CC753" w14:textId="55C2FC7B">
      <w:pPr>
        <w:spacing w:line="276" w:lineRule="auto"/>
      </w:pPr>
      <w:r w:rsidRPr="00ED12E0">
        <w:t>10. Zorgverzekeraars.</w:t>
      </w:r>
    </w:p>
    <w:p w:rsidRPr="00ED12E0" w:rsidR="001F01A4" w:rsidP="00E3357E" w:rsidRDefault="001F01A4" w14:paraId="68E98F3C" w14:textId="6328ED07">
      <w:pPr>
        <w:spacing w:line="276" w:lineRule="auto"/>
      </w:pPr>
    </w:p>
    <w:p w:rsidRPr="00ED12E0" w:rsidR="001F01A4" w:rsidP="00E3357E" w:rsidRDefault="00287F8C" w14:paraId="341A0587" w14:textId="76530E91">
      <w:pPr>
        <w:spacing w:line="276" w:lineRule="auto"/>
      </w:pPr>
      <w:r w:rsidRPr="00ED12E0">
        <w:t>F</w:t>
      </w:r>
    </w:p>
    <w:p w:rsidRPr="00ED12E0" w:rsidR="001F01A4" w:rsidP="00E3357E" w:rsidRDefault="001F01A4" w14:paraId="4E6B7924" w14:textId="0C1337F7">
      <w:pPr>
        <w:spacing w:line="276" w:lineRule="auto"/>
      </w:pPr>
    </w:p>
    <w:p w:rsidRPr="00ED12E0" w:rsidR="001F01A4" w:rsidP="00E3357E" w:rsidRDefault="001F01A4" w14:paraId="5856C90F" w14:textId="4BC12344">
      <w:pPr>
        <w:spacing w:line="276" w:lineRule="auto"/>
      </w:pPr>
      <w:r w:rsidRPr="00ED12E0">
        <w:t>Bijlage 2, onderdeel B, wordt als volgt gewijzigd:</w:t>
      </w:r>
    </w:p>
    <w:p w:rsidRPr="00ED12E0" w:rsidR="00E65DE0" w:rsidP="00E3357E" w:rsidRDefault="00E65DE0" w14:paraId="66BE6BC2" w14:textId="77777777">
      <w:pPr>
        <w:spacing w:line="276" w:lineRule="auto"/>
      </w:pPr>
    </w:p>
    <w:p w:rsidRPr="00ED12E0" w:rsidR="00E65DE0" w:rsidP="00E65DE0" w:rsidRDefault="00E65DE0" w14:paraId="64124D1F" w14:textId="50775A6B">
      <w:pPr>
        <w:spacing w:line="276" w:lineRule="auto"/>
      </w:pPr>
      <w:r w:rsidRPr="00ED12E0">
        <w:t>1. Onderdeel 1 vervalt, onder vernummering van</w:t>
      </w:r>
      <w:r w:rsidRPr="00ED12E0" w:rsidR="00487842">
        <w:t xml:space="preserve"> de</w:t>
      </w:r>
      <w:r w:rsidRPr="00ED12E0">
        <w:t xml:space="preserve"> onderdel</w:t>
      </w:r>
      <w:r w:rsidRPr="00ED12E0" w:rsidR="00487842">
        <w:t>en</w:t>
      </w:r>
      <w:r w:rsidRPr="00ED12E0">
        <w:t xml:space="preserve"> 2 tot en met 11 tot 1 tot en met 10.</w:t>
      </w:r>
    </w:p>
    <w:p w:rsidRPr="00ED12E0" w:rsidR="00C10F99" w:rsidP="00E3357E" w:rsidRDefault="00C10F99" w14:paraId="2D0505B3" w14:textId="77777777">
      <w:pPr>
        <w:spacing w:line="276" w:lineRule="auto"/>
      </w:pPr>
    </w:p>
    <w:p w:rsidRPr="00ED12E0" w:rsidR="00FE7FC2" w:rsidP="00E3357E" w:rsidRDefault="00ED1381" w14:paraId="6D36AE3B" w14:textId="7D7D8F30">
      <w:pPr>
        <w:spacing w:line="276" w:lineRule="auto"/>
      </w:pPr>
      <w:r w:rsidRPr="00ED12E0">
        <w:t>2</w:t>
      </w:r>
      <w:r w:rsidRPr="00ED12E0" w:rsidR="00FE7FC2">
        <w:t>. Onderdeel 2 (nieuw) komt te luiden:</w:t>
      </w:r>
    </w:p>
    <w:p w:rsidRPr="00ED12E0" w:rsidR="00FE7FC2" w:rsidP="00E3357E" w:rsidRDefault="00FE7FC2" w14:paraId="0FD238B9" w14:textId="77777777">
      <w:pPr>
        <w:spacing w:line="276" w:lineRule="auto"/>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Look w:val="04A0" w:firstRow="1" w:lastRow="0" w:firstColumn="1" w:lastColumn="0" w:noHBand="0" w:noVBand="1"/>
        <w:tblDescription w:val="tabel"/>
      </w:tblPr>
      <w:tblGrid>
        <w:gridCol w:w="5104"/>
        <w:gridCol w:w="2993"/>
      </w:tblGrid>
      <w:tr w:rsidRPr="00ED12E0" w:rsidR="00ED12E0" w:rsidTr="00111B44" w14:paraId="715929C0" w14:textId="77777777">
        <w:tc>
          <w:tcPr>
            <w:tcW w:w="0" w:type="auto"/>
            <w:gridSpan w:val="2"/>
            <w:shd w:val="clear" w:color="auto" w:fill="FFFFFF"/>
            <w:tcMar>
              <w:top w:w="120" w:type="dxa"/>
              <w:left w:w="120" w:type="dxa"/>
              <w:bottom w:w="120" w:type="dxa"/>
              <w:right w:w="120" w:type="dxa"/>
            </w:tcMar>
            <w:hideMark/>
          </w:tcPr>
          <w:p w:rsidRPr="00ED12E0" w:rsidR="00FE7FC2" w:rsidP="00194FE5" w:rsidRDefault="00ED1381" w14:paraId="6F56D5E8" w14:textId="3DC55BAB">
            <w:pPr>
              <w:keepNext/>
              <w:spacing w:line="276" w:lineRule="auto"/>
            </w:pPr>
            <w:r w:rsidRPr="00ED12E0">
              <w:lastRenderedPageBreak/>
              <w:t>2</w:t>
            </w:r>
            <w:r w:rsidRPr="00ED12E0" w:rsidR="00FE7FC2">
              <w:t>. Beheerders van beleggingsinstellingen en icbe’s, beleggingsondernemingen, bewaarders, marktexploitanten die een MTF of georganiseerde handelsfaciliteit exploiteren, uitgevers van activagerelateerde tokens en cryptoactivadienstverleners</w:t>
            </w:r>
          </w:p>
        </w:tc>
      </w:tr>
      <w:tr w:rsidRPr="00ED12E0" w:rsidR="00ED12E0" w:rsidTr="00194FE5" w14:paraId="113B763F" w14:textId="77777777">
        <w:trPr>
          <w:trHeight w:val="5724"/>
        </w:trPr>
        <w:tc>
          <w:tcPr>
            <w:tcW w:w="5807" w:type="dxa"/>
            <w:shd w:val="clear" w:color="auto" w:fill="FFFFFF"/>
            <w:tcMar>
              <w:top w:w="120" w:type="dxa"/>
              <w:left w:w="120" w:type="dxa"/>
              <w:bottom w:w="120" w:type="dxa"/>
              <w:right w:w="120" w:type="dxa"/>
            </w:tcMar>
            <w:hideMark/>
          </w:tcPr>
          <w:p w:rsidRPr="00ED12E0" w:rsidR="006769C8" w:rsidP="00194FE5" w:rsidRDefault="006769C8" w14:paraId="04A3B05A" w14:textId="3A428403">
            <w:pPr>
              <w:keepNext/>
              <w:spacing w:line="276" w:lineRule="auto"/>
            </w:pPr>
            <w:r w:rsidRPr="00ED12E0">
              <w:t>a. Marktexploitanten waaraan een vergunning is verleend als bedoeld in </w:t>
            </w:r>
            <w:r w:rsidRPr="00ED12E0" w:rsidR="00111B44">
              <w:t>artikel 5:26 Wft</w:t>
            </w:r>
            <w:r w:rsidRPr="00ED12E0">
              <w:t>, die een MTF of een georganiseerde handelsfaciliteit exploiteren.</w:t>
            </w:r>
          </w:p>
          <w:p w:rsidRPr="00ED12E0" w:rsidR="006769C8" w:rsidP="00194FE5" w:rsidRDefault="006769C8" w14:paraId="16B11B14" w14:textId="4BD389FB">
            <w:pPr>
              <w:keepNext/>
              <w:spacing w:line="276" w:lineRule="auto"/>
            </w:pPr>
            <w:r w:rsidRPr="00ED12E0">
              <w:t>b. Beheerders van beleggingsinstellingen waaraan een vergunning is verleend als bedoeld in artikel 2:65 Wft.</w:t>
            </w:r>
          </w:p>
          <w:p w:rsidRPr="00ED12E0" w:rsidR="006769C8" w:rsidP="00194FE5" w:rsidRDefault="006769C8" w14:paraId="23689274" w14:textId="64265C6C">
            <w:pPr>
              <w:keepNext/>
              <w:spacing w:line="276" w:lineRule="auto"/>
            </w:pPr>
            <w:r w:rsidRPr="00ED12E0">
              <w:t>c. Beheerders van icbe’s waaraan een vergunning is verleend als bedoeld in artikel 2:69b Wft.</w:t>
            </w:r>
          </w:p>
          <w:p w:rsidRPr="00ED12E0" w:rsidR="006769C8" w:rsidP="00194FE5" w:rsidRDefault="006769C8" w14:paraId="2CF312BC" w14:textId="5E469131">
            <w:pPr>
              <w:keepNext/>
              <w:spacing w:line="276" w:lineRule="auto"/>
            </w:pPr>
            <w:r w:rsidRPr="00ED12E0">
              <w:t>d. Beleggingsondernemingen die in de uitoefening van beroep of bedrijf in Nederland beleggingsdiensten verlenen of beleggingsactiviteiten verrichten, waaraan een vergunning is verleend als bedoeld in artikel 2:96 Wft.</w:t>
            </w:r>
          </w:p>
          <w:p w:rsidRPr="00ED12E0" w:rsidR="006769C8" w:rsidP="00194FE5" w:rsidRDefault="006769C8" w14:paraId="103C98C6" w14:textId="3EA34656">
            <w:pPr>
              <w:keepNext/>
              <w:spacing w:line="276" w:lineRule="auto"/>
            </w:pPr>
            <w:r w:rsidRPr="00ED12E0">
              <w:t>e. Bewaarders waaraan een vergunning is verleend als bedoeld in artikel 2:3g Wft.</w:t>
            </w:r>
          </w:p>
          <w:p w:rsidRPr="00ED12E0" w:rsidR="006769C8" w:rsidP="00194FE5" w:rsidRDefault="006769C8" w14:paraId="7FBDA5B7" w14:textId="18CE277D">
            <w:pPr>
              <w:keepNext/>
              <w:spacing w:line="276" w:lineRule="auto"/>
            </w:pPr>
            <w:r w:rsidRPr="00ED12E0">
              <w:t>f. Uitgevers van activagerelateerde tokens (niet zijnde banken) waaraan een vergunning is verleend als bedoeld in artikel 16, eerste lid, onder a, van verordening (EU) 2023/1114 (</w:t>
            </w:r>
            <w:proofErr w:type="spellStart"/>
            <w:r w:rsidRPr="00ED12E0">
              <w:t>MiCAR</w:t>
            </w:r>
            <w:proofErr w:type="spellEnd"/>
            <w:r w:rsidRPr="00ED12E0">
              <w:t>)</w:t>
            </w:r>
            <w:r w:rsidRPr="00ED12E0" w:rsidR="00111B44">
              <w:t>.</w:t>
            </w:r>
          </w:p>
          <w:p w:rsidRPr="00ED12E0" w:rsidR="006769C8" w:rsidP="00194FE5" w:rsidRDefault="006769C8" w14:paraId="5F9936B8" w14:textId="37CD9C82">
            <w:pPr>
              <w:keepNext/>
              <w:spacing w:line="276" w:lineRule="auto"/>
            </w:pPr>
            <w:r w:rsidRPr="00ED12E0">
              <w:t>g. Aanbieders van cryptoactivadiensten waaraan een vergunning is verleend als bedoeld in artikel 59, eerste lid, onder a, van verordening (EU) 2023/1114 (</w:t>
            </w:r>
            <w:proofErr w:type="spellStart"/>
            <w:r w:rsidRPr="00ED12E0">
              <w:t>MiCAR</w:t>
            </w:r>
            <w:proofErr w:type="spellEnd"/>
            <w:r w:rsidRPr="00ED12E0">
              <w:t>)</w:t>
            </w:r>
            <w:r w:rsidRPr="00ED12E0" w:rsidR="00111B44">
              <w:t>.</w:t>
            </w:r>
          </w:p>
          <w:p w:rsidRPr="00ED12E0" w:rsidR="006769C8" w:rsidP="00194FE5" w:rsidRDefault="006769C8" w14:paraId="7DC72ADA" w14:textId="65FA069C">
            <w:pPr>
              <w:keepNext/>
              <w:spacing w:line="276" w:lineRule="auto"/>
            </w:pPr>
            <w:r w:rsidRPr="00ED12E0">
              <w:t>h. Aanbieders van cryptoactivadiensten die een kennisgeving hebben gedaan als bedoeld in artikel 60, tweede, derde, vijfde of zesde lid, van verordening (EU) 2023/1114 (</w:t>
            </w:r>
            <w:proofErr w:type="spellStart"/>
            <w:r w:rsidRPr="00ED12E0">
              <w:t>MiCAR</w:t>
            </w:r>
            <w:proofErr w:type="spellEnd"/>
            <w:r w:rsidRPr="00ED12E0">
              <w:t>)</w:t>
            </w:r>
            <w:r w:rsidRPr="00ED12E0" w:rsidR="00111B44">
              <w:t>.</w:t>
            </w:r>
          </w:p>
        </w:tc>
        <w:tc>
          <w:tcPr>
            <w:tcW w:w="2290" w:type="dxa"/>
            <w:shd w:val="clear" w:color="auto" w:fill="FFFFFF"/>
            <w:tcMar>
              <w:top w:w="120" w:type="dxa"/>
              <w:left w:w="120" w:type="dxa"/>
              <w:bottom w:w="120" w:type="dxa"/>
              <w:right w:w="120" w:type="dxa"/>
            </w:tcMar>
            <w:hideMark/>
          </w:tcPr>
          <w:p w:rsidRPr="00ED12E0" w:rsidR="006769C8" w:rsidP="00194FE5" w:rsidRDefault="006769C8" w14:paraId="5F905E1D" w14:textId="1481D628">
            <w:pPr>
              <w:keepNext/>
              <w:spacing w:line="276" w:lineRule="auto"/>
            </w:pPr>
            <w:r w:rsidRPr="00ED12E0">
              <w:t>a. Het vergunningtype.</w:t>
            </w:r>
          </w:p>
          <w:p w:rsidRPr="00ED12E0" w:rsidR="006769C8" w:rsidP="00194FE5" w:rsidRDefault="006769C8" w14:paraId="400088C3" w14:textId="7ED6800E">
            <w:pPr>
              <w:keepNext/>
              <w:spacing w:line="276" w:lineRule="auto"/>
            </w:pPr>
            <w:r w:rsidRPr="00ED12E0">
              <w:t>b. De verleende beleggingsdiensten of verrichte beleggingsactiviteiten als bedoeld in artikel 1:1 Wft.</w:t>
            </w:r>
          </w:p>
          <w:p w:rsidRPr="00ED12E0" w:rsidR="006769C8" w:rsidP="00194FE5" w:rsidRDefault="006769C8" w14:paraId="288D3438" w14:textId="1E0FCF8B">
            <w:pPr>
              <w:keepNext/>
              <w:spacing w:line="276" w:lineRule="auto"/>
            </w:pPr>
            <w:r w:rsidRPr="00ED12E0">
              <w:t>c. Het balanstotaal van de beheerde beleggingsinstellingen en icbe’s.</w:t>
            </w:r>
          </w:p>
          <w:p w:rsidRPr="00ED12E0" w:rsidR="006769C8" w:rsidP="00194FE5" w:rsidRDefault="006769C8" w14:paraId="60DF3D10" w14:textId="5068B5C9">
            <w:pPr>
              <w:keepNext/>
              <w:spacing w:line="276" w:lineRule="auto"/>
            </w:pPr>
            <w:r w:rsidRPr="00ED12E0">
              <w:t>d. Het beheerd individueel vermogen.</w:t>
            </w:r>
          </w:p>
          <w:p w:rsidRPr="00ED12E0" w:rsidR="006769C8" w:rsidP="00194FE5" w:rsidRDefault="006769C8" w14:paraId="123199EC" w14:textId="1C422BFB">
            <w:pPr>
              <w:keepNext/>
              <w:spacing w:line="276" w:lineRule="auto"/>
            </w:pPr>
            <w:r w:rsidRPr="00ED12E0">
              <w:t>e. Het vermogen waarover wordt geadviseerd.</w:t>
            </w:r>
          </w:p>
          <w:p w:rsidRPr="00ED12E0" w:rsidR="006769C8" w:rsidP="00194FE5" w:rsidRDefault="006769C8" w14:paraId="3E6809A0" w14:textId="632FFACC">
            <w:pPr>
              <w:keepNext/>
              <w:spacing w:line="276" w:lineRule="auto"/>
            </w:pPr>
            <w:r w:rsidRPr="00ED12E0">
              <w:t xml:space="preserve">f. </w:t>
            </w:r>
            <w:r w:rsidRPr="00ED12E0" w:rsidR="00194FE5">
              <w:t>H</w:t>
            </w:r>
            <w:r w:rsidRPr="00ED12E0">
              <w:t>et minimaal aan te houden toetsingsvermogen.</w:t>
            </w:r>
          </w:p>
          <w:p w:rsidRPr="00ED12E0" w:rsidR="006769C8" w:rsidP="00194FE5" w:rsidRDefault="006769C8" w14:paraId="384627A7" w14:textId="77777777">
            <w:pPr>
              <w:keepNext/>
              <w:spacing w:line="276" w:lineRule="auto"/>
            </w:pPr>
            <w:r w:rsidRPr="00ED12E0">
              <w:t>g. De geaggregeerde waarde van de activareserve, bedoeld in artikel 36 van verordening (EU) 2023/1114 (</w:t>
            </w:r>
            <w:proofErr w:type="spellStart"/>
            <w:r w:rsidRPr="00ED12E0">
              <w:t>MiCAR</w:t>
            </w:r>
            <w:proofErr w:type="spellEnd"/>
            <w:r w:rsidRPr="00ED12E0">
              <w:t>).</w:t>
            </w:r>
          </w:p>
          <w:p w:rsidRPr="00ED12E0" w:rsidR="006769C8" w:rsidP="00194FE5" w:rsidRDefault="006769C8" w14:paraId="766BF40D" w14:textId="77777777">
            <w:pPr>
              <w:keepNext/>
              <w:spacing w:line="276" w:lineRule="auto"/>
            </w:pPr>
            <w:r w:rsidRPr="00ED12E0">
              <w:t>h. De aangeboden cryptoactivadiensten als bedoeld in artikel 3, eerste lid, onderdeel 16, van verordening (EU) 2023/1114 (</w:t>
            </w:r>
            <w:proofErr w:type="spellStart"/>
            <w:r w:rsidRPr="00ED12E0">
              <w:t>MiCAR</w:t>
            </w:r>
            <w:proofErr w:type="spellEnd"/>
            <w:r w:rsidRPr="00ED12E0">
              <w:t>).</w:t>
            </w:r>
          </w:p>
          <w:p w:rsidRPr="00ED12E0" w:rsidR="006769C8" w:rsidP="00194FE5" w:rsidRDefault="006769C8" w14:paraId="629BE20A" w14:textId="267E9461">
            <w:pPr>
              <w:keepNext/>
              <w:spacing w:line="276" w:lineRule="auto"/>
            </w:pPr>
            <w:r w:rsidRPr="00ED12E0">
              <w:t>i. Het balanstotaal.</w:t>
            </w:r>
          </w:p>
        </w:tc>
      </w:tr>
    </w:tbl>
    <w:p w:rsidRPr="00ED12E0" w:rsidR="00FE7FC2" w:rsidP="00E3357E" w:rsidRDefault="00FE7FC2" w14:paraId="04574C9B" w14:textId="77777777">
      <w:pPr>
        <w:spacing w:line="276" w:lineRule="auto"/>
      </w:pPr>
    </w:p>
    <w:p w:rsidRPr="00ED12E0" w:rsidR="00786077" w:rsidP="00E3357E" w:rsidRDefault="00ED1381" w14:paraId="64BB3AE1" w14:textId="25A64F56">
      <w:pPr>
        <w:spacing w:line="276" w:lineRule="auto"/>
      </w:pPr>
      <w:r w:rsidRPr="00ED12E0">
        <w:t>3</w:t>
      </w:r>
      <w:r w:rsidRPr="00ED12E0" w:rsidR="00786077">
        <w:t xml:space="preserve">. Aan onderdeel </w:t>
      </w:r>
      <w:r w:rsidRPr="00ED12E0" w:rsidR="001C0EFA">
        <w:t>3</w:t>
      </w:r>
      <w:r w:rsidRPr="00ED12E0" w:rsidR="00786077">
        <w:t xml:space="preserve"> (nieuw)</w:t>
      </w:r>
      <w:r w:rsidRPr="00ED12E0" w:rsidR="005C380A">
        <w:t xml:space="preserve">, </w:t>
      </w:r>
      <w:r w:rsidRPr="00ED12E0" w:rsidR="00786077">
        <w:t xml:space="preserve">kolom </w:t>
      </w:r>
      <w:r w:rsidRPr="00ED12E0" w:rsidR="005C380A">
        <w:t>M</w:t>
      </w:r>
      <w:r w:rsidRPr="00ED12E0" w:rsidR="00786077">
        <w:t>aatstaven</w:t>
      </w:r>
      <w:r w:rsidRPr="00ED12E0" w:rsidR="005C380A">
        <w:t>, wordt</w:t>
      </w:r>
      <w:r w:rsidRPr="00ED12E0" w:rsidR="00786077">
        <w:t xml:space="preserve"> een subonderdeel toegevoegd, luidende:</w:t>
      </w:r>
    </w:p>
    <w:p w:rsidRPr="00ED12E0" w:rsidR="002D13AB" w:rsidP="002D13AB" w:rsidRDefault="00786077" w14:paraId="68671E13" w14:textId="7A089F7F">
      <w:pPr>
        <w:spacing w:line="276" w:lineRule="auto"/>
      </w:pPr>
      <w:r w:rsidRPr="00ED12E0">
        <w:t xml:space="preserve">d. </w:t>
      </w:r>
      <w:r w:rsidRPr="00ED12E0" w:rsidR="005C380A">
        <w:t>N</w:t>
      </w:r>
      <w:r w:rsidRPr="00ED12E0">
        <w:t xml:space="preserve">ominale waarde </w:t>
      </w:r>
      <w:r w:rsidRPr="00ED12E0" w:rsidR="002D13AB">
        <w:t xml:space="preserve">van de door de uitgever uitgegeven </w:t>
      </w:r>
      <w:r w:rsidRPr="00ED12E0">
        <w:t>e-</w:t>
      </w:r>
      <w:proofErr w:type="spellStart"/>
      <w:r w:rsidRPr="00ED12E0">
        <w:t>moneytokens</w:t>
      </w:r>
      <w:proofErr w:type="spellEnd"/>
      <w:r w:rsidRPr="00ED12E0" w:rsidR="0041258F">
        <w:t xml:space="preserve">, </w:t>
      </w:r>
      <w:r w:rsidRPr="00ED12E0" w:rsidR="002D13AB">
        <w:t xml:space="preserve">bedoeld in artikel 49 </w:t>
      </w:r>
      <w:r w:rsidRPr="00ED12E0">
        <w:rPr>
          <w:szCs w:val="18"/>
        </w:rPr>
        <w:t xml:space="preserve">van verordening (EU) 2023/1114 </w:t>
      </w:r>
      <w:r w:rsidRPr="00ED12E0" w:rsidR="00B71B70">
        <w:rPr>
          <w:szCs w:val="18"/>
        </w:rPr>
        <w:t>(</w:t>
      </w:r>
      <w:proofErr w:type="spellStart"/>
      <w:r w:rsidRPr="00ED12E0" w:rsidR="00B71B70">
        <w:rPr>
          <w:szCs w:val="18"/>
        </w:rPr>
        <w:t>MiCAR</w:t>
      </w:r>
      <w:proofErr w:type="spellEnd"/>
      <w:r w:rsidRPr="00ED12E0" w:rsidR="00B71B70">
        <w:rPr>
          <w:szCs w:val="18"/>
        </w:rPr>
        <w:t>)</w:t>
      </w:r>
    </w:p>
    <w:p w:rsidRPr="00ED12E0" w:rsidR="00EA2B4D" w:rsidP="00E3357E" w:rsidRDefault="00EA2B4D" w14:paraId="0E4D2932" w14:textId="2A81CF54">
      <w:pPr>
        <w:spacing w:line="276" w:lineRule="auto"/>
      </w:pPr>
    </w:p>
    <w:p w:rsidRPr="00ED12E0" w:rsidR="00910454" w:rsidP="00E3357E" w:rsidRDefault="00ED1381" w14:paraId="447CD7AB" w14:textId="783E6D9B">
      <w:pPr>
        <w:spacing w:line="276" w:lineRule="auto"/>
      </w:pPr>
      <w:r w:rsidRPr="00ED12E0">
        <w:t>4</w:t>
      </w:r>
      <w:r w:rsidRPr="00ED12E0" w:rsidR="001914B3">
        <w:t>. In voetnoot 1 wordt “de Verordening (EU) nr. 575/2013 van het Europees parlement en de Raad van 26 juni 2013 betreffende prudentiële vereisten voor kredietinstellingen en beleggingsondernemingen en tot wijziging van Verordening (EU) nr. 648/2012 (CRR)” vervangen door “</w:t>
      </w:r>
      <w:r w:rsidRPr="00ED12E0" w:rsidR="00092368">
        <w:rPr>
          <w:rFonts w:eastAsia="Calibri"/>
          <w:bCs/>
          <w:szCs w:val="22"/>
          <w:lang w:eastAsia="en-US"/>
        </w:rPr>
        <w:t>Verordening (EU) nr. 575/2013 (CRR)</w:t>
      </w:r>
      <w:r w:rsidRPr="00ED12E0" w:rsidR="001914B3">
        <w:t>”.</w:t>
      </w:r>
    </w:p>
    <w:p w:rsidRPr="00ED12E0" w:rsidR="007F5CC2" w:rsidP="00E3357E" w:rsidRDefault="007F5CC2" w14:paraId="2B01E73F" w14:textId="77777777">
      <w:pPr>
        <w:spacing w:line="276" w:lineRule="auto"/>
      </w:pPr>
    </w:p>
    <w:p w:rsidRPr="00ED12E0" w:rsidR="002E1998" w:rsidP="00E3357E" w:rsidRDefault="002E1998" w14:paraId="0B302EE0" w14:textId="77777777">
      <w:pPr>
        <w:spacing w:line="276" w:lineRule="auto"/>
      </w:pPr>
    </w:p>
    <w:p w:rsidRPr="00ED12E0" w:rsidR="007F5CC2" w:rsidP="00E3357E" w:rsidRDefault="007F5CC2" w14:paraId="4A16EEA3" w14:textId="0BAC7C89">
      <w:pPr>
        <w:spacing w:line="276" w:lineRule="auto"/>
        <w:rPr>
          <w:b/>
          <w:bCs/>
        </w:rPr>
      </w:pPr>
      <w:r w:rsidRPr="00ED12E0">
        <w:rPr>
          <w:b/>
          <w:bCs/>
        </w:rPr>
        <w:t>ARTIKEL II</w:t>
      </w:r>
    </w:p>
    <w:p w:rsidRPr="00ED12E0" w:rsidR="007F5CC2" w:rsidP="00E3357E" w:rsidRDefault="007F5CC2" w14:paraId="3568CB78" w14:textId="77777777">
      <w:pPr>
        <w:spacing w:line="276" w:lineRule="auto"/>
        <w:rPr>
          <w:b/>
          <w:bCs/>
        </w:rPr>
      </w:pPr>
    </w:p>
    <w:p w:rsidRPr="00ED12E0" w:rsidR="002268D7" w:rsidP="00E3357E" w:rsidRDefault="002268D7" w14:paraId="584E8465" w14:textId="73BC9246">
      <w:pPr>
        <w:spacing w:line="276" w:lineRule="auto"/>
        <w:rPr>
          <w:szCs w:val="18"/>
        </w:rPr>
      </w:pPr>
      <w:r w:rsidRPr="00ED12E0">
        <w:rPr>
          <w:szCs w:val="18"/>
        </w:rPr>
        <w:t>B</w:t>
      </w:r>
      <w:r w:rsidRPr="00ED12E0" w:rsidR="00782F37">
        <w:rPr>
          <w:szCs w:val="18"/>
        </w:rPr>
        <w:t xml:space="preserve">ijlage 1, onderdeel B, onderdeel 8, van het </w:t>
      </w:r>
      <w:r w:rsidRPr="00ED12E0" w:rsidR="00782F37">
        <w:rPr>
          <w:b/>
          <w:bCs/>
          <w:szCs w:val="18"/>
        </w:rPr>
        <w:t>Besluit bekostiging financieel toezicht 2019</w:t>
      </w:r>
      <w:r w:rsidRPr="00ED12E0" w:rsidR="00782F37">
        <w:rPr>
          <w:szCs w:val="18"/>
        </w:rPr>
        <w:t xml:space="preserve"> </w:t>
      </w:r>
      <w:r w:rsidRPr="00ED12E0">
        <w:rPr>
          <w:szCs w:val="18"/>
        </w:rPr>
        <w:t>wordt als volgt gewijzigd:</w:t>
      </w:r>
    </w:p>
    <w:p w:rsidRPr="00ED12E0" w:rsidR="007F5CC2" w:rsidP="00E3357E" w:rsidRDefault="002268D7" w14:paraId="063D7F0B" w14:textId="7C8A08FF">
      <w:pPr>
        <w:spacing w:line="276" w:lineRule="auto"/>
        <w:rPr>
          <w:szCs w:val="18"/>
        </w:rPr>
      </w:pPr>
      <w:r w:rsidRPr="00ED12E0">
        <w:rPr>
          <w:szCs w:val="18"/>
        </w:rPr>
        <w:t xml:space="preserve">1. In de kolom Personen </w:t>
      </w:r>
      <w:r w:rsidRPr="00ED12E0" w:rsidR="00782F37">
        <w:rPr>
          <w:szCs w:val="18"/>
        </w:rPr>
        <w:t>vervallen</w:t>
      </w:r>
      <w:r w:rsidRPr="00ED12E0" w:rsidR="00B33AC2">
        <w:rPr>
          <w:szCs w:val="18"/>
        </w:rPr>
        <w:t xml:space="preserve"> de</w:t>
      </w:r>
      <w:r w:rsidRPr="00ED12E0" w:rsidR="00782F37">
        <w:rPr>
          <w:szCs w:val="18"/>
        </w:rPr>
        <w:t xml:space="preserve"> subonderdelen </w:t>
      </w:r>
      <w:r w:rsidRPr="00ED12E0" w:rsidR="00BC4A74">
        <w:rPr>
          <w:szCs w:val="18"/>
        </w:rPr>
        <w:t>c</w:t>
      </w:r>
      <w:r w:rsidRPr="00ED12E0" w:rsidR="00782F37">
        <w:rPr>
          <w:szCs w:val="18"/>
        </w:rPr>
        <w:t xml:space="preserve"> en </w:t>
      </w:r>
      <w:r w:rsidRPr="00ED12E0" w:rsidR="00BC4A74">
        <w:rPr>
          <w:szCs w:val="18"/>
        </w:rPr>
        <w:t>d</w:t>
      </w:r>
      <w:r w:rsidRPr="00ED12E0" w:rsidR="00782F37">
        <w:rPr>
          <w:szCs w:val="18"/>
        </w:rPr>
        <w:t>.</w:t>
      </w:r>
    </w:p>
    <w:p w:rsidRPr="00ED12E0" w:rsidR="002268D7" w:rsidP="00E3357E" w:rsidRDefault="002268D7" w14:paraId="4169A976" w14:textId="5C21C908">
      <w:pPr>
        <w:spacing w:line="276" w:lineRule="auto"/>
      </w:pPr>
      <w:r w:rsidRPr="00ED12E0">
        <w:rPr>
          <w:szCs w:val="18"/>
        </w:rPr>
        <w:lastRenderedPageBreak/>
        <w:t>2. In de kolom Maatstaven verval</w:t>
      </w:r>
      <w:r w:rsidRPr="00ED12E0" w:rsidR="00BC4A74">
        <w:rPr>
          <w:szCs w:val="18"/>
        </w:rPr>
        <w:t>len</w:t>
      </w:r>
      <w:r w:rsidRPr="00ED12E0" w:rsidR="00B33AC2">
        <w:rPr>
          <w:szCs w:val="18"/>
        </w:rPr>
        <w:t xml:space="preserve"> de</w:t>
      </w:r>
      <w:r w:rsidRPr="00ED12E0">
        <w:rPr>
          <w:szCs w:val="18"/>
        </w:rPr>
        <w:t xml:space="preserve"> subonderdel</w:t>
      </w:r>
      <w:r w:rsidRPr="00ED12E0" w:rsidR="00BC4A74">
        <w:rPr>
          <w:szCs w:val="18"/>
        </w:rPr>
        <w:t>en</w:t>
      </w:r>
      <w:r w:rsidRPr="00ED12E0">
        <w:rPr>
          <w:szCs w:val="18"/>
        </w:rPr>
        <w:t xml:space="preserve"> </w:t>
      </w:r>
      <w:r w:rsidRPr="00ED12E0" w:rsidR="009370D6">
        <w:rPr>
          <w:szCs w:val="18"/>
        </w:rPr>
        <w:t>e</w:t>
      </w:r>
      <w:r w:rsidRPr="00ED12E0" w:rsidR="00BC4A74">
        <w:rPr>
          <w:szCs w:val="18"/>
        </w:rPr>
        <w:t xml:space="preserve"> en </w:t>
      </w:r>
      <w:r w:rsidRPr="00ED12E0" w:rsidR="009370D6">
        <w:rPr>
          <w:szCs w:val="18"/>
        </w:rPr>
        <w:t>f</w:t>
      </w:r>
      <w:r w:rsidRPr="00ED12E0">
        <w:rPr>
          <w:szCs w:val="18"/>
        </w:rPr>
        <w:t>.</w:t>
      </w:r>
    </w:p>
    <w:p w:rsidRPr="00ED12E0" w:rsidR="007E76B5" w:rsidP="00E3357E" w:rsidRDefault="007E76B5" w14:paraId="598B9744" w14:textId="70E2642B">
      <w:pPr>
        <w:spacing w:line="276" w:lineRule="auto"/>
      </w:pPr>
    </w:p>
    <w:p w:rsidRPr="00ED12E0" w:rsidR="002E1998" w:rsidP="00E3357E" w:rsidRDefault="002E1998" w14:paraId="05ECAE39" w14:textId="77777777">
      <w:pPr>
        <w:spacing w:line="276" w:lineRule="auto"/>
      </w:pPr>
    </w:p>
    <w:p w:rsidRPr="00ED12E0" w:rsidR="00895520" w:rsidP="00E3357E" w:rsidRDefault="00895520" w14:paraId="41320AE0" w14:textId="22F5FAA1">
      <w:pPr>
        <w:widowControl w:val="0"/>
        <w:spacing w:line="276" w:lineRule="auto"/>
        <w:rPr>
          <w:b/>
          <w:szCs w:val="18"/>
        </w:rPr>
      </w:pPr>
      <w:r w:rsidRPr="00ED12E0">
        <w:rPr>
          <w:b/>
          <w:szCs w:val="18"/>
        </w:rPr>
        <w:t>ARTIKEL</w:t>
      </w:r>
      <w:r w:rsidRPr="00ED12E0" w:rsidR="00ED3118">
        <w:rPr>
          <w:b/>
          <w:szCs w:val="18"/>
        </w:rPr>
        <w:t xml:space="preserve"> I</w:t>
      </w:r>
      <w:r w:rsidRPr="00ED12E0" w:rsidR="002D2C26">
        <w:rPr>
          <w:b/>
          <w:szCs w:val="18"/>
        </w:rPr>
        <w:t>II</w:t>
      </w:r>
    </w:p>
    <w:p w:rsidRPr="00ED12E0" w:rsidR="00895520" w:rsidP="00E3357E" w:rsidRDefault="00895520" w14:paraId="37D8178E" w14:textId="5A0D6266">
      <w:pPr>
        <w:widowControl w:val="0"/>
        <w:spacing w:line="276" w:lineRule="auto"/>
        <w:rPr>
          <w:szCs w:val="18"/>
        </w:rPr>
      </w:pPr>
    </w:p>
    <w:p w:rsidRPr="00ED12E0" w:rsidR="00782F37" w:rsidP="00E3357E" w:rsidRDefault="001D3F81" w14:paraId="6CAA43BE" w14:textId="6F51AFC3">
      <w:pPr>
        <w:widowControl w:val="0"/>
        <w:spacing w:line="276" w:lineRule="auto"/>
        <w:rPr>
          <w:szCs w:val="18"/>
        </w:rPr>
      </w:pPr>
      <w:r w:rsidRPr="00ED12E0">
        <w:rPr>
          <w:szCs w:val="18"/>
        </w:rPr>
        <w:t>Dit besluit treedt in werking met ingang van 1 januari 2025</w:t>
      </w:r>
      <w:r w:rsidRPr="00ED12E0" w:rsidR="00782F37">
        <w:rPr>
          <w:szCs w:val="18"/>
        </w:rPr>
        <w:t>, met uitzondering van artikel II</w:t>
      </w:r>
      <w:r w:rsidRPr="00ED12E0" w:rsidR="00D31992">
        <w:rPr>
          <w:szCs w:val="18"/>
        </w:rPr>
        <w:t>, dat in werking treedt</w:t>
      </w:r>
      <w:r w:rsidRPr="00ED12E0" w:rsidR="00782F37">
        <w:rPr>
          <w:szCs w:val="18"/>
        </w:rPr>
        <w:t xml:space="preserve"> met ingang van 1 januari 2026.</w:t>
      </w:r>
    </w:p>
    <w:p w:rsidRPr="00ED12E0" w:rsidR="00832F2C" w:rsidP="00E3357E" w:rsidRDefault="00832F2C" w14:paraId="5EDE1E74" w14:textId="77777777">
      <w:pPr>
        <w:spacing w:line="276" w:lineRule="auto"/>
      </w:pPr>
    </w:p>
    <w:p w:rsidRPr="00ED12E0" w:rsidR="00832F2C" w:rsidP="00E3357E" w:rsidRDefault="00832F2C" w14:paraId="0A433F6E" w14:textId="77777777">
      <w:pPr>
        <w:spacing w:line="276" w:lineRule="auto"/>
      </w:pPr>
    </w:p>
    <w:p w:rsidRPr="00ED12E0" w:rsidR="00832F2C" w:rsidP="00E3357E" w:rsidRDefault="00832F2C" w14:paraId="50E51908" w14:textId="77777777">
      <w:pPr>
        <w:spacing w:line="276" w:lineRule="auto"/>
      </w:pPr>
      <w:r w:rsidRPr="00ED12E0">
        <w:t>Lasten en bevelen dat dit besluit met de daarbij behorende nota van toelichting in het Staatsblad zal worden geplaatst.</w:t>
      </w:r>
    </w:p>
    <w:p w:rsidRPr="00ED12E0" w:rsidR="00832F2C" w:rsidP="00E3357E" w:rsidRDefault="00832F2C" w14:paraId="7FFE18FA" w14:textId="77777777">
      <w:pPr>
        <w:spacing w:line="276" w:lineRule="auto"/>
      </w:pPr>
    </w:p>
    <w:p w:rsidRPr="00ED12E0" w:rsidR="00832F2C" w:rsidP="00E3357E" w:rsidRDefault="00832F2C" w14:paraId="52111D30" w14:textId="77777777">
      <w:pPr>
        <w:spacing w:line="276" w:lineRule="auto"/>
      </w:pPr>
    </w:p>
    <w:p w:rsidRPr="00ED12E0" w:rsidR="00832F2C" w:rsidP="00E3357E" w:rsidRDefault="00832F2C" w14:paraId="7599A9B4" w14:textId="12F2DED4">
      <w:pPr>
        <w:spacing w:line="276" w:lineRule="auto"/>
      </w:pPr>
    </w:p>
    <w:p w:rsidRPr="00ED12E0" w:rsidR="00832F2C" w:rsidP="00E3357E" w:rsidRDefault="00832F2C" w14:paraId="4485B05A" w14:textId="77777777">
      <w:pPr>
        <w:spacing w:line="276" w:lineRule="auto"/>
      </w:pPr>
    </w:p>
    <w:p w:rsidRPr="00ED12E0" w:rsidR="00832F2C" w:rsidP="00E3357E" w:rsidRDefault="00832F2C" w14:paraId="57CB32FA" w14:textId="77777777">
      <w:pPr>
        <w:spacing w:line="276" w:lineRule="auto"/>
      </w:pPr>
    </w:p>
    <w:p w:rsidRPr="00ED12E0" w:rsidR="00832F2C" w:rsidP="00E3357E" w:rsidRDefault="00832F2C" w14:paraId="296F8932" w14:textId="77777777">
      <w:pPr>
        <w:spacing w:line="276" w:lineRule="auto"/>
      </w:pPr>
    </w:p>
    <w:p w:rsidRPr="00ED12E0" w:rsidR="00832F2C" w:rsidP="00E3357E" w:rsidRDefault="00832F2C" w14:paraId="36EF1DFA" w14:textId="77777777">
      <w:pPr>
        <w:spacing w:line="276" w:lineRule="auto"/>
      </w:pPr>
      <w:r w:rsidRPr="00ED12E0">
        <w:t>De Minister van Financiën,</w:t>
      </w:r>
    </w:p>
    <w:p w:rsidRPr="00ED12E0" w:rsidR="00832F2C" w:rsidP="00E3357E" w:rsidRDefault="00832F2C" w14:paraId="0E5DDF5B" w14:textId="77777777">
      <w:pPr>
        <w:spacing w:line="276" w:lineRule="auto"/>
      </w:pPr>
    </w:p>
    <w:p w:rsidRPr="00ED12E0" w:rsidR="00853EBB" w:rsidP="00E3357E" w:rsidRDefault="00853EBB" w14:paraId="7011D87C" w14:textId="77777777">
      <w:pPr>
        <w:spacing w:line="276" w:lineRule="auto"/>
      </w:pPr>
    </w:p>
    <w:p w:rsidRPr="00ED12E0" w:rsidR="00832F2C" w:rsidP="00853EBB" w:rsidRDefault="00832F2C" w14:paraId="424E703D" w14:textId="77777777">
      <w:pPr>
        <w:pStyle w:val="Kop1"/>
      </w:pPr>
      <w:r w:rsidRPr="00ED12E0">
        <w:br w:type="page"/>
      </w:r>
      <w:bookmarkStart w:name="_Hlk157086686" w:id="5"/>
      <w:r w:rsidRPr="00ED12E0">
        <w:lastRenderedPageBreak/>
        <w:t>NOTA VAN TOELICHTING</w:t>
      </w:r>
    </w:p>
    <w:p w:rsidRPr="00ED12E0" w:rsidR="00832F2C" w:rsidP="00E3357E" w:rsidRDefault="00832F2C" w14:paraId="5634A741" w14:textId="77777777">
      <w:pPr>
        <w:spacing w:line="276" w:lineRule="auto"/>
      </w:pPr>
    </w:p>
    <w:p w:rsidRPr="00ED12E0" w:rsidR="00EA2B4D" w:rsidP="00E3357E" w:rsidRDefault="00EA2B4D" w14:paraId="3D015350" w14:textId="77777777">
      <w:pPr>
        <w:spacing w:line="276" w:lineRule="auto"/>
      </w:pPr>
      <w:r w:rsidRPr="00ED12E0">
        <w:rPr>
          <w:b/>
        </w:rPr>
        <w:t>Algemeen</w:t>
      </w:r>
    </w:p>
    <w:bookmarkEnd w:id="5"/>
    <w:p w:rsidRPr="00ED12E0" w:rsidR="00EA2B4D" w:rsidP="00E3357E" w:rsidRDefault="00EA2B4D" w14:paraId="76E5F0B6" w14:textId="77777777">
      <w:pPr>
        <w:spacing w:line="276" w:lineRule="auto"/>
      </w:pPr>
    </w:p>
    <w:p w:rsidRPr="00ED12E0" w:rsidR="00EA2B4D" w:rsidP="00E3357E" w:rsidRDefault="00EA2B4D" w14:paraId="6E506F59" w14:textId="77777777">
      <w:pPr>
        <w:pStyle w:val="Kop2"/>
      </w:pPr>
      <w:r w:rsidRPr="00ED12E0">
        <w:t>§ 1. Inleiding</w:t>
      </w:r>
    </w:p>
    <w:p w:rsidRPr="00ED12E0" w:rsidR="00EA2B4D" w:rsidP="00E3357E" w:rsidRDefault="00EA2B4D" w14:paraId="1ECCA5A4" w14:textId="77777777">
      <w:pPr>
        <w:spacing w:line="276" w:lineRule="auto"/>
      </w:pPr>
    </w:p>
    <w:p w:rsidRPr="00ED12E0" w:rsidR="00C268D2" w:rsidP="00E3357E" w:rsidRDefault="005C37C4" w14:paraId="2CEE2532" w14:textId="7074C44C">
      <w:pPr>
        <w:spacing w:line="276" w:lineRule="auto"/>
      </w:pPr>
      <w:r w:rsidRPr="00ED12E0">
        <w:t xml:space="preserve">Dit besluit wijzigt het Besluit bekostiging financieel toezicht 2019. Het bevat grondslagen om de kosten voor het toezicht op </w:t>
      </w:r>
      <w:r w:rsidRPr="00ED12E0" w:rsidR="002D2C26">
        <w:rPr>
          <w:rFonts w:cs="Verdana"/>
          <w:szCs w:val="18"/>
        </w:rPr>
        <w:t>V</w:t>
      </w:r>
      <w:r w:rsidRPr="00ED12E0" w:rsidR="00C709F4">
        <w:rPr>
          <w:rFonts w:cs="Verdana"/>
          <w:szCs w:val="18"/>
        </w:rPr>
        <w:t>erordening (EU) 2023/1114 betreffende cryptoactivamarkten (</w:t>
      </w:r>
      <w:r w:rsidRPr="00ED12E0" w:rsidR="00F3567F">
        <w:rPr>
          <w:rFonts w:cs="Verdana"/>
          <w:szCs w:val="18"/>
        </w:rPr>
        <w:t xml:space="preserve">‘Markets in Crypto-Assets </w:t>
      </w:r>
      <w:proofErr w:type="spellStart"/>
      <w:r w:rsidRPr="00ED12E0" w:rsidR="00F3567F">
        <w:rPr>
          <w:rFonts w:cs="Verdana"/>
          <w:szCs w:val="18"/>
        </w:rPr>
        <w:t>Regulation</w:t>
      </w:r>
      <w:proofErr w:type="spellEnd"/>
      <w:r w:rsidRPr="00ED12E0" w:rsidR="00F3567F">
        <w:rPr>
          <w:rFonts w:cs="Verdana"/>
          <w:szCs w:val="18"/>
        </w:rPr>
        <w:t>’, afgekort</w:t>
      </w:r>
      <w:r w:rsidRPr="00ED12E0" w:rsidR="00C709F4">
        <w:rPr>
          <w:rFonts w:cs="Verdana"/>
          <w:szCs w:val="18"/>
        </w:rPr>
        <w:t xml:space="preserve"> </w:t>
      </w:r>
      <w:r w:rsidRPr="00ED12E0" w:rsidR="00A35FF1">
        <w:rPr>
          <w:rFonts w:cs="Verdana"/>
          <w:szCs w:val="18"/>
        </w:rPr>
        <w:t>als ‘</w:t>
      </w:r>
      <w:proofErr w:type="spellStart"/>
      <w:r w:rsidRPr="00ED12E0" w:rsidR="00A35FF1">
        <w:rPr>
          <w:rFonts w:cs="Verdana"/>
          <w:szCs w:val="18"/>
        </w:rPr>
        <w:t>MiCA</w:t>
      </w:r>
      <w:proofErr w:type="spellEnd"/>
      <w:r w:rsidRPr="00ED12E0" w:rsidR="00A35FF1">
        <w:rPr>
          <w:rFonts w:cs="Verdana"/>
          <w:szCs w:val="18"/>
        </w:rPr>
        <w:t xml:space="preserve">’ of </w:t>
      </w:r>
      <w:r w:rsidRPr="00ED12E0" w:rsidR="00F3567F">
        <w:rPr>
          <w:rFonts w:cs="Verdana"/>
          <w:szCs w:val="18"/>
        </w:rPr>
        <w:t>‘</w:t>
      </w:r>
      <w:proofErr w:type="spellStart"/>
      <w:r w:rsidRPr="00ED12E0" w:rsidR="00C709F4">
        <w:rPr>
          <w:rFonts w:cs="Verdana"/>
          <w:szCs w:val="18"/>
        </w:rPr>
        <w:t>MiCA</w:t>
      </w:r>
      <w:r w:rsidRPr="00ED12E0" w:rsidR="00F3567F">
        <w:rPr>
          <w:rFonts w:cs="Verdana"/>
          <w:szCs w:val="18"/>
        </w:rPr>
        <w:t>R</w:t>
      </w:r>
      <w:proofErr w:type="spellEnd"/>
      <w:r w:rsidRPr="00ED12E0" w:rsidR="00F3567F">
        <w:rPr>
          <w:rFonts w:cs="Verdana"/>
          <w:szCs w:val="18"/>
        </w:rPr>
        <w:t>’</w:t>
      </w:r>
      <w:r w:rsidRPr="00ED12E0" w:rsidR="00C709F4">
        <w:rPr>
          <w:rFonts w:cs="Verdana"/>
          <w:szCs w:val="18"/>
        </w:rPr>
        <w:t xml:space="preserve">) </w:t>
      </w:r>
      <w:r w:rsidRPr="00ED12E0">
        <w:t>te kunnen doorberekenen aan de ondertoezichtstaande instellingen en herziet de procentuele verdeling van de Autoriteit Financiële Markten (AFM).</w:t>
      </w:r>
      <w:r w:rsidRPr="00ED12E0" w:rsidR="007F5CC2">
        <w:t xml:space="preserve"> </w:t>
      </w:r>
      <w:r w:rsidRPr="00ED12E0">
        <w:t>Daarnaast bevat het enkele andere wijzigingen en verduidelijkingen, waaronder aanpassingen in de categorieverdeling en de maatstaven van de AFM, de mogelijkheid om een heffing te kunnen opleggen aan levensverzekeraars met een beperkte risico-omvang, en een verduidelijking van de handelswijze bij geconsolideerd toezicht op banken.</w:t>
      </w:r>
      <w:r w:rsidRPr="00ED12E0" w:rsidR="00860E9E">
        <w:t xml:space="preserve"> </w:t>
      </w:r>
    </w:p>
    <w:p w:rsidRPr="00ED12E0" w:rsidR="00C268D2" w:rsidP="00E3357E" w:rsidRDefault="00C268D2" w14:paraId="263DC609" w14:textId="77777777">
      <w:pPr>
        <w:spacing w:line="276" w:lineRule="auto"/>
      </w:pPr>
    </w:p>
    <w:p w:rsidRPr="00ED12E0" w:rsidR="00EA2B4D" w:rsidP="00E3357E" w:rsidRDefault="00860E9E" w14:paraId="2BFB453E" w14:textId="26BD26DA">
      <w:pPr>
        <w:spacing w:line="276" w:lineRule="auto"/>
      </w:pPr>
      <w:r w:rsidRPr="00ED12E0">
        <w:t xml:space="preserve">De wijzigingen worden in de volgende paragrafen achtereenvolgens toegelicht. Daarna </w:t>
      </w:r>
      <w:r w:rsidRPr="00ED12E0" w:rsidR="00C268D2">
        <w:t>wordt ingegaan</w:t>
      </w:r>
      <w:r w:rsidRPr="00ED12E0">
        <w:t xml:space="preserve"> op de financiële gevolgen </w:t>
      </w:r>
      <w:r w:rsidRPr="00ED12E0" w:rsidR="00C268D2">
        <w:t>(</w:t>
      </w:r>
      <w:r w:rsidRPr="00ED12E0" w:rsidR="00BA42CA">
        <w:t xml:space="preserve">paragraaf </w:t>
      </w:r>
      <w:r w:rsidRPr="00ED12E0" w:rsidR="002E1998">
        <w:t>7</w:t>
      </w:r>
      <w:r w:rsidRPr="00ED12E0" w:rsidR="00C268D2">
        <w:t>) en de consultatie, advies en voorhang van het besluit (</w:t>
      </w:r>
      <w:r w:rsidRPr="00ED12E0" w:rsidR="00BA42CA">
        <w:t>paragraaf</w:t>
      </w:r>
      <w:r w:rsidRPr="00ED12E0" w:rsidR="00C268D2">
        <w:t xml:space="preserve"> </w:t>
      </w:r>
      <w:r w:rsidRPr="00ED12E0" w:rsidR="002E1998">
        <w:t>8</w:t>
      </w:r>
      <w:r w:rsidRPr="00ED12E0" w:rsidR="00C268D2">
        <w:t>).</w:t>
      </w:r>
    </w:p>
    <w:p w:rsidRPr="00ED12E0" w:rsidR="00A35FF1" w:rsidP="00E3357E" w:rsidRDefault="00A35FF1" w14:paraId="47A4A196" w14:textId="77777777">
      <w:pPr>
        <w:spacing w:line="276" w:lineRule="auto"/>
      </w:pPr>
    </w:p>
    <w:p w:rsidRPr="00ED12E0" w:rsidR="00FB5496" w:rsidP="00E3357E" w:rsidRDefault="00FB5496" w14:paraId="0B411982" w14:textId="01B2CF94">
      <w:pPr>
        <w:pStyle w:val="Kop2"/>
      </w:pPr>
      <w:r w:rsidRPr="00ED12E0">
        <w:t xml:space="preserve">§ </w:t>
      </w:r>
      <w:r w:rsidRPr="00ED12E0" w:rsidR="00021695">
        <w:t>2</w:t>
      </w:r>
      <w:r w:rsidRPr="00ED12E0">
        <w:t xml:space="preserve">. </w:t>
      </w:r>
      <w:proofErr w:type="spellStart"/>
      <w:r w:rsidRPr="00ED12E0" w:rsidR="00C709F4">
        <w:t>MiCA</w:t>
      </w:r>
      <w:r w:rsidRPr="00ED12E0" w:rsidR="00F3567F">
        <w:t>R</w:t>
      </w:r>
      <w:proofErr w:type="spellEnd"/>
    </w:p>
    <w:p w:rsidRPr="00ED12E0" w:rsidR="00FB5496" w:rsidP="00E3357E" w:rsidRDefault="00FB5496" w14:paraId="15286020" w14:textId="77777777">
      <w:pPr>
        <w:spacing w:line="276" w:lineRule="auto"/>
      </w:pPr>
    </w:p>
    <w:p w:rsidRPr="00ED12E0" w:rsidR="00BA42CA" w:rsidP="00BA42CA" w:rsidRDefault="00BA42CA" w14:paraId="1326B3AF" w14:textId="4188337D">
      <w:pPr>
        <w:spacing w:line="276" w:lineRule="auto"/>
        <w:rPr>
          <w:rFonts w:cs="Verdana"/>
          <w:szCs w:val="18"/>
        </w:rPr>
      </w:pPr>
      <w:r w:rsidRPr="00ED12E0">
        <w:rPr>
          <w:rFonts w:cs="Verdana"/>
          <w:szCs w:val="18"/>
        </w:rPr>
        <w:t xml:space="preserve">Dit besluit stelt de personen en maatstaven vast waarmee de AFM en DNB hun toezichtkosten kunnen doorberekenen aan </w:t>
      </w:r>
      <w:proofErr w:type="spellStart"/>
      <w:r w:rsidRPr="00ED12E0" w:rsidR="00C56F37">
        <w:rPr>
          <w:rFonts w:cs="Verdana"/>
          <w:szCs w:val="18"/>
        </w:rPr>
        <w:t>MiCAR</w:t>
      </w:r>
      <w:proofErr w:type="spellEnd"/>
      <w:r w:rsidRPr="00ED12E0">
        <w:rPr>
          <w:rFonts w:cs="Verdana"/>
          <w:szCs w:val="18"/>
        </w:rPr>
        <w:t xml:space="preserve">-partijen. </w:t>
      </w:r>
    </w:p>
    <w:p w:rsidRPr="00ED12E0" w:rsidR="00BA42CA" w:rsidP="00BA42CA" w:rsidRDefault="00BA42CA" w14:paraId="4EC80894" w14:textId="77777777">
      <w:pPr>
        <w:autoSpaceDE w:val="0"/>
        <w:autoSpaceDN w:val="0"/>
        <w:adjustRightInd w:val="0"/>
        <w:spacing w:line="276" w:lineRule="auto"/>
        <w:rPr>
          <w:rFonts w:cs="Verdana"/>
          <w:szCs w:val="18"/>
        </w:rPr>
      </w:pPr>
    </w:p>
    <w:p w:rsidRPr="00ED12E0" w:rsidR="002E1998" w:rsidP="002E1998" w:rsidRDefault="002D6D60" w14:paraId="3E185979" w14:textId="0EA0FD6A">
      <w:pPr>
        <w:autoSpaceDE w:val="0"/>
        <w:autoSpaceDN w:val="0"/>
        <w:adjustRightInd w:val="0"/>
        <w:spacing w:line="276" w:lineRule="auto"/>
        <w:rPr>
          <w:rFonts w:cs="Verdana"/>
          <w:szCs w:val="18"/>
        </w:rPr>
      </w:pPr>
      <w:r w:rsidRPr="00ED12E0">
        <w:t xml:space="preserve">Met de komst van </w:t>
      </w:r>
      <w:proofErr w:type="spellStart"/>
      <w:r w:rsidRPr="00ED12E0" w:rsidR="00C56F37">
        <w:t>MiCAR</w:t>
      </w:r>
      <w:proofErr w:type="spellEnd"/>
      <w:r w:rsidRPr="00ED12E0">
        <w:t xml:space="preserve"> </w:t>
      </w:r>
      <w:r w:rsidRPr="00ED12E0">
        <w:rPr>
          <w:rFonts w:cs="Verdana"/>
          <w:szCs w:val="18"/>
        </w:rPr>
        <w:t>wordt een nieuw regelgevend kader gecreëerd voor aanbieders van</w:t>
      </w:r>
      <w:r w:rsidRPr="00ED12E0" w:rsidR="00A42783">
        <w:rPr>
          <w:rFonts w:cs="Verdana"/>
          <w:szCs w:val="18"/>
        </w:rPr>
        <w:t xml:space="preserve"> </w:t>
      </w:r>
      <w:r w:rsidRPr="00ED12E0">
        <w:rPr>
          <w:rFonts w:cs="Verdana"/>
          <w:szCs w:val="18"/>
        </w:rPr>
        <w:t>cryptoactiva en cryptoactivadienstverleners.</w:t>
      </w:r>
      <w:r w:rsidRPr="00ED12E0" w:rsidR="00DD2396">
        <w:rPr>
          <w:rFonts w:cs="Verdana"/>
          <w:szCs w:val="18"/>
        </w:rPr>
        <w:t xml:space="preserve"> Kort gezegd reguleert </w:t>
      </w:r>
      <w:proofErr w:type="spellStart"/>
      <w:r w:rsidRPr="00ED12E0" w:rsidR="00C56F37">
        <w:rPr>
          <w:rFonts w:cs="Verdana"/>
          <w:szCs w:val="18"/>
        </w:rPr>
        <w:t>MiCAR</w:t>
      </w:r>
      <w:proofErr w:type="spellEnd"/>
      <w:r w:rsidRPr="00ED12E0" w:rsidR="00DD2396">
        <w:rPr>
          <w:rFonts w:cs="Verdana"/>
          <w:szCs w:val="18"/>
        </w:rPr>
        <w:t xml:space="preserve"> de uitgifte van cryptoactiva en het verlenen van cryptoactivadiensten in brede zin. Hiermee komt er een nieuw stelsel voor</w:t>
      </w:r>
      <w:r w:rsidRPr="00ED12E0" w:rsidR="00A53554">
        <w:rPr>
          <w:rFonts w:cs="Verdana"/>
          <w:szCs w:val="18"/>
        </w:rPr>
        <w:t xml:space="preserve"> </w:t>
      </w:r>
      <w:r w:rsidRPr="00ED12E0" w:rsidR="00DD2396">
        <w:rPr>
          <w:rFonts w:cs="Verdana"/>
          <w:szCs w:val="18"/>
        </w:rPr>
        <w:t xml:space="preserve">uitgevers van cryptoactiva en cryptoactivadienstverleners. </w:t>
      </w:r>
      <w:proofErr w:type="spellStart"/>
      <w:r w:rsidRPr="00ED12E0" w:rsidR="00C56F37">
        <w:rPr>
          <w:rFonts w:cs="Verdana"/>
          <w:szCs w:val="18"/>
        </w:rPr>
        <w:t>MiCAR</w:t>
      </w:r>
      <w:proofErr w:type="spellEnd"/>
      <w:r w:rsidRPr="00ED12E0" w:rsidR="00DD2396">
        <w:rPr>
          <w:rFonts w:cs="Verdana"/>
          <w:szCs w:val="18"/>
        </w:rPr>
        <w:t xml:space="preserve"> stelt eisen ten behoeve van consumentenbescherming, prudentieel toezicht en het tegengaan</w:t>
      </w:r>
      <w:r w:rsidRPr="00ED12E0" w:rsidR="00A42783">
        <w:rPr>
          <w:rFonts w:cs="Verdana"/>
          <w:szCs w:val="18"/>
        </w:rPr>
        <w:t xml:space="preserve"> </w:t>
      </w:r>
      <w:r w:rsidRPr="00ED12E0" w:rsidR="00DD2396">
        <w:rPr>
          <w:rFonts w:cs="Verdana"/>
          <w:szCs w:val="18"/>
        </w:rPr>
        <w:t xml:space="preserve">van marktmisbruik. Met de </w:t>
      </w:r>
      <w:r w:rsidRPr="00ED12E0" w:rsidR="007F5CC2">
        <w:rPr>
          <w:rFonts w:cs="Verdana"/>
          <w:szCs w:val="18"/>
        </w:rPr>
        <w:t>Uitvoeringswet verordening cryptoactiva</w:t>
      </w:r>
      <w:r w:rsidRPr="00ED12E0" w:rsidR="00DD2396">
        <w:rPr>
          <w:rStyle w:val="Voetnootmarkering"/>
          <w:rFonts w:cs="Verdana"/>
          <w:szCs w:val="18"/>
        </w:rPr>
        <w:footnoteReference w:id="2"/>
      </w:r>
      <w:r w:rsidRPr="00ED12E0" w:rsidR="00DD2396">
        <w:rPr>
          <w:rFonts w:cs="Verdana"/>
          <w:szCs w:val="18"/>
        </w:rPr>
        <w:t xml:space="preserve"> wordt de </w:t>
      </w:r>
      <w:r w:rsidRPr="00ED12E0" w:rsidR="00803AEF">
        <w:rPr>
          <w:rFonts w:cs="Verdana"/>
          <w:szCs w:val="18"/>
        </w:rPr>
        <w:t>Wet op het financieel toezicht (</w:t>
      </w:r>
      <w:r w:rsidRPr="00ED12E0" w:rsidR="00DD2396">
        <w:rPr>
          <w:rFonts w:cs="Verdana"/>
          <w:szCs w:val="18"/>
        </w:rPr>
        <w:t>Wft</w:t>
      </w:r>
      <w:r w:rsidRPr="00ED12E0" w:rsidR="00803AEF">
        <w:rPr>
          <w:rFonts w:cs="Verdana"/>
          <w:szCs w:val="18"/>
        </w:rPr>
        <w:t>)</w:t>
      </w:r>
      <w:r w:rsidRPr="00ED12E0" w:rsidR="00DD2396">
        <w:rPr>
          <w:rFonts w:cs="Verdana"/>
          <w:szCs w:val="18"/>
        </w:rPr>
        <w:t xml:space="preserve"> aangevuld met enkele specifieke handhavingsbevoegdheden die nog geen deel uitmaken van het wettelijk kader. Met het uitvoeringsbesluit</w:t>
      </w:r>
      <w:r w:rsidRPr="00ED12E0" w:rsidR="00DD2396">
        <w:rPr>
          <w:rStyle w:val="Voetnootmarkering"/>
          <w:rFonts w:cs="Verdana"/>
          <w:szCs w:val="18"/>
        </w:rPr>
        <w:footnoteReference w:id="3"/>
      </w:r>
      <w:r w:rsidRPr="00ED12E0" w:rsidR="00DD2396">
        <w:rPr>
          <w:rFonts w:cs="Verdana"/>
          <w:szCs w:val="18"/>
        </w:rPr>
        <w:t xml:space="preserve"> worden onder andere AFM en DNB aangewezen als toezichthouders.</w:t>
      </w:r>
      <w:r w:rsidRPr="00ED12E0" w:rsidR="002E1998">
        <w:rPr>
          <w:rFonts w:cs="Verdana"/>
          <w:szCs w:val="18"/>
        </w:rPr>
        <w:t xml:space="preserve"> </w:t>
      </w:r>
    </w:p>
    <w:p w:rsidRPr="00ED12E0" w:rsidR="002E1998" w:rsidP="002E1998" w:rsidRDefault="002E1998" w14:paraId="2D28DA52" w14:textId="77777777">
      <w:pPr>
        <w:spacing w:line="276" w:lineRule="auto"/>
        <w:rPr>
          <w:rFonts w:cs="Verdana"/>
          <w:szCs w:val="18"/>
        </w:rPr>
      </w:pPr>
    </w:p>
    <w:p w:rsidRPr="00ED12E0" w:rsidR="00FE138C" w:rsidP="00E3357E" w:rsidRDefault="00FE138C" w14:paraId="505C1C5B" w14:textId="3B2FFCEA">
      <w:pPr>
        <w:autoSpaceDE w:val="0"/>
        <w:autoSpaceDN w:val="0"/>
        <w:adjustRightInd w:val="0"/>
        <w:spacing w:line="276" w:lineRule="auto"/>
        <w:rPr>
          <w:rFonts w:cs="Verdana"/>
          <w:szCs w:val="18"/>
        </w:rPr>
      </w:pPr>
      <w:r w:rsidRPr="00ED12E0">
        <w:rPr>
          <w:rFonts w:cs="Verdana"/>
          <w:szCs w:val="18"/>
        </w:rPr>
        <w:t xml:space="preserve">Voor </w:t>
      </w:r>
      <w:proofErr w:type="spellStart"/>
      <w:r w:rsidRPr="00ED12E0" w:rsidR="00C56F37">
        <w:rPr>
          <w:rFonts w:cs="Verdana"/>
          <w:szCs w:val="18"/>
        </w:rPr>
        <w:t>MiCAR</w:t>
      </w:r>
      <w:proofErr w:type="spellEnd"/>
      <w:r w:rsidRPr="00ED12E0">
        <w:rPr>
          <w:rFonts w:cs="Verdana"/>
          <w:szCs w:val="18"/>
        </w:rPr>
        <w:t xml:space="preserve"> was er voor</w:t>
      </w:r>
      <w:r w:rsidRPr="00ED12E0" w:rsidR="007F5CC2">
        <w:rPr>
          <w:rFonts w:cs="Verdana"/>
          <w:szCs w:val="18"/>
        </w:rPr>
        <w:t xml:space="preserve"> </w:t>
      </w:r>
      <w:r w:rsidRPr="00ED12E0">
        <w:rPr>
          <w:rFonts w:cs="Arial"/>
          <w:iCs/>
          <w:szCs w:val="18"/>
        </w:rPr>
        <w:t xml:space="preserve">bepaalde </w:t>
      </w:r>
      <w:r w:rsidRPr="00ED12E0" w:rsidR="007F5CC2">
        <w:rPr>
          <w:rFonts w:cs="Arial"/>
          <w:iCs/>
          <w:szCs w:val="18"/>
        </w:rPr>
        <w:t>c</w:t>
      </w:r>
      <w:r w:rsidRPr="00ED12E0">
        <w:rPr>
          <w:rFonts w:cs="Arial"/>
          <w:iCs/>
          <w:szCs w:val="18"/>
        </w:rPr>
        <w:t xml:space="preserve">ryptoactivadienstverleners al enige regulering op basis van hoofdstuk 3A van de </w:t>
      </w:r>
      <w:r w:rsidRPr="00ED12E0" w:rsidR="002268D7">
        <w:rPr>
          <w:rFonts w:cs="Arial"/>
          <w:iCs/>
          <w:szCs w:val="18"/>
        </w:rPr>
        <w:t>Wet ter voorkoming van witwassen en financieren van terrorisme (</w:t>
      </w:r>
      <w:proofErr w:type="spellStart"/>
      <w:r w:rsidRPr="00ED12E0">
        <w:rPr>
          <w:rFonts w:cs="Arial"/>
          <w:iCs/>
          <w:szCs w:val="18"/>
        </w:rPr>
        <w:t>Wwft</w:t>
      </w:r>
      <w:proofErr w:type="spellEnd"/>
      <w:r w:rsidRPr="00ED12E0" w:rsidR="002268D7">
        <w:rPr>
          <w:rFonts w:cs="Arial"/>
          <w:iCs/>
          <w:szCs w:val="18"/>
        </w:rPr>
        <w:t>)</w:t>
      </w:r>
      <w:r w:rsidRPr="00ED12E0">
        <w:rPr>
          <w:rFonts w:cs="Arial"/>
          <w:iCs/>
          <w:szCs w:val="18"/>
        </w:rPr>
        <w:t>.</w:t>
      </w:r>
      <w:r w:rsidRPr="00ED12E0">
        <w:rPr>
          <w:rStyle w:val="Voetnootmarkering"/>
          <w:rFonts w:cs="Arial"/>
          <w:iCs/>
          <w:szCs w:val="18"/>
        </w:rPr>
        <w:footnoteReference w:id="4"/>
      </w:r>
      <w:r w:rsidRPr="00ED12E0">
        <w:rPr>
          <w:rFonts w:cs="Arial"/>
          <w:iCs/>
          <w:szCs w:val="18"/>
        </w:rPr>
        <w:t xml:space="preserve"> Het gaat hierbij om aanbieders van bewaarportemonnees (</w:t>
      </w:r>
      <w:proofErr w:type="spellStart"/>
      <w:r w:rsidRPr="00ED12E0">
        <w:rPr>
          <w:rFonts w:cs="Arial"/>
          <w:iCs/>
          <w:szCs w:val="18"/>
        </w:rPr>
        <w:t>wallets</w:t>
      </w:r>
      <w:proofErr w:type="spellEnd"/>
      <w:r w:rsidRPr="00ED12E0">
        <w:rPr>
          <w:rFonts w:cs="Arial"/>
          <w:iCs/>
          <w:szCs w:val="18"/>
        </w:rPr>
        <w:t xml:space="preserve">) en aanbieders van diensten voor het omwisselen van cryptoactiva voor geldmiddelen. Hiervoor kon </w:t>
      </w:r>
      <w:proofErr w:type="gramStart"/>
      <w:r w:rsidRPr="00ED12E0">
        <w:rPr>
          <w:rFonts w:cs="Arial"/>
          <w:iCs/>
          <w:szCs w:val="18"/>
        </w:rPr>
        <w:t>DNB toezichtkosten</w:t>
      </w:r>
      <w:proofErr w:type="gramEnd"/>
      <w:r w:rsidRPr="00ED12E0">
        <w:rPr>
          <w:rFonts w:cs="Arial"/>
          <w:iCs/>
          <w:szCs w:val="18"/>
        </w:rPr>
        <w:t xml:space="preserve"> in rekening </w:t>
      </w:r>
      <w:r w:rsidRPr="00ED12E0" w:rsidR="00A53554">
        <w:rPr>
          <w:rFonts w:cs="Arial"/>
          <w:iCs/>
          <w:szCs w:val="18"/>
        </w:rPr>
        <w:t>brengen</w:t>
      </w:r>
      <w:r w:rsidRPr="00ED12E0">
        <w:rPr>
          <w:rFonts w:cs="Arial"/>
          <w:iCs/>
          <w:szCs w:val="18"/>
        </w:rPr>
        <w:t xml:space="preserve">. Met </w:t>
      </w:r>
      <w:proofErr w:type="spellStart"/>
      <w:r w:rsidRPr="00ED12E0" w:rsidR="00C56F37">
        <w:rPr>
          <w:rFonts w:cs="Arial"/>
          <w:iCs/>
          <w:szCs w:val="18"/>
        </w:rPr>
        <w:t>MiCAR</w:t>
      </w:r>
      <w:proofErr w:type="spellEnd"/>
      <w:r w:rsidRPr="00ED12E0">
        <w:rPr>
          <w:rFonts w:cs="Arial"/>
          <w:iCs/>
          <w:szCs w:val="18"/>
        </w:rPr>
        <w:t xml:space="preserve"> wordt</w:t>
      </w:r>
      <w:r w:rsidRPr="00ED12E0" w:rsidR="009F1ACF">
        <w:rPr>
          <w:rFonts w:cs="Arial"/>
          <w:iCs/>
          <w:szCs w:val="18"/>
        </w:rPr>
        <w:t xml:space="preserve"> de groep gereguleerde instellingen die cryptoactivadiensten aanbieden uitgebreid en </w:t>
      </w:r>
      <w:r w:rsidRPr="00ED12E0">
        <w:rPr>
          <w:rFonts w:cs="Arial"/>
          <w:iCs/>
          <w:szCs w:val="18"/>
        </w:rPr>
        <w:t>onder toezicht gebracht van AFM</w:t>
      </w:r>
      <w:r w:rsidRPr="00ED12E0" w:rsidR="009F1ACF">
        <w:rPr>
          <w:rFonts w:cs="Arial"/>
          <w:iCs/>
          <w:szCs w:val="18"/>
        </w:rPr>
        <w:t>.</w:t>
      </w:r>
      <w:r w:rsidRPr="00ED12E0">
        <w:rPr>
          <w:rFonts w:cs="Arial"/>
          <w:iCs/>
          <w:szCs w:val="18"/>
        </w:rPr>
        <w:t xml:space="preserve"> </w:t>
      </w:r>
      <w:r w:rsidRPr="00ED12E0" w:rsidR="009F1ACF">
        <w:rPr>
          <w:rFonts w:cs="Arial"/>
          <w:iCs/>
          <w:szCs w:val="18"/>
        </w:rPr>
        <w:t>Het betreft een uitbreiding met</w:t>
      </w:r>
      <w:r w:rsidRPr="00ED12E0" w:rsidR="007F5CC2">
        <w:rPr>
          <w:rFonts w:cs="Arial"/>
          <w:iCs/>
          <w:szCs w:val="18"/>
        </w:rPr>
        <w:t xml:space="preserve"> </w:t>
      </w:r>
      <w:r w:rsidRPr="00ED12E0">
        <w:rPr>
          <w:rFonts w:cs="Arial"/>
          <w:iCs/>
          <w:szCs w:val="18"/>
        </w:rPr>
        <w:t xml:space="preserve">de volgende diensten: </w:t>
      </w:r>
    </w:p>
    <w:p w:rsidRPr="00ED12E0" w:rsidR="00803AEF" w:rsidP="002E1998" w:rsidRDefault="00803AEF" w14:paraId="09FF44F0" w14:textId="3D87E787">
      <w:pPr>
        <w:pStyle w:val="Lijstalinea"/>
        <w:numPr>
          <w:ilvl w:val="0"/>
          <w:numId w:val="35"/>
        </w:numPr>
      </w:pPr>
      <w:proofErr w:type="gramStart"/>
      <w:r w:rsidRPr="00ED12E0">
        <w:t>exploitatie</w:t>
      </w:r>
      <w:proofErr w:type="gramEnd"/>
      <w:r w:rsidRPr="00ED12E0">
        <w:t xml:space="preserve"> van een cryptoactivahandelsplatform;</w:t>
      </w:r>
    </w:p>
    <w:p w:rsidRPr="00ED12E0" w:rsidR="00803AEF" w:rsidP="002E1998" w:rsidRDefault="00803AEF" w14:paraId="2104737F" w14:textId="77777777">
      <w:pPr>
        <w:pStyle w:val="Lijstalinea"/>
        <w:numPr>
          <w:ilvl w:val="0"/>
          <w:numId w:val="35"/>
        </w:numPr>
      </w:pPr>
      <w:proofErr w:type="gramStart"/>
      <w:r w:rsidRPr="00ED12E0">
        <w:t>uitvoering</w:t>
      </w:r>
      <w:proofErr w:type="gramEnd"/>
      <w:r w:rsidRPr="00ED12E0">
        <w:t xml:space="preserve"> van cryptoactivaorders namens cliënten;</w:t>
      </w:r>
    </w:p>
    <w:p w:rsidRPr="00ED12E0" w:rsidR="007F0740" w:rsidP="002E1998" w:rsidRDefault="00803AEF" w14:paraId="6472BBB2" w14:textId="6AAF8B67">
      <w:pPr>
        <w:pStyle w:val="Lijstalinea"/>
        <w:numPr>
          <w:ilvl w:val="0"/>
          <w:numId w:val="35"/>
        </w:numPr>
      </w:pPr>
      <w:proofErr w:type="gramStart"/>
      <w:r w:rsidRPr="00ED12E0">
        <w:t>plaatsing</w:t>
      </w:r>
      <w:proofErr w:type="gramEnd"/>
      <w:r w:rsidRPr="00ED12E0">
        <w:t xml:space="preserve"> van cryptoactiva;</w:t>
      </w:r>
    </w:p>
    <w:p w:rsidRPr="00ED12E0" w:rsidR="00803AEF" w:rsidP="002E1998" w:rsidRDefault="00803AEF" w14:paraId="2F735FF5" w14:textId="2DAA0ED7">
      <w:pPr>
        <w:pStyle w:val="Lijstalinea"/>
        <w:numPr>
          <w:ilvl w:val="0"/>
          <w:numId w:val="35"/>
        </w:numPr>
      </w:pPr>
      <w:proofErr w:type="gramStart"/>
      <w:r w:rsidRPr="00ED12E0">
        <w:lastRenderedPageBreak/>
        <w:t>ontvangst</w:t>
      </w:r>
      <w:proofErr w:type="gramEnd"/>
      <w:r w:rsidRPr="00ED12E0">
        <w:t xml:space="preserve"> en doorgifte van cryptoactivaorders namens cliënt</w:t>
      </w:r>
      <w:r w:rsidRPr="00ED12E0" w:rsidR="00A53554">
        <w:t>en;</w:t>
      </w:r>
    </w:p>
    <w:p w:rsidRPr="00ED12E0" w:rsidR="002F7CE3" w:rsidP="002E1998" w:rsidRDefault="00803AEF" w14:paraId="42862DF4" w14:textId="77777777">
      <w:pPr>
        <w:pStyle w:val="Lijstalinea"/>
        <w:numPr>
          <w:ilvl w:val="0"/>
          <w:numId w:val="35"/>
        </w:numPr>
      </w:pPr>
      <w:proofErr w:type="gramStart"/>
      <w:r w:rsidRPr="00ED12E0">
        <w:t>verlening</w:t>
      </w:r>
      <w:proofErr w:type="gramEnd"/>
      <w:r w:rsidRPr="00ED12E0">
        <w:t xml:space="preserve"> van advies over cryptoactiva en beheer van </w:t>
      </w:r>
    </w:p>
    <w:p w:rsidRPr="00ED12E0" w:rsidR="00803AEF" w:rsidP="002E1998" w:rsidRDefault="00803AEF" w14:paraId="624BE84E" w14:textId="7C78D4BC">
      <w:pPr>
        <w:pStyle w:val="Lijstalinea"/>
        <w:numPr>
          <w:ilvl w:val="0"/>
          <w:numId w:val="35"/>
        </w:numPr>
      </w:pPr>
      <w:proofErr w:type="spellStart"/>
      <w:proofErr w:type="gramStart"/>
      <w:r w:rsidRPr="00ED12E0">
        <w:t>cryptoactivaportefeuilles</w:t>
      </w:r>
      <w:proofErr w:type="spellEnd"/>
      <w:proofErr w:type="gramEnd"/>
      <w:r w:rsidRPr="00ED12E0">
        <w:t>; en</w:t>
      </w:r>
    </w:p>
    <w:p w:rsidRPr="00ED12E0" w:rsidR="002E1998" w:rsidP="002E1998" w:rsidRDefault="00803AEF" w14:paraId="094172A2" w14:textId="0EBA02B3">
      <w:pPr>
        <w:pStyle w:val="Lijstalinea"/>
        <w:numPr>
          <w:ilvl w:val="0"/>
          <w:numId w:val="35"/>
        </w:numPr>
      </w:pPr>
      <w:proofErr w:type="gramStart"/>
      <w:r w:rsidRPr="00ED12E0">
        <w:t>verlening</w:t>
      </w:r>
      <w:proofErr w:type="gramEnd"/>
      <w:r w:rsidRPr="00ED12E0">
        <w:t xml:space="preserve"> van </w:t>
      </w:r>
      <w:proofErr w:type="spellStart"/>
      <w:r w:rsidRPr="00ED12E0">
        <w:t>cryptoactivaoverdrachtdiensten</w:t>
      </w:r>
      <w:proofErr w:type="spellEnd"/>
      <w:r w:rsidRPr="00ED12E0">
        <w:t xml:space="preserve"> namens cliënten.</w:t>
      </w:r>
    </w:p>
    <w:p w:rsidRPr="00ED12E0" w:rsidR="002E1998" w:rsidP="002E1998" w:rsidRDefault="002E1998" w14:paraId="38BCFCD6" w14:textId="77777777"/>
    <w:p w:rsidRPr="00ED12E0" w:rsidR="002E1998" w:rsidP="00E3357E" w:rsidRDefault="00761718" w14:paraId="0CFAEA34" w14:textId="66E20A67">
      <w:pPr>
        <w:spacing w:line="276" w:lineRule="auto"/>
        <w:rPr>
          <w:rFonts w:cs="Verdana"/>
          <w:szCs w:val="18"/>
        </w:rPr>
      </w:pPr>
      <w:r w:rsidRPr="00ED12E0">
        <w:rPr>
          <w:rFonts w:cs="Verdana"/>
          <w:szCs w:val="18"/>
        </w:rPr>
        <w:t>Deze diensten kunnen worden uitgevoerd door cryptoactivadienstverleners die daarvoor een vergunning van de AFM hebben gekregen. Ook een aantal bestaande financiële ondernemingen, waaronder banken, elektronischgeldinstellingen en beleggingsondernemingen, kunnen cryptoactivadiensten verlenen.</w:t>
      </w:r>
      <w:r w:rsidRPr="00ED12E0" w:rsidR="00D00529">
        <w:rPr>
          <w:rFonts w:cs="Verdana"/>
          <w:szCs w:val="18"/>
        </w:rPr>
        <w:t xml:space="preserve"> Conform het </w:t>
      </w:r>
      <w:proofErr w:type="spellStart"/>
      <w:r w:rsidRPr="00ED12E0" w:rsidR="00D00529">
        <w:rPr>
          <w:rFonts w:cs="Verdana"/>
          <w:szCs w:val="18"/>
        </w:rPr>
        <w:t>Twin</w:t>
      </w:r>
      <w:proofErr w:type="spellEnd"/>
      <w:r w:rsidRPr="00ED12E0" w:rsidR="00D00529">
        <w:rPr>
          <w:rFonts w:cs="Verdana"/>
          <w:szCs w:val="18"/>
        </w:rPr>
        <w:t xml:space="preserve"> Peaks-model van toezicht houdt</w:t>
      </w:r>
      <w:r w:rsidRPr="00ED12E0">
        <w:rPr>
          <w:rFonts w:cs="Verdana"/>
          <w:szCs w:val="18"/>
        </w:rPr>
        <w:t xml:space="preserve"> </w:t>
      </w:r>
      <w:proofErr w:type="gramStart"/>
      <w:r w:rsidRPr="00ED12E0" w:rsidR="00D00529">
        <w:rPr>
          <w:rFonts w:cs="Verdana"/>
          <w:szCs w:val="18"/>
        </w:rPr>
        <w:t>AFM gedragstoezicht</w:t>
      </w:r>
      <w:proofErr w:type="gramEnd"/>
      <w:r w:rsidRPr="00ED12E0" w:rsidR="00D00529">
        <w:rPr>
          <w:rFonts w:cs="Verdana"/>
          <w:szCs w:val="18"/>
        </w:rPr>
        <w:t xml:space="preserve"> op deze partijen en houdt </w:t>
      </w:r>
      <w:r w:rsidRPr="00ED12E0">
        <w:rPr>
          <w:rFonts w:cs="Verdana"/>
          <w:szCs w:val="18"/>
        </w:rPr>
        <w:t>DNB prudentieel toezicht.</w:t>
      </w:r>
      <w:r w:rsidRPr="00ED12E0">
        <w:rPr>
          <w:rStyle w:val="Voetnootmarkering"/>
          <w:rFonts w:cs="Verdana"/>
          <w:szCs w:val="18"/>
        </w:rPr>
        <w:footnoteReference w:id="5"/>
      </w:r>
      <w:r w:rsidRPr="00ED12E0" w:rsidR="004F365D">
        <w:rPr>
          <w:rFonts w:cs="Verdana"/>
          <w:szCs w:val="18"/>
        </w:rPr>
        <w:t xml:space="preserve"> Het integriteitstoezicht wordt </w:t>
      </w:r>
      <w:r w:rsidRPr="00ED12E0" w:rsidR="007C0562">
        <w:rPr>
          <w:rFonts w:cs="Verdana"/>
          <w:szCs w:val="18"/>
        </w:rPr>
        <w:t>uitgevoerd</w:t>
      </w:r>
      <w:r w:rsidRPr="00ED12E0" w:rsidR="004F365D">
        <w:rPr>
          <w:rFonts w:cs="Verdana"/>
          <w:szCs w:val="18"/>
        </w:rPr>
        <w:t xml:space="preserve"> door de vergunningverlenende toezichthouder.</w:t>
      </w:r>
      <w:r w:rsidRPr="00ED12E0">
        <w:rPr>
          <w:rFonts w:cs="Verdana"/>
          <w:szCs w:val="18"/>
        </w:rPr>
        <w:t xml:space="preserve"> Om die reden krijgen de cryptoactivadienstverleners een jaarlijkse heffing van de AFM en van DNB.</w:t>
      </w:r>
    </w:p>
    <w:p w:rsidRPr="00ED12E0" w:rsidR="00761718" w:rsidP="00E3357E" w:rsidRDefault="00761718" w14:paraId="2B41FD97" w14:textId="77777777">
      <w:pPr>
        <w:spacing w:line="276" w:lineRule="auto"/>
        <w:rPr>
          <w:rFonts w:cs="Verdana"/>
          <w:szCs w:val="18"/>
        </w:rPr>
      </w:pPr>
    </w:p>
    <w:p w:rsidRPr="00ED12E0" w:rsidR="00D00529" w:rsidP="00E3357E" w:rsidRDefault="00761718" w14:paraId="0043CA2B" w14:textId="00F0812F">
      <w:pPr>
        <w:spacing w:line="276" w:lineRule="auto"/>
        <w:rPr>
          <w:rFonts w:cs="Verdana"/>
          <w:szCs w:val="18"/>
        </w:rPr>
      </w:pPr>
      <w:r w:rsidRPr="00ED12E0">
        <w:rPr>
          <w:rFonts w:cs="Verdana"/>
          <w:szCs w:val="18"/>
        </w:rPr>
        <w:t xml:space="preserve">Daarnaast reguleert </w:t>
      </w:r>
      <w:proofErr w:type="spellStart"/>
      <w:r w:rsidRPr="00ED12E0" w:rsidR="00C56F37">
        <w:rPr>
          <w:rFonts w:cs="Verdana"/>
          <w:szCs w:val="18"/>
        </w:rPr>
        <w:t>MiCAR</w:t>
      </w:r>
      <w:proofErr w:type="spellEnd"/>
      <w:r w:rsidRPr="00ED12E0">
        <w:rPr>
          <w:rFonts w:cs="Verdana"/>
          <w:szCs w:val="18"/>
        </w:rPr>
        <w:t xml:space="preserve"> zogeheten </w:t>
      </w:r>
      <w:proofErr w:type="spellStart"/>
      <w:r w:rsidRPr="00ED12E0">
        <w:rPr>
          <w:rFonts w:cs="Verdana"/>
          <w:szCs w:val="18"/>
        </w:rPr>
        <w:t>stablecoins</w:t>
      </w:r>
      <w:proofErr w:type="spellEnd"/>
      <w:r w:rsidRPr="00ED12E0">
        <w:rPr>
          <w:rFonts w:cs="Verdana"/>
          <w:szCs w:val="18"/>
        </w:rPr>
        <w:t xml:space="preserve">: </w:t>
      </w:r>
      <w:proofErr w:type="spellStart"/>
      <w:r w:rsidRPr="00ED12E0">
        <w:rPr>
          <w:rFonts w:cs="Verdana"/>
          <w:szCs w:val="18"/>
        </w:rPr>
        <w:t>activagerelateerde</w:t>
      </w:r>
      <w:proofErr w:type="spellEnd"/>
      <w:r w:rsidRPr="00ED12E0">
        <w:rPr>
          <w:rFonts w:cs="Verdana"/>
          <w:szCs w:val="18"/>
        </w:rPr>
        <w:t xml:space="preserve"> tokens (</w:t>
      </w:r>
      <w:proofErr w:type="spellStart"/>
      <w:r w:rsidRPr="00ED12E0">
        <w:rPr>
          <w:rFonts w:cs="Verdana"/>
          <w:szCs w:val="18"/>
        </w:rPr>
        <w:t>ARTs</w:t>
      </w:r>
      <w:proofErr w:type="spellEnd"/>
      <w:r w:rsidRPr="00ED12E0">
        <w:rPr>
          <w:rFonts w:cs="Verdana"/>
          <w:szCs w:val="18"/>
        </w:rPr>
        <w:t>) en e-</w:t>
      </w:r>
      <w:proofErr w:type="spellStart"/>
      <w:r w:rsidRPr="00ED12E0">
        <w:rPr>
          <w:rFonts w:cs="Verdana"/>
          <w:szCs w:val="18"/>
        </w:rPr>
        <w:t>moneytokens</w:t>
      </w:r>
      <w:proofErr w:type="spellEnd"/>
      <w:r w:rsidRPr="00ED12E0">
        <w:rPr>
          <w:rFonts w:cs="Verdana"/>
          <w:szCs w:val="18"/>
        </w:rPr>
        <w:t xml:space="preserve"> (</w:t>
      </w:r>
      <w:proofErr w:type="spellStart"/>
      <w:r w:rsidRPr="00ED12E0">
        <w:rPr>
          <w:rFonts w:cs="Verdana"/>
          <w:szCs w:val="18"/>
        </w:rPr>
        <w:t>EMTs</w:t>
      </w:r>
      <w:proofErr w:type="spellEnd"/>
      <w:r w:rsidRPr="00ED12E0">
        <w:rPr>
          <w:rFonts w:cs="Verdana"/>
          <w:szCs w:val="18"/>
        </w:rPr>
        <w:t xml:space="preserve">). Uitgevers van deze tokens staan onder toezicht van DNB en ontvangen daarom alleen van DNB een heffing voor het toezicht op grond van </w:t>
      </w:r>
      <w:proofErr w:type="spellStart"/>
      <w:r w:rsidRPr="00ED12E0" w:rsidR="00C56F37">
        <w:rPr>
          <w:rFonts w:cs="Verdana"/>
          <w:szCs w:val="18"/>
        </w:rPr>
        <w:t>MiCAR</w:t>
      </w:r>
      <w:proofErr w:type="spellEnd"/>
      <w:r w:rsidRPr="00ED12E0">
        <w:rPr>
          <w:rFonts w:cs="Verdana"/>
          <w:szCs w:val="18"/>
        </w:rPr>
        <w:t>.</w:t>
      </w:r>
      <w:r w:rsidRPr="00ED12E0" w:rsidR="00D00529">
        <w:rPr>
          <w:rFonts w:cs="Verdana"/>
          <w:szCs w:val="18"/>
        </w:rPr>
        <w:t xml:space="preserve"> </w:t>
      </w:r>
    </w:p>
    <w:p w:rsidRPr="00ED12E0" w:rsidR="00D00529" w:rsidP="00E3357E" w:rsidRDefault="00D00529" w14:paraId="3E494DFE" w14:textId="77777777">
      <w:pPr>
        <w:spacing w:line="276" w:lineRule="auto"/>
        <w:rPr>
          <w:rFonts w:cs="Verdana"/>
          <w:szCs w:val="18"/>
        </w:rPr>
      </w:pPr>
    </w:p>
    <w:p w:rsidRPr="00ED12E0" w:rsidR="00761718" w:rsidP="00E3357E" w:rsidRDefault="00D00529" w14:paraId="29559CA7" w14:textId="67CB61F7">
      <w:pPr>
        <w:spacing w:line="276" w:lineRule="auto"/>
        <w:rPr>
          <w:rFonts w:cs="Verdana"/>
          <w:szCs w:val="18"/>
        </w:rPr>
      </w:pPr>
      <w:r w:rsidRPr="00ED12E0">
        <w:rPr>
          <w:rFonts w:cs="Verdana"/>
          <w:szCs w:val="18"/>
        </w:rPr>
        <w:t xml:space="preserve">Tot slot </w:t>
      </w:r>
      <w:r w:rsidRPr="00ED12E0" w:rsidR="002A5C0D">
        <w:rPr>
          <w:rFonts w:cs="Verdana"/>
          <w:szCs w:val="18"/>
        </w:rPr>
        <w:t>geldt een overgangsregime</w:t>
      </w:r>
      <w:r w:rsidRPr="00ED12E0">
        <w:rPr>
          <w:rFonts w:cs="Verdana"/>
          <w:szCs w:val="18"/>
        </w:rPr>
        <w:t xml:space="preserve"> voor crypto-instellingen met een bestaande registratie op grond van hoofdstuk 3A </w:t>
      </w:r>
      <w:proofErr w:type="spellStart"/>
      <w:r w:rsidRPr="00ED12E0">
        <w:rPr>
          <w:rFonts w:cs="Verdana"/>
          <w:szCs w:val="18"/>
        </w:rPr>
        <w:t>Wwft</w:t>
      </w:r>
      <w:proofErr w:type="spellEnd"/>
      <w:r w:rsidRPr="00ED12E0" w:rsidR="002A5C0D">
        <w:rPr>
          <w:rFonts w:cs="Verdana"/>
          <w:szCs w:val="18"/>
        </w:rPr>
        <w:t>. Zij kunnen</w:t>
      </w:r>
      <w:r w:rsidRPr="00ED12E0">
        <w:rPr>
          <w:rFonts w:cs="Verdana"/>
          <w:szCs w:val="18"/>
        </w:rPr>
        <w:t xml:space="preserve"> tot en met 30 juni 2025 </w:t>
      </w:r>
      <w:r w:rsidRPr="00ED12E0" w:rsidR="002A5C0D">
        <w:rPr>
          <w:rFonts w:cs="Verdana"/>
          <w:szCs w:val="18"/>
        </w:rPr>
        <w:t xml:space="preserve">met hun </w:t>
      </w:r>
      <w:proofErr w:type="spellStart"/>
      <w:r w:rsidRPr="00ED12E0" w:rsidR="002A5C0D">
        <w:rPr>
          <w:rFonts w:cs="Verdana"/>
          <w:szCs w:val="18"/>
        </w:rPr>
        <w:t>Wwft</w:t>
      </w:r>
      <w:proofErr w:type="spellEnd"/>
      <w:r w:rsidRPr="00ED12E0" w:rsidR="002A5C0D">
        <w:rPr>
          <w:rFonts w:cs="Verdana"/>
          <w:szCs w:val="18"/>
        </w:rPr>
        <w:t>-registratie hun diensten aanbieden</w:t>
      </w:r>
      <w:r w:rsidRPr="00ED12E0">
        <w:rPr>
          <w:rFonts w:cs="Verdana"/>
          <w:szCs w:val="18"/>
        </w:rPr>
        <w:t>.</w:t>
      </w:r>
      <w:r w:rsidRPr="00ED12E0" w:rsidR="00DB4A3E">
        <w:rPr>
          <w:rStyle w:val="Voetnootmarkering"/>
          <w:rFonts w:cs="Verdana"/>
          <w:szCs w:val="18"/>
        </w:rPr>
        <w:footnoteReference w:id="6"/>
      </w:r>
      <w:r w:rsidRPr="00ED12E0">
        <w:rPr>
          <w:rFonts w:cs="Verdana"/>
          <w:szCs w:val="18"/>
        </w:rPr>
        <w:t xml:space="preserve"> </w:t>
      </w:r>
      <w:r w:rsidRPr="00ED12E0" w:rsidR="00C709F4">
        <w:rPr>
          <w:rFonts w:cs="Verdana"/>
          <w:szCs w:val="18"/>
        </w:rPr>
        <w:t xml:space="preserve">Vanaf de inwerkingtreding van </w:t>
      </w:r>
      <w:proofErr w:type="spellStart"/>
      <w:r w:rsidRPr="00ED12E0" w:rsidR="00C56F37">
        <w:rPr>
          <w:rFonts w:cs="Verdana"/>
          <w:szCs w:val="18"/>
        </w:rPr>
        <w:t>MiCAR</w:t>
      </w:r>
      <w:proofErr w:type="spellEnd"/>
      <w:r w:rsidRPr="00ED12E0" w:rsidR="00C709F4">
        <w:rPr>
          <w:rFonts w:cs="Verdana"/>
          <w:szCs w:val="18"/>
        </w:rPr>
        <w:t xml:space="preserve"> houdt de AFM tijdelijk toezicht op deze partijen, totdat een partij een </w:t>
      </w:r>
      <w:proofErr w:type="spellStart"/>
      <w:r w:rsidRPr="00ED12E0" w:rsidR="00C56F37">
        <w:rPr>
          <w:rFonts w:cs="Verdana"/>
          <w:szCs w:val="18"/>
        </w:rPr>
        <w:t>MiCAR</w:t>
      </w:r>
      <w:proofErr w:type="spellEnd"/>
      <w:r w:rsidRPr="00ED12E0" w:rsidR="00C709F4">
        <w:rPr>
          <w:rFonts w:cs="Verdana"/>
          <w:szCs w:val="18"/>
        </w:rPr>
        <w:t xml:space="preserve">-vergunning of -notificatie verkrijgt of tot de vervaldatum van het </w:t>
      </w:r>
      <w:r w:rsidRPr="00ED12E0" w:rsidR="00C044A7">
        <w:rPr>
          <w:rFonts w:cs="Verdana"/>
          <w:szCs w:val="18"/>
        </w:rPr>
        <w:t>overgangs</w:t>
      </w:r>
      <w:r w:rsidRPr="00ED12E0" w:rsidR="00C709F4">
        <w:rPr>
          <w:rFonts w:cs="Verdana"/>
          <w:szCs w:val="18"/>
        </w:rPr>
        <w:t>regime.</w:t>
      </w:r>
    </w:p>
    <w:p w:rsidRPr="00ED12E0" w:rsidR="002E1998" w:rsidP="00E3357E" w:rsidRDefault="002E1998" w14:paraId="01E7A91E" w14:textId="77777777">
      <w:pPr>
        <w:spacing w:line="276" w:lineRule="auto"/>
        <w:rPr>
          <w:rFonts w:cs="Verdana"/>
          <w:szCs w:val="18"/>
        </w:rPr>
      </w:pPr>
    </w:p>
    <w:p w:rsidRPr="00ED12E0" w:rsidR="001C557D" w:rsidP="00E3357E" w:rsidRDefault="0046215E" w14:paraId="2521A6A9" w14:textId="5CF0208D">
      <w:pPr>
        <w:spacing w:line="276" w:lineRule="auto"/>
      </w:pPr>
      <w:r w:rsidRPr="00ED12E0">
        <w:rPr>
          <w:rFonts w:cs="Verdana"/>
          <w:szCs w:val="18"/>
        </w:rPr>
        <w:t xml:space="preserve">Het onderhavige besluit creëert de grondslagen voor het in rekening brengen van de toezichtkosten door AFM en </w:t>
      </w:r>
      <w:r w:rsidRPr="00ED12E0" w:rsidR="001C557D">
        <w:rPr>
          <w:rFonts w:cs="Verdana"/>
          <w:szCs w:val="18"/>
        </w:rPr>
        <w:t>DNB</w:t>
      </w:r>
      <w:r w:rsidRPr="00ED12E0">
        <w:rPr>
          <w:rFonts w:cs="Verdana"/>
          <w:szCs w:val="18"/>
        </w:rPr>
        <w:t xml:space="preserve"> bij de uitgevers van </w:t>
      </w:r>
      <w:proofErr w:type="spellStart"/>
      <w:r w:rsidRPr="00ED12E0">
        <w:rPr>
          <w:rFonts w:cs="Verdana"/>
          <w:szCs w:val="18"/>
        </w:rPr>
        <w:t>stablecoins</w:t>
      </w:r>
      <w:proofErr w:type="spellEnd"/>
      <w:r w:rsidRPr="00ED12E0" w:rsidR="00C709F4">
        <w:rPr>
          <w:rFonts w:cs="Verdana"/>
          <w:szCs w:val="18"/>
        </w:rPr>
        <w:t>,</w:t>
      </w:r>
      <w:r w:rsidRPr="00ED12E0">
        <w:rPr>
          <w:rFonts w:cs="Verdana"/>
          <w:szCs w:val="18"/>
        </w:rPr>
        <w:t xml:space="preserve"> </w:t>
      </w:r>
      <w:proofErr w:type="spellStart"/>
      <w:r w:rsidRPr="00ED12E0">
        <w:rPr>
          <w:rFonts w:cs="Verdana"/>
          <w:szCs w:val="18"/>
        </w:rPr>
        <w:t>cryptoactivadienstverleners</w:t>
      </w:r>
      <w:proofErr w:type="spellEnd"/>
      <w:r w:rsidRPr="00ED12E0" w:rsidR="00C709F4">
        <w:rPr>
          <w:rFonts w:cs="Verdana"/>
          <w:szCs w:val="18"/>
        </w:rPr>
        <w:t xml:space="preserve"> en crypto-instellingen met een </w:t>
      </w:r>
      <w:proofErr w:type="spellStart"/>
      <w:r w:rsidRPr="00ED12E0" w:rsidR="00C709F4">
        <w:rPr>
          <w:rFonts w:cs="Verdana"/>
          <w:szCs w:val="18"/>
        </w:rPr>
        <w:t>Wwft</w:t>
      </w:r>
      <w:proofErr w:type="spellEnd"/>
      <w:r w:rsidRPr="00ED12E0" w:rsidR="00C709F4">
        <w:rPr>
          <w:rFonts w:cs="Verdana"/>
          <w:szCs w:val="18"/>
        </w:rPr>
        <w:t>-registratie</w:t>
      </w:r>
      <w:r w:rsidRPr="00ED12E0" w:rsidR="00A53554">
        <w:rPr>
          <w:rFonts w:cs="Verdana"/>
          <w:szCs w:val="18"/>
        </w:rPr>
        <w:t>.</w:t>
      </w:r>
      <w:r w:rsidRPr="00ED12E0" w:rsidR="001C557D">
        <w:rPr>
          <w:rFonts w:cs="Verdana"/>
          <w:szCs w:val="18"/>
        </w:rPr>
        <w:t xml:space="preserve"> Hiervoor worden voor de kosten die door AFM in rekening kunnen worden gebracht </w:t>
      </w:r>
      <w:r w:rsidRPr="00ED12E0" w:rsidR="003768A4">
        <w:rPr>
          <w:rFonts w:cs="Verdana"/>
          <w:szCs w:val="18"/>
        </w:rPr>
        <w:t xml:space="preserve">een nieuwe toezichtcategorie </w:t>
      </w:r>
      <w:r w:rsidRPr="00ED12E0" w:rsidR="00CD1DFB">
        <w:rPr>
          <w:rFonts w:cs="Verdana"/>
          <w:szCs w:val="18"/>
        </w:rPr>
        <w:t xml:space="preserve">geïntroduceerd </w:t>
      </w:r>
      <w:r w:rsidRPr="00ED12E0" w:rsidR="003768A4">
        <w:rPr>
          <w:rFonts w:cs="Verdana"/>
          <w:szCs w:val="18"/>
        </w:rPr>
        <w:t xml:space="preserve">met </w:t>
      </w:r>
      <w:r w:rsidRPr="00ED12E0" w:rsidR="001C557D">
        <w:rPr>
          <w:rFonts w:cs="Verdana"/>
          <w:szCs w:val="18"/>
        </w:rPr>
        <w:t xml:space="preserve">nieuwe persoonsomschrijvingen en maatstaven. </w:t>
      </w:r>
      <w:r w:rsidRPr="00ED12E0" w:rsidR="00ED43D0">
        <w:rPr>
          <w:rFonts w:cs="Verdana"/>
          <w:szCs w:val="18"/>
        </w:rPr>
        <w:t xml:space="preserve">Voor de </w:t>
      </w:r>
      <w:r w:rsidRPr="00ED12E0" w:rsidR="0078473A">
        <w:rPr>
          <w:rFonts w:cs="Verdana"/>
          <w:szCs w:val="18"/>
        </w:rPr>
        <w:t>toezichtkosten van DNB</w:t>
      </w:r>
      <w:r w:rsidRPr="00ED12E0" w:rsidR="00ED43D0">
        <w:rPr>
          <w:rFonts w:cs="Verdana"/>
          <w:szCs w:val="18"/>
        </w:rPr>
        <w:t xml:space="preserve"> word</w:t>
      </w:r>
      <w:r w:rsidRPr="00ED12E0" w:rsidR="003768A4">
        <w:rPr>
          <w:rFonts w:cs="Verdana"/>
          <w:szCs w:val="18"/>
        </w:rPr>
        <w:t xml:space="preserve">t een aantal wijzigingen aangebracht in bestaande </w:t>
      </w:r>
      <w:r w:rsidRPr="00ED12E0" w:rsidR="00CD1DFB">
        <w:rPr>
          <w:rFonts w:cs="Verdana"/>
          <w:szCs w:val="18"/>
        </w:rPr>
        <w:t>toezichtcategorieën</w:t>
      </w:r>
      <w:r w:rsidRPr="00ED12E0" w:rsidR="00D00529">
        <w:rPr>
          <w:rFonts w:cs="Verdana"/>
          <w:szCs w:val="18"/>
        </w:rPr>
        <w:t xml:space="preserve">. </w:t>
      </w:r>
      <w:r w:rsidRPr="00ED12E0" w:rsidR="002E1998">
        <w:rPr>
          <w:rFonts w:cs="Verdana"/>
          <w:szCs w:val="18"/>
        </w:rPr>
        <w:t>De onderstaande tabel laat zien</w:t>
      </w:r>
      <w:r w:rsidRPr="00ED12E0" w:rsidR="00761718">
        <w:rPr>
          <w:rFonts w:cs="Verdana"/>
          <w:szCs w:val="18"/>
        </w:rPr>
        <w:t xml:space="preserve"> </w:t>
      </w:r>
      <w:r w:rsidRPr="00ED12E0" w:rsidR="00C709F4">
        <w:rPr>
          <w:rFonts w:cs="Verdana"/>
          <w:szCs w:val="18"/>
        </w:rPr>
        <w:t>in welke categorieën de</w:t>
      </w:r>
      <w:r w:rsidRPr="00ED12E0" w:rsidR="00761718">
        <w:rPr>
          <w:rFonts w:cs="Verdana"/>
          <w:szCs w:val="18"/>
        </w:rPr>
        <w:t xml:space="preserve"> p</w:t>
      </w:r>
      <w:r w:rsidRPr="00ED12E0" w:rsidR="00D00529">
        <w:rPr>
          <w:rFonts w:cs="Verdana"/>
          <w:szCs w:val="18"/>
        </w:rPr>
        <w:t>ersonen worden ingedeeld.</w:t>
      </w:r>
      <w:r w:rsidRPr="00ED12E0" w:rsidR="0078473A">
        <w:t xml:space="preserve"> De gekozen maatstaven worden in het artikelsgewijze deel van deze toelichting behandeld.</w:t>
      </w:r>
    </w:p>
    <w:p w:rsidRPr="00ED12E0" w:rsidR="00A42783" w:rsidP="00E3357E" w:rsidRDefault="00A42783" w14:paraId="679EFED3" w14:textId="77777777">
      <w:pPr>
        <w:spacing w:line="276" w:lineRule="auto"/>
        <w:rPr>
          <w:rFonts w:cs="Verdana"/>
          <w:szCs w:val="18"/>
        </w:rPr>
      </w:pPr>
    </w:p>
    <w:tbl>
      <w:tblPr>
        <w:tblStyle w:val="Tabelraster"/>
        <w:tblW w:w="0" w:type="auto"/>
        <w:tblCellMar>
          <w:top w:w="57" w:type="dxa"/>
          <w:bottom w:w="57" w:type="dxa"/>
        </w:tblCellMar>
        <w:tblLook w:val="04A0" w:firstRow="1" w:lastRow="0" w:firstColumn="1" w:lastColumn="0" w:noHBand="0" w:noVBand="1"/>
      </w:tblPr>
      <w:tblGrid>
        <w:gridCol w:w="4673"/>
        <w:gridCol w:w="3424"/>
      </w:tblGrid>
      <w:tr w:rsidRPr="00ED12E0" w:rsidR="00ED12E0" w:rsidTr="005742FD" w14:paraId="48006960" w14:textId="77777777">
        <w:trPr>
          <w:cantSplit/>
        </w:trPr>
        <w:tc>
          <w:tcPr>
            <w:tcW w:w="4673" w:type="dxa"/>
          </w:tcPr>
          <w:p w:rsidRPr="00ED12E0" w:rsidR="00BA26FB" w:rsidP="00D00529" w:rsidRDefault="00C709F4" w14:paraId="1242CEFE" w14:textId="4C0DB8CA">
            <w:pPr>
              <w:keepNext/>
              <w:spacing w:line="276" w:lineRule="auto"/>
              <w:rPr>
                <w:rFonts w:cs="Verdana"/>
                <w:b/>
                <w:bCs/>
                <w:sz w:val="16"/>
                <w:szCs w:val="16"/>
              </w:rPr>
            </w:pPr>
            <w:r w:rsidRPr="00ED12E0">
              <w:rPr>
                <w:rFonts w:cs="Verdana"/>
                <w:b/>
                <w:bCs/>
                <w:sz w:val="16"/>
                <w:szCs w:val="16"/>
              </w:rPr>
              <w:lastRenderedPageBreak/>
              <w:t>Ondertoezichtstaande instelling</w:t>
            </w:r>
          </w:p>
        </w:tc>
        <w:tc>
          <w:tcPr>
            <w:tcW w:w="3424" w:type="dxa"/>
          </w:tcPr>
          <w:p w:rsidRPr="00ED12E0" w:rsidR="00BA26FB" w:rsidP="00D00529" w:rsidRDefault="00BA26FB" w14:paraId="280B98B4" w14:textId="7AB7F1B1">
            <w:pPr>
              <w:keepNext/>
              <w:spacing w:line="276" w:lineRule="auto"/>
              <w:rPr>
                <w:rFonts w:cs="Verdana"/>
                <w:b/>
                <w:bCs/>
                <w:sz w:val="16"/>
                <w:szCs w:val="16"/>
              </w:rPr>
            </w:pPr>
            <w:r w:rsidRPr="00ED12E0">
              <w:rPr>
                <w:rFonts w:cs="Verdana"/>
                <w:b/>
                <w:bCs/>
                <w:sz w:val="16"/>
                <w:szCs w:val="16"/>
              </w:rPr>
              <w:t>Toezichtcategorie</w:t>
            </w:r>
          </w:p>
        </w:tc>
      </w:tr>
      <w:tr w:rsidRPr="00ED12E0" w:rsidR="00ED12E0" w:rsidTr="005742FD" w14:paraId="0BD4CBD4" w14:textId="77777777">
        <w:trPr>
          <w:cantSplit/>
        </w:trPr>
        <w:tc>
          <w:tcPr>
            <w:tcW w:w="0" w:type="auto"/>
            <w:gridSpan w:val="2"/>
          </w:tcPr>
          <w:p w:rsidRPr="00ED12E0" w:rsidR="00BA26FB" w:rsidP="00D00529" w:rsidRDefault="00BA26FB" w14:paraId="2E764F81" w14:textId="341EF051">
            <w:pPr>
              <w:keepNext/>
              <w:rPr>
                <w:i/>
                <w:iCs/>
                <w:sz w:val="16"/>
                <w:szCs w:val="16"/>
              </w:rPr>
            </w:pPr>
            <w:r w:rsidRPr="00ED12E0">
              <w:rPr>
                <w:rFonts w:cs="Verdana"/>
                <w:i/>
                <w:iCs/>
                <w:sz w:val="16"/>
                <w:szCs w:val="16"/>
              </w:rPr>
              <w:t>Cryptoactivadiensten</w:t>
            </w:r>
          </w:p>
        </w:tc>
      </w:tr>
      <w:tr w:rsidRPr="00ED12E0" w:rsidR="00ED12E0" w:rsidTr="005742FD" w14:paraId="63BF5CFC" w14:textId="77777777">
        <w:trPr>
          <w:cantSplit/>
        </w:trPr>
        <w:tc>
          <w:tcPr>
            <w:tcW w:w="4673" w:type="dxa"/>
          </w:tcPr>
          <w:p w:rsidRPr="00ED12E0" w:rsidR="00BA26FB" w:rsidP="00D00529" w:rsidRDefault="00BA26FB" w14:paraId="52D76203" w14:textId="007A3E34">
            <w:pPr>
              <w:keepNext/>
              <w:spacing w:line="276" w:lineRule="auto"/>
              <w:rPr>
                <w:rFonts w:cs="Verdana"/>
                <w:sz w:val="16"/>
                <w:szCs w:val="16"/>
              </w:rPr>
            </w:pPr>
            <w:r w:rsidRPr="00ED12E0">
              <w:rPr>
                <w:rFonts w:cs="Verdana"/>
                <w:sz w:val="16"/>
                <w:szCs w:val="16"/>
              </w:rPr>
              <w:t xml:space="preserve">Cryptoactivadienstverleners met een vergunning (art. </w:t>
            </w:r>
            <w:r w:rsidRPr="00ED12E0" w:rsidR="00231D31">
              <w:rPr>
                <w:sz w:val="16"/>
                <w:szCs w:val="16"/>
              </w:rPr>
              <w:t>59, eerste lid, onder a,</w:t>
            </w:r>
            <w:r w:rsidRPr="00ED12E0" w:rsidR="00231D31">
              <w:rPr>
                <w:rFonts w:cs="Verdana"/>
                <w:sz w:val="16"/>
                <w:szCs w:val="16"/>
              </w:rPr>
              <w:t xml:space="preserve"> </w:t>
            </w:r>
            <w:proofErr w:type="spellStart"/>
            <w:r w:rsidRPr="00ED12E0" w:rsidR="00C56F37">
              <w:rPr>
                <w:rFonts w:cs="Verdana"/>
                <w:sz w:val="16"/>
                <w:szCs w:val="16"/>
              </w:rPr>
              <w:t>MiCAR</w:t>
            </w:r>
            <w:proofErr w:type="spellEnd"/>
            <w:r w:rsidRPr="00ED12E0">
              <w:rPr>
                <w:rFonts w:cs="Verdana"/>
                <w:sz w:val="16"/>
                <w:szCs w:val="16"/>
              </w:rPr>
              <w:t>)</w:t>
            </w:r>
          </w:p>
        </w:tc>
        <w:tc>
          <w:tcPr>
            <w:tcW w:w="3424" w:type="dxa"/>
          </w:tcPr>
          <w:p w:rsidRPr="00ED12E0" w:rsidR="00BA26FB" w:rsidP="00D00529" w:rsidRDefault="00BA26FB" w14:paraId="5E52DAE4" w14:textId="77777777">
            <w:pPr>
              <w:keepNext/>
              <w:rPr>
                <w:sz w:val="16"/>
                <w:szCs w:val="16"/>
              </w:rPr>
            </w:pPr>
            <w:r w:rsidRPr="00ED12E0">
              <w:rPr>
                <w:sz w:val="16"/>
                <w:szCs w:val="16"/>
              </w:rPr>
              <w:t>AFM: Cryptoactivadienstverleners</w:t>
            </w:r>
          </w:p>
          <w:p w:rsidRPr="00ED12E0" w:rsidR="00BA26FB" w:rsidP="00D00529" w:rsidRDefault="00BA26FB" w14:paraId="2BD7FAA3" w14:textId="62166B55">
            <w:pPr>
              <w:keepNext/>
              <w:rPr>
                <w:sz w:val="16"/>
                <w:szCs w:val="16"/>
              </w:rPr>
            </w:pPr>
            <w:r w:rsidRPr="00ED12E0">
              <w:rPr>
                <w:sz w:val="16"/>
                <w:szCs w:val="16"/>
              </w:rPr>
              <w:t>DNB: Beheerders van beleggingsinstellingen etc.</w:t>
            </w:r>
          </w:p>
        </w:tc>
      </w:tr>
      <w:tr w:rsidRPr="00ED12E0" w:rsidR="00ED12E0" w:rsidTr="005742FD" w14:paraId="7C293EC1" w14:textId="77777777">
        <w:trPr>
          <w:cantSplit/>
        </w:trPr>
        <w:tc>
          <w:tcPr>
            <w:tcW w:w="4673" w:type="dxa"/>
          </w:tcPr>
          <w:p w:rsidRPr="00ED12E0" w:rsidR="00BA26FB" w:rsidP="00D00529" w:rsidRDefault="00BA26FB" w14:paraId="4ADF34C8" w14:textId="6CB0F740">
            <w:pPr>
              <w:keepNext/>
              <w:spacing w:line="276" w:lineRule="auto"/>
              <w:rPr>
                <w:rFonts w:cs="Verdana"/>
                <w:sz w:val="16"/>
                <w:szCs w:val="16"/>
              </w:rPr>
            </w:pPr>
            <w:r w:rsidRPr="00ED12E0">
              <w:rPr>
                <w:rFonts w:cs="Verdana"/>
                <w:sz w:val="16"/>
                <w:szCs w:val="16"/>
              </w:rPr>
              <w:t xml:space="preserve">Bank die cryptoactivadiensten </w:t>
            </w:r>
            <w:r w:rsidRPr="00ED12E0" w:rsidR="00BA2602">
              <w:rPr>
                <w:rFonts w:cs="Verdana"/>
                <w:sz w:val="16"/>
                <w:szCs w:val="16"/>
              </w:rPr>
              <w:t>aanbiedt</w:t>
            </w:r>
            <w:r w:rsidRPr="00ED12E0">
              <w:rPr>
                <w:rFonts w:cs="Verdana"/>
                <w:sz w:val="16"/>
                <w:szCs w:val="16"/>
              </w:rPr>
              <w:t xml:space="preserve"> (</w:t>
            </w:r>
            <w:r w:rsidRPr="00ED12E0" w:rsidR="00BA2602">
              <w:rPr>
                <w:rFonts w:cs="Verdana"/>
                <w:sz w:val="16"/>
                <w:szCs w:val="16"/>
              </w:rPr>
              <w:t xml:space="preserve">art. 59, eerste lid, onder b, jo. </w:t>
            </w:r>
            <w:r w:rsidRPr="00ED12E0">
              <w:rPr>
                <w:rFonts w:cs="Verdana"/>
                <w:sz w:val="16"/>
                <w:szCs w:val="16"/>
              </w:rPr>
              <w:t xml:space="preserve">60, eerste lid, </w:t>
            </w:r>
            <w:proofErr w:type="spellStart"/>
            <w:r w:rsidRPr="00ED12E0" w:rsidR="00C56F37">
              <w:rPr>
                <w:rFonts w:cs="Verdana"/>
                <w:sz w:val="16"/>
                <w:szCs w:val="16"/>
              </w:rPr>
              <w:t>MiCAR</w:t>
            </w:r>
            <w:proofErr w:type="spellEnd"/>
            <w:r w:rsidRPr="00ED12E0">
              <w:rPr>
                <w:rFonts w:cs="Verdana"/>
                <w:sz w:val="16"/>
                <w:szCs w:val="16"/>
              </w:rPr>
              <w:t>)</w:t>
            </w:r>
          </w:p>
        </w:tc>
        <w:tc>
          <w:tcPr>
            <w:tcW w:w="3424" w:type="dxa"/>
          </w:tcPr>
          <w:p w:rsidRPr="00ED12E0" w:rsidR="00BA26FB" w:rsidP="00D00529" w:rsidRDefault="00BA26FB" w14:paraId="04DA06EF" w14:textId="0B4F86BE">
            <w:pPr>
              <w:keepNext/>
              <w:rPr>
                <w:sz w:val="16"/>
                <w:szCs w:val="16"/>
              </w:rPr>
            </w:pPr>
            <w:r w:rsidRPr="00ED12E0">
              <w:rPr>
                <w:sz w:val="16"/>
                <w:szCs w:val="16"/>
              </w:rPr>
              <w:t>AFM: Cryptoactivadienstverleners</w:t>
            </w:r>
          </w:p>
          <w:p w:rsidRPr="00ED12E0" w:rsidR="00BA26FB" w:rsidP="00D00529" w:rsidRDefault="00BA26FB" w14:paraId="6FF8CB9F" w14:textId="4A93AB26">
            <w:pPr>
              <w:keepNext/>
              <w:rPr>
                <w:sz w:val="16"/>
                <w:szCs w:val="16"/>
              </w:rPr>
            </w:pPr>
            <w:r w:rsidRPr="00ED12E0">
              <w:rPr>
                <w:sz w:val="16"/>
                <w:szCs w:val="16"/>
              </w:rPr>
              <w:t>DNB: Banken en kredietunies</w:t>
            </w:r>
          </w:p>
        </w:tc>
      </w:tr>
      <w:tr w:rsidRPr="00ED12E0" w:rsidR="00ED12E0" w:rsidTr="005742FD" w14:paraId="19FD3E0C" w14:textId="77777777">
        <w:trPr>
          <w:cantSplit/>
        </w:trPr>
        <w:tc>
          <w:tcPr>
            <w:tcW w:w="4673" w:type="dxa"/>
          </w:tcPr>
          <w:p w:rsidRPr="00ED12E0" w:rsidR="00BA26FB" w:rsidP="00D00529" w:rsidRDefault="00BA26FB" w14:paraId="08946029" w14:textId="5C0A5274">
            <w:pPr>
              <w:keepNext/>
              <w:spacing w:line="276" w:lineRule="auto"/>
              <w:rPr>
                <w:rFonts w:cs="Verdana"/>
                <w:sz w:val="16"/>
                <w:szCs w:val="16"/>
              </w:rPr>
            </w:pPr>
            <w:r w:rsidRPr="00ED12E0">
              <w:rPr>
                <w:rFonts w:cs="Verdana"/>
                <w:sz w:val="16"/>
                <w:szCs w:val="16"/>
              </w:rPr>
              <w:t xml:space="preserve">Centrale </w:t>
            </w:r>
            <w:proofErr w:type="spellStart"/>
            <w:r w:rsidRPr="00ED12E0">
              <w:rPr>
                <w:rFonts w:cs="Verdana"/>
                <w:sz w:val="16"/>
                <w:szCs w:val="16"/>
              </w:rPr>
              <w:t>effectenbewaarinstelling</w:t>
            </w:r>
            <w:proofErr w:type="spellEnd"/>
            <w:r w:rsidRPr="00ED12E0">
              <w:rPr>
                <w:rFonts w:cs="Verdana"/>
                <w:sz w:val="16"/>
                <w:szCs w:val="16"/>
              </w:rPr>
              <w:t xml:space="preserve">, beleggingsonderneming, beheerder van beleggingsinstellingen of icbe’s, of marktexploitant die cryptoactivadiensten </w:t>
            </w:r>
            <w:r w:rsidRPr="00ED12E0" w:rsidR="00BA2602">
              <w:rPr>
                <w:rFonts w:cs="Verdana"/>
                <w:sz w:val="16"/>
                <w:szCs w:val="16"/>
              </w:rPr>
              <w:t>aanbiedt</w:t>
            </w:r>
            <w:r w:rsidRPr="00ED12E0">
              <w:rPr>
                <w:rFonts w:cs="Verdana"/>
                <w:sz w:val="16"/>
                <w:szCs w:val="16"/>
              </w:rPr>
              <w:t xml:space="preserve"> (art. </w:t>
            </w:r>
            <w:r w:rsidRPr="00ED12E0" w:rsidR="00231D31">
              <w:rPr>
                <w:rFonts w:cs="Verdana"/>
                <w:sz w:val="16"/>
                <w:szCs w:val="16"/>
              </w:rPr>
              <w:t xml:space="preserve">59, eerste lid, onder b, jo. </w:t>
            </w:r>
            <w:r w:rsidRPr="00ED12E0">
              <w:rPr>
                <w:rFonts w:cs="Verdana"/>
                <w:sz w:val="16"/>
                <w:szCs w:val="16"/>
              </w:rPr>
              <w:t xml:space="preserve">60, tweede, derde, vierde en vijfde lid, </w:t>
            </w:r>
            <w:proofErr w:type="spellStart"/>
            <w:r w:rsidRPr="00ED12E0" w:rsidR="00C56F37">
              <w:rPr>
                <w:rFonts w:cs="Verdana"/>
                <w:sz w:val="16"/>
                <w:szCs w:val="16"/>
              </w:rPr>
              <w:t>MiCAR</w:t>
            </w:r>
            <w:proofErr w:type="spellEnd"/>
            <w:r w:rsidRPr="00ED12E0">
              <w:rPr>
                <w:rFonts w:cs="Verdana"/>
                <w:sz w:val="16"/>
                <w:szCs w:val="16"/>
              </w:rPr>
              <w:t>)</w:t>
            </w:r>
          </w:p>
        </w:tc>
        <w:tc>
          <w:tcPr>
            <w:tcW w:w="3424" w:type="dxa"/>
          </w:tcPr>
          <w:p w:rsidRPr="00ED12E0" w:rsidR="00BA26FB" w:rsidP="00D00529" w:rsidRDefault="00BA26FB" w14:paraId="3FBADAD5" w14:textId="77777777">
            <w:pPr>
              <w:keepNext/>
              <w:rPr>
                <w:sz w:val="16"/>
                <w:szCs w:val="16"/>
              </w:rPr>
            </w:pPr>
            <w:r w:rsidRPr="00ED12E0">
              <w:rPr>
                <w:sz w:val="16"/>
                <w:szCs w:val="16"/>
              </w:rPr>
              <w:t>AFM: Cryptoactivadienstverleners</w:t>
            </w:r>
          </w:p>
          <w:p w:rsidRPr="00ED12E0" w:rsidR="00BA26FB" w:rsidP="00D00529" w:rsidRDefault="00BA26FB" w14:paraId="23887004" w14:textId="7E69F62A">
            <w:pPr>
              <w:keepNext/>
              <w:rPr>
                <w:sz w:val="16"/>
                <w:szCs w:val="16"/>
              </w:rPr>
            </w:pPr>
            <w:r w:rsidRPr="00ED12E0">
              <w:rPr>
                <w:sz w:val="16"/>
                <w:szCs w:val="16"/>
              </w:rPr>
              <w:t>DNB: Beheerders van beleggingsinstellingen etc.</w:t>
            </w:r>
          </w:p>
        </w:tc>
      </w:tr>
      <w:tr w:rsidRPr="00ED12E0" w:rsidR="00ED12E0" w:rsidTr="005742FD" w14:paraId="5EFA0CAC" w14:textId="77777777">
        <w:trPr>
          <w:cantSplit/>
        </w:trPr>
        <w:tc>
          <w:tcPr>
            <w:tcW w:w="4673" w:type="dxa"/>
          </w:tcPr>
          <w:p w:rsidRPr="00ED12E0" w:rsidR="00BA26FB" w:rsidP="00D00529" w:rsidRDefault="00BA26FB" w14:paraId="21999242" w14:textId="130A096E">
            <w:pPr>
              <w:keepNext/>
              <w:spacing w:line="276" w:lineRule="auto"/>
              <w:rPr>
                <w:rFonts w:cs="Verdana"/>
                <w:sz w:val="16"/>
                <w:szCs w:val="16"/>
              </w:rPr>
            </w:pPr>
            <w:proofErr w:type="spellStart"/>
            <w:r w:rsidRPr="00ED12E0">
              <w:rPr>
                <w:rFonts w:cs="Verdana"/>
                <w:sz w:val="16"/>
                <w:szCs w:val="16"/>
              </w:rPr>
              <w:t>Elektronischgeldinstelling</w:t>
            </w:r>
            <w:proofErr w:type="spellEnd"/>
            <w:r w:rsidRPr="00ED12E0">
              <w:rPr>
                <w:rFonts w:cs="Verdana"/>
                <w:sz w:val="16"/>
                <w:szCs w:val="16"/>
              </w:rPr>
              <w:t xml:space="preserve"> die </w:t>
            </w:r>
            <w:proofErr w:type="spellStart"/>
            <w:r w:rsidRPr="00ED12E0">
              <w:rPr>
                <w:rFonts w:cs="Verdana"/>
                <w:sz w:val="16"/>
                <w:szCs w:val="16"/>
              </w:rPr>
              <w:t>cryptoactivadiensten</w:t>
            </w:r>
            <w:proofErr w:type="spellEnd"/>
            <w:r w:rsidRPr="00ED12E0">
              <w:rPr>
                <w:rFonts w:cs="Verdana"/>
                <w:sz w:val="16"/>
                <w:szCs w:val="16"/>
              </w:rPr>
              <w:t xml:space="preserve"> </w:t>
            </w:r>
            <w:r w:rsidRPr="00ED12E0" w:rsidR="00BA2602">
              <w:rPr>
                <w:rFonts w:cs="Verdana"/>
                <w:sz w:val="16"/>
                <w:szCs w:val="16"/>
              </w:rPr>
              <w:t>aanbiedt</w:t>
            </w:r>
            <w:r w:rsidRPr="00ED12E0">
              <w:rPr>
                <w:rFonts w:cs="Verdana"/>
                <w:sz w:val="16"/>
                <w:szCs w:val="16"/>
              </w:rPr>
              <w:t xml:space="preserve"> (</w:t>
            </w:r>
            <w:r w:rsidRPr="00ED12E0" w:rsidR="00BA2602">
              <w:rPr>
                <w:rFonts w:cs="Verdana"/>
                <w:sz w:val="16"/>
                <w:szCs w:val="16"/>
              </w:rPr>
              <w:t xml:space="preserve">art. 59, eerste lid, onder b, jo. </w:t>
            </w:r>
            <w:r w:rsidRPr="00ED12E0">
              <w:rPr>
                <w:rFonts w:cs="Verdana"/>
                <w:sz w:val="16"/>
                <w:szCs w:val="16"/>
              </w:rPr>
              <w:t xml:space="preserve">60, vierde lid, </w:t>
            </w:r>
            <w:proofErr w:type="spellStart"/>
            <w:r w:rsidRPr="00ED12E0" w:rsidR="00C56F37">
              <w:rPr>
                <w:rFonts w:cs="Verdana"/>
                <w:sz w:val="16"/>
                <w:szCs w:val="16"/>
              </w:rPr>
              <w:t>MiCAR</w:t>
            </w:r>
            <w:proofErr w:type="spellEnd"/>
            <w:r w:rsidRPr="00ED12E0">
              <w:rPr>
                <w:rFonts w:cs="Verdana"/>
                <w:sz w:val="16"/>
                <w:szCs w:val="16"/>
              </w:rPr>
              <w:t>)</w:t>
            </w:r>
          </w:p>
        </w:tc>
        <w:tc>
          <w:tcPr>
            <w:tcW w:w="3424" w:type="dxa"/>
          </w:tcPr>
          <w:p w:rsidRPr="00ED12E0" w:rsidR="00BA26FB" w:rsidP="00D00529" w:rsidRDefault="00BA26FB" w14:paraId="1B8CA50D" w14:textId="5C26E2D7">
            <w:pPr>
              <w:keepNext/>
              <w:rPr>
                <w:sz w:val="16"/>
                <w:szCs w:val="16"/>
              </w:rPr>
            </w:pPr>
            <w:r w:rsidRPr="00ED12E0">
              <w:rPr>
                <w:sz w:val="16"/>
                <w:szCs w:val="16"/>
              </w:rPr>
              <w:t>AFM: Cryptoactivadienstverleners</w:t>
            </w:r>
          </w:p>
          <w:p w:rsidRPr="00ED12E0" w:rsidR="00BA26FB" w:rsidP="00D00529" w:rsidRDefault="00BA26FB" w14:paraId="7DA4AA9A" w14:textId="2ABFCAB0">
            <w:pPr>
              <w:keepNext/>
              <w:rPr>
                <w:sz w:val="16"/>
                <w:szCs w:val="16"/>
              </w:rPr>
            </w:pPr>
            <w:r w:rsidRPr="00ED12E0">
              <w:rPr>
                <w:sz w:val="16"/>
                <w:szCs w:val="16"/>
              </w:rPr>
              <w:t>DNB: Betaalinstellingen, clearinginstellingen en elektronischgeldinstellingen</w:t>
            </w:r>
          </w:p>
        </w:tc>
      </w:tr>
      <w:tr w:rsidRPr="00ED12E0" w:rsidR="00ED12E0" w:rsidTr="005742FD" w14:paraId="59005C18" w14:textId="77777777">
        <w:trPr>
          <w:cantSplit/>
        </w:trPr>
        <w:tc>
          <w:tcPr>
            <w:tcW w:w="0" w:type="auto"/>
            <w:gridSpan w:val="2"/>
          </w:tcPr>
          <w:p w:rsidRPr="00ED12E0" w:rsidR="00BA26FB" w:rsidP="00D00529" w:rsidRDefault="00BA26FB" w14:paraId="76092C96" w14:textId="57DD312E">
            <w:pPr>
              <w:keepNext/>
              <w:rPr>
                <w:i/>
                <w:iCs/>
                <w:sz w:val="16"/>
                <w:szCs w:val="16"/>
              </w:rPr>
            </w:pPr>
            <w:proofErr w:type="spellStart"/>
            <w:r w:rsidRPr="00ED12E0">
              <w:rPr>
                <w:rFonts w:cs="Verdana"/>
                <w:i/>
                <w:iCs/>
                <w:sz w:val="16"/>
                <w:szCs w:val="16"/>
              </w:rPr>
              <w:t>Stablecoins</w:t>
            </w:r>
            <w:proofErr w:type="spellEnd"/>
            <w:r w:rsidRPr="00ED12E0">
              <w:rPr>
                <w:rFonts w:cs="Verdana"/>
                <w:i/>
                <w:iCs/>
                <w:sz w:val="16"/>
                <w:szCs w:val="16"/>
              </w:rPr>
              <w:t xml:space="preserve"> (</w:t>
            </w:r>
            <w:proofErr w:type="spellStart"/>
            <w:r w:rsidRPr="00ED12E0" w:rsidR="00761718">
              <w:rPr>
                <w:rFonts w:cs="Verdana"/>
                <w:i/>
                <w:iCs/>
                <w:sz w:val="16"/>
                <w:szCs w:val="16"/>
              </w:rPr>
              <w:t>activagerelateerde</w:t>
            </w:r>
            <w:proofErr w:type="spellEnd"/>
            <w:r w:rsidRPr="00ED12E0">
              <w:rPr>
                <w:rFonts w:cs="Verdana"/>
                <w:i/>
                <w:iCs/>
                <w:sz w:val="16"/>
                <w:szCs w:val="16"/>
              </w:rPr>
              <w:t xml:space="preserve"> en </w:t>
            </w:r>
            <w:r w:rsidRPr="00ED12E0" w:rsidR="00761718">
              <w:rPr>
                <w:rFonts w:cs="Verdana"/>
                <w:i/>
                <w:iCs/>
                <w:sz w:val="16"/>
                <w:szCs w:val="16"/>
              </w:rPr>
              <w:t>e-</w:t>
            </w:r>
            <w:proofErr w:type="spellStart"/>
            <w:r w:rsidRPr="00ED12E0" w:rsidR="00761718">
              <w:rPr>
                <w:rFonts w:cs="Verdana"/>
                <w:i/>
                <w:iCs/>
                <w:sz w:val="16"/>
                <w:szCs w:val="16"/>
              </w:rPr>
              <w:t>moneytokens</w:t>
            </w:r>
            <w:proofErr w:type="spellEnd"/>
            <w:r w:rsidRPr="00ED12E0">
              <w:rPr>
                <w:rFonts w:cs="Verdana"/>
                <w:i/>
                <w:iCs/>
                <w:sz w:val="16"/>
                <w:szCs w:val="16"/>
              </w:rPr>
              <w:t>)</w:t>
            </w:r>
          </w:p>
        </w:tc>
      </w:tr>
      <w:tr w:rsidRPr="00ED12E0" w:rsidR="00ED12E0" w:rsidTr="005742FD" w14:paraId="3BBBC6F6" w14:textId="77777777">
        <w:trPr>
          <w:cantSplit/>
        </w:trPr>
        <w:tc>
          <w:tcPr>
            <w:tcW w:w="4673" w:type="dxa"/>
          </w:tcPr>
          <w:p w:rsidRPr="00ED12E0" w:rsidR="00BA26FB" w:rsidP="00D00529" w:rsidRDefault="00BA26FB" w14:paraId="450437B5" w14:textId="031879E9">
            <w:pPr>
              <w:keepNext/>
              <w:spacing w:line="276" w:lineRule="auto"/>
              <w:rPr>
                <w:rFonts w:cs="Verdana"/>
                <w:sz w:val="16"/>
                <w:szCs w:val="16"/>
              </w:rPr>
            </w:pPr>
            <w:r w:rsidRPr="00ED12E0">
              <w:rPr>
                <w:rFonts w:cs="Verdana"/>
                <w:sz w:val="16"/>
                <w:szCs w:val="16"/>
              </w:rPr>
              <w:t xml:space="preserve">Uitgever van </w:t>
            </w:r>
            <w:r w:rsidRPr="00ED12E0" w:rsidR="00761718">
              <w:rPr>
                <w:rFonts w:cs="Verdana"/>
                <w:sz w:val="16"/>
                <w:szCs w:val="16"/>
              </w:rPr>
              <w:t>activagerelateerde tokens</w:t>
            </w:r>
            <w:r w:rsidRPr="00ED12E0">
              <w:rPr>
                <w:rFonts w:cs="Verdana"/>
                <w:sz w:val="16"/>
                <w:szCs w:val="16"/>
              </w:rPr>
              <w:t xml:space="preserve"> (niet zijnde een bank) (art. </w:t>
            </w:r>
            <w:r w:rsidRPr="00ED12E0" w:rsidR="00BA2602">
              <w:rPr>
                <w:rFonts w:cs="Verdana"/>
                <w:sz w:val="16"/>
                <w:szCs w:val="16"/>
              </w:rPr>
              <w:t>16, eerste lid, onder a,</w:t>
            </w:r>
            <w:r w:rsidRPr="00ED12E0">
              <w:rPr>
                <w:rFonts w:cs="Verdana"/>
                <w:sz w:val="16"/>
                <w:szCs w:val="16"/>
              </w:rPr>
              <w:t xml:space="preserve"> </w:t>
            </w:r>
            <w:proofErr w:type="spellStart"/>
            <w:r w:rsidRPr="00ED12E0" w:rsidR="00C56F37">
              <w:rPr>
                <w:rFonts w:cs="Verdana"/>
                <w:sz w:val="16"/>
                <w:szCs w:val="16"/>
              </w:rPr>
              <w:t>MiCAR</w:t>
            </w:r>
            <w:proofErr w:type="spellEnd"/>
            <w:r w:rsidRPr="00ED12E0">
              <w:rPr>
                <w:rFonts w:cs="Verdana"/>
                <w:sz w:val="16"/>
                <w:szCs w:val="16"/>
              </w:rPr>
              <w:t>)</w:t>
            </w:r>
          </w:p>
        </w:tc>
        <w:tc>
          <w:tcPr>
            <w:tcW w:w="3424" w:type="dxa"/>
          </w:tcPr>
          <w:p w:rsidRPr="00ED12E0" w:rsidR="00BA26FB" w:rsidP="00D00529" w:rsidRDefault="00BA26FB" w14:paraId="4DD9E502" w14:textId="767D4686">
            <w:pPr>
              <w:keepNext/>
              <w:rPr>
                <w:sz w:val="16"/>
                <w:szCs w:val="16"/>
              </w:rPr>
            </w:pPr>
            <w:r w:rsidRPr="00ED12E0">
              <w:rPr>
                <w:sz w:val="16"/>
                <w:szCs w:val="16"/>
              </w:rPr>
              <w:t>DNB: Beheerders van beleggingsinstellingen etc.</w:t>
            </w:r>
          </w:p>
        </w:tc>
      </w:tr>
      <w:tr w:rsidRPr="00ED12E0" w:rsidR="00ED12E0" w:rsidTr="005742FD" w14:paraId="5C022D72" w14:textId="77777777">
        <w:trPr>
          <w:cantSplit/>
        </w:trPr>
        <w:tc>
          <w:tcPr>
            <w:tcW w:w="4673" w:type="dxa"/>
          </w:tcPr>
          <w:p w:rsidRPr="00ED12E0" w:rsidR="00BA2602" w:rsidP="00BA2602" w:rsidRDefault="00BA2602" w14:paraId="73C0CB25" w14:textId="5D0994EB">
            <w:pPr>
              <w:keepNext/>
              <w:spacing w:line="276" w:lineRule="auto"/>
              <w:rPr>
                <w:rFonts w:cs="Verdana"/>
                <w:sz w:val="16"/>
                <w:szCs w:val="16"/>
              </w:rPr>
            </w:pPr>
            <w:r w:rsidRPr="00ED12E0">
              <w:rPr>
                <w:rFonts w:cs="Verdana"/>
                <w:sz w:val="16"/>
                <w:szCs w:val="16"/>
              </w:rPr>
              <w:t xml:space="preserve">Bank die </w:t>
            </w:r>
            <w:proofErr w:type="spellStart"/>
            <w:r w:rsidRPr="00ED12E0">
              <w:rPr>
                <w:rFonts w:cs="Verdana"/>
                <w:sz w:val="16"/>
                <w:szCs w:val="16"/>
              </w:rPr>
              <w:t>activagerelateerde</w:t>
            </w:r>
            <w:proofErr w:type="spellEnd"/>
            <w:r w:rsidRPr="00ED12E0">
              <w:rPr>
                <w:rFonts w:cs="Verdana"/>
                <w:sz w:val="16"/>
                <w:szCs w:val="16"/>
              </w:rPr>
              <w:t xml:space="preserve"> of e-</w:t>
            </w:r>
            <w:proofErr w:type="spellStart"/>
            <w:r w:rsidRPr="00ED12E0">
              <w:rPr>
                <w:rFonts w:cs="Verdana"/>
                <w:sz w:val="16"/>
                <w:szCs w:val="16"/>
              </w:rPr>
              <w:t>moneytokens</w:t>
            </w:r>
            <w:proofErr w:type="spellEnd"/>
            <w:r w:rsidRPr="00ED12E0">
              <w:rPr>
                <w:rFonts w:cs="Verdana"/>
                <w:sz w:val="16"/>
                <w:szCs w:val="16"/>
              </w:rPr>
              <w:t xml:space="preserve"> uitgeeft (art. 16, eerste lid, onder b, resp. 48, eerste lid, </w:t>
            </w:r>
            <w:proofErr w:type="spellStart"/>
            <w:r w:rsidRPr="00ED12E0" w:rsidR="00C56F37">
              <w:rPr>
                <w:rFonts w:cs="Verdana"/>
                <w:sz w:val="16"/>
                <w:szCs w:val="16"/>
              </w:rPr>
              <w:t>MiCAR</w:t>
            </w:r>
            <w:proofErr w:type="spellEnd"/>
            <w:r w:rsidRPr="00ED12E0">
              <w:rPr>
                <w:rFonts w:cs="Verdana"/>
                <w:sz w:val="16"/>
                <w:szCs w:val="16"/>
              </w:rPr>
              <w:t>)</w:t>
            </w:r>
          </w:p>
        </w:tc>
        <w:tc>
          <w:tcPr>
            <w:tcW w:w="3424" w:type="dxa"/>
          </w:tcPr>
          <w:p w:rsidRPr="00ED12E0" w:rsidR="00BA2602" w:rsidP="00BA2602" w:rsidRDefault="00BA2602" w14:paraId="463E3849" w14:textId="35BE3A17">
            <w:pPr>
              <w:keepNext/>
              <w:rPr>
                <w:sz w:val="16"/>
                <w:szCs w:val="16"/>
              </w:rPr>
            </w:pPr>
            <w:r w:rsidRPr="00ED12E0">
              <w:rPr>
                <w:sz w:val="16"/>
                <w:szCs w:val="16"/>
              </w:rPr>
              <w:t>DNB: Banken en kredietinstellingen</w:t>
            </w:r>
          </w:p>
        </w:tc>
      </w:tr>
      <w:tr w:rsidRPr="00ED12E0" w:rsidR="00ED12E0" w:rsidTr="005742FD" w14:paraId="0EF34AF7" w14:textId="77777777">
        <w:trPr>
          <w:cantSplit/>
        </w:trPr>
        <w:tc>
          <w:tcPr>
            <w:tcW w:w="4673" w:type="dxa"/>
          </w:tcPr>
          <w:p w:rsidRPr="00ED12E0" w:rsidR="00BA26FB" w:rsidP="00D00529" w:rsidRDefault="00BA26FB" w14:paraId="2DCC9865" w14:textId="53A2DAD5">
            <w:pPr>
              <w:keepNext/>
              <w:spacing w:line="276" w:lineRule="auto"/>
              <w:rPr>
                <w:rFonts w:cs="Verdana"/>
                <w:sz w:val="16"/>
                <w:szCs w:val="16"/>
              </w:rPr>
            </w:pPr>
            <w:proofErr w:type="spellStart"/>
            <w:r w:rsidRPr="00ED12E0">
              <w:rPr>
                <w:rFonts w:cs="Verdana"/>
                <w:sz w:val="16"/>
                <w:szCs w:val="16"/>
              </w:rPr>
              <w:t>Elektronischgeldinstelling</w:t>
            </w:r>
            <w:proofErr w:type="spellEnd"/>
            <w:r w:rsidRPr="00ED12E0">
              <w:rPr>
                <w:rFonts w:cs="Verdana"/>
                <w:sz w:val="16"/>
                <w:szCs w:val="16"/>
              </w:rPr>
              <w:t xml:space="preserve"> die </w:t>
            </w:r>
            <w:r w:rsidRPr="00ED12E0" w:rsidR="00761718">
              <w:rPr>
                <w:rFonts w:cs="Verdana"/>
                <w:sz w:val="16"/>
                <w:szCs w:val="16"/>
              </w:rPr>
              <w:t>e-</w:t>
            </w:r>
            <w:proofErr w:type="spellStart"/>
            <w:r w:rsidRPr="00ED12E0" w:rsidR="00761718">
              <w:rPr>
                <w:rFonts w:cs="Verdana"/>
                <w:sz w:val="16"/>
                <w:szCs w:val="16"/>
              </w:rPr>
              <w:t>moneytokens</w:t>
            </w:r>
            <w:proofErr w:type="spellEnd"/>
            <w:r w:rsidRPr="00ED12E0">
              <w:rPr>
                <w:rFonts w:cs="Verdana"/>
                <w:sz w:val="16"/>
                <w:szCs w:val="16"/>
              </w:rPr>
              <w:t xml:space="preserve"> uitgeeft (art. 48</w:t>
            </w:r>
            <w:r w:rsidRPr="00ED12E0" w:rsidR="00BA2602">
              <w:rPr>
                <w:rFonts w:cs="Verdana"/>
                <w:sz w:val="16"/>
                <w:szCs w:val="16"/>
              </w:rPr>
              <w:t>, eerste lid,</w:t>
            </w:r>
            <w:r w:rsidRPr="00ED12E0">
              <w:rPr>
                <w:rFonts w:cs="Verdana"/>
                <w:sz w:val="16"/>
                <w:szCs w:val="16"/>
              </w:rPr>
              <w:t xml:space="preserve"> </w:t>
            </w:r>
            <w:proofErr w:type="spellStart"/>
            <w:r w:rsidRPr="00ED12E0" w:rsidR="00C56F37">
              <w:rPr>
                <w:rFonts w:cs="Verdana"/>
                <w:sz w:val="16"/>
                <w:szCs w:val="16"/>
              </w:rPr>
              <w:t>MiCAR</w:t>
            </w:r>
            <w:proofErr w:type="spellEnd"/>
            <w:r w:rsidRPr="00ED12E0">
              <w:rPr>
                <w:rFonts w:cs="Verdana"/>
                <w:sz w:val="16"/>
                <w:szCs w:val="16"/>
              </w:rPr>
              <w:t>)</w:t>
            </w:r>
          </w:p>
        </w:tc>
        <w:tc>
          <w:tcPr>
            <w:tcW w:w="3424" w:type="dxa"/>
          </w:tcPr>
          <w:p w:rsidRPr="00ED12E0" w:rsidR="00BA26FB" w:rsidP="00D00529" w:rsidRDefault="00BA26FB" w14:paraId="1CFF2A0B" w14:textId="182DA92C">
            <w:pPr>
              <w:keepNext/>
              <w:rPr>
                <w:sz w:val="16"/>
                <w:szCs w:val="16"/>
              </w:rPr>
            </w:pPr>
            <w:r w:rsidRPr="00ED12E0">
              <w:rPr>
                <w:sz w:val="16"/>
                <w:szCs w:val="16"/>
              </w:rPr>
              <w:t>DNB: Betaalinstellingen, clearinginstellingen en elektronischgeldinstellingen</w:t>
            </w:r>
          </w:p>
        </w:tc>
      </w:tr>
      <w:tr w:rsidRPr="00ED12E0" w:rsidR="00ED12E0" w:rsidTr="005742FD" w14:paraId="31DC891E" w14:textId="77777777">
        <w:trPr>
          <w:cantSplit/>
        </w:trPr>
        <w:tc>
          <w:tcPr>
            <w:tcW w:w="8097" w:type="dxa"/>
            <w:gridSpan w:val="2"/>
          </w:tcPr>
          <w:p w:rsidRPr="00ED12E0" w:rsidR="00C709F4" w:rsidP="00D00529" w:rsidRDefault="00293E06" w14:paraId="67152941" w14:textId="6E42D022">
            <w:pPr>
              <w:keepNext/>
              <w:rPr>
                <w:sz w:val="16"/>
                <w:szCs w:val="16"/>
              </w:rPr>
            </w:pPr>
            <w:r w:rsidRPr="00ED12E0">
              <w:rPr>
                <w:rFonts w:cs="Verdana"/>
                <w:i/>
                <w:iCs/>
                <w:sz w:val="16"/>
                <w:szCs w:val="16"/>
              </w:rPr>
              <w:t>Overgangsregime a</w:t>
            </w:r>
            <w:r w:rsidRPr="00ED12E0" w:rsidR="00C709F4">
              <w:rPr>
                <w:rFonts w:cs="Verdana"/>
                <w:i/>
                <w:iCs/>
                <w:sz w:val="16"/>
                <w:szCs w:val="16"/>
              </w:rPr>
              <w:t>anbieders van virtuele valutadiensten</w:t>
            </w:r>
          </w:p>
        </w:tc>
      </w:tr>
      <w:tr w:rsidRPr="00ED12E0" w:rsidR="00ED12E0" w:rsidTr="005742FD" w14:paraId="24C75B5E" w14:textId="77777777">
        <w:trPr>
          <w:cantSplit/>
        </w:trPr>
        <w:tc>
          <w:tcPr>
            <w:tcW w:w="4673" w:type="dxa"/>
          </w:tcPr>
          <w:p w:rsidRPr="00ED12E0" w:rsidR="00C709F4" w:rsidP="00C709F4" w:rsidRDefault="00C709F4" w14:paraId="41B33C49" w14:textId="71198475">
            <w:pPr>
              <w:keepNext/>
              <w:spacing w:line="276" w:lineRule="auto"/>
              <w:rPr>
                <w:rFonts w:cs="Verdana"/>
                <w:sz w:val="16"/>
                <w:szCs w:val="16"/>
              </w:rPr>
            </w:pPr>
            <w:r w:rsidRPr="00ED12E0">
              <w:rPr>
                <w:rFonts w:cs="Verdana"/>
                <w:sz w:val="16"/>
                <w:szCs w:val="16"/>
              </w:rPr>
              <w:t>Aanbieders van wisseldiensten met een registratie (</w:t>
            </w:r>
            <w:r w:rsidRPr="00ED12E0" w:rsidR="00922DC0">
              <w:rPr>
                <w:rFonts w:cs="Verdana"/>
                <w:sz w:val="16"/>
                <w:szCs w:val="16"/>
              </w:rPr>
              <w:t xml:space="preserve">art. IV Uitvoeringswet TFR jo. </w:t>
            </w:r>
            <w:r w:rsidRPr="00ED12E0">
              <w:rPr>
                <w:rFonts w:cs="Verdana"/>
                <w:sz w:val="16"/>
                <w:szCs w:val="16"/>
              </w:rPr>
              <w:t xml:space="preserve">art. 23b, eerste lid, </w:t>
            </w:r>
            <w:proofErr w:type="spellStart"/>
            <w:r w:rsidRPr="00ED12E0">
              <w:rPr>
                <w:rFonts w:cs="Verdana"/>
                <w:sz w:val="16"/>
                <w:szCs w:val="16"/>
              </w:rPr>
              <w:t>Wwft</w:t>
            </w:r>
            <w:proofErr w:type="spellEnd"/>
            <w:r w:rsidRPr="00ED12E0" w:rsidR="00922DC0">
              <w:rPr>
                <w:rFonts w:cs="Verdana"/>
                <w:sz w:val="16"/>
                <w:szCs w:val="16"/>
              </w:rPr>
              <w:t xml:space="preserve"> (oud)</w:t>
            </w:r>
            <w:r w:rsidRPr="00ED12E0">
              <w:rPr>
                <w:rFonts w:cs="Verdana"/>
                <w:sz w:val="16"/>
                <w:szCs w:val="16"/>
              </w:rPr>
              <w:t>)</w:t>
            </w:r>
          </w:p>
        </w:tc>
        <w:tc>
          <w:tcPr>
            <w:tcW w:w="3424" w:type="dxa"/>
            <w:vMerge w:val="restart"/>
          </w:tcPr>
          <w:p w:rsidRPr="00ED12E0" w:rsidR="00C709F4" w:rsidP="00D00529" w:rsidRDefault="00C709F4" w14:paraId="74660DBA" w14:textId="77777777">
            <w:pPr>
              <w:keepNext/>
              <w:rPr>
                <w:sz w:val="16"/>
                <w:szCs w:val="16"/>
              </w:rPr>
            </w:pPr>
            <w:r w:rsidRPr="00ED12E0">
              <w:rPr>
                <w:sz w:val="16"/>
                <w:szCs w:val="16"/>
              </w:rPr>
              <w:t>AFM: Cryptoactivadienstverleners (tot en met 1 januari 2026)</w:t>
            </w:r>
          </w:p>
          <w:p w:rsidRPr="00ED12E0" w:rsidR="00C709F4" w:rsidP="00D00529" w:rsidRDefault="00C709F4" w14:paraId="141C8281" w14:textId="2D84C585">
            <w:pPr>
              <w:keepNext/>
              <w:rPr>
                <w:sz w:val="16"/>
                <w:szCs w:val="16"/>
              </w:rPr>
            </w:pPr>
            <w:r w:rsidRPr="00ED12E0">
              <w:rPr>
                <w:sz w:val="16"/>
                <w:szCs w:val="16"/>
              </w:rPr>
              <w:t>DNB: vervallen</w:t>
            </w:r>
          </w:p>
        </w:tc>
      </w:tr>
      <w:tr w:rsidRPr="00ED12E0" w:rsidR="00C709F4" w:rsidTr="005742FD" w14:paraId="62198E4C" w14:textId="77777777">
        <w:trPr>
          <w:cantSplit/>
        </w:trPr>
        <w:tc>
          <w:tcPr>
            <w:tcW w:w="4673" w:type="dxa"/>
          </w:tcPr>
          <w:p w:rsidRPr="00ED12E0" w:rsidR="00C709F4" w:rsidP="00D00529" w:rsidRDefault="00C709F4" w14:paraId="492B2306" w14:textId="4A709EF3">
            <w:pPr>
              <w:keepNext/>
              <w:spacing w:line="276" w:lineRule="auto"/>
              <w:rPr>
                <w:rFonts w:cs="Verdana"/>
                <w:sz w:val="16"/>
                <w:szCs w:val="16"/>
              </w:rPr>
            </w:pPr>
            <w:r w:rsidRPr="00ED12E0">
              <w:rPr>
                <w:rFonts w:cs="Verdana"/>
                <w:sz w:val="16"/>
                <w:szCs w:val="16"/>
              </w:rPr>
              <w:t>Aanbieders van bewaarportemonnees met een registratie (</w:t>
            </w:r>
            <w:r w:rsidRPr="00ED12E0" w:rsidR="00922DC0">
              <w:rPr>
                <w:rFonts w:cs="Verdana"/>
                <w:sz w:val="16"/>
                <w:szCs w:val="16"/>
              </w:rPr>
              <w:t xml:space="preserve">art. IV Uitvoeringswet TFR jo. </w:t>
            </w:r>
            <w:r w:rsidRPr="00ED12E0">
              <w:rPr>
                <w:rFonts w:cs="Verdana"/>
                <w:sz w:val="16"/>
                <w:szCs w:val="16"/>
              </w:rPr>
              <w:t xml:space="preserve">art. 23b, tweede lid, </w:t>
            </w:r>
            <w:proofErr w:type="spellStart"/>
            <w:r w:rsidRPr="00ED12E0">
              <w:rPr>
                <w:rFonts w:cs="Verdana"/>
                <w:sz w:val="16"/>
                <w:szCs w:val="16"/>
              </w:rPr>
              <w:t>Wwft</w:t>
            </w:r>
            <w:proofErr w:type="spellEnd"/>
            <w:r w:rsidRPr="00ED12E0" w:rsidR="00D80BCA">
              <w:rPr>
                <w:rFonts w:cs="Verdana"/>
                <w:sz w:val="16"/>
                <w:szCs w:val="16"/>
              </w:rPr>
              <w:t xml:space="preserve"> (oud)</w:t>
            </w:r>
            <w:r w:rsidRPr="00ED12E0">
              <w:rPr>
                <w:rFonts w:cs="Verdana"/>
                <w:sz w:val="16"/>
                <w:szCs w:val="16"/>
              </w:rPr>
              <w:t>)</w:t>
            </w:r>
          </w:p>
        </w:tc>
        <w:tc>
          <w:tcPr>
            <w:tcW w:w="3424" w:type="dxa"/>
            <w:vMerge/>
          </w:tcPr>
          <w:p w:rsidRPr="00ED12E0" w:rsidR="00C709F4" w:rsidP="00D00529" w:rsidRDefault="00C709F4" w14:paraId="16EB75F9" w14:textId="77777777">
            <w:pPr>
              <w:keepNext/>
              <w:rPr>
                <w:sz w:val="16"/>
                <w:szCs w:val="16"/>
              </w:rPr>
            </w:pPr>
          </w:p>
        </w:tc>
      </w:tr>
    </w:tbl>
    <w:p w:rsidRPr="00ED12E0" w:rsidR="0026631D" w:rsidP="00E3357E" w:rsidRDefault="0026631D" w14:paraId="027D08B8" w14:textId="77777777">
      <w:pPr>
        <w:spacing w:line="276" w:lineRule="auto"/>
      </w:pPr>
    </w:p>
    <w:p w:rsidRPr="00ED12E0" w:rsidR="00761718" w:rsidP="00E3357E" w:rsidRDefault="00761718" w14:paraId="34633E96" w14:textId="77777777">
      <w:pPr>
        <w:spacing w:line="276" w:lineRule="auto"/>
      </w:pPr>
    </w:p>
    <w:p w:rsidRPr="00ED12E0" w:rsidR="00FB5496" w:rsidP="00E3357E" w:rsidRDefault="00FB5496" w14:paraId="024CAB59" w14:textId="143A1C5C">
      <w:pPr>
        <w:pStyle w:val="Kop2"/>
      </w:pPr>
      <w:r w:rsidRPr="00ED12E0">
        <w:t xml:space="preserve">§ </w:t>
      </w:r>
      <w:r w:rsidRPr="00ED12E0" w:rsidR="00021695">
        <w:t>3</w:t>
      </w:r>
      <w:r w:rsidRPr="00ED12E0">
        <w:t>. Herijking procentuele verdeling</w:t>
      </w:r>
    </w:p>
    <w:p w:rsidRPr="00ED12E0" w:rsidR="00FB5496" w:rsidP="00E3357E" w:rsidRDefault="00FB5496" w14:paraId="031D6E6E" w14:textId="77777777">
      <w:pPr>
        <w:spacing w:line="276" w:lineRule="auto"/>
      </w:pPr>
    </w:p>
    <w:p w:rsidRPr="00ED12E0" w:rsidR="00376B74" w:rsidP="00E3357E" w:rsidRDefault="00376B74" w14:paraId="38ADB845" w14:textId="0DFFD713">
      <w:pPr>
        <w:spacing w:line="276" w:lineRule="auto"/>
      </w:pPr>
      <w:r w:rsidRPr="00ED12E0">
        <w:t xml:space="preserve">De lasten voor het doorlopende toezicht van de AFM worden onder de toezichtcategorieën verdeeld op basis van een vaste procentuele verdeling die in bijlage 1, onderdeel A, van het besluit is opgenomen. Deze verdeling </w:t>
      </w:r>
      <w:r w:rsidRPr="00ED12E0" w:rsidR="006F0AFF">
        <w:t xml:space="preserve">is </w:t>
      </w:r>
      <w:r w:rsidRPr="00ED12E0">
        <w:t>herijkt.</w:t>
      </w:r>
    </w:p>
    <w:p w:rsidRPr="00ED12E0" w:rsidR="00376B74" w:rsidP="00E3357E" w:rsidRDefault="00376B74" w14:paraId="5749891C" w14:textId="77777777">
      <w:pPr>
        <w:spacing w:line="276" w:lineRule="auto"/>
      </w:pPr>
    </w:p>
    <w:p w:rsidRPr="00ED12E0" w:rsidR="00FB5496" w:rsidP="00E3357E" w:rsidRDefault="00376B74" w14:paraId="08760631" w14:textId="4DA18646">
      <w:pPr>
        <w:spacing w:line="276" w:lineRule="auto"/>
      </w:pPr>
      <w:r w:rsidRPr="00ED12E0">
        <w:t xml:space="preserve">De verdeling is op besluitniveau vastgelegd en staat daardoor in beginsel voor meerdere jaren vast. Dit draagt bij aan de voorspelbaarheid en stabiliteit van de jaarlijkse heffingen en zorgt voor bestuurlijke rust. De verdeling is voor het laatst in 2019 integraal herzien. Wel is de verdeling sindsdien bijna jaarlijks op onderdelen aangepast </w:t>
      </w:r>
      <w:r w:rsidRPr="00ED12E0">
        <w:lastRenderedPageBreak/>
        <w:t xml:space="preserve">door externe ontwikkelingen. Het ging onder meer om de </w:t>
      </w:r>
      <w:proofErr w:type="spellStart"/>
      <w:r w:rsidRPr="00ED12E0">
        <w:t>Brexit</w:t>
      </w:r>
      <w:proofErr w:type="spellEnd"/>
      <w:r w:rsidRPr="00ED12E0">
        <w:t>, uitbreiding van het accountantstoezicht en de Wet toekomst pensioenen.</w:t>
      </w:r>
    </w:p>
    <w:p w:rsidRPr="00ED12E0" w:rsidR="00376B74" w:rsidP="00E3357E" w:rsidRDefault="00376B74" w14:paraId="1BFDBAF7" w14:textId="77777777">
      <w:pPr>
        <w:spacing w:line="276" w:lineRule="auto"/>
      </w:pPr>
    </w:p>
    <w:p w:rsidRPr="00ED12E0" w:rsidR="00376B74" w:rsidP="00E3357E" w:rsidRDefault="00376B74" w14:paraId="732461E7" w14:textId="7BC6E64D">
      <w:pPr>
        <w:spacing w:line="276" w:lineRule="auto"/>
      </w:pPr>
      <w:r w:rsidRPr="00ED12E0">
        <w:t xml:space="preserve">De </w:t>
      </w:r>
      <w:r w:rsidRPr="00ED12E0" w:rsidR="00251680">
        <w:t>M</w:t>
      </w:r>
      <w:r w:rsidRPr="00ED12E0">
        <w:t xml:space="preserve">inisters van Financiën en </w:t>
      </w:r>
      <w:r w:rsidRPr="00ED12E0" w:rsidR="00BA42CA">
        <w:t xml:space="preserve">voor </w:t>
      </w:r>
      <w:r w:rsidRPr="00ED12E0">
        <w:t xml:space="preserve">Armoedebeleid, Participatie en Pensioenen hebben de </w:t>
      </w:r>
      <w:r w:rsidRPr="00ED12E0" w:rsidR="00251680">
        <w:t>Eerste en Tweede Kamer</w:t>
      </w:r>
      <w:r w:rsidRPr="00ED12E0">
        <w:t xml:space="preserve"> op </w:t>
      </w:r>
      <w:r w:rsidRPr="00ED12E0" w:rsidR="00D0171D">
        <w:t>29 mei</w:t>
      </w:r>
      <w:r w:rsidRPr="00ED12E0" w:rsidR="007D7803">
        <w:t xml:space="preserve"> 2024</w:t>
      </w:r>
      <w:r w:rsidRPr="00ED12E0" w:rsidR="00D0171D">
        <w:t xml:space="preserve"> </w:t>
      </w:r>
      <w:r w:rsidRPr="00ED12E0">
        <w:t>geïnformeerd over het vast te stellen kostenkader van de AFM voor de periode 2025-2028.</w:t>
      </w:r>
      <w:r w:rsidRPr="00ED12E0" w:rsidR="00D0171D">
        <w:rPr>
          <w:rStyle w:val="Voetnootmarkering"/>
        </w:rPr>
        <w:footnoteReference w:id="7"/>
      </w:r>
      <w:r w:rsidRPr="00ED12E0">
        <w:t xml:space="preserve"> </w:t>
      </w:r>
      <w:r w:rsidRPr="00ED12E0" w:rsidR="00251680">
        <w:t>Het nieuwe kostenkader</w:t>
      </w:r>
      <w:r w:rsidRPr="00ED12E0">
        <w:t xml:space="preserve"> is een goed moment om ook de procentuele verdeling integraal te herzien. In principe staat deze verdeling voor vier jaar vast</w:t>
      </w:r>
      <w:r w:rsidRPr="00ED12E0" w:rsidR="00251680">
        <w:t>. Onvoorziene ontwikkelingen met een grote invloed op de verdeling van toezichtinspanningen, kunnen echter aanleiding geven tot een tussentijdse wijziging.</w:t>
      </w:r>
    </w:p>
    <w:p w:rsidRPr="00ED12E0" w:rsidR="00251680" w:rsidP="00E3357E" w:rsidRDefault="00251680" w14:paraId="2FDBC166" w14:textId="77777777">
      <w:pPr>
        <w:spacing w:line="276" w:lineRule="auto"/>
      </w:pPr>
    </w:p>
    <w:p w:rsidRPr="00ED12E0" w:rsidR="00251680" w:rsidP="00E3357E" w:rsidRDefault="005F3339" w14:paraId="0C0CCD4F" w14:textId="06AB4B58">
      <w:pPr>
        <w:spacing w:line="276" w:lineRule="auto"/>
      </w:pPr>
      <w:r w:rsidRPr="00ED12E0">
        <w:t>Uit de wetssystematiek volgt dat de procentuele verdeling van de toezichtkosten een weergave moet bieden van de toezichtinspanningen van de AFM op de betreffende categorieën</w:t>
      </w:r>
      <w:r w:rsidRPr="00ED12E0" w:rsidR="00251680">
        <w:t xml:space="preserve">. Omdat de toezichtinspanningen in de praktijk van jaar tot jaar kunnen fluctueren en zich niet geheel laten voorspellen, </w:t>
      </w:r>
      <w:r w:rsidRPr="00ED12E0" w:rsidR="006F0AFF">
        <w:t xml:space="preserve">is </w:t>
      </w:r>
      <w:r w:rsidRPr="00ED12E0" w:rsidR="00251680">
        <w:t>voor de</w:t>
      </w:r>
      <w:r w:rsidRPr="00ED12E0" w:rsidR="006F0AFF">
        <w:t xml:space="preserve"> nieuwe</w:t>
      </w:r>
      <w:r w:rsidRPr="00ED12E0" w:rsidR="00251680">
        <w:t xml:space="preserve"> verdeling zowel naar het verleden als naar de toekomst gekeken. De nieuwe verdeling is daarom enerzijds gebaseerd op de toezichtinspanningen van de AFM in de afgelopen jaren.</w:t>
      </w:r>
      <w:r w:rsidRPr="00ED12E0" w:rsidR="006F0AFF">
        <w:t xml:space="preserve"> De AFM heeft zowel kwantitatief als kwalitatief naar de trendmatige ontwikkeling van de toezichtinzet over de afgelopen halfjaren gekeken.</w:t>
      </w:r>
      <w:r w:rsidRPr="00ED12E0" w:rsidR="00251680">
        <w:t xml:space="preserve"> Daarnaast </w:t>
      </w:r>
      <w:r w:rsidRPr="00ED12E0">
        <w:t>zijn ook de veranderingen in het toezicht in de periode 2025-2028 meegenomen, voor zover zij in het kostenkader verdisconteerd zijn.</w:t>
      </w:r>
      <w:r w:rsidRPr="00ED12E0" w:rsidR="00D0171D">
        <w:t xml:space="preserve"> Het gaat onder meer om de kosten voor het toezicht op de verordening digitale operationele weerbaarheid financiële sector (DORA), de richtlijn duurzaamheidsrapportering (CSRD) en </w:t>
      </w:r>
      <w:proofErr w:type="spellStart"/>
      <w:r w:rsidRPr="00ED12E0" w:rsidR="00D0171D">
        <w:t>MiCAR</w:t>
      </w:r>
      <w:proofErr w:type="spellEnd"/>
      <w:r w:rsidRPr="00ED12E0" w:rsidR="00D0171D">
        <w:t>.</w:t>
      </w:r>
    </w:p>
    <w:p w:rsidRPr="00ED12E0" w:rsidR="005F3339" w:rsidP="00E3357E" w:rsidRDefault="005F3339" w14:paraId="0E1A9D05" w14:textId="77777777">
      <w:pPr>
        <w:spacing w:line="276" w:lineRule="auto"/>
      </w:pPr>
    </w:p>
    <w:p w:rsidRPr="00ED12E0" w:rsidR="005F3339" w:rsidP="00E3357E" w:rsidRDefault="00441131" w14:paraId="4D75D167" w14:textId="56AF7048">
      <w:pPr>
        <w:spacing w:line="276" w:lineRule="auto"/>
      </w:pPr>
      <w:r w:rsidRPr="00ED12E0">
        <w:t xml:space="preserve">In de meeste categorieën verandert het procentuele aandeel met niet meer dan 0,5 procentpunt. </w:t>
      </w:r>
      <w:r w:rsidRPr="00ED12E0" w:rsidR="00111B44">
        <w:t xml:space="preserve">Tijdens de bespreking van het nieuwe kostenkader zijn deze veranderingen mondeling besproken met de verschillende branchevertegenwoordigers. Hieronder worden de </w:t>
      </w:r>
      <w:r w:rsidRPr="00ED12E0" w:rsidR="006F0AFF">
        <w:t xml:space="preserve">grotere </w:t>
      </w:r>
      <w:r w:rsidRPr="00ED12E0" w:rsidR="005C37C4">
        <w:t xml:space="preserve">veranderingen </w:t>
      </w:r>
      <w:r w:rsidRPr="00ED12E0" w:rsidR="00111B44">
        <w:t xml:space="preserve">kort </w:t>
      </w:r>
      <w:r w:rsidRPr="00ED12E0" w:rsidR="005F3339">
        <w:t>toegelicht.</w:t>
      </w:r>
    </w:p>
    <w:p w:rsidRPr="00ED12E0" w:rsidR="005F3339" w:rsidP="00E3357E" w:rsidRDefault="00146503" w14:paraId="273B05FE" w14:textId="317BA68B">
      <w:pPr>
        <w:pStyle w:val="Lijstalinea"/>
        <w:numPr>
          <w:ilvl w:val="0"/>
          <w:numId w:val="32"/>
        </w:numPr>
        <w:spacing w:line="276" w:lineRule="auto"/>
      </w:pPr>
      <w:r w:rsidRPr="00ED12E0">
        <w:t>1. Accountantsorganisaties: h</w:t>
      </w:r>
      <w:r w:rsidRPr="00ED12E0" w:rsidR="00C6587F">
        <w:t>et procentueel aandeel stijgt met 0,7 procentpunt, onder meer door het programma Herijking Toezicht Accountancy en CSRD.</w:t>
      </w:r>
    </w:p>
    <w:p w:rsidRPr="00ED12E0" w:rsidR="00C6587F" w:rsidP="00111B44" w:rsidRDefault="00146503" w14:paraId="102D0FD3" w14:textId="545A41B3">
      <w:pPr>
        <w:pStyle w:val="Lijstalinea"/>
        <w:numPr>
          <w:ilvl w:val="0"/>
          <w:numId w:val="32"/>
        </w:numPr>
        <w:spacing w:line="276" w:lineRule="auto"/>
      </w:pPr>
      <w:r w:rsidRPr="00ED12E0">
        <w:t>3.</w:t>
      </w:r>
      <w:r w:rsidRPr="00ED12E0" w:rsidR="00C6587F">
        <w:t xml:space="preserve"> Adviseurs, bemiddelaars en </w:t>
      </w:r>
      <w:proofErr w:type="spellStart"/>
      <w:r w:rsidRPr="00ED12E0" w:rsidR="00C6587F">
        <w:t>crowdfundingdienstverleners</w:t>
      </w:r>
      <w:proofErr w:type="spellEnd"/>
      <w:r w:rsidRPr="00ED12E0">
        <w:t>: het procentueel aandeel</w:t>
      </w:r>
      <w:r w:rsidRPr="00ED12E0" w:rsidR="00C6587F">
        <w:t xml:space="preserve"> daalt met 2,6 procentpunt.</w:t>
      </w:r>
      <w:r w:rsidRPr="00ED12E0" w:rsidR="00111B44">
        <w:t xml:space="preserve"> Het toezicht op deze categorie is in de afgelopen jaren verder afgenomen. Dit houdt vooral verband met het stellen van prioriteiten binnen het toezicht op deze categorie. Daarbij moet opgemerkt worden dat de AFM werkt aan een vernieuwde opbouw en implementatie van gestructureerd toezicht op adviseurs en bemiddelaars om grip te houden op de snel veranderende markt. Hierdoor zal de inzet de komende jaren op deze categorie toenemen. Dit is verwerkt in het procentueel aandeel.</w:t>
      </w:r>
    </w:p>
    <w:p w:rsidRPr="00ED12E0" w:rsidR="00C6587F" w:rsidP="00E3357E" w:rsidRDefault="00146503" w14:paraId="30CD4D2A" w14:textId="1DB251F9">
      <w:pPr>
        <w:pStyle w:val="Lijstalinea"/>
        <w:numPr>
          <w:ilvl w:val="0"/>
          <w:numId w:val="32"/>
        </w:numPr>
        <w:spacing w:line="276" w:lineRule="auto"/>
      </w:pPr>
      <w:r w:rsidRPr="00ED12E0">
        <w:t xml:space="preserve">5. </w:t>
      </w:r>
      <w:r w:rsidRPr="00ED12E0" w:rsidR="00C6587F">
        <w:t>Banken en clearinginstellingen</w:t>
      </w:r>
      <w:r w:rsidRPr="00ED12E0">
        <w:t>: het procentueel aandeel</w:t>
      </w:r>
      <w:r w:rsidRPr="00ED12E0" w:rsidR="00C6587F">
        <w:t xml:space="preserve"> daalt met 4,8 procentpunt</w:t>
      </w:r>
      <w:r w:rsidRPr="00ED12E0" w:rsidR="00111B44">
        <w:t>.</w:t>
      </w:r>
      <w:r w:rsidRPr="00ED12E0" w:rsidR="00C6587F">
        <w:t xml:space="preserve"> </w:t>
      </w:r>
      <w:r w:rsidRPr="00ED12E0" w:rsidR="00111B44">
        <w:t xml:space="preserve">De werkelijke kosten op deze categorie zijn in de afgelopen jaren afgenomen. Dit houdt vooral verband met het stellen van prioriteiten binnen het toezicht op deze categorie met daarbij in het bijzonder </w:t>
      </w:r>
      <w:r w:rsidRPr="00ED12E0" w:rsidR="00C6587F">
        <w:t>de afronding van het project rentederivaten.</w:t>
      </w:r>
    </w:p>
    <w:p w:rsidRPr="00ED12E0" w:rsidR="00111B44" w:rsidP="00141798" w:rsidRDefault="00146503" w14:paraId="79542775" w14:textId="04C18717">
      <w:pPr>
        <w:pStyle w:val="Lijstalinea"/>
        <w:numPr>
          <w:ilvl w:val="0"/>
          <w:numId w:val="32"/>
        </w:numPr>
        <w:spacing w:line="276" w:lineRule="auto"/>
      </w:pPr>
      <w:r w:rsidRPr="00ED12E0">
        <w:t xml:space="preserve">6. Beheerders van beleggingsinstellingen en icbe’s, bewaarders, aanbieders van beleggingsobjecten en beleggingsondernemingen die beleggingsdiensten verlenen: het procentueel aandeel stijgt met 3,8 procentpunt. </w:t>
      </w:r>
      <w:r w:rsidRPr="00ED12E0" w:rsidR="00111B44">
        <w:t xml:space="preserve">De stijging houdt </w:t>
      </w:r>
      <w:r w:rsidRPr="00ED12E0" w:rsidR="00111B44">
        <w:lastRenderedPageBreak/>
        <w:t>vooral verband met verschillende nieuwe toezichtstaken, o.a. op het gebied van duurzaamheid en pensioenen.</w:t>
      </w:r>
    </w:p>
    <w:p w:rsidRPr="00ED12E0" w:rsidR="006F0AFF" w:rsidP="00141798" w:rsidRDefault="00FA4EC1" w14:paraId="2B563A60" w14:textId="444B9D8A">
      <w:pPr>
        <w:pStyle w:val="Lijstalinea"/>
        <w:numPr>
          <w:ilvl w:val="0"/>
          <w:numId w:val="32"/>
        </w:numPr>
        <w:spacing w:line="276" w:lineRule="auto"/>
      </w:pPr>
      <w:r w:rsidRPr="00ED12E0">
        <w:t xml:space="preserve">8. </w:t>
      </w:r>
      <w:r w:rsidRPr="00ED12E0" w:rsidR="006F0AFF">
        <w:t xml:space="preserve">Cryptoactivadienstverleners: het procentueel aandeel van deze nieuwe categorie is vastgesteld op 3,7%, op basis van de begrote kosten voor het </w:t>
      </w:r>
      <w:proofErr w:type="spellStart"/>
      <w:r w:rsidRPr="00ED12E0" w:rsidR="006F0AFF">
        <w:t>MiCAR</w:t>
      </w:r>
      <w:proofErr w:type="spellEnd"/>
      <w:r w:rsidRPr="00ED12E0" w:rsidR="006F0AFF">
        <w:t>-toezicht.</w:t>
      </w:r>
    </w:p>
    <w:p w:rsidRPr="00ED12E0" w:rsidR="00111B44" w:rsidP="00F66503" w:rsidRDefault="00146503" w14:paraId="1E7043B5" w14:textId="0A5FF32F">
      <w:pPr>
        <w:pStyle w:val="Lijstalinea"/>
        <w:numPr>
          <w:ilvl w:val="0"/>
          <w:numId w:val="32"/>
        </w:numPr>
        <w:spacing w:line="276" w:lineRule="auto"/>
      </w:pPr>
      <w:r w:rsidRPr="00ED12E0">
        <w:t xml:space="preserve">9. Effectenuitgevende instellingen: markt: het procentueel aandeel stijgt met 1,9 procentpunt. </w:t>
      </w:r>
      <w:r w:rsidRPr="00ED12E0" w:rsidR="00111B44">
        <w:t>De werkelijke kosten op deze categorie zijn in de afgelopen periode toegenomen, vanwege de gestelde toezichtprioriteiten.</w:t>
      </w:r>
    </w:p>
    <w:p w:rsidRPr="00ED12E0" w:rsidR="00146503" w:rsidP="00F66503" w:rsidRDefault="00146503" w14:paraId="3DC14F4C" w14:textId="0590438E">
      <w:pPr>
        <w:pStyle w:val="Lijstalinea"/>
        <w:numPr>
          <w:ilvl w:val="0"/>
          <w:numId w:val="32"/>
        </w:numPr>
        <w:spacing w:line="276" w:lineRule="auto"/>
      </w:pPr>
      <w:r w:rsidRPr="00ED12E0">
        <w:t xml:space="preserve">13. Verzekeraars: leven en pensioen: het procentueel aandeel daalt met 3,0 procentpunt. </w:t>
      </w:r>
      <w:r w:rsidRPr="00ED12E0" w:rsidR="00111B44">
        <w:t xml:space="preserve">De daling wordt vooral veroorzaakt door het stellen van toezichtprioriteiten. Zo verwacht de AFM dat o.a. bij de categorie schadeverzekeraars meer inzet nodig zal zijn, waardoor de inzet op de levens- en pensioenverzekeraars afneemt. Tegelijkertijd zal de intensiteit van het toezicht op verzekeraars die pensioenproducten aanbieden vanwege de pensioentransitie toenemen.  </w:t>
      </w:r>
    </w:p>
    <w:p w:rsidRPr="00ED12E0" w:rsidR="00FB5496" w:rsidP="00E3357E" w:rsidRDefault="00FB5496" w14:paraId="4FA31C47" w14:textId="77777777">
      <w:pPr>
        <w:spacing w:line="276" w:lineRule="auto"/>
      </w:pPr>
    </w:p>
    <w:p w:rsidRPr="00ED12E0" w:rsidR="00251680" w:rsidP="00111B44" w:rsidRDefault="00251680" w14:paraId="6603FDF7" w14:textId="11D0DB25">
      <w:pPr>
        <w:pStyle w:val="Kop2"/>
        <w:keepNext/>
      </w:pPr>
      <w:r w:rsidRPr="00ED12E0">
        <w:t xml:space="preserve">§ </w:t>
      </w:r>
      <w:r w:rsidRPr="00ED12E0" w:rsidR="00021695">
        <w:t>4</w:t>
      </w:r>
      <w:r w:rsidRPr="00ED12E0">
        <w:t>. Toezichtcategorieën en maatstaven AFM</w:t>
      </w:r>
    </w:p>
    <w:p w:rsidRPr="00ED12E0" w:rsidR="00251680" w:rsidP="00111B44" w:rsidRDefault="00251680" w14:paraId="332C075D" w14:textId="77777777">
      <w:pPr>
        <w:keepNext/>
        <w:spacing w:line="276" w:lineRule="auto"/>
      </w:pPr>
    </w:p>
    <w:p w:rsidRPr="00ED12E0" w:rsidR="00FB5496" w:rsidP="00E3357E" w:rsidRDefault="00FB5496" w14:paraId="5854463D" w14:textId="6192962D">
      <w:pPr>
        <w:spacing w:line="276" w:lineRule="auto"/>
      </w:pPr>
      <w:r w:rsidRPr="00ED12E0">
        <w:t>De AFM heeft de gelegenheid van deze herijking gebruikt om de huidige indeling</w:t>
      </w:r>
      <w:r w:rsidRPr="00ED12E0" w:rsidR="00251680">
        <w:t xml:space="preserve"> van de ondertoezichtstaande personen</w:t>
      </w:r>
      <w:r w:rsidRPr="00ED12E0">
        <w:t xml:space="preserve"> in 16 categorieën kritisch te bekijken. Onder de 16 categorieën waren enkele relatief kleine, namelijk:</w:t>
      </w:r>
    </w:p>
    <w:p w:rsidRPr="00ED12E0" w:rsidR="00FB5496" w:rsidP="00E3357E" w:rsidRDefault="00FB5496" w14:paraId="66EE9839" w14:textId="7CD7994F">
      <w:pPr>
        <w:pStyle w:val="Lijstalinea"/>
        <w:numPr>
          <w:ilvl w:val="0"/>
          <w:numId w:val="31"/>
        </w:numPr>
        <w:spacing w:line="276" w:lineRule="auto"/>
      </w:pPr>
      <w:r w:rsidRPr="00ED12E0">
        <w:t>Afwikkelondernemingen, betaalinstellingen en elektronischgeldinstellingen (0,1%);</w:t>
      </w:r>
    </w:p>
    <w:p w:rsidRPr="00ED12E0" w:rsidR="00FB5496" w:rsidP="00E3357E" w:rsidRDefault="00FB5496" w14:paraId="6A52AAC8" w14:textId="4F4A729D">
      <w:pPr>
        <w:pStyle w:val="Lijstalinea"/>
        <w:numPr>
          <w:ilvl w:val="0"/>
          <w:numId w:val="31"/>
        </w:numPr>
        <w:spacing w:line="276" w:lineRule="auto"/>
      </w:pPr>
      <w:r w:rsidRPr="00ED12E0">
        <w:t xml:space="preserve">Centrale </w:t>
      </w:r>
      <w:proofErr w:type="spellStart"/>
      <w:r w:rsidRPr="00ED12E0">
        <w:t>effectenbewaarinstellingen</w:t>
      </w:r>
      <w:proofErr w:type="spellEnd"/>
      <w:r w:rsidRPr="00ED12E0">
        <w:t xml:space="preserve"> (0,4%);</w:t>
      </w:r>
    </w:p>
    <w:p w:rsidRPr="00ED12E0" w:rsidR="00FB5496" w:rsidP="00E3357E" w:rsidRDefault="00FB5496" w14:paraId="006E9FF7" w14:textId="00C2FD58">
      <w:pPr>
        <w:pStyle w:val="Lijstalinea"/>
        <w:numPr>
          <w:ilvl w:val="0"/>
          <w:numId w:val="31"/>
        </w:numPr>
        <w:spacing w:line="276" w:lineRule="auto"/>
      </w:pPr>
      <w:r w:rsidRPr="00ED12E0">
        <w:t>Centrale tegenpartijen (0,3%);</w:t>
      </w:r>
    </w:p>
    <w:p w:rsidRPr="00ED12E0" w:rsidR="00FB5496" w:rsidP="00E3357E" w:rsidRDefault="00FB5496" w14:paraId="2EFB6A06" w14:textId="4F982685">
      <w:pPr>
        <w:pStyle w:val="Lijstalinea"/>
        <w:numPr>
          <w:ilvl w:val="0"/>
          <w:numId w:val="31"/>
        </w:numPr>
        <w:spacing w:line="276" w:lineRule="auto"/>
      </w:pPr>
      <w:r w:rsidRPr="00ED12E0">
        <w:t>Verzekeraars: zorg (0,4%).</w:t>
      </w:r>
      <w:r w:rsidRPr="00ED12E0" w:rsidR="00D17CDD">
        <w:rPr>
          <w:rStyle w:val="Voetnootmarkering"/>
        </w:rPr>
        <w:footnoteReference w:id="8"/>
      </w:r>
    </w:p>
    <w:p w:rsidRPr="00ED12E0" w:rsidR="00FB5496" w:rsidP="00E3357E" w:rsidRDefault="00FB5496" w14:paraId="44BA0A0E" w14:textId="711D6F7B">
      <w:pPr>
        <w:spacing w:line="276" w:lineRule="auto"/>
      </w:pPr>
      <w:r w:rsidRPr="00ED12E0">
        <w:t>Geconcludeerd is dat het niet in alle gevallen meer zinvol is om dergelijke kleine categorieën te onderscheiden.</w:t>
      </w:r>
    </w:p>
    <w:p w:rsidRPr="00ED12E0" w:rsidR="00FB5496" w:rsidP="00E3357E" w:rsidRDefault="00FB5496" w14:paraId="79AFADCC" w14:textId="77777777">
      <w:pPr>
        <w:spacing w:line="276" w:lineRule="auto"/>
      </w:pPr>
    </w:p>
    <w:p w:rsidRPr="00ED12E0" w:rsidR="00FB5496" w:rsidP="00E3357E" w:rsidRDefault="00FB5496" w14:paraId="3EA5F766" w14:textId="6FB0EB8C">
      <w:pPr>
        <w:spacing w:line="276" w:lineRule="auto"/>
      </w:pPr>
      <w:r w:rsidRPr="00ED12E0">
        <w:t xml:space="preserve">De categorie Centrale </w:t>
      </w:r>
      <w:proofErr w:type="spellStart"/>
      <w:r w:rsidRPr="00ED12E0">
        <w:t>effectenbewaarinstellingen</w:t>
      </w:r>
      <w:proofErr w:type="spellEnd"/>
      <w:r w:rsidRPr="00ED12E0">
        <w:t xml:space="preserve"> bestond</w:t>
      </w:r>
      <w:r w:rsidRPr="00ED12E0" w:rsidR="00251680">
        <w:t xml:space="preserve"> in de praktijk</w:t>
      </w:r>
      <w:r w:rsidRPr="00ED12E0">
        <w:t xml:space="preserve"> uit één </w:t>
      </w:r>
      <w:r w:rsidRPr="00ED12E0" w:rsidR="005742FD">
        <w:t>instelling</w:t>
      </w:r>
      <w:r w:rsidRPr="00ED12E0">
        <w:t>. Dat maakt dat de heffing voor deze instelling sterk onderhevig was aan fluctuaties in het door te belasten bedrag.</w:t>
      </w:r>
      <w:r w:rsidRPr="00ED12E0" w:rsidR="006D03FA">
        <w:t xml:space="preserve"> Hetzelfde gold voor de categorie Centrale tegenpartijen, die uit twee partijen bestond. </w:t>
      </w:r>
      <w:r w:rsidRPr="00ED12E0">
        <w:t xml:space="preserve">Om dit te ondervangen </w:t>
      </w:r>
      <w:r w:rsidRPr="00ED12E0" w:rsidR="006D03FA">
        <w:t>zijn deze categorieën</w:t>
      </w:r>
      <w:r w:rsidRPr="00ED12E0">
        <w:t xml:space="preserve"> samengevoegd met de categorie Financiële infrastructuur. Centrale </w:t>
      </w:r>
      <w:proofErr w:type="spellStart"/>
      <w:r w:rsidRPr="00ED12E0">
        <w:t>effectenbewaarinstellingen</w:t>
      </w:r>
      <w:proofErr w:type="spellEnd"/>
      <w:r w:rsidRPr="00ED12E0" w:rsidR="006D03FA">
        <w:t xml:space="preserve"> en centrale</w:t>
      </w:r>
      <w:r w:rsidRPr="00ED12E0">
        <w:t xml:space="preserve"> </w:t>
      </w:r>
      <w:r w:rsidRPr="00ED12E0" w:rsidR="006D03FA">
        <w:t xml:space="preserve">tegenpartijen </w:t>
      </w:r>
      <w:r w:rsidRPr="00ED12E0">
        <w:t xml:space="preserve">maken immers deel uit van de financiële infrastructuur, en het toezicht </w:t>
      </w:r>
      <w:r w:rsidRPr="00ED12E0" w:rsidR="006D03FA">
        <w:t>op de personen uit de drie voormalige categorieën wordt</w:t>
      </w:r>
      <w:r w:rsidRPr="00ED12E0">
        <w:t xml:space="preserve"> door dezelfde AFM-afdeling uitgeoefend. Deze wijziging zorgt voor meer mogelijkheden en speelruimte om met specifieke ontwikkelingen in (het toezicht op) de financiële infrastructuur rekening te houden. Hetzelfde geldt voor de wijze waarop de toezichtkosten van dergelijke ontwikkelingen het best kunnen worden vertaald naar de verschillende tot die categorie behorende instellingen. Hierdoor ontstaat de mogelijkheid om te komen tot meer voorspelbare en evenwichtige heffing</w:t>
      </w:r>
      <w:r w:rsidRPr="00ED12E0" w:rsidR="006D03FA">
        <w:t>en</w:t>
      </w:r>
      <w:r w:rsidRPr="00ED12E0">
        <w:t xml:space="preserve">, die beter uitlegbaar en acceptabel </w:t>
      </w:r>
      <w:r w:rsidRPr="00ED12E0" w:rsidR="007B162D">
        <w:t xml:space="preserve">zijn </w:t>
      </w:r>
      <w:r w:rsidRPr="00ED12E0">
        <w:t>voor de betreffende instelling</w:t>
      </w:r>
      <w:r w:rsidRPr="00ED12E0" w:rsidR="006D03FA">
        <w:t>en</w:t>
      </w:r>
      <w:r w:rsidRPr="00ED12E0">
        <w:t>.</w:t>
      </w:r>
    </w:p>
    <w:p w:rsidRPr="00ED12E0" w:rsidR="006D03FA" w:rsidP="00E3357E" w:rsidRDefault="006D03FA" w14:paraId="3B5CC2BB" w14:textId="77777777">
      <w:pPr>
        <w:spacing w:line="276" w:lineRule="auto"/>
      </w:pPr>
    </w:p>
    <w:p w:rsidRPr="00ED12E0" w:rsidR="00FB5496" w:rsidP="00E3357E" w:rsidRDefault="006D03FA" w14:paraId="362BD6D9" w14:textId="4DB18E30">
      <w:pPr>
        <w:spacing w:line="276" w:lineRule="auto"/>
      </w:pPr>
      <w:r w:rsidRPr="00ED12E0">
        <w:t xml:space="preserve">Ook is geconcludeerd dat er </w:t>
      </w:r>
      <w:r w:rsidRPr="00ED12E0" w:rsidR="00EE5972">
        <w:t xml:space="preserve">nog steeds </w:t>
      </w:r>
      <w:r w:rsidRPr="00ED12E0">
        <w:t xml:space="preserve">voldoende reden bestaat om het toezicht op zorgverzekeraars en op afwikkelondernemingen, betaalinstellingen en </w:t>
      </w:r>
      <w:r w:rsidRPr="00ED12E0">
        <w:lastRenderedPageBreak/>
        <w:t xml:space="preserve">elektronischgeldinstellingen in aparte categorieën op te nemen. Deze categorieën </w:t>
      </w:r>
      <w:r w:rsidRPr="00ED12E0" w:rsidR="00231D31">
        <w:t>blijven</w:t>
      </w:r>
      <w:r w:rsidRPr="00ED12E0">
        <w:t xml:space="preserve"> daarom gehandhaafd.</w:t>
      </w:r>
    </w:p>
    <w:p w:rsidRPr="00ED12E0" w:rsidR="00335F36" w:rsidP="00E3357E" w:rsidRDefault="00335F36" w14:paraId="53552AC7" w14:textId="77777777">
      <w:pPr>
        <w:spacing w:line="276" w:lineRule="auto"/>
      </w:pPr>
    </w:p>
    <w:p w:rsidRPr="00ED12E0" w:rsidR="00335F36" w:rsidP="00E3357E" w:rsidRDefault="00335F36" w14:paraId="7250C7A7" w14:textId="38D67BCF">
      <w:pPr>
        <w:pStyle w:val="Kop2"/>
      </w:pPr>
      <w:r w:rsidRPr="00ED12E0">
        <w:t xml:space="preserve">§ </w:t>
      </w:r>
      <w:r w:rsidRPr="00ED12E0" w:rsidR="00021695">
        <w:t>5</w:t>
      </w:r>
      <w:r w:rsidRPr="00ED12E0">
        <w:t>. Levensverzekeraars met beperkte risico-omvang</w:t>
      </w:r>
      <w:r w:rsidRPr="00ED12E0" w:rsidR="00A72B97">
        <w:t xml:space="preserve"> (AFM)</w:t>
      </w:r>
    </w:p>
    <w:p w:rsidRPr="00ED12E0" w:rsidR="00335F36" w:rsidP="00E3357E" w:rsidRDefault="00335F36" w14:paraId="042B146C" w14:textId="77777777">
      <w:pPr>
        <w:spacing w:line="276" w:lineRule="auto"/>
      </w:pPr>
    </w:p>
    <w:p w:rsidRPr="00ED12E0" w:rsidR="00335F36" w:rsidP="00E3357E" w:rsidRDefault="00335F36" w14:paraId="363AB194" w14:textId="29991FF2">
      <w:pPr>
        <w:spacing w:line="276" w:lineRule="auto"/>
      </w:pPr>
      <w:r w:rsidRPr="00ED12E0">
        <w:t xml:space="preserve">De AFM wordt in staat gesteld om een heffing voor het doorlopend toezicht op te leggen aan levensverzekeraars met beperkte risico-omvang als bedoeld in artikel 2:48 Wft. Deze mogelijkheid bestaat al voor natura-uitvaart- en schadeverzekeraars met beperkte risico-omvang. </w:t>
      </w:r>
    </w:p>
    <w:p w:rsidRPr="00ED12E0" w:rsidR="00335F36" w:rsidP="00E3357E" w:rsidRDefault="00335F36" w14:paraId="1E2B9834" w14:textId="77777777">
      <w:pPr>
        <w:spacing w:line="276" w:lineRule="auto"/>
      </w:pPr>
    </w:p>
    <w:p w:rsidRPr="00ED12E0" w:rsidR="00CB3477" w:rsidP="00E3357E" w:rsidRDefault="00335F36" w14:paraId="58EDD714" w14:textId="2FF6FC96">
      <w:pPr>
        <w:spacing w:line="276" w:lineRule="auto"/>
      </w:pPr>
      <w:r w:rsidRPr="00ED12E0">
        <w:t xml:space="preserve">De AFM houdt risicogestuurd gedragstoezicht op verzekeraars. Dat betekent dat de AFM zich richt op die zaken waar de meeste schade voor consumenten bestaat of kan ontstaan. Gezien de aard van de levensverzekeringsproducten (complexiteit, looptijd, impact voor consument) </w:t>
      </w:r>
      <w:r w:rsidRPr="00ED12E0" w:rsidR="00CB3477">
        <w:t xml:space="preserve">verschilt het risiconiveau niet aanzienlijk van </w:t>
      </w:r>
      <w:r w:rsidRPr="00ED12E0">
        <w:t xml:space="preserve">schadeverzekeringen of natura-uitvaartverzekeringen. Bovendien is het toezicht op verzekeraars met een beperkte risico-omvang </w:t>
      </w:r>
      <w:r w:rsidRPr="00ED12E0" w:rsidR="00CB3477">
        <w:t>hetzelfde als</w:t>
      </w:r>
      <w:r w:rsidRPr="00ED12E0">
        <w:t xml:space="preserve"> het toezicht op verzekeraars met een reguliere vergunning (als bedoeld in artikel 2:27 van de Wft). Zo doet de AFM voor alle verzekeraars een jaarlijkse </w:t>
      </w:r>
      <w:proofErr w:type="spellStart"/>
      <w:r w:rsidRPr="00ED12E0">
        <w:t>klachtenuitvraag</w:t>
      </w:r>
      <w:proofErr w:type="spellEnd"/>
      <w:r w:rsidRPr="00ED12E0">
        <w:t xml:space="preserve"> en behandelt zij ontheffingsverzoeken.</w:t>
      </w:r>
    </w:p>
    <w:p w:rsidRPr="00ED12E0" w:rsidR="00335F36" w:rsidP="00E3357E" w:rsidRDefault="00335F36" w14:paraId="3ED53725" w14:textId="77777777">
      <w:pPr>
        <w:spacing w:line="276" w:lineRule="auto"/>
      </w:pPr>
    </w:p>
    <w:p w:rsidRPr="00ED12E0" w:rsidR="00365205" w:rsidP="00171C9C" w:rsidRDefault="00335F36" w14:paraId="46E3EA00" w14:textId="77C8A5A3">
      <w:pPr>
        <w:spacing w:line="276" w:lineRule="auto"/>
      </w:pPr>
      <w:r w:rsidRPr="00ED12E0">
        <w:t xml:space="preserve">Er bestaat al met al geen logische rechtvaardiging om levensverzekeraars voor de bekostiging van het doorlopend toezicht </w:t>
      </w:r>
      <w:r w:rsidRPr="00ED12E0" w:rsidR="000F55E3">
        <w:t xml:space="preserve">anders </w:t>
      </w:r>
      <w:r w:rsidRPr="00ED12E0">
        <w:t>te behandelen dan schadeverzekeraars en natura-uitvaartverzekeraars (met een beperkte risico-omvang). De levensverzekeraars met beperkte risico-omvang worden daarom toegevoegd aan de lijst van personen aan wie toezichtkosten kunnen worden doorberekend.</w:t>
      </w:r>
    </w:p>
    <w:p w:rsidRPr="00ED12E0" w:rsidR="00910454" w:rsidP="00E3357E" w:rsidRDefault="00910454" w14:paraId="5AE2BF06" w14:textId="3EFBB874">
      <w:pPr>
        <w:spacing w:line="276" w:lineRule="auto"/>
      </w:pPr>
    </w:p>
    <w:p w:rsidRPr="00ED12E0" w:rsidR="00043A06" w:rsidP="00E3357E" w:rsidRDefault="00043A06" w14:paraId="78713ADB" w14:textId="38FF31D8">
      <w:pPr>
        <w:pStyle w:val="Kop2"/>
      </w:pPr>
      <w:bookmarkStart w:name="_Hlk157086677" w:id="7"/>
      <w:r w:rsidRPr="00ED12E0">
        <w:t xml:space="preserve">§ </w:t>
      </w:r>
      <w:r w:rsidRPr="00ED12E0" w:rsidR="00021695">
        <w:t>6</w:t>
      </w:r>
      <w:r w:rsidRPr="00ED12E0">
        <w:t>. Geconsolideerde vergoedingen</w:t>
      </w:r>
    </w:p>
    <w:bookmarkEnd w:id="7"/>
    <w:p w:rsidRPr="00ED12E0" w:rsidR="00674E2B" w:rsidP="00E3357E" w:rsidRDefault="00674E2B" w14:paraId="2E65621F" w14:textId="77777777">
      <w:pPr>
        <w:spacing w:line="276" w:lineRule="auto"/>
        <w:rPr>
          <w:szCs w:val="22"/>
        </w:rPr>
      </w:pPr>
    </w:p>
    <w:p w:rsidRPr="00ED12E0" w:rsidR="00674E2B" w:rsidP="00E3357E" w:rsidRDefault="00674E2B" w14:paraId="0271F97C" w14:textId="2B9C8ABF">
      <w:pPr>
        <w:spacing w:line="276" w:lineRule="auto"/>
      </w:pPr>
      <w:r w:rsidRPr="00ED12E0">
        <w:t xml:space="preserve">De grondslag voor heffingen op geconsolideerd niveau wordt verduidelijkt in het nieuwe artikel 12a. Met deze verduidelijking is geen inhoudelijke wijziging beoogd van de heffingssystematiek. Artikel 15 van de </w:t>
      </w:r>
      <w:r w:rsidRPr="00ED12E0" w:rsidR="001F60E3">
        <w:t>Wet bekostiging financieel toezicht 2019 (</w:t>
      </w:r>
      <w:proofErr w:type="spellStart"/>
      <w:r w:rsidRPr="00ED12E0">
        <w:t>Wbft</w:t>
      </w:r>
      <w:proofErr w:type="spellEnd"/>
      <w:r w:rsidRPr="00ED12E0">
        <w:t xml:space="preserve"> 2019</w:t>
      </w:r>
      <w:r w:rsidRPr="00ED12E0" w:rsidR="001F60E3">
        <w:t>)</w:t>
      </w:r>
      <w:r w:rsidRPr="00ED12E0">
        <w:t xml:space="preserve"> bepaalt dat de toezichthouder een onder toezicht staande persoon jaarlijks een bedrag in rekening brengt voor de kosten van het toezicht. Daarvoor zijn in het </w:t>
      </w:r>
      <w:proofErr w:type="spellStart"/>
      <w:r w:rsidRPr="00ED12E0">
        <w:t>Bbft</w:t>
      </w:r>
      <w:proofErr w:type="spellEnd"/>
      <w:r w:rsidRPr="00ED12E0">
        <w:t xml:space="preserve"> 2019 verschillende toezichtcategorieën gedefinieerd, waarbinnen de toezichthouder de kosten verdeelt op grond van maatstaven. De meeste maatstaven hebben betrekking op een individuele ondertoezichtstaande persoon. </w:t>
      </w:r>
    </w:p>
    <w:p w:rsidRPr="00ED12E0" w:rsidR="00674E2B" w:rsidP="00E3357E" w:rsidRDefault="00674E2B" w14:paraId="697CC2B1" w14:textId="77777777">
      <w:pPr>
        <w:spacing w:line="276" w:lineRule="auto"/>
      </w:pPr>
    </w:p>
    <w:p w:rsidRPr="00ED12E0" w:rsidR="00674E2B" w:rsidP="00E3357E" w:rsidRDefault="00674E2B" w14:paraId="7EA5EA8A" w14:textId="313E715B">
      <w:pPr>
        <w:spacing w:line="276" w:lineRule="auto"/>
      </w:pPr>
      <w:r w:rsidRPr="00ED12E0">
        <w:t>Als op geconsolideerd niveau de maatstaf voor een bankengroep wordt bepaald, worden de toezichtkosten niet bepaald aan de hand van de maatstaf van de afzonderlijke banken, maar worden die kosten op geconsolideerd niveau bepaald. Met artikel 12a wordt dit verhelderd. Vanwege het geconsolideerd toezicht op personen in de toezichtcategorieën ‘Banken en clearinginstellingen’ van de AFM en ‘Banken en kredietunies’, ‘Depositogarantiestelsel: banken’ en ‘Resolutie: banken en beleggingsondernemingen’ van DNB, ontvangen zij een heffing op grond van de geconsolideerde situatie. Dit weerspiegelt de toezichtinspanningen van de toezichthouder en de draagkracht van de betreffende onderneming(en).</w:t>
      </w:r>
    </w:p>
    <w:p w:rsidRPr="00ED12E0" w:rsidR="00674E2B" w:rsidP="00E3357E" w:rsidRDefault="00674E2B" w14:paraId="0CA76C5B" w14:textId="77777777">
      <w:pPr>
        <w:spacing w:line="276" w:lineRule="auto"/>
      </w:pPr>
    </w:p>
    <w:p w:rsidRPr="00ED12E0" w:rsidR="00437294" w:rsidP="00E3357E" w:rsidRDefault="00674E2B" w14:paraId="4AA96EC2" w14:textId="4DAD75A4">
      <w:pPr>
        <w:spacing w:line="276" w:lineRule="auto"/>
      </w:pPr>
      <w:r w:rsidRPr="00ED12E0">
        <w:t xml:space="preserve">De toezichthouder vermeldt op het heffingsbesluit de ondertoezichtstaande personen die bij de berekening in aanmerking zijn genomen. Daarmee wordt voldaan aan de </w:t>
      </w:r>
      <w:r w:rsidRPr="00ED12E0">
        <w:lastRenderedPageBreak/>
        <w:t xml:space="preserve">hoofdregel in artikel 15 </w:t>
      </w:r>
      <w:proofErr w:type="spellStart"/>
      <w:r w:rsidRPr="00ED12E0">
        <w:t>Wbft</w:t>
      </w:r>
      <w:proofErr w:type="spellEnd"/>
      <w:r w:rsidRPr="00ED12E0">
        <w:t xml:space="preserve"> 2019 dat de toezichthouder bij een onder toezicht staande persoon een bedrag in rekening brengt.</w:t>
      </w:r>
    </w:p>
    <w:p w:rsidRPr="00ED12E0" w:rsidR="00437294" w:rsidP="00E3357E" w:rsidRDefault="00437294" w14:paraId="15440510" w14:textId="77777777">
      <w:pPr>
        <w:spacing w:line="276" w:lineRule="auto"/>
      </w:pPr>
    </w:p>
    <w:p w:rsidRPr="00ED12E0" w:rsidR="00BC32DC" w:rsidP="00E3357E" w:rsidRDefault="00437294" w14:paraId="6B070120" w14:textId="67383B2E">
      <w:pPr>
        <w:pStyle w:val="Kop2"/>
      </w:pPr>
      <w:r w:rsidRPr="00ED12E0">
        <w:t xml:space="preserve">§ </w:t>
      </w:r>
      <w:r w:rsidRPr="00ED12E0" w:rsidR="00021695">
        <w:t>7</w:t>
      </w:r>
      <w:r w:rsidRPr="00ED12E0">
        <w:t>. Financiële gevolgen</w:t>
      </w:r>
    </w:p>
    <w:p w:rsidRPr="00ED12E0" w:rsidR="00AE52B3" w:rsidP="00E3357E" w:rsidRDefault="00AE52B3" w14:paraId="269C431E" w14:textId="53C7A9F8">
      <w:pPr>
        <w:spacing w:line="276" w:lineRule="auto"/>
      </w:pPr>
    </w:p>
    <w:p w:rsidRPr="00ED12E0" w:rsidR="00CB3477" w:rsidP="00E3357E" w:rsidRDefault="00CB3477" w14:paraId="6A61A9F7" w14:textId="60A4306D">
      <w:pPr>
        <w:spacing w:line="276" w:lineRule="auto"/>
      </w:pPr>
      <w:r w:rsidRPr="00ED12E0">
        <w:t>Het besluit heeft geen gevolgen voor de rijksbegroting.</w:t>
      </w:r>
    </w:p>
    <w:p w:rsidRPr="00ED12E0" w:rsidR="00CB3477" w:rsidP="00E3357E" w:rsidRDefault="00CB3477" w14:paraId="1D1E6E95" w14:textId="77777777">
      <w:pPr>
        <w:spacing w:line="276" w:lineRule="auto"/>
      </w:pPr>
    </w:p>
    <w:p w:rsidRPr="00ED12E0" w:rsidR="00311672" w:rsidP="00E3357E" w:rsidRDefault="00CB3477" w14:paraId="4E23269F" w14:textId="2B74505F">
      <w:pPr>
        <w:spacing w:line="276" w:lineRule="auto"/>
      </w:pPr>
      <w:r w:rsidRPr="00ED12E0">
        <w:t xml:space="preserve">De herijkte procentuele verdeling van de AFM heeft gevolgen voor de ondertoezichtstaande instellingen. De grootste veranderingen zijn toegelicht in paragraaf </w:t>
      </w:r>
      <w:r w:rsidRPr="00ED12E0" w:rsidR="00BD350A">
        <w:t>3</w:t>
      </w:r>
      <w:r w:rsidRPr="00ED12E0">
        <w:t>. De precieze kosten worden bepaald op basis van de jaarlijkse Regeling bekostiging financieel toezicht, op basis van de begroting in het lopende jaar en het exploitatiesaldo over het voorafgaande jaar. In de toelichting bij de Regeling en in de begrotingen en verantwoordingen van de AFM zullen de financiële ontwikkelingen en de gevolgen voor instellingen worden toegelicht.</w:t>
      </w:r>
      <w:r w:rsidRPr="00ED12E0" w:rsidR="00A53554">
        <w:t xml:space="preserve"> Een indicatie van de financiële gevolgen van </w:t>
      </w:r>
      <w:proofErr w:type="spellStart"/>
      <w:r w:rsidRPr="00ED12E0" w:rsidR="00C56F37">
        <w:t>MiCAR</w:t>
      </w:r>
      <w:proofErr w:type="spellEnd"/>
      <w:r w:rsidRPr="00ED12E0" w:rsidR="00A53554">
        <w:t xml:space="preserve"> voor </w:t>
      </w:r>
      <w:proofErr w:type="spellStart"/>
      <w:r w:rsidRPr="00ED12E0" w:rsidR="00A53554">
        <w:t>cryptoactivadienstverleners</w:t>
      </w:r>
      <w:proofErr w:type="spellEnd"/>
      <w:r w:rsidRPr="00ED12E0" w:rsidR="00A53554">
        <w:t xml:space="preserve"> en </w:t>
      </w:r>
      <w:proofErr w:type="spellStart"/>
      <w:r w:rsidRPr="00ED12E0" w:rsidR="00A53554">
        <w:t>stablecoins</w:t>
      </w:r>
      <w:proofErr w:type="spellEnd"/>
      <w:r w:rsidRPr="00ED12E0" w:rsidR="00A53554">
        <w:t xml:space="preserve"> is ook opgenomen in de</w:t>
      </w:r>
      <w:r w:rsidRPr="00ED12E0" w:rsidR="005742FD">
        <w:t xml:space="preserve"> memorie van</w:t>
      </w:r>
      <w:r w:rsidRPr="00ED12E0" w:rsidR="00A53554">
        <w:t xml:space="preserve"> toelichting bij de Uitvoeringswet verordening cryptoactiva.</w:t>
      </w:r>
      <w:r w:rsidRPr="00ED12E0" w:rsidR="00507FF8">
        <w:rPr>
          <w:rStyle w:val="Voetnootmarkering"/>
        </w:rPr>
        <w:footnoteReference w:id="9"/>
      </w:r>
    </w:p>
    <w:p w:rsidRPr="00ED12E0" w:rsidR="00311672" w:rsidP="00E3357E" w:rsidRDefault="00311672" w14:paraId="12805574" w14:textId="77777777">
      <w:pPr>
        <w:spacing w:line="276" w:lineRule="auto"/>
      </w:pPr>
    </w:p>
    <w:p w:rsidRPr="00ED12E0" w:rsidR="00CB3477" w:rsidP="00E3357E" w:rsidRDefault="00CB3477" w14:paraId="4106D620" w14:textId="3E5157ED">
      <w:pPr>
        <w:spacing w:line="276" w:lineRule="auto"/>
      </w:pPr>
      <w:r w:rsidRPr="00ED12E0">
        <w:t xml:space="preserve">Aan verzekeraars met een beperkte risico-omvang kunnen vanaf 2025 ook heffingen voor het doorlopend toezicht worden opgelegd. Het gaat om relatief kleine partijen. In het DNB-register staat op dit moment één </w:t>
      </w:r>
      <w:r w:rsidRPr="00ED12E0" w:rsidR="00BC32DC">
        <w:t>levensverzekeraar met een 2:48</w:t>
      </w:r>
      <w:r w:rsidRPr="00ED12E0">
        <w:t>-</w:t>
      </w:r>
      <w:r w:rsidRPr="00ED12E0" w:rsidR="00BC32DC">
        <w:t xml:space="preserve">vergunning </w:t>
      </w:r>
      <w:r w:rsidRPr="00ED12E0">
        <w:t>ingeschreven. De tarieven voor het toezicht worden in de jaarlijkse Regeling bekendgemaakt en nader toegelicht.</w:t>
      </w:r>
    </w:p>
    <w:p w:rsidRPr="00ED12E0" w:rsidR="00CB3477" w:rsidP="00E3357E" w:rsidRDefault="00CB3477" w14:paraId="0C97CD26" w14:textId="77777777">
      <w:pPr>
        <w:spacing w:line="276" w:lineRule="auto"/>
      </w:pPr>
    </w:p>
    <w:p w:rsidRPr="00ED12E0" w:rsidR="00437294" w:rsidP="00E3357E" w:rsidRDefault="00437294" w14:paraId="4DB747B2" w14:textId="760BAB4D">
      <w:pPr>
        <w:pStyle w:val="Kop2"/>
      </w:pPr>
      <w:r w:rsidRPr="00ED12E0">
        <w:t xml:space="preserve">§ </w:t>
      </w:r>
      <w:r w:rsidRPr="00ED12E0" w:rsidR="00021695">
        <w:t>8</w:t>
      </w:r>
      <w:r w:rsidRPr="00ED12E0">
        <w:t>. Consultatie, advies en voorhang</w:t>
      </w:r>
    </w:p>
    <w:p w:rsidRPr="00ED12E0" w:rsidR="00437294" w:rsidP="00E3357E" w:rsidRDefault="00437294" w14:paraId="3B6E9750" w14:textId="77777777">
      <w:pPr>
        <w:spacing w:line="276" w:lineRule="auto"/>
      </w:pPr>
    </w:p>
    <w:p w:rsidRPr="00ED12E0" w:rsidR="00437294" w:rsidP="00E3357E" w:rsidRDefault="00437294" w14:paraId="22432DA7" w14:textId="49DCFA17">
      <w:pPr>
        <w:spacing w:line="276" w:lineRule="auto"/>
      </w:pPr>
      <w:r w:rsidRPr="00ED12E0">
        <w:t xml:space="preserve">Een ontwerp van dit besluit is van </w:t>
      </w:r>
      <w:r w:rsidRPr="00ED12E0" w:rsidR="00A42873">
        <w:t xml:space="preserve">9 mei </w:t>
      </w:r>
      <w:r w:rsidRPr="00ED12E0">
        <w:t>tot</w:t>
      </w:r>
      <w:r w:rsidRPr="00ED12E0" w:rsidR="00A42873">
        <w:t xml:space="preserve"> en met 7 juni 2024</w:t>
      </w:r>
      <w:r w:rsidRPr="00ED12E0">
        <w:t xml:space="preserve"> </w:t>
      </w:r>
      <w:r w:rsidRPr="00ED12E0" w:rsidR="00880713">
        <w:t xml:space="preserve">openbaar </w:t>
      </w:r>
      <w:r w:rsidRPr="00ED12E0">
        <w:t>geconsulteerd.</w:t>
      </w:r>
      <w:r w:rsidRPr="00ED12E0" w:rsidR="00880713">
        <w:rPr>
          <w:rStyle w:val="Voetnootmarkering"/>
        </w:rPr>
        <w:footnoteReference w:id="10"/>
      </w:r>
      <w:r w:rsidRPr="00ED12E0">
        <w:t xml:space="preserve"> </w:t>
      </w:r>
      <w:r w:rsidRPr="00ED12E0" w:rsidR="00A42873">
        <w:t xml:space="preserve">Op de consultatie zijn 2 reacties binnengekomen van de Association of </w:t>
      </w:r>
      <w:proofErr w:type="spellStart"/>
      <w:r w:rsidRPr="00ED12E0" w:rsidR="00A42873">
        <w:t>Proprietary</w:t>
      </w:r>
      <w:proofErr w:type="spellEnd"/>
      <w:r w:rsidRPr="00ED12E0" w:rsidR="00A42873">
        <w:t xml:space="preserve"> </w:t>
      </w:r>
      <w:proofErr w:type="spellStart"/>
      <w:r w:rsidRPr="00ED12E0" w:rsidR="00A42873">
        <w:t>Traders</w:t>
      </w:r>
      <w:proofErr w:type="spellEnd"/>
      <w:r w:rsidRPr="00ED12E0" w:rsidR="00A42873">
        <w:t xml:space="preserve"> (APT) </w:t>
      </w:r>
      <w:r w:rsidRPr="00ED12E0" w:rsidR="00CA3C1A">
        <w:t>en CMS.</w:t>
      </w:r>
    </w:p>
    <w:p w:rsidRPr="00ED12E0" w:rsidR="00CA3C1A" w:rsidP="00E3357E" w:rsidRDefault="00CA3C1A" w14:paraId="55419276" w14:textId="77777777">
      <w:pPr>
        <w:spacing w:line="276" w:lineRule="auto"/>
      </w:pPr>
    </w:p>
    <w:p w:rsidRPr="00ED12E0" w:rsidR="00EA6651" w:rsidP="00E3357E" w:rsidRDefault="00CA3C1A" w14:paraId="7946D1C2" w14:textId="77777777">
      <w:pPr>
        <w:spacing w:line="276" w:lineRule="auto"/>
      </w:pPr>
      <w:r w:rsidRPr="00ED12E0">
        <w:t>De APT is de branchevereniging van in Nederland gevestigde handelshuizen voor eigen rekening (</w:t>
      </w:r>
      <w:proofErr w:type="spellStart"/>
      <w:r w:rsidRPr="00ED12E0">
        <w:t>HERs</w:t>
      </w:r>
      <w:proofErr w:type="spellEnd"/>
      <w:r w:rsidRPr="00ED12E0">
        <w:t>). Zij reageert op de stijging van het procentuele aandeel van de toezichtcategorie Beleggingsondernemingen uitsluitend voor eigen rekening van 1,4% naar 1,7%</w:t>
      </w:r>
      <w:r w:rsidRPr="00ED12E0" w:rsidR="0078618E">
        <w:t xml:space="preserve">, een stijging van 21,4%. De geprojecteerde stijging van de begroting van de AFM in de periode 2025-2028 zorgt, gecombineerd met het gestegen aandeel van de </w:t>
      </w:r>
      <w:proofErr w:type="spellStart"/>
      <w:r w:rsidRPr="00ED12E0" w:rsidR="0078618E">
        <w:t>HERs</w:t>
      </w:r>
      <w:proofErr w:type="spellEnd"/>
      <w:r w:rsidRPr="00ED12E0" w:rsidR="0078618E">
        <w:t xml:space="preserve">, tot een aanzienlijke kostenstijging. De APT acht deze stijging buitenproportioneel, mede in het licht van eerdere stijgingen, en roept op tot meer transparantie over de reden voor de kostenstijging. </w:t>
      </w:r>
    </w:p>
    <w:p w:rsidRPr="00ED12E0" w:rsidR="00EA6651" w:rsidP="00E3357E" w:rsidRDefault="00EA6651" w14:paraId="694905F7" w14:textId="77777777">
      <w:pPr>
        <w:spacing w:line="276" w:lineRule="auto"/>
      </w:pPr>
    </w:p>
    <w:p w:rsidRPr="00ED12E0" w:rsidR="00CA3C1A" w:rsidP="00E3357E" w:rsidRDefault="005C2514" w14:paraId="19863001" w14:textId="0AFCB49B">
      <w:pPr>
        <w:spacing w:line="276" w:lineRule="auto"/>
      </w:pPr>
      <w:r w:rsidRPr="00ED12E0">
        <w:t xml:space="preserve">In reactie </w:t>
      </w:r>
      <w:r w:rsidRPr="00ED12E0" w:rsidR="00EA6651">
        <w:t>hierop</w:t>
      </w:r>
      <w:r w:rsidRPr="00ED12E0">
        <w:t xml:space="preserve"> wordt opgemerkt dat de kosten voor </w:t>
      </w:r>
      <w:proofErr w:type="spellStart"/>
      <w:r w:rsidRPr="00ED12E0">
        <w:t>HERs</w:t>
      </w:r>
      <w:proofErr w:type="spellEnd"/>
      <w:r w:rsidRPr="00ED12E0">
        <w:t xml:space="preserve"> de afgelopen jaren gestegen zijn in verband met </w:t>
      </w:r>
      <w:r w:rsidRPr="00ED12E0" w:rsidR="00771686">
        <w:t xml:space="preserve">uitbreidingen van het wettelijk kader (onder meer de verordening en richtlijn prudentieel toezicht beleggingsondernemingen), meer werkzaamheden uit Europese samenwerking in EBA en ESMA, en een toename van het marktmisbruiktoezicht op </w:t>
      </w:r>
      <w:proofErr w:type="spellStart"/>
      <w:r w:rsidRPr="00ED12E0" w:rsidR="00771686">
        <w:t>HERs</w:t>
      </w:r>
      <w:proofErr w:type="spellEnd"/>
      <w:r w:rsidRPr="00ED12E0">
        <w:t xml:space="preserve">. Tot en met 2028 zullen de kosten verder stijgen vanwege </w:t>
      </w:r>
      <w:r w:rsidRPr="00ED12E0" w:rsidR="00771686">
        <w:t>nieuwe regelgeving, waaronder DORA</w:t>
      </w:r>
      <w:r w:rsidRPr="00ED12E0">
        <w:t xml:space="preserve">. </w:t>
      </w:r>
      <w:r w:rsidRPr="00ED12E0" w:rsidR="00D21CCB">
        <w:t xml:space="preserve">Het kabinet onderkent dat de kosten voor </w:t>
      </w:r>
      <w:proofErr w:type="spellStart"/>
      <w:r w:rsidRPr="00ED12E0" w:rsidR="00D21CCB">
        <w:t>HERs</w:t>
      </w:r>
      <w:proofErr w:type="spellEnd"/>
      <w:r w:rsidRPr="00ED12E0" w:rsidR="00D21CCB">
        <w:t xml:space="preserve"> relatief snel zijn opgelopen, maar acht de kostenstijging niet disproportioneel. </w:t>
      </w:r>
      <w:r w:rsidRPr="00ED12E0" w:rsidR="00D21CCB">
        <w:lastRenderedPageBreak/>
        <w:t xml:space="preserve">Deze stijging is immers verklaarbaar door de gestegen toezichtinspanning voor de </w:t>
      </w:r>
      <w:proofErr w:type="spellStart"/>
      <w:r w:rsidRPr="00ED12E0" w:rsidR="00D21CCB">
        <w:t>HERs</w:t>
      </w:r>
      <w:proofErr w:type="spellEnd"/>
      <w:r w:rsidRPr="00ED12E0" w:rsidR="00D21CCB">
        <w:t xml:space="preserve"> en de bredere ontwikkelingen binnen het financieel toezicht.</w:t>
      </w:r>
    </w:p>
    <w:p w:rsidRPr="00ED12E0" w:rsidR="00D21CCB" w:rsidP="00E3357E" w:rsidRDefault="00D21CCB" w14:paraId="6CBE8646" w14:textId="77777777">
      <w:pPr>
        <w:spacing w:line="276" w:lineRule="auto"/>
      </w:pPr>
    </w:p>
    <w:p w:rsidRPr="00ED12E0" w:rsidR="00D21CCB" w:rsidP="00E3357E" w:rsidRDefault="00D21CCB" w14:paraId="791A77DC" w14:textId="123B7F4E">
      <w:pPr>
        <w:spacing w:line="276" w:lineRule="auto"/>
      </w:pPr>
      <w:r w:rsidRPr="00ED12E0">
        <w:t xml:space="preserve">CMS vraagt aandacht voor de hoogte van de toezichtkosten voor </w:t>
      </w:r>
      <w:proofErr w:type="spellStart"/>
      <w:r w:rsidRPr="00ED12E0">
        <w:t>MiCAR</w:t>
      </w:r>
      <w:proofErr w:type="spellEnd"/>
      <w:r w:rsidRPr="00ED12E0">
        <w:t xml:space="preserve">-partijen. CMS benoemt dat de verwachte toezichtkosten voor </w:t>
      </w:r>
      <w:proofErr w:type="spellStart"/>
      <w:r w:rsidRPr="00ED12E0">
        <w:t>MiCAR</w:t>
      </w:r>
      <w:proofErr w:type="spellEnd"/>
      <w:r w:rsidRPr="00ED12E0">
        <w:t xml:space="preserve"> ca. € 3,4 mln. bedragen en dat de ondertoezichtstaande instellingen deze moeten betalen, ongeacht hun aantal en omvang. CMS vreest dat hoge toezichtkosten ertoe zullen leiden dat Nederland zichzelf uit de markt prijst. Markttoetreders kunnen er immers voor kiezen om vanuit een andere EU-lidstaat hun diensten aan te bieden, waar zij kunnen profiteren van lagere toezichtkosten, een gunstiger belastingklimaat of ee</w:t>
      </w:r>
      <w:r w:rsidRPr="00ED12E0" w:rsidR="00EA6651">
        <w:t>nvoudigere procedures</w:t>
      </w:r>
      <w:r w:rsidRPr="00ED12E0">
        <w:t>.</w:t>
      </w:r>
    </w:p>
    <w:p w:rsidRPr="00ED12E0" w:rsidR="00D21CCB" w:rsidP="00E3357E" w:rsidRDefault="00D21CCB" w14:paraId="58F57703" w14:textId="77777777">
      <w:pPr>
        <w:spacing w:line="276" w:lineRule="auto"/>
      </w:pPr>
    </w:p>
    <w:p w:rsidRPr="00ED12E0" w:rsidR="00D21CCB" w:rsidP="00E3357E" w:rsidRDefault="00D21CCB" w14:paraId="08FF8D31" w14:textId="4E2D0B8A">
      <w:pPr>
        <w:spacing w:line="276" w:lineRule="auto"/>
      </w:pPr>
      <w:r w:rsidRPr="00ED12E0">
        <w:t xml:space="preserve">In reactie hierop wordt opgemerkt dat </w:t>
      </w:r>
      <w:r w:rsidRPr="00ED12E0" w:rsidR="00EA6651">
        <w:t xml:space="preserve">de verwachte toezichtkosten voor </w:t>
      </w:r>
      <w:proofErr w:type="spellStart"/>
      <w:r w:rsidRPr="00ED12E0" w:rsidR="00EA6651">
        <w:t>MiCAR</w:t>
      </w:r>
      <w:proofErr w:type="spellEnd"/>
      <w:r w:rsidRPr="00ED12E0" w:rsidR="00EA6651">
        <w:t xml:space="preserve"> in 2025 voor de AFM ca. € </w:t>
      </w:r>
      <w:r w:rsidRPr="00ED12E0" w:rsidR="00724FBF">
        <w:t>6</w:t>
      </w:r>
      <w:r w:rsidRPr="00ED12E0" w:rsidR="00EA6651">
        <w:t xml:space="preserve">,9 mln. bedragen, </w:t>
      </w:r>
      <w:r w:rsidRPr="00ED12E0" w:rsidR="00724FBF">
        <w:t>aflopend naar</w:t>
      </w:r>
      <w:r w:rsidRPr="00ED12E0" w:rsidR="00EA6651">
        <w:t xml:space="preserve"> ca. € 6,</w:t>
      </w:r>
      <w:r w:rsidRPr="00ED12E0" w:rsidR="00724FBF">
        <w:t>4</w:t>
      </w:r>
      <w:r w:rsidRPr="00ED12E0" w:rsidR="00EA6651">
        <w:t xml:space="preserve"> mln. in 2028. De regering onderkent dat dit een substantieel bedrag is. Tegelijkertijd ziet de regering grote risico’s in de cryptosector. Het is daarom in het belang van de consument en de stabiliteit van de financiële markten om het toezicht op de sector</w:t>
      </w:r>
      <w:r w:rsidRPr="00ED12E0" w:rsidR="000A7DEC">
        <w:t xml:space="preserve">, op basis van de regels in </w:t>
      </w:r>
      <w:proofErr w:type="spellStart"/>
      <w:r w:rsidRPr="00ED12E0" w:rsidR="000A7DEC">
        <w:t>MiCAR</w:t>
      </w:r>
      <w:proofErr w:type="spellEnd"/>
      <w:r w:rsidRPr="00ED12E0" w:rsidR="000A7DEC">
        <w:t>,</w:t>
      </w:r>
      <w:r w:rsidRPr="00ED12E0" w:rsidR="00EA6651">
        <w:t xml:space="preserve"> </w:t>
      </w:r>
      <w:r w:rsidRPr="00ED12E0" w:rsidR="000A7DEC">
        <w:t>stevig</w:t>
      </w:r>
      <w:r w:rsidRPr="00ED12E0" w:rsidR="00EA6651">
        <w:t xml:space="preserve"> in te richten. Dat geldt overigens ook wanneer relatief meer partijen ervoor zouden kiezen om vanuit een andere lidstaat in Nederland te opereren; ook dan </w:t>
      </w:r>
      <w:r w:rsidRPr="00ED12E0" w:rsidR="000A7DEC">
        <w:t>moeten</w:t>
      </w:r>
      <w:r w:rsidRPr="00ED12E0" w:rsidR="00EA6651">
        <w:t xml:space="preserve"> de AFM en DNB in het belang van Nederlandse klanten </w:t>
      </w:r>
      <w:r w:rsidRPr="00ED12E0" w:rsidR="000A7DEC">
        <w:t xml:space="preserve">toezicht kunnen houden op de activiteiten in Nederland. </w:t>
      </w:r>
      <w:r w:rsidRPr="00ED12E0" w:rsidR="0077301B">
        <w:t xml:space="preserve">De AFM verwacht dat deze vorm van toezichtarbitrage slechts in beperkte mate zal voorkomen, omdat het Nederlandse toezicht als kwalitatief goed bekend staat en dus ook het vertrouwen in een cryptoactivadienstverlener versterkt. </w:t>
      </w:r>
      <w:r w:rsidRPr="00ED12E0" w:rsidR="000A7DEC">
        <w:t xml:space="preserve">In de loop van 2025 zal de minister van Financiën samen met de AFM bezien of de toegekende ruimte voor het </w:t>
      </w:r>
      <w:proofErr w:type="spellStart"/>
      <w:r w:rsidRPr="00ED12E0" w:rsidR="000A7DEC">
        <w:t>MiCAR</w:t>
      </w:r>
      <w:proofErr w:type="spellEnd"/>
      <w:r w:rsidRPr="00ED12E0" w:rsidR="000A7DEC">
        <w:t>-toezicht adequaat is. Indien noodzakelijk kan de toezichtinzet per 2027 naar boven of beneden bijgesteld worden.</w:t>
      </w:r>
      <w:r w:rsidRPr="00ED12E0" w:rsidR="00AB1485">
        <w:t xml:space="preserve"> Tot slot wordt in de bepaling van de tarieven in de jaarlijkse Regeling bekostiging financieel toezicht rekening gehouden met de draagkracht van de individuele cryptoactivadienstverlener.</w:t>
      </w:r>
    </w:p>
    <w:p w:rsidRPr="00ED12E0" w:rsidR="00437294" w:rsidP="00E3357E" w:rsidRDefault="00437294" w14:paraId="18D338EA" w14:textId="77777777">
      <w:pPr>
        <w:spacing w:line="276" w:lineRule="auto"/>
      </w:pPr>
    </w:p>
    <w:p w:rsidRPr="00ED12E0" w:rsidR="00437294" w:rsidP="00E3357E" w:rsidRDefault="00437294" w14:paraId="0DEAD162" w14:textId="2A182E58">
      <w:pPr>
        <w:spacing w:line="276" w:lineRule="auto"/>
      </w:pPr>
      <w:r w:rsidRPr="00ED12E0">
        <w:t xml:space="preserve">Een ontwerp van dit besluit is voorgelegd aan het Adviescollege toetsing regeldruk. </w:t>
      </w:r>
      <w:r w:rsidRPr="00ED12E0" w:rsidR="009B61F4">
        <w:t>Het college heeft besloten het dossier niet te selecteren voor een formeel advies.</w:t>
      </w:r>
    </w:p>
    <w:p w:rsidRPr="00ED12E0" w:rsidR="00437294" w:rsidP="00E3357E" w:rsidRDefault="00437294" w14:paraId="5E9D6339" w14:textId="77777777">
      <w:pPr>
        <w:spacing w:line="276" w:lineRule="auto"/>
      </w:pPr>
    </w:p>
    <w:p w:rsidRPr="00ED12E0" w:rsidR="00437294" w:rsidP="00E3357E" w:rsidRDefault="00437294" w14:paraId="4000A80F" w14:textId="77777777">
      <w:pPr>
        <w:spacing w:line="276" w:lineRule="auto"/>
      </w:pPr>
      <w:r w:rsidRPr="00ED12E0">
        <w:t>Dit besluit is in nauwe samenspraak met de AFM en DNB tot stand gekomen. Zij hebben te kennen gegeven de wijzigingen uitvoerbaar te achten.</w:t>
      </w:r>
    </w:p>
    <w:p w:rsidRPr="00ED12E0" w:rsidR="00437294" w:rsidP="00E3357E" w:rsidRDefault="00437294" w14:paraId="1E14B143" w14:textId="77777777">
      <w:pPr>
        <w:spacing w:line="276" w:lineRule="auto"/>
      </w:pPr>
    </w:p>
    <w:p w:rsidRPr="00ED12E0" w:rsidR="00437294" w:rsidP="00E3357E" w:rsidRDefault="00437294" w14:paraId="4A179B2E" w14:textId="5E0C870E">
      <w:pPr>
        <w:spacing w:line="276" w:lineRule="auto"/>
      </w:pPr>
      <w:r w:rsidRPr="00ED12E0">
        <w:t>Het ontwerpbesluit is van PM tot PM voorgehangen bij de Eerste en Tweede Kamer</w:t>
      </w:r>
      <w:r w:rsidRPr="00ED12E0" w:rsidR="00BA42CA">
        <w:t xml:space="preserve">, in lijn met artikel </w:t>
      </w:r>
      <w:r w:rsidRPr="00ED12E0" w:rsidR="00C56F37">
        <w:t xml:space="preserve">15, zesde lid, </w:t>
      </w:r>
      <w:proofErr w:type="spellStart"/>
      <w:r w:rsidRPr="00ED12E0" w:rsidR="00C56F37">
        <w:t>Wbft</w:t>
      </w:r>
      <w:proofErr w:type="spellEnd"/>
      <w:r w:rsidRPr="00ED12E0" w:rsidR="00C56F37">
        <w:t xml:space="preserve"> 2019</w:t>
      </w:r>
      <w:r w:rsidRPr="00ED12E0">
        <w:t>. PM</w:t>
      </w:r>
    </w:p>
    <w:p w:rsidRPr="00ED12E0" w:rsidR="007D7803" w:rsidRDefault="007D7803" w14:paraId="09525721" w14:textId="77777777">
      <w:pPr>
        <w:spacing w:line="240" w:lineRule="auto"/>
      </w:pPr>
    </w:p>
    <w:p w:rsidRPr="00ED12E0" w:rsidR="007D7803" w:rsidRDefault="007D7803" w14:paraId="2BB0E309" w14:textId="77777777">
      <w:pPr>
        <w:spacing w:line="240" w:lineRule="auto"/>
      </w:pPr>
    </w:p>
    <w:p w:rsidRPr="00ED12E0" w:rsidR="00021695" w:rsidRDefault="00021695" w14:paraId="3F50B2A0" w14:textId="69178441">
      <w:pPr>
        <w:spacing w:line="240" w:lineRule="auto"/>
      </w:pPr>
    </w:p>
    <w:p w:rsidRPr="00ED12E0" w:rsidR="00EA2B4D" w:rsidP="00E3357E" w:rsidRDefault="00EA2B4D" w14:paraId="15E16790" w14:textId="77777777">
      <w:pPr>
        <w:spacing w:line="276" w:lineRule="auto"/>
      </w:pPr>
      <w:r w:rsidRPr="00ED12E0">
        <w:rPr>
          <w:b/>
        </w:rPr>
        <w:t>Artikelsgewijs</w:t>
      </w:r>
    </w:p>
    <w:p w:rsidRPr="00ED12E0" w:rsidR="00EA2B4D" w:rsidP="00E3357E" w:rsidRDefault="00EA2B4D" w14:paraId="034EC513" w14:textId="77777777">
      <w:pPr>
        <w:spacing w:line="276" w:lineRule="auto"/>
      </w:pPr>
    </w:p>
    <w:p w:rsidRPr="00ED12E0" w:rsidR="00EA2B4D" w:rsidP="00E3357E" w:rsidRDefault="00EE5E0D" w14:paraId="7FEB217F" w14:textId="44FCB1FE">
      <w:pPr>
        <w:spacing w:line="276" w:lineRule="auto"/>
        <w:rPr>
          <w:b/>
        </w:rPr>
      </w:pPr>
      <w:r w:rsidRPr="00ED12E0">
        <w:rPr>
          <w:b/>
        </w:rPr>
        <w:t xml:space="preserve">ARTIKEL </w:t>
      </w:r>
      <w:r w:rsidRPr="00ED12E0" w:rsidR="007B377F">
        <w:rPr>
          <w:b/>
        </w:rPr>
        <w:t xml:space="preserve">I (Besluit </w:t>
      </w:r>
      <w:r w:rsidRPr="00ED12E0" w:rsidR="00ED3118">
        <w:rPr>
          <w:b/>
        </w:rPr>
        <w:t>bekostiging financieel toezicht 2019</w:t>
      </w:r>
      <w:r w:rsidRPr="00ED12E0" w:rsidR="007B377F">
        <w:rPr>
          <w:b/>
        </w:rPr>
        <w:t>)</w:t>
      </w:r>
      <w:r w:rsidRPr="00ED12E0">
        <w:rPr>
          <w:b/>
        </w:rPr>
        <w:t xml:space="preserve"> </w:t>
      </w:r>
    </w:p>
    <w:p w:rsidRPr="00ED12E0" w:rsidR="00A16C6A" w:rsidP="00E3357E" w:rsidRDefault="00A16C6A" w14:paraId="5E0D3694" w14:textId="77777777">
      <w:pPr>
        <w:spacing w:line="276" w:lineRule="auto"/>
        <w:rPr>
          <w:b/>
          <w:bCs/>
        </w:rPr>
      </w:pPr>
    </w:p>
    <w:p w:rsidRPr="00ED12E0" w:rsidR="00A16C6A" w:rsidP="00E3357E" w:rsidRDefault="001C0B05" w14:paraId="3BF3C6CC" w14:textId="215D0D08">
      <w:pPr>
        <w:spacing w:line="276" w:lineRule="auto"/>
      </w:pPr>
      <w:r w:rsidRPr="00ED12E0">
        <w:t>A</w:t>
      </w:r>
      <w:r w:rsidRPr="00ED12E0" w:rsidR="00A16C6A">
        <w:t xml:space="preserve"> (artikel 12a)</w:t>
      </w:r>
    </w:p>
    <w:p w:rsidRPr="00ED12E0" w:rsidR="00A16C6A" w:rsidP="00E3357E" w:rsidRDefault="00A16C6A" w14:paraId="121E63B1" w14:textId="77777777">
      <w:pPr>
        <w:spacing w:line="276" w:lineRule="auto"/>
      </w:pPr>
    </w:p>
    <w:p w:rsidRPr="00ED12E0" w:rsidR="00A16C6A" w:rsidP="00E3357E" w:rsidRDefault="00A16C6A" w14:paraId="32E34023" w14:textId="31E50ED1">
      <w:pPr>
        <w:spacing w:line="276" w:lineRule="auto"/>
      </w:pPr>
      <w:r w:rsidRPr="00ED12E0">
        <w:t xml:space="preserve">Dit onderdeel verduidelijkt de grondslag voor het in rekening brengen van toezichtkosten op basis van de geconsolideerde situatie. Verder wordt verwezen naar paragraaf </w:t>
      </w:r>
      <w:r w:rsidRPr="00ED12E0" w:rsidR="00021695">
        <w:t>6</w:t>
      </w:r>
      <w:r w:rsidRPr="00ED12E0">
        <w:t xml:space="preserve"> van het algemeen deel van deze toelichting. </w:t>
      </w:r>
    </w:p>
    <w:p w:rsidRPr="00ED12E0" w:rsidR="00287F8C" w:rsidP="00E3357E" w:rsidRDefault="00287F8C" w14:paraId="5DB7B6D8" w14:textId="77777777">
      <w:pPr>
        <w:spacing w:line="276" w:lineRule="auto"/>
      </w:pPr>
    </w:p>
    <w:p w:rsidRPr="00ED12E0" w:rsidR="00287F8C" w:rsidP="00E3357E" w:rsidRDefault="00287F8C" w14:paraId="69EB5D0C" w14:textId="28E98EDB">
      <w:pPr>
        <w:spacing w:line="276" w:lineRule="auto"/>
      </w:pPr>
      <w:r w:rsidRPr="00ED12E0">
        <w:t>B (artikel 13a)</w:t>
      </w:r>
    </w:p>
    <w:p w:rsidRPr="00ED12E0" w:rsidR="00287F8C" w:rsidP="00E3357E" w:rsidRDefault="00287F8C" w14:paraId="494963D5" w14:textId="77777777">
      <w:pPr>
        <w:spacing w:line="276" w:lineRule="auto"/>
      </w:pPr>
    </w:p>
    <w:p w:rsidRPr="00ED12E0" w:rsidR="008718C0" w:rsidP="00E3357E" w:rsidRDefault="00287F8C" w14:paraId="69812D62" w14:textId="3BDDB2BE">
      <w:pPr>
        <w:spacing w:line="276" w:lineRule="auto"/>
      </w:pPr>
      <w:r w:rsidRPr="00ED12E0">
        <w:t>Artikel 6, tweede lid,</w:t>
      </w:r>
      <w:r w:rsidRPr="00ED12E0" w:rsidR="00BA5822">
        <w:t xml:space="preserve"> </w:t>
      </w:r>
      <w:r w:rsidRPr="00ED12E0">
        <w:t xml:space="preserve">schrijft voor dat het exploitatiesaldo </w:t>
      </w:r>
      <w:r w:rsidRPr="00ED12E0" w:rsidR="008718C0">
        <w:t>v</w:t>
      </w:r>
      <w:r w:rsidRPr="00ED12E0">
        <w:t xml:space="preserve">oor </w:t>
      </w:r>
      <w:r w:rsidRPr="00ED12E0" w:rsidR="008718C0">
        <w:t>het voorafgaande</w:t>
      </w:r>
      <w:r w:rsidRPr="00ED12E0">
        <w:t xml:space="preserve"> jaar </w:t>
      </w:r>
      <w:r w:rsidRPr="00ED12E0" w:rsidR="008718C0">
        <w:t>wordt</w:t>
      </w:r>
      <w:r w:rsidRPr="00ED12E0">
        <w:t xml:space="preserve"> </w:t>
      </w:r>
      <w:r w:rsidRPr="00ED12E0" w:rsidR="008718C0">
        <w:t>verrekend met de begrote kosten in het volgende jaar</w:t>
      </w:r>
      <w:r w:rsidRPr="00ED12E0">
        <w:t>.</w:t>
      </w:r>
      <w:r w:rsidRPr="00ED12E0" w:rsidR="008718C0">
        <w:t xml:space="preserve"> </w:t>
      </w:r>
      <w:proofErr w:type="gramStart"/>
      <w:r w:rsidRPr="00ED12E0" w:rsidR="008718C0">
        <w:t>Ingevolge</w:t>
      </w:r>
      <w:proofErr w:type="gramEnd"/>
      <w:r w:rsidRPr="00ED12E0" w:rsidR="008718C0">
        <w:t xml:space="preserve"> artikel 6, derde lid,</w:t>
      </w:r>
      <w:r w:rsidRPr="00ED12E0" w:rsidR="00BA5822">
        <w:t xml:space="preserve"> </w:t>
      </w:r>
      <w:r w:rsidRPr="00ED12E0" w:rsidR="008718C0">
        <w:t>worden de opbrengsten uit boetes en dwangsommen verhoudingsgewijs verdeeld over de toezichtcategorieën, naar rato van het aandeel van de deelbegroting in de totale verantwoording in het voorafgaande jaar.</w:t>
      </w:r>
    </w:p>
    <w:p w:rsidRPr="00ED12E0" w:rsidR="008718C0" w:rsidP="00E3357E" w:rsidRDefault="008718C0" w14:paraId="63A366A6" w14:textId="77777777">
      <w:pPr>
        <w:spacing w:line="276" w:lineRule="auto"/>
      </w:pPr>
    </w:p>
    <w:p w:rsidRPr="00ED12E0" w:rsidR="00BA5822" w:rsidP="00E3357E" w:rsidRDefault="008718C0" w14:paraId="13C6947D" w14:textId="402B8566">
      <w:pPr>
        <w:spacing w:line="276" w:lineRule="auto"/>
      </w:pPr>
      <w:r w:rsidRPr="00ED12E0">
        <w:t>De toezichtcategorie “Aanbieders van diensten met betrekking tot virtuele valuta” van DNB verdwijnt met ingang van 2025 (zie paragraaf 2 van het algemeen deel van deze toelichting). Daarom kan het exploitatiesaldo over 2024 niet</w:t>
      </w:r>
      <w:r w:rsidRPr="00ED12E0" w:rsidR="00BA5822">
        <w:t xml:space="preserve"> met die categorie</w:t>
      </w:r>
      <w:r w:rsidRPr="00ED12E0">
        <w:t xml:space="preserve"> verrekend worden</w:t>
      </w:r>
      <w:r w:rsidRPr="00ED12E0" w:rsidR="00BA5822">
        <w:t xml:space="preserve">. Ook </w:t>
      </w:r>
      <w:r w:rsidRPr="00ED12E0">
        <w:t xml:space="preserve">kunnen de opbrengsten uit boetes en dwangsommen die in 2024 zijn </w:t>
      </w:r>
      <w:r w:rsidRPr="00ED12E0" w:rsidR="00BA5822">
        <w:t>ontvangen,</w:t>
      </w:r>
      <w:r w:rsidRPr="00ED12E0">
        <w:t xml:space="preserve"> niet toegerekend worden aan die categorie. </w:t>
      </w:r>
      <w:r w:rsidRPr="00ED12E0" w:rsidR="00BA5822">
        <w:t>Om die reden</w:t>
      </w:r>
      <w:r w:rsidRPr="00ED12E0" w:rsidR="00287F8C">
        <w:t xml:space="preserve"> wordt</w:t>
      </w:r>
      <w:r w:rsidRPr="00ED12E0" w:rsidR="00BA5822">
        <w:t xml:space="preserve"> in 2025</w:t>
      </w:r>
      <w:r w:rsidRPr="00ED12E0" w:rsidR="00287F8C">
        <w:t xml:space="preserve"> het </w:t>
      </w:r>
      <w:r w:rsidRPr="00ED12E0" w:rsidR="00BA5822">
        <w:t xml:space="preserve">betreffende deel van het </w:t>
      </w:r>
      <w:r w:rsidRPr="00ED12E0" w:rsidR="00287F8C">
        <w:t>exploitatiesaldo</w:t>
      </w:r>
      <w:r w:rsidRPr="00ED12E0">
        <w:t xml:space="preserve"> verhoudingsgewijs</w:t>
      </w:r>
      <w:r w:rsidRPr="00ED12E0" w:rsidR="00287F8C">
        <w:t xml:space="preserve"> toegerekend aan alle andere categorieën</w:t>
      </w:r>
      <w:r w:rsidRPr="00ED12E0" w:rsidR="00BA5822">
        <w:t xml:space="preserve">, op basis van de verantwoording </w:t>
      </w:r>
      <w:r w:rsidRPr="00ED12E0" w:rsidR="001F000A">
        <w:t>over</w:t>
      </w:r>
      <w:r w:rsidRPr="00ED12E0" w:rsidR="00BA5822">
        <w:t xml:space="preserve"> </w:t>
      </w:r>
      <w:r w:rsidRPr="00ED12E0" w:rsidR="001F000A">
        <w:t>2024</w:t>
      </w:r>
      <w:r w:rsidRPr="00ED12E0" w:rsidR="00BA5822">
        <w:t>.</w:t>
      </w:r>
    </w:p>
    <w:p w:rsidRPr="00ED12E0" w:rsidR="00BA5822" w:rsidP="00E3357E" w:rsidRDefault="00BA5822" w14:paraId="20F8A131" w14:textId="77777777">
      <w:pPr>
        <w:spacing w:line="276" w:lineRule="auto"/>
      </w:pPr>
    </w:p>
    <w:p w:rsidRPr="00ED12E0" w:rsidR="00287F8C" w:rsidP="00E3357E" w:rsidRDefault="00BA5822" w14:paraId="762E277F" w14:textId="251EE270">
      <w:pPr>
        <w:spacing w:line="276" w:lineRule="auto"/>
      </w:pPr>
      <w:r w:rsidRPr="00ED12E0">
        <w:t>Bij de berekening van de verhoudingen blijft de</w:t>
      </w:r>
      <w:r w:rsidRPr="00ED12E0" w:rsidR="008718C0">
        <w:t xml:space="preserve"> categorie “Aanbieders van diensten met betrekking tot virtuele valuta” buiten beschouwing. </w:t>
      </w:r>
      <w:r w:rsidRPr="00ED12E0">
        <w:t>Dat geldt zowel voor de verdeling van het exploitatiesaldo uit die categorie (artikel 13a, eerste lid) als voor de verdeling van de opbrengsten uit boetes en dwangsommen (artikel 6, derde lid).</w:t>
      </w:r>
    </w:p>
    <w:p w:rsidRPr="00ED12E0" w:rsidR="00043A06" w:rsidP="00E3357E" w:rsidRDefault="00043A06" w14:paraId="098DE41D" w14:textId="77777777">
      <w:pPr>
        <w:spacing w:line="276" w:lineRule="auto"/>
      </w:pPr>
    </w:p>
    <w:p w:rsidRPr="00ED12E0" w:rsidR="00910454" w:rsidP="00E3357E" w:rsidRDefault="00287F8C" w14:paraId="4D3E76F9" w14:textId="5AEC2BE8">
      <w:pPr>
        <w:spacing w:line="276" w:lineRule="auto"/>
      </w:pPr>
      <w:bookmarkStart w:name="_Hlk155358474" w:id="8"/>
      <w:r w:rsidRPr="00ED12E0">
        <w:t>C</w:t>
      </w:r>
      <w:r w:rsidRPr="00ED12E0" w:rsidR="00910454">
        <w:t xml:space="preserve"> (</w:t>
      </w:r>
      <w:r w:rsidRPr="00ED12E0" w:rsidR="00477C2E">
        <w:t>b</w:t>
      </w:r>
      <w:r w:rsidRPr="00ED12E0" w:rsidR="00910454">
        <w:t>ijlage 1, onderdeel A)</w:t>
      </w:r>
    </w:p>
    <w:p w:rsidRPr="00ED12E0" w:rsidR="00910454" w:rsidP="00E3357E" w:rsidRDefault="00910454" w14:paraId="38FAA0AD" w14:textId="77777777">
      <w:pPr>
        <w:spacing w:line="276" w:lineRule="auto"/>
      </w:pPr>
    </w:p>
    <w:p w:rsidRPr="00ED12E0" w:rsidR="00910454" w:rsidP="00E3357E" w:rsidRDefault="006F5FA3" w14:paraId="533BC15E" w14:textId="1E78C80C">
      <w:pPr>
        <w:spacing w:line="276" w:lineRule="auto"/>
      </w:pPr>
      <w:r w:rsidRPr="00ED12E0">
        <w:t xml:space="preserve">De procentuele verdeling voor de kosten van het AFM-toezicht is herijkt. De categorie </w:t>
      </w:r>
      <w:r w:rsidRPr="00ED12E0" w:rsidR="0078473A">
        <w:t>C</w:t>
      </w:r>
      <w:r w:rsidRPr="00ED12E0">
        <w:t>rypto</w:t>
      </w:r>
      <w:r w:rsidRPr="00ED12E0" w:rsidR="0078473A">
        <w:t>activa</w:t>
      </w:r>
      <w:r w:rsidRPr="00ED12E0">
        <w:t xml:space="preserve">dienstverleners is toegevoegd en de categorieën Centrale tegenpartijen en Centrale </w:t>
      </w:r>
      <w:proofErr w:type="spellStart"/>
      <w:r w:rsidRPr="00ED12E0">
        <w:t>effectenbewaarinstellingen</w:t>
      </w:r>
      <w:proofErr w:type="spellEnd"/>
      <w:r w:rsidRPr="00ED12E0">
        <w:t xml:space="preserve"> zijn samengevoegd met de categorie Financiële infrastructuur. Zie de paragrafen </w:t>
      </w:r>
      <w:r w:rsidRPr="00ED12E0" w:rsidR="00021695">
        <w:t>2</w:t>
      </w:r>
      <w:r w:rsidRPr="00ED12E0">
        <w:t xml:space="preserve">, </w:t>
      </w:r>
      <w:r w:rsidRPr="00ED12E0" w:rsidR="00021695">
        <w:t>3</w:t>
      </w:r>
      <w:r w:rsidRPr="00ED12E0">
        <w:t xml:space="preserve"> en </w:t>
      </w:r>
      <w:r w:rsidRPr="00ED12E0" w:rsidR="00021695">
        <w:t>4</w:t>
      </w:r>
      <w:r w:rsidRPr="00ED12E0">
        <w:t xml:space="preserve"> van het algemeen deel van deze toelichting.</w:t>
      </w:r>
    </w:p>
    <w:p w:rsidRPr="00ED12E0" w:rsidR="00910454" w:rsidP="00E3357E" w:rsidRDefault="00910454" w14:paraId="3A7FAB40" w14:textId="77777777">
      <w:pPr>
        <w:spacing w:line="276" w:lineRule="auto"/>
      </w:pPr>
    </w:p>
    <w:p w:rsidRPr="00ED12E0" w:rsidR="00EA2B4D" w:rsidP="00E3357E" w:rsidRDefault="00287F8C" w14:paraId="5B9F1206" w14:textId="315D37E0">
      <w:pPr>
        <w:spacing w:line="276" w:lineRule="auto"/>
      </w:pPr>
      <w:r w:rsidRPr="00ED12E0">
        <w:t>D</w:t>
      </w:r>
      <w:r w:rsidRPr="00ED12E0" w:rsidR="00ED3118">
        <w:t xml:space="preserve"> (</w:t>
      </w:r>
      <w:r w:rsidRPr="00ED12E0" w:rsidR="00477C2E">
        <w:t>b</w:t>
      </w:r>
      <w:r w:rsidRPr="00ED12E0" w:rsidR="007377F9">
        <w:t>ijlage 1, onderdeel B</w:t>
      </w:r>
      <w:r w:rsidRPr="00ED12E0" w:rsidR="00A72B97">
        <w:t>)</w:t>
      </w:r>
    </w:p>
    <w:p w:rsidRPr="00ED12E0" w:rsidR="005A3E82" w:rsidP="00E3357E" w:rsidRDefault="005A3E82" w14:paraId="12C00529" w14:textId="77777777">
      <w:pPr>
        <w:spacing w:line="276" w:lineRule="auto"/>
      </w:pPr>
    </w:p>
    <w:p w:rsidRPr="00ED12E0" w:rsidR="005A3E82" w:rsidP="00E3357E" w:rsidRDefault="00B85AC1" w14:paraId="515B25E3" w14:textId="1832B637">
      <w:pPr>
        <w:spacing w:line="276" w:lineRule="auto"/>
      </w:pPr>
      <w:r w:rsidRPr="00ED12E0">
        <w:rPr>
          <w:i/>
          <w:iCs/>
        </w:rPr>
        <w:t>1</w:t>
      </w:r>
      <w:r w:rsidRPr="00ED12E0" w:rsidR="005A3E82">
        <w:rPr>
          <w:i/>
          <w:iCs/>
        </w:rPr>
        <w:t xml:space="preserve">, </w:t>
      </w:r>
      <w:r w:rsidRPr="00ED12E0">
        <w:rPr>
          <w:i/>
          <w:iCs/>
        </w:rPr>
        <w:t>2</w:t>
      </w:r>
      <w:r w:rsidRPr="00ED12E0" w:rsidR="005A3E82">
        <w:rPr>
          <w:i/>
          <w:iCs/>
        </w:rPr>
        <w:t xml:space="preserve"> en </w:t>
      </w:r>
      <w:r w:rsidRPr="00ED12E0">
        <w:rPr>
          <w:i/>
          <w:iCs/>
        </w:rPr>
        <w:t>3</w:t>
      </w:r>
      <w:r w:rsidRPr="00ED12E0" w:rsidR="0054216B">
        <w:rPr>
          <w:i/>
          <w:iCs/>
        </w:rPr>
        <w:t xml:space="preserve">. </w:t>
      </w:r>
      <w:r w:rsidRPr="00ED12E0" w:rsidR="005A3E82">
        <w:t>De naam van categorie</w:t>
      </w:r>
      <w:r w:rsidRPr="00ED12E0" w:rsidR="00883D10">
        <w:t xml:space="preserve"> 6</w:t>
      </w:r>
      <w:r w:rsidRPr="00ED12E0" w:rsidR="005A3E82">
        <w:t xml:space="preserve"> is gewijzigd om beter aan te sluiten bij de personen die daar onderdeel van uitmaken. Daarnaast is verduidelijkt dat ook de </w:t>
      </w:r>
      <w:proofErr w:type="spellStart"/>
      <w:r w:rsidRPr="00ED12E0" w:rsidR="005A3E82">
        <w:t>vergunningtypes</w:t>
      </w:r>
      <w:proofErr w:type="spellEnd"/>
      <w:r w:rsidRPr="00ED12E0" w:rsidR="005A3E82">
        <w:t xml:space="preserve"> van artikel 2:3g Wft (bewaarder), artikel 2:55 Wft (aanbieden van beleggingsobjecten) en artikel 18, tweede lid, </w:t>
      </w:r>
      <w:r w:rsidRPr="00ED12E0" w:rsidR="007B0097">
        <w:t>V</w:t>
      </w:r>
      <w:r w:rsidRPr="00ED12E0" w:rsidR="005A3E82">
        <w:t>erordening (EU) nr. 1031/2010 (aanbieden van broeikasgasemissierechten) een relevante maatstafwaarde kunnen zijn.</w:t>
      </w:r>
    </w:p>
    <w:p w:rsidRPr="00ED12E0" w:rsidR="00883D10" w:rsidP="00E3357E" w:rsidRDefault="00883D10" w14:paraId="497D7380" w14:textId="77777777">
      <w:pPr>
        <w:spacing w:line="276" w:lineRule="auto"/>
      </w:pPr>
    </w:p>
    <w:p w:rsidRPr="00ED12E0" w:rsidR="00883D10" w:rsidP="00E3357E" w:rsidRDefault="00883D10" w14:paraId="585E0B3B" w14:textId="6A5D9188">
      <w:pPr>
        <w:spacing w:line="276" w:lineRule="auto"/>
      </w:pPr>
      <w:r w:rsidRPr="00ED12E0">
        <w:rPr>
          <w:i/>
          <w:iCs/>
        </w:rPr>
        <w:t>4.</w:t>
      </w:r>
      <w:r w:rsidRPr="00ED12E0">
        <w:t xml:space="preserve"> Het opschrift van categorie 7 wordt aangepast om beter aan te sluiten bij de beleggingsondernemingen die daarvan deel uitmaken. Beleggingsondernemingen die enkel handelen voor eigen rekening vallen in categorie 7, terwijl beleggingsondernemingen die beleggingsdiensten verlenen (al dan niet in combinatie met handel voor eigen rekening) in categorie 6 </w:t>
      </w:r>
      <w:proofErr w:type="spellStart"/>
      <w:r w:rsidRPr="00ED12E0">
        <w:t>heffingsplichtig</w:t>
      </w:r>
      <w:proofErr w:type="spellEnd"/>
      <w:r w:rsidRPr="00ED12E0">
        <w:t xml:space="preserve"> zijn.</w:t>
      </w:r>
    </w:p>
    <w:p w:rsidRPr="00ED12E0" w:rsidR="0054216B" w:rsidP="00E3357E" w:rsidRDefault="0054216B" w14:paraId="264B84BD" w14:textId="77777777">
      <w:pPr>
        <w:spacing w:line="276" w:lineRule="auto"/>
      </w:pPr>
    </w:p>
    <w:p w:rsidRPr="00ED12E0" w:rsidR="0054216B" w:rsidP="00E3357E" w:rsidRDefault="00883D10" w14:paraId="5FA42AFA" w14:textId="44A78719">
      <w:pPr>
        <w:spacing w:line="276" w:lineRule="auto"/>
      </w:pPr>
      <w:r w:rsidRPr="00ED12E0">
        <w:rPr>
          <w:i/>
          <w:iCs/>
        </w:rPr>
        <w:t>5</w:t>
      </w:r>
      <w:r w:rsidRPr="00ED12E0" w:rsidR="0054216B">
        <w:rPr>
          <w:i/>
          <w:iCs/>
        </w:rPr>
        <w:t>.</w:t>
      </w:r>
      <w:r w:rsidRPr="00ED12E0" w:rsidR="0054216B">
        <w:t xml:space="preserve"> </w:t>
      </w:r>
      <w:r w:rsidRPr="00ED12E0" w:rsidR="00463EAB">
        <w:t xml:space="preserve">In het Besluit van 8 februari 2020 tot wijziging van het Besluit bekostiging financieel toezicht 2019 in verband met onder meer wijziging van enkele maatstaven en toevoeging van enkele onder toezicht staande personen voor de doorberekening van de toezichtkosten vanaf het jaar 2020 (Stb. 2020, 72) zijn de maatstaven van de categorie Beleggingsondernemingen voor eigen rekening gewijzigd naar, kort gezegd, het aantal transacties en het toetsingsvermogen. In het Besluit van 11 november 2020 tot wijziging van het Besluit bekostiging financieel toezicht 2019 in verband met vaststelling van een nieuwe procentuele verdeling van de kosten van het doorlopend toezicht van de </w:t>
      </w:r>
      <w:r w:rsidRPr="00ED12E0" w:rsidR="00463EAB">
        <w:lastRenderedPageBreak/>
        <w:t>Autoriteit Financiële Markten (Stb. 2020, 470) is vervolgens per abuis de eerste maatstaf (aantal transacties) overschreven. Dit wordt hersteld.</w:t>
      </w:r>
    </w:p>
    <w:p w:rsidRPr="00ED12E0" w:rsidR="0054216B" w:rsidP="00E3357E" w:rsidRDefault="0054216B" w14:paraId="41CE4401" w14:textId="77777777">
      <w:pPr>
        <w:spacing w:line="276" w:lineRule="auto"/>
      </w:pPr>
    </w:p>
    <w:p w:rsidRPr="00ED12E0" w:rsidR="0054216B" w:rsidP="00E3357E" w:rsidRDefault="00883D10" w14:paraId="7498A168" w14:textId="405283AB">
      <w:pPr>
        <w:spacing w:line="276" w:lineRule="auto"/>
      </w:pPr>
      <w:r w:rsidRPr="00ED12E0">
        <w:rPr>
          <w:i/>
          <w:iCs/>
        </w:rPr>
        <w:t>6</w:t>
      </w:r>
      <w:r w:rsidRPr="00ED12E0" w:rsidR="0054216B">
        <w:rPr>
          <w:i/>
          <w:iCs/>
        </w:rPr>
        <w:t xml:space="preserve">, </w:t>
      </w:r>
      <w:r w:rsidRPr="00ED12E0">
        <w:rPr>
          <w:i/>
          <w:iCs/>
        </w:rPr>
        <w:t>8</w:t>
      </w:r>
      <w:r w:rsidRPr="00ED12E0" w:rsidR="0054216B">
        <w:rPr>
          <w:i/>
          <w:iCs/>
        </w:rPr>
        <w:t xml:space="preserve">, </w:t>
      </w:r>
      <w:r w:rsidRPr="00ED12E0">
        <w:rPr>
          <w:i/>
          <w:iCs/>
        </w:rPr>
        <w:t>9</w:t>
      </w:r>
      <w:r w:rsidRPr="00ED12E0" w:rsidR="0054216B">
        <w:rPr>
          <w:i/>
          <w:iCs/>
        </w:rPr>
        <w:t xml:space="preserve"> en </w:t>
      </w:r>
      <w:r w:rsidRPr="00ED12E0">
        <w:rPr>
          <w:i/>
          <w:iCs/>
        </w:rPr>
        <w:t>10</w:t>
      </w:r>
      <w:r w:rsidRPr="00ED12E0" w:rsidR="00463EAB">
        <w:rPr>
          <w:i/>
          <w:iCs/>
        </w:rPr>
        <w:t>.</w:t>
      </w:r>
      <w:r w:rsidRPr="00ED12E0" w:rsidR="00463EAB">
        <w:t xml:space="preserve"> </w:t>
      </w:r>
      <w:r w:rsidRPr="00ED12E0" w:rsidR="0054216B">
        <w:t xml:space="preserve">De voormalige categorieën Centrale </w:t>
      </w:r>
      <w:proofErr w:type="spellStart"/>
      <w:r w:rsidRPr="00ED12E0" w:rsidR="0054216B">
        <w:t>effectenbewaarinstellingen</w:t>
      </w:r>
      <w:proofErr w:type="spellEnd"/>
      <w:r w:rsidRPr="00ED12E0" w:rsidR="0054216B">
        <w:t xml:space="preserve"> en Centrale tegenpartijen zijn toegevoegd aan de categorie Financiële infrastructuur</w:t>
      </w:r>
      <w:r w:rsidRPr="00ED12E0" w:rsidR="00A72B97">
        <w:t>,</w:t>
      </w:r>
      <w:r w:rsidRPr="00ED12E0" w:rsidR="0054216B">
        <w:t xml:space="preserve"> zie paragraaf </w:t>
      </w:r>
      <w:r w:rsidRPr="00ED12E0" w:rsidR="00021695">
        <w:t>4</w:t>
      </w:r>
      <w:r w:rsidRPr="00ED12E0" w:rsidR="0054216B">
        <w:t xml:space="preserve"> van het algemeen deel van de toelichting. De persoonsomschrijvingen en maatstaven blijven hetzelfde. </w:t>
      </w:r>
      <w:r w:rsidRPr="00ED12E0" w:rsidR="0078473A">
        <w:t>Om de leesbaarheid te bevorderen,</w:t>
      </w:r>
      <w:r w:rsidRPr="00ED12E0" w:rsidR="0054216B">
        <w:t xml:space="preserve"> zijn de personen die deel uitmaken van de categorie uit het opschrift verwijderd.</w:t>
      </w:r>
    </w:p>
    <w:p w:rsidRPr="00ED12E0" w:rsidR="0054216B" w:rsidP="00E3357E" w:rsidRDefault="0054216B" w14:paraId="15B22D12" w14:textId="77777777">
      <w:pPr>
        <w:spacing w:line="276" w:lineRule="auto"/>
      </w:pPr>
    </w:p>
    <w:p w:rsidRPr="00ED12E0" w:rsidR="00235291" w:rsidP="00E3357E" w:rsidRDefault="00883D10" w14:paraId="5D9F4B09" w14:textId="0BB22D9F">
      <w:pPr>
        <w:spacing w:line="276" w:lineRule="auto"/>
      </w:pPr>
      <w:r w:rsidRPr="00ED12E0">
        <w:rPr>
          <w:i/>
          <w:iCs/>
        </w:rPr>
        <w:t>7</w:t>
      </w:r>
      <w:r w:rsidRPr="00ED12E0" w:rsidR="0054216B">
        <w:rPr>
          <w:i/>
          <w:iCs/>
        </w:rPr>
        <w:t xml:space="preserve">. </w:t>
      </w:r>
      <w:r w:rsidRPr="00ED12E0" w:rsidR="001C557D">
        <w:t>Voor de cryptoactivadienstverleners wordt een nieuwe categorie ingevoegd</w:t>
      </w:r>
      <w:r w:rsidRPr="00ED12E0" w:rsidR="00235291">
        <w:t xml:space="preserve"> in onderdeel B van bijlage 1</w:t>
      </w:r>
      <w:r w:rsidRPr="00ED12E0" w:rsidR="001C557D">
        <w:t xml:space="preserve">. </w:t>
      </w:r>
      <w:r w:rsidRPr="00ED12E0" w:rsidR="00235291">
        <w:t xml:space="preserve">Hiermee worden cryptoactivadienstverleners </w:t>
      </w:r>
      <w:r w:rsidRPr="00ED12E0" w:rsidR="00BE6D01">
        <w:t>onder de bekosti</w:t>
      </w:r>
      <w:r w:rsidRPr="00ED12E0" w:rsidR="008702F0">
        <w:t>gi</w:t>
      </w:r>
      <w:r w:rsidRPr="00ED12E0" w:rsidR="00BE6D01">
        <w:t>ngssy</w:t>
      </w:r>
      <w:r w:rsidRPr="00ED12E0" w:rsidR="008702F0">
        <w:t>s</w:t>
      </w:r>
      <w:r w:rsidRPr="00ED12E0" w:rsidR="00BE6D01">
        <w:t xml:space="preserve">tematiek gebracht en kan de AFM een heffing in rekening brengen voor de kosten van het doorlopend toezicht. </w:t>
      </w:r>
      <w:r w:rsidRPr="00ED12E0" w:rsidR="001C557D">
        <w:t xml:space="preserve">Voor de persoonsomschrijvingen wordt verwezen naar </w:t>
      </w:r>
      <w:r w:rsidRPr="00ED12E0" w:rsidR="009F1ACF">
        <w:t xml:space="preserve">de artikelen 60 </w:t>
      </w:r>
      <w:r w:rsidRPr="00ED12E0" w:rsidR="00BE6D01">
        <w:t xml:space="preserve">(notificatieplicht voor specifieke aanbieders van cryptoactivadiensten) </w:t>
      </w:r>
      <w:r w:rsidRPr="00ED12E0" w:rsidR="009F1ACF">
        <w:t xml:space="preserve">en 62 </w:t>
      </w:r>
      <w:r w:rsidRPr="00ED12E0" w:rsidR="00BE6D01">
        <w:t xml:space="preserve">(vergunningplicht voor aanbieders van </w:t>
      </w:r>
      <w:proofErr w:type="spellStart"/>
      <w:r w:rsidRPr="00ED12E0" w:rsidR="00BE6D01">
        <w:t>cryptoactivadiensten</w:t>
      </w:r>
      <w:proofErr w:type="spellEnd"/>
      <w:r w:rsidRPr="00ED12E0" w:rsidR="00BE6D01">
        <w:t xml:space="preserve">) </w:t>
      </w:r>
      <w:r w:rsidRPr="00ED12E0" w:rsidR="009F1ACF">
        <w:t xml:space="preserve">van </w:t>
      </w:r>
      <w:proofErr w:type="spellStart"/>
      <w:r w:rsidRPr="00ED12E0" w:rsidR="00C56F37">
        <w:t>MiCAR</w:t>
      </w:r>
      <w:proofErr w:type="spellEnd"/>
      <w:r w:rsidRPr="00ED12E0" w:rsidR="00BE6D01">
        <w:t xml:space="preserve">. </w:t>
      </w:r>
    </w:p>
    <w:p w:rsidRPr="00ED12E0" w:rsidR="0078473A" w:rsidP="00E3357E" w:rsidRDefault="0078473A" w14:paraId="7F8D99D7" w14:textId="77777777">
      <w:pPr>
        <w:spacing w:line="276" w:lineRule="auto"/>
      </w:pPr>
    </w:p>
    <w:p w:rsidRPr="00ED12E0" w:rsidR="0078473A" w:rsidP="00E3357E" w:rsidRDefault="0078473A" w14:paraId="0E167DAB" w14:textId="6E5D92CC">
      <w:pPr>
        <w:spacing w:line="276" w:lineRule="auto"/>
      </w:pPr>
      <w:r w:rsidRPr="00ED12E0">
        <w:t xml:space="preserve">Voor de doorberekening </w:t>
      </w:r>
      <w:r w:rsidRPr="00ED12E0" w:rsidR="00231D31">
        <w:t>onderzoekt de AFM vier mogelijke</w:t>
      </w:r>
      <w:r w:rsidRPr="00ED12E0">
        <w:t xml:space="preserve"> maatstaven: de aangeboden cryptoactivadiensten, de omzet gerelateerd aan deze diensten</w:t>
      </w:r>
      <w:r w:rsidRPr="00ED12E0" w:rsidR="00231D31">
        <w:t>,</w:t>
      </w:r>
      <w:r w:rsidRPr="00ED12E0">
        <w:t xml:space="preserve"> de bruto provisie-inkomsten gerelateerd aan deze diensten</w:t>
      </w:r>
      <w:r w:rsidRPr="00ED12E0" w:rsidR="00231D31">
        <w:t xml:space="preserve"> en het aantal transacties</w:t>
      </w:r>
      <w:r w:rsidRPr="00ED12E0">
        <w:t xml:space="preserve">. </w:t>
      </w:r>
      <w:r w:rsidRPr="00ED12E0" w:rsidR="00231D31">
        <w:t>AFM verwacht met een combinatie van deze maatstaven goed</w:t>
      </w:r>
      <w:r w:rsidRPr="00ED12E0">
        <w:t xml:space="preserve"> in staat</w:t>
      </w:r>
      <w:r w:rsidRPr="00ED12E0" w:rsidR="00231D31">
        <w:t xml:space="preserve"> te zijn</w:t>
      </w:r>
      <w:r w:rsidRPr="00ED12E0">
        <w:t xml:space="preserve"> om aan te sluiten bij de draagkracht en de toezichtinspanningen op verschillende typen cryptoactivadienstverleners. Het verdienmodel en het benodigde toezicht kunnen immers per type dienst verschillen.</w:t>
      </w:r>
      <w:r w:rsidRPr="00ED12E0" w:rsidR="00231D31">
        <w:rPr>
          <w:rFonts w:cs="Arial"/>
          <w:szCs w:val="18"/>
          <w:shd w:val="clear" w:color="auto" w:fill="FFFFFF"/>
        </w:rPr>
        <w:t xml:space="preserve"> </w:t>
      </w:r>
      <w:r w:rsidRPr="00ED12E0" w:rsidR="00231D31">
        <w:t>Omdat er onzekerheid bestaat over het aantal toetreders en de omvang van de activiteiten die zij gaan verrichten, wordt in de Regeling bekostiging financieel toezicht 2025 voor het eerst bepaald op welke manier de toezichtkosten met deze maatstaven op een evenwichtige wijze over de instellingen binnen deze categorie kunnen worden verdeeld.</w:t>
      </w:r>
    </w:p>
    <w:p w:rsidRPr="00ED12E0" w:rsidR="00A259FF" w:rsidP="00E3357E" w:rsidRDefault="00A259FF" w14:paraId="7E1CDDA1" w14:textId="77777777">
      <w:pPr>
        <w:spacing w:line="276" w:lineRule="auto"/>
      </w:pPr>
    </w:p>
    <w:p w:rsidRPr="00ED12E0" w:rsidR="00A259FF" w:rsidP="00E3357E" w:rsidRDefault="00A259FF" w14:paraId="2E313FEA" w14:textId="6D3CBA94">
      <w:pPr>
        <w:spacing w:line="276" w:lineRule="auto"/>
      </w:pPr>
      <w:r w:rsidRPr="00ED12E0">
        <w:t xml:space="preserve">Ook worden de crypto-instellingen toegevoegd die tijdelijk hun diensten mogen blijven aanbieden onder het overgangsregime van artikel IV van de Uitvoeringswet verordening bij geldovermakingen en overdrachten van cryptoactiva te voegen informatie. De maatstaven blijven hetzelfde. </w:t>
      </w:r>
      <w:r w:rsidRPr="00ED12E0" w:rsidR="00C67DFA">
        <w:t>Het</w:t>
      </w:r>
      <w:r w:rsidRPr="00ED12E0" w:rsidR="006B12A0">
        <w:t xml:space="preserve"> overgangsregime</w:t>
      </w:r>
      <w:r w:rsidRPr="00ED12E0">
        <w:t xml:space="preserve"> is tijdelijk, zie artikel II.</w:t>
      </w:r>
    </w:p>
    <w:p w:rsidRPr="00ED12E0" w:rsidR="005A3E82" w:rsidP="00E3357E" w:rsidRDefault="005A3E82" w14:paraId="1959FFF2" w14:textId="77777777">
      <w:pPr>
        <w:spacing w:line="276" w:lineRule="auto"/>
      </w:pPr>
      <w:bookmarkStart w:name="d17e1341" w:id="9"/>
      <w:bookmarkEnd w:id="9"/>
    </w:p>
    <w:p w:rsidRPr="00ED12E0" w:rsidR="00AE52B3" w:rsidP="00E3357E" w:rsidRDefault="00335F36" w14:paraId="70C58897" w14:textId="4DFE4532">
      <w:pPr>
        <w:spacing w:line="276" w:lineRule="auto"/>
      </w:pPr>
      <w:r w:rsidRPr="00ED12E0">
        <w:rPr>
          <w:i/>
          <w:iCs/>
        </w:rPr>
        <w:t>1</w:t>
      </w:r>
      <w:r w:rsidRPr="00ED12E0" w:rsidR="00883D10">
        <w:rPr>
          <w:i/>
          <w:iCs/>
        </w:rPr>
        <w:t>1</w:t>
      </w:r>
      <w:r w:rsidRPr="00ED12E0">
        <w:rPr>
          <w:i/>
          <w:iCs/>
        </w:rPr>
        <w:t>.</w:t>
      </w:r>
      <w:r w:rsidRPr="00ED12E0" w:rsidR="005A3E82">
        <w:t xml:space="preserve"> </w:t>
      </w:r>
      <w:r w:rsidRPr="00ED12E0" w:rsidR="00ED3118">
        <w:t>Dit onderdeel stelt de AFM in staat om een heffing voor het doorlopend toezicht op te leggen aan levensverzekeraars met beperkte risico-omvang</w:t>
      </w:r>
      <w:r w:rsidRPr="00ED12E0" w:rsidR="00BC32DC">
        <w:t xml:space="preserve"> als bedoeld in artikel 2:48 Wft</w:t>
      </w:r>
      <w:r w:rsidRPr="00ED12E0" w:rsidR="00ED3118">
        <w:t xml:space="preserve">. </w:t>
      </w:r>
      <w:r w:rsidRPr="00ED12E0">
        <w:t xml:space="preserve">Verwezen wordt naar paragraaf </w:t>
      </w:r>
      <w:r w:rsidRPr="00ED12E0" w:rsidR="00021695">
        <w:t>5</w:t>
      </w:r>
      <w:r w:rsidRPr="00ED12E0">
        <w:t xml:space="preserve"> van het algemeen deel van de toelichting.</w:t>
      </w:r>
    </w:p>
    <w:p w:rsidRPr="00ED12E0" w:rsidR="00A16C6A" w:rsidP="00E3357E" w:rsidRDefault="00A16C6A" w14:paraId="26779C83" w14:textId="77777777">
      <w:pPr>
        <w:spacing w:line="276" w:lineRule="auto"/>
      </w:pPr>
    </w:p>
    <w:p w:rsidRPr="00ED12E0" w:rsidR="00A16C6A" w:rsidP="00E3357E" w:rsidRDefault="00287F8C" w14:paraId="744326EC" w14:textId="75B04DF8">
      <w:pPr>
        <w:spacing w:line="276" w:lineRule="auto"/>
      </w:pPr>
      <w:r w:rsidRPr="00ED12E0">
        <w:t>E</w:t>
      </w:r>
      <w:r w:rsidRPr="00ED12E0" w:rsidR="007D7803">
        <w:t xml:space="preserve"> </w:t>
      </w:r>
      <w:r w:rsidRPr="00ED12E0" w:rsidR="00880713">
        <w:t>(bijlage 2, onderdeel A)</w:t>
      </w:r>
    </w:p>
    <w:p w:rsidRPr="00ED12E0" w:rsidR="00003938" w:rsidP="00E3357E" w:rsidRDefault="00003938" w14:paraId="1AC0F863" w14:textId="77777777">
      <w:pPr>
        <w:spacing w:line="276" w:lineRule="auto"/>
      </w:pPr>
    </w:p>
    <w:p w:rsidRPr="00ED12E0" w:rsidR="00003938" w:rsidP="00E3357E" w:rsidRDefault="00003938" w14:paraId="0C962C23" w14:textId="310A6FC1">
      <w:pPr>
        <w:spacing w:line="276" w:lineRule="auto"/>
      </w:pPr>
      <w:r w:rsidRPr="00ED12E0">
        <w:t xml:space="preserve">De toezichtcategorieën van DNB worden aangepast in verband met </w:t>
      </w:r>
      <w:proofErr w:type="spellStart"/>
      <w:r w:rsidRPr="00ED12E0" w:rsidR="00C56F37">
        <w:t>MiCAR</w:t>
      </w:r>
      <w:proofErr w:type="spellEnd"/>
      <w:r w:rsidRPr="00ED12E0">
        <w:t xml:space="preserve">. De categorie “Aanbieders van diensten met betrekking tot virtuele valuta” vervalt. Deze categorie bestond uit crypto-instellingen die op grond van hoofdstuk 3A </w:t>
      </w:r>
      <w:proofErr w:type="spellStart"/>
      <w:r w:rsidRPr="00ED12E0">
        <w:t>Wwft</w:t>
      </w:r>
      <w:proofErr w:type="spellEnd"/>
      <w:r w:rsidRPr="00ED12E0">
        <w:t xml:space="preserve"> een registratie bij DNB moesten aanvragen. Met de Uitvoeringswet verordening bij geldovermakingen en overdrachten van cryptoactiva te voegen informatie</w:t>
      </w:r>
      <w:r w:rsidRPr="00ED12E0" w:rsidR="008702F0">
        <w:rPr>
          <w:rStyle w:val="Voetnootmarkering"/>
        </w:rPr>
        <w:footnoteReference w:id="11"/>
      </w:r>
      <w:r w:rsidRPr="00ED12E0">
        <w:t xml:space="preserve"> is dit regime vervallen en is het integriteitstoezicht op deze dienstverleners overgegaan naar de AFM.</w:t>
      </w:r>
    </w:p>
    <w:p w:rsidRPr="00ED12E0" w:rsidR="00A16C6A" w:rsidP="00E3357E" w:rsidRDefault="00A16C6A" w14:paraId="7920B82A" w14:textId="77777777">
      <w:pPr>
        <w:spacing w:line="276" w:lineRule="auto"/>
      </w:pPr>
    </w:p>
    <w:p w:rsidRPr="00ED12E0" w:rsidR="00A3789D" w:rsidP="00E3357E" w:rsidRDefault="00A3789D" w14:paraId="2599B969" w14:textId="786E16A0">
      <w:pPr>
        <w:spacing w:line="276" w:lineRule="auto"/>
      </w:pPr>
      <w:r w:rsidRPr="00ED12E0">
        <w:lastRenderedPageBreak/>
        <w:t>De partijen</w:t>
      </w:r>
      <w:r w:rsidRPr="00ED12E0" w:rsidR="00680E3F">
        <w:t xml:space="preserve"> die door de Uitvoeringswet verordening cryptoactiva onder DNB-toezicht zijn komen te staan, worden aan de toezichtcategorieën toegevoegd</w:t>
      </w:r>
      <w:r w:rsidRPr="00ED12E0" w:rsidR="000D58EE">
        <w:t xml:space="preserve"> van onderdeel A van bijlage 2 </w:t>
      </w:r>
      <w:proofErr w:type="spellStart"/>
      <w:r w:rsidRPr="00ED12E0" w:rsidR="000D58EE">
        <w:t>Bbft</w:t>
      </w:r>
      <w:proofErr w:type="spellEnd"/>
      <w:r w:rsidRPr="00ED12E0" w:rsidR="00680E3F">
        <w:t>.</w:t>
      </w:r>
      <w:r w:rsidRPr="00ED12E0" w:rsidR="00F75873">
        <w:t xml:space="preserve"> </w:t>
      </w:r>
      <w:r w:rsidRPr="00ED12E0" w:rsidR="00BD350A">
        <w:t>De cryptodienstverleners waarvoor de AFM de vergunningverlenende of notificatie-ontvangende autoriteit is (art</w:t>
      </w:r>
      <w:r w:rsidRPr="00ED12E0" w:rsidR="007B0097">
        <w:t>ikelen</w:t>
      </w:r>
      <w:r w:rsidRPr="00ED12E0" w:rsidR="00BD350A">
        <w:t xml:space="preserve"> 62 en 60 </w:t>
      </w:r>
      <w:proofErr w:type="spellStart"/>
      <w:r w:rsidRPr="00ED12E0" w:rsidR="00C56F37">
        <w:t>MiCAR</w:t>
      </w:r>
      <w:proofErr w:type="spellEnd"/>
      <w:r w:rsidRPr="00ED12E0" w:rsidR="00BD350A">
        <w:t>), worden toegevoegd aan de categorie “Beheerders van beleggingsinstellingen en icbe’s, beleggingsondernemingen, bewaarders, marktexploitanten die een MTF of georganiseerde handelsfaciliteit exploiteren, uitgevers van activagerelateerde tokens en cryptoactivadienstverleners”. Hetzelfde geldt voor uitgevers van activagerelateerde tokens, niet zijnde banken.</w:t>
      </w:r>
    </w:p>
    <w:p w:rsidRPr="00ED12E0" w:rsidR="00680E3F" w:rsidP="00E3357E" w:rsidRDefault="00680E3F" w14:paraId="5BC91FE3" w14:textId="77777777">
      <w:pPr>
        <w:spacing w:line="276" w:lineRule="auto"/>
      </w:pPr>
    </w:p>
    <w:p w:rsidRPr="00ED12E0" w:rsidR="00C36918" w:rsidP="00E3357E" w:rsidRDefault="00287F8C" w14:paraId="54EC6E29" w14:textId="5D8A1709">
      <w:pPr>
        <w:keepNext/>
        <w:spacing w:line="276" w:lineRule="auto"/>
      </w:pPr>
      <w:r w:rsidRPr="00ED12E0">
        <w:t>F</w:t>
      </w:r>
      <w:r w:rsidRPr="00ED12E0" w:rsidR="00880713">
        <w:t xml:space="preserve"> (bijlage 2, onderdeel A)</w:t>
      </w:r>
    </w:p>
    <w:p w:rsidRPr="00ED12E0" w:rsidR="00880713" w:rsidP="00E3357E" w:rsidRDefault="00880713" w14:paraId="1CDB842D" w14:textId="77777777">
      <w:pPr>
        <w:keepNext/>
        <w:spacing w:line="276" w:lineRule="auto"/>
      </w:pPr>
    </w:p>
    <w:p w:rsidRPr="00ED12E0" w:rsidR="00171C9C" w:rsidP="00E3357E" w:rsidRDefault="00171C9C" w14:paraId="40A38AED" w14:textId="130567E7">
      <w:pPr>
        <w:keepNext/>
        <w:spacing w:line="276" w:lineRule="auto"/>
        <w:rPr>
          <w:i/>
          <w:iCs/>
        </w:rPr>
      </w:pPr>
      <w:r w:rsidRPr="00ED12E0">
        <w:rPr>
          <w:i/>
          <w:iCs/>
        </w:rPr>
        <w:t xml:space="preserve">Toevoegingen </w:t>
      </w:r>
      <w:proofErr w:type="spellStart"/>
      <w:r w:rsidRPr="00ED12E0">
        <w:rPr>
          <w:i/>
          <w:iCs/>
        </w:rPr>
        <w:t>MiCAR</w:t>
      </w:r>
      <w:proofErr w:type="spellEnd"/>
    </w:p>
    <w:p w:rsidRPr="00ED12E0" w:rsidR="00BD350A" w:rsidP="00E3357E" w:rsidRDefault="000D58EE" w14:paraId="140E1120" w14:textId="77777777">
      <w:pPr>
        <w:keepNext/>
        <w:spacing w:line="276" w:lineRule="auto"/>
      </w:pPr>
      <w:r w:rsidRPr="00ED12E0">
        <w:t xml:space="preserve">Met deze wijziging worden aan de toezichtcategorie </w:t>
      </w:r>
      <w:r w:rsidRPr="00ED12E0" w:rsidR="00BD350A">
        <w:t xml:space="preserve">“Beheerders van beleggingsinstellingen en icbe’s, beleggingsondernemingen, bewaarders, marktexploitanten die een MTF of georganiseerde handelsfaciliteit exploiteren, uitgevers van activagerelateerde tokens en cryptoactivadienstverleners” </w:t>
      </w:r>
      <w:r w:rsidRPr="00ED12E0">
        <w:t>nieuwe personen en maatstaven toegevoegd om te bewerk</w:t>
      </w:r>
      <w:r w:rsidRPr="00ED12E0" w:rsidR="008702F0">
        <w:t>s</w:t>
      </w:r>
      <w:r w:rsidRPr="00ED12E0">
        <w:t>tell</w:t>
      </w:r>
      <w:r w:rsidRPr="00ED12E0" w:rsidR="008702F0">
        <w:t>i</w:t>
      </w:r>
      <w:r w:rsidRPr="00ED12E0">
        <w:t xml:space="preserve">gen dat DNB een heffing in rekening kan brengen bij deze partijen voor de kosten van het doorlopend toezicht. </w:t>
      </w:r>
    </w:p>
    <w:p w:rsidRPr="00ED12E0" w:rsidR="00BD350A" w:rsidP="00E3357E" w:rsidRDefault="00BD350A" w14:paraId="59A1D5D5" w14:textId="77777777">
      <w:pPr>
        <w:keepNext/>
        <w:spacing w:line="276" w:lineRule="auto"/>
      </w:pPr>
    </w:p>
    <w:p w:rsidRPr="00ED12E0" w:rsidR="00BD350A" w:rsidP="00E3357E" w:rsidRDefault="000D58EE" w14:paraId="6A76B2E9" w14:textId="4C98F1EB">
      <w:pPr>
        <w:keepNext/>
        <w:spacing w:line="276" w:lineRule="auto"/>
      </w:pPr>
      <w:r w:rsidRPr="00ED12E0">
        <w:t>Voor de uitgevers van activagerel</w:t>
      </w:r>
      <w:r w:rsidRPr="00ED12E0" w:rsidR="008702F0">
        <w:t>at</w:t>
      </w:r>
      <w:r w:rsidRPr="00ED12E0">
        <w:t xml:space="preserve">eerde tokens (niet zijnde banken) </w:t>
      </w:r>
      <w:r w:rsidRPr="00ED12E0" w:rsidR="002B3AE6">
        <w:t>is als maatstaf gekozen voor de totale activareserve. Voor de cryptoactivadienstverleners is als maatsta</w:t>
      </w:r>
      <w:r w:rsidRPr="00ED12E0" w:rsidR="008702F0">
        <w:t>f</w:t>
      </w:r>
      <w:r w:rsidRPr="00ED12E0" w:rsidR="002B3AE6">
        <w:t xml:space="preserve"> gekozen voor </w:t>
      </w:r>
      <w:r w:rsidRPr="00ED12E0" w:rsidR="00BD350A">
        <w:t>de aangeboden cryptoactivadiensten</w:t>
      </w:r>
      <w:r w:rsidRPr="00ED12E0" w:rsidR="002B3AE6">
        <w:t xml:space="preserve"> in combinatie met </w:t>
      </w:r>
      <w:r w:rsidRPr="00ED12E0" w:rsidR="002B3AE6">
        <w:rPr>
          <w:szCs w:val="18"/>
        </w:rPr>
        <w:t>de omvang van het balanstotaal van de aanbieder van de cryptoactivadiensten.</w:t>
      </w:r>
      <w:r w:rsidRPr="00ED12E0" w:rsidR="008702F0">
        <w:rPr>
          <w:szCs w:val="18"/>
        </w:rPr>
        <w:t xml:space="preserve"> </w:t>
      </w:r>
      <w:r w:rsidRPr="00ED12E0" w:rsidR="00BD350A">
        <w:rPr>
          <w:szCs w:val="18"/>
        </w:rPr>
        <w:t xml:space="preserve">Dit sluit aan bij de bestaande systematiek in deze categorie. </w:t>
      </w:r>
      <w:r w:rsidRPr="00ED12E0" w:rsidR="00A07AE9">
        <w:t>Daarnaast word</w:t>
      </w:r>
      <w:r w:rsidRPr="00ED12E0" w:rsidR="008702F0">
        <w:t>t</w:t>
      </w:r>
      <w:r w:rsidRPr="00ED12E0" w:rsidR="00A07AE9">
        <w:t xml:space="preserve"> aan de toezichtcategorie </w:t>
      </w:r>
      <w:r w:rsidRPr="00ED12E0" w:rsidR="008702F0">
        <w:t>“B</w:t>
      </w:r>
      <w:r w:rsidRPr="00ED12E0" w:rsidR="00A07AE9">
        <w:t>etaalinstellingen, clearinginstellingen en elektronischgeldinstellingen</w:t>
      </w:r>
      <w:r w:rsidRPr="00ED12E0" w:rsidR="008702F0">
        <w:t>”</w:t>
      </w:r>
      <w:r w:rsidRPr="00ED12E0" w:rsidR="00A07AE9">
        <w:t xml:space="preserve"> </w:t>
      </w:r>
      <w:r w:rsidRPr="00ED12E0" w:rsidR="008702F0">
        <w:t xml:space="preserve">een maatstaf toegevoegd voor </w:t>
      </w:r>
      <w:proofErr w:type="spellStart"/>
      <w:r w:rsidRPr="00ED12E0" w:rsidR="008702F0">
        <w:t>elektronischgeldinstellingen</w:t>
      </w:r>
      <w:proofErr w:type="spellEnd"/>
      <w:r w:rsidRPr="00ED12E0" w:rsidR="008702F0">
        <w:t xml:space="preserve"> die</w:t>
      </w:r>
      <w:r w:rsidRPr="00ED12E0" w:rsidR="00A07AE9">
        <w:t xml:space="preserve"> e-</w:t>
      </w:r>
      <w:proofErr w:type="spellStart"/>
      <w:r w:rsidRPr="00ED12E0" w:rsidR="00A07AE9">
        <w:t>moneytokens</w:t>
      </w:r>
      <w:proofErr w:type="spellEnd"/>
      <w:r w:rsidRPr="00ED12E0" w:rsidR="00A07AE9">
        <w:t xml:space="preserve"> uitgeven. Voor de maatstaf is hier gekozen voor de nominale waarde van de door de uitgever van e-</w:t>
      </w:r>
      <w:proofErr w:type="spellStart"/>
      <w:r w:rsidRPr="00ED12E0" w:rsidR="00A07AE9">
        <w:t>moneytokens</w:t>
      </w:r>
      <w:proofErr w:type="spellEnd"/>
      <w:r w:rsidRPr="00ED12E0" w:rsidR="00A07AE9">
        <w:t xml:space="preserve"> uitgegeven e-</w:t>
      </w:r>
      <w:proofErr w:type="spellStart"/>
      <w:r w:rsidRPr="00ED12E0" w:rsidR="00A07AE9">
        <w:t>moneytokens</w:t>
      </w:r>
      <w:proofErr w:type="spellEnd"/>
      <w:r w:rsidRPr="00ED12E0" w:rsidR="00A07AE9">
        <w:t>.</w:t>
      </w:r>
      <w:r w:rsidRPr="00ED12E0" w:rsidR="00BD350A">
        <w:t xml:space="preserve"> Voor alle maatstaven geldt dat zij naar verwachting een indicatie bieden van de toezichtinspanningen op de partijen en de draagkracht van individuele instellingen.</w:t>
      </w:r>
    </w:p>
    <w:p w:rsidRPr="00ED12E0" w:rsidR="00BD350A" w:rsidP="00E3357E" w:rsidRDefault="00BD350A" w14:paraId="1A6C6E5E" w14:textId="77777777">
      <w:pPr>
        <w:keepNext/>
        <w:spacing w:line="276" w:lineRule="auto"/>
      </w:pPr>
    </w:p>
    <w:p w:rsidRPr="00ED12E0" w:rsidR="00A07AE9" w:rsidP="00E3357E" w:rsidRDefault="00BD350A" w14:paraId="71331232" w14:textId="343775EB">
      <w:pPr>
        <w:keepNext/>
        <w:spacing w:line="276" w:lineRule="auto"/>
      </w:pPr>
      <w:r w:rsidRPr="00ED12E0">
        <w:t xml:space="preserve">Voor banken die </w:t>
      </w:r>
      <w:proofErr w:type="spellStart"/>
      <w:r w:rsidRPr="00ED12E0">
        <w:t>cryptoactivadiensten</w:t>
      </w:r>
      <w:proofErr w:type="spellEnd"/>
      <w:r w:rsidRPr="00ED12E0">
        <w:t xml:space="preserve"> aanbieden of </w:t>
      </w:r>
      <w:proofErr w:type="spellStart"/>
      <w:r w:rsidRPr="00ED12E0">
        <w:t>stablecoins</w:t>
      </w:r>
      <w:proofErr w:type="spellEnd"/>
      <w:r w:rsidRPr="00ED12E0">
        <w:t xml:space="preserve"> uitgeven worden geen nieuwe personenomschrijvingen of maatstaven geïntroduceerd. DNB kijkt slechts naar de minimumomvang van het toetsingsvermogen om de hoogte van de heffing voor een bank te bepalen, en maakt geen onderscheid naar de uitgevoerde activiteiten. Voor de </w:t>
      </w:r>
      <w:proofErr w:type="spellStart"/>
      <w:r w:rsidRPr="00ED12E0" w:rsidR="00C56F37">
        <w:t>MiCAR</w:t>
      </w:r>
      <w:proofErr w:type="spellEnd"/>
      <w:r w:rsidRPr="00ED12E0">
        <w:t>-activiteiten van banken blijft dit uitgangspunt gelden.</w:t>
      </w:r>
    </w:p>
    <w:p w:rsidRPr="00ED12E0" w:rsidR="00C36918" w:rsidP="00E3357E" w:rsidRDefault="00C36918" w14:paraId="572C24A1" w14:textId="77777777">
      <w:pPr>
        <w:keepNext/>
        <w:spacing w:line="276" w:lineRule="auto"/>
      </w:pPr>
    </w:p>
    <w:p w:rsidRPr="00ED12E0" w:rsidR="00171C9C" w:rsidP="00E3357E" w:rsidRDefault="00171C9C" w14:paraId="054110D2" w14:textId="51CA2251">
      <w:pPr>
        <w:keepNext/>
        <w:spacing w:line="276" w:lineRule="auto"/>
        <w:rPr>
          <w:i/>
          <w:iCs/>
        </w:rPr>
      </w:pPr>
      <w:r w:rsidRPr="00ED12E0">
        <w:rPr>
          <w:i/>
          <w:iCs/>
        </w:rPr>
        <w:t xml:space="preserve">Aanpassingen </w:t>
      </w:r>
      <w:proofErr w:type="spellStart"/>
      <w:r w:rsidRPr="00ED12E0">
        <w:rPr>
          <w:i/>
          <w:iCs/>
        </w:rPr>
        <w:t>bobi’s</w:t>
      </w:r>
      <w:proofErr w:type="spellEnd"/>
    </w:p>
    <w:p w:rsidRPr="00ED12E0" w:rsidR="00BE4C53" w:rsidP="00BE4C53" w:rsidRDefault="00C36918" w14:paraId="1C3E262E" w14:textId="126EB704">
      <w:pPr>
        <w:keepNext/>
        <w:spacing w:line="276" w:lineRule="auto"/>
      </w:pPr>
      <w:r w:rsidRPr="00ED12E0">
        <w:t xml:space="preserve">Ook wordt de formulering van de bestaande maatstaven in deze categorie versimpeld. </w:t>
      </w:r>
      <w:r w:rsidRPr="00ED12E0" w:rsidR="00BE4C53">
        <w:t xml:space="preserve">Recent is geconstateerd dat DNB in de afgelopen jaren in deze categorie niet altijd in lijn met de tekst van het </w:t>
      </w:r>
      <w:proofErr w:type="spellStart"/>
      <w:r w:rsidRPr="00ED12E0" w:rsidR="00BE4C53">
        <w:t>Bbft</w:t>
      </w:r>
      <w:proofErr w:type="spellEnd"/>
      <w:r w:rsidRPr="00ED12E0" w:rsidR="00BE4C53">
        <w:t xml:space="preserve"> 2019 heeft gehandeld.</w:t>
      </w:r>
      <w:r w:rsidRPr="00ED12E0" w:rsidR="00BE4C53">
        <w:rPr>
          <w:rStyle w:val="Voetnootmarkering"/>
        </w:rPr>
        <w:footnoteReference w:id="12"/>
      </w:r>
      <w:r w:rsidRPr="00ED12E0" w:rsidR="00BE4C53">
        <w:t xml:space="preserve"> Met de gewijzigde formulering is DNB in staat om de heffingssystematiek die zij de afgelopen jaren heeft toegepast, voort te zetten. </w:t>
      </w:r>
      <w:r w:rsidRPr="00ED12E0">
        <w:t>Waar eerder een voorschot werd genomen op de uitwerking van de maatstaven in de ministeriële tarievenregeling, worden nu slechts de maatstaven vermeld, in lijn met de andere toezichtcategorieën</w:t>
      </w:r>
      <w:r w:rsidRPr="00ED12E0" w:rsidR="005B75CB">
        <w:t xml:space="preserve">. De formulering laat ruimte om de tariefstructuur in </w:t>
      </w:r>
      <w:r w:rsidRPr="00ED12E0" w:rsidR="005B75CB">
        <w:lastRenderedPageBreak/>
        <w:t xml:space="preserve">de regeling uit te werken. Omdat de categorie veel verschillende soorten personen bevat, is het aantal maatstaven ook relatief groot. In het algemeen </w:t>
      </w:r>
      <w:r w:rsidRPr="00ED12E0" w:rsidR="00DF2EE3">
        <w:t>wordt</w:t>
      </w:r>
      <w:r w:rsidRPr="00ED12E0" w:rsidR="005B75CB">
        <w:t xml:space="preserve"> het tarief </w:t>
      </w:r>
      <w:r w:rsidRPr="00ED12E0" w:rsidR="008015D5">
        <w:t>voor elke soort persoon</w:t>
      </w:r>
      <w:r w:rsidRPr="00ED12E0" w:rsidR="005B75CB">
        <w:t xml:space="preserve"> </w:t>
      </w:r>
      <w:r w:rsidRPr="00ED12E0" w:rsidR="008015D5">
        <w:t>berekend op grond van</w:t>
      </w:r>
      <w:r w:rsidRPr="00ED12E0" w:rsidR="005B75CB">
        <w:t xml:space="preserve"> (1) </w:t>
      </w:r>
      <w:r w:rsidRPr="00ED12E0" w:rsidR="008015D5">
        <w:t xml:space="preserve">de </w:t>
      </w:r>
      <w:r w:rsidRPr="00ED12E0" w:rsidR="005B75CB">
        <w:t>verrichte activiteiten</w:t>
      </w:r>
      <w:r w:rsidRPr="00ED12E0" w:rsidR="008015D5">
        <w:t xml:space="preserve"> onder de vergunning</w:t>
      </w:r>
      <w:r w:rsidRPr="00ED12E0" w:rsidR="005B75CB">
        <w:t>; en (2) het vermogen van de instelling of haar klanten.</w:t>
      </w:r>
      <w:r w:rsidRPr="00ED12E0" w:rsidR="00BE4C53">
        <w:t xml:space="preserve"> </w:t>
      </w:r>
      <w:r w:rsidRPr="00ED12E0" w:rsidR="008015D5">
        <w:t>In de tabel wordt opgesomd welke maatsta</w:t>
      </w:r>
      <w:r w:rsidRPr="00ED12E0" w:rsidR="00DF2EE3">
        <w:t>ven</w:t>
      </w:r>
      <w:r w:rsidRPr="00ED12E0" w:rsidR="008015D5">
        <w:t xml:space="preserve"> </w:t>
      </w:r>
      <w:r w:rsidRPr="00ED12E0" w:rsidR="00DF2EE3">
        <w:t xml:space="preserve">in de tarievenregelingen </w:t>
      </w:r>
      <w:r w:rsidRPr="00ED12E0" w:rsidR="008015D5">
        <w:t>word</w:t>
      </w:r>
      <w:r w:rsidRPr="00ED12E0" w:rsidR="00DF2EE3">
        <w:t>en</w:t>
      </w:r>
      <w:r w:rsidRPr="00ED12E0" w:rsidR="008015D5">
        <w:t xml:space="preserve"> gebruikt voor welke persoon.</w:t>
      </w:r>
    </w:p>
    <w:p w:rsidRPr="00ED12E0" w:rsidR="008015D5" w:rsidP="00BE4C53" w:rsidRDefault="008015D5" w14:paraId="3000DE46" w14:textId="77777777">
      <w:pPr>
        <w:keepNext/>
        <w:spacing w:line="276" w:lineRule="auto"/>
      </w:pPr>
    </w:p>
    <w:tbl>
      <w:tblPr>
        <w:tblStyle w:val="Tabelraster"/>
        <w:tblW w:w="0" w:type="auto"/>
        <w:tblLook w:val="04A0" w:firstRow="1" w:lastRow="0" w:firstColumn="1" w:lastColumn="0" w:noHBand="0" w:noVBand="1"/>
      </w:tblPr>
      <w:tblGrid>
        <w:gridCol w:w="2741"/>
        <w:gridCol w:w="2677"/>
        <w:gridCol w:w="2679"/>
      </w:tblGrid>
      <w:tr w:rsidRPr="00ED12E0" w:rsidR="00ED12E0" w:rsidTr="008015D5" w14:paraId="13E7E40E" w14:textId="77777777">
        <w:tc>
          <w:tcPr>
            <w:tcW w:w="2741" w:type="dxa"/>
          </w:tcPr>
          <w:p w:rsidRPr="00ED12E0" w:rsidR="008015D5" w:rsidP="00BE4C53" w:rsidRDefault="008015D5" w14:paraId="0F219898" w14:textId="55E1C7E6">
            <w:pPr>
              <w:keepNext/>
              <w:spacing w:line="276" w:lineRule="auto"/>
              <w:rPr>
                <w:b/>
                <w:bCs/>
                <w:sz w:val="16"/>
                <w:szCs w:val="22"/>
              </w:rPr>
            </w:pPr>
            <w:r w:rsidRPr="00ED12E0">
              <w:rPr>
                <w:b/>
                <w:bCs/>
                <w:sz w:val="16"/>
                <w:szCs w:val="22"/>
              </w:rPr>
              <w:t>Persoon</w:t>
            </w:r>
          </w:p>
        </w:tc>
        <w:tc>
          <w:tcPr>
            <w:tcW w:w="2677" w:type="dxa"/>
          </w:tcPr>
          <w:p w:rsidRPr="00ED12E0" w:rsidR="008015D5" w:rsidP="00BE4C53" w:rsidRDefault="008015D5" w14:paraId="16E7B1B9" w14:textId="392051A2">
            <w:pPr>
              <w:keepNext/>
              <w:spacing w:line="276" w:lineRule="auto"/>
              <w:rPr>
                <w:b/>
                <w:bCs/>
                <w:sz w:val="16"/>
                <w:szCs w:val="22"/>
              </w:rPr>
            </w:pPr>
            <w:r w:rsidRPr="00ED12E0">
              <w:rPr>
                <w:b/>
                <w:bCs/>
                <w:sz w:val="16"/>
                <w:szCs w:val="22"/>
              </w:rPr>
              <w:t>Maatstaf activiteiten</w:t>
            </w:r>
          </w:p>
        </w:tc>
        <w:tc>
          <w:tcPr>
            <w:tcW w:w="2679" w:type="dxa"/>
          </w:tcPr>
          <w:p w:rsidRPr="00ED12E0" w:rsidR="008015D5" w:rsidP="00BE4C53" w:rsidRDefault="008015D5" w14:paraId="5199CA04" w14:textId="4FEF0920">
            <w:pPr>
              <w:keepNext/>
              <w:spacing w:line="276" w:lineRule="auto"/>
              <w:rPr>
                <w:b/>
                <w:bCs/>
                <w:sz w:val="16"/>
                <w:szCs w:val="22"/>
              </w:rPr>
            </w:pPr>
            <w:r w:rsidRPr="00ED12E0">
              <w:rPr>
                <w:b/>
                <w:bCs/>
                <w:sz w:val="16"/>
                <w:szCs w:val="22"/>
              </w:rPr>
              <w:t>Maatstaf vermogen</w:t>
            </w:r>
          </w:p>
        </w:tc>
      </w:tr>
      <w:tr w:rsidRPr="00ED12E0" w:rsidR="00ED12E0" w:rsidTr="008015D5" w14:paraId="181059A0" w14:textId="77777777">
        <w:tc>
          <w:tcPr>
            <w:tcW w:w="2741" w:type="dxa"/>
          </w:tcPr>
          <w:p w:rsidRPr="00ED12E0" w:rsidR="008015D5" w:rsidP="00BE4C53" w:rsidRDefault="008015D5" w14:paraId="4224B671" w14:textId="493BB1F6">
            <w:pPr>
              <w:keepNext/>
              <w:spacing w:line="276" w:lineRule="auto"/>
              <w:rPr>
                <w:sz w:val="16"/>
                <w:szCs w:val="22"/>
              </w:rPr>
            </w:pPr>
            <w:r w:rsidRPr="00ED12E0">
              <w:rPr>
                <w:sz w:val="16"/>
                <w:szCs w:val="22"/>
              </w:rPr>
              <w:t>a. Marktexploitanten met MTF of OTF</w:t>
            </w:r>
          </w:p>
        </w:tc>
        <w:tc>
          <w:tcPr>
            <w:tcW w:w="2677" w:type="dxa"/>
          </w:tcPr>
          <w:p w:rsidRPr="00ED12E0" w:rsidR="008015D5" w:rsidP="00BE4C53" w:rsidRDefault="008015D5" w14:paraId="1577E039" w14:textId="27F955E1">
            <w:pPr>
              <w:keepNext/>
              <w:spacing w:line="276" w:lineRule="auto"/>
              <w:rPr>
                <w:sz w:val="16"/>
                <w:szCs w:val="22"/>
              </w:rPr>
            </w:pPr>
            <w:r w:rsidRPr="00ED12E0">
              <w:rPr>
                <w:sz w:val="16"/>
                <w:szCs w:val="22"/>
              </w:rPr>
              <w:t>Vergunningtype, verrichte beleggingsactiviteiten</w:t>
            </w:r>
          </w:p>
        </w:tc>
        <w:tc>
          <w:tcPr>
            <w:tcW w:w="2679" w:type="dxa"/>
          </w:tcPr>
          <w:p w:rsidRPr="00ED12E0" w:rsidR="008015D5" w:rsidP="00BE4C53" w:rsidRDefault="008015D5" w14:paraId="32E1B603" w14:textId="744415D6">
            <w:pPr>
              <w:keepNext/>
              <w:spacing w:line="276" w:lineRule="auto"/>
              <w:rPr>
                <w:sz w:val="16"/>
                <w:szCs w:val="22"/>
              </w:rPr>
            </w:pPr>
            <w:r w:rsidRPr="00ED12E0">
              <w:rPr>
                <w:sz w:val="16"/>
                <w:szCs w:val="22"/>
              </w:rPr>
              <w:t>n.v.t.</w:t>
            </w:r>
          </w:p>
        </w:tc>
      </w:tr>
      <w:tr w:rsidRPr="00ED12E0" w:rsidR="00ED12E0" w:rsidTr="008015D5" w14:paraId="0A5F06C5" w14:textId="77777777">
        <w:tc>
          <w:tcPr>
            <w:tcW w:w="2741" w:type="dxa"/>
          </w:tcPr>
          <w:p w:rsidRPr="00ED12E0" w:rsidR="008015D5" w:rsidP="00BE4C53" w:rsidRDefault="008015D5" w14:paraId="4BC61E4F" w14:textId="77777777">
            <w:pPr>
              <w:keepNext/>
              <w:spacing w:line="276" w:lineRule="auto"/>
              <w:rPr>
                <w:sz w:val="16"/>
                <w:szCs w:val="22"/>
              </w:rPr>
            </w:pPr>
            <w:r w:rsidRPr="00ED12E0">
              <w:rPr>
                <w:sz w:val="16"/>
                <w:szCs w:val="22"/>
              </w:rPr>
              <w:t>b. Beheerders van beleggingsinstellingen</w:t>
            </w:r>
          </w:p>
          <w:p w:rsidRPr="00ED12E0" w:rsidR="008015D5" w:rsidP="00BE4C53" w:rsidRDefault="008015D5" w14:paraId="464AFC02" w14:textId="7977F631">
            <w:pPr>
              <w:keepNext/>
              <w:spacing w:line="276" w:lineRule="auto"/>
              <w:rPr>
                <w:sz w:val="16"/>
                <w:szCs w:val="22"/>
              </w:rPr>
            </w:pPr>
            <w:r w:rsidRPr="00ED12E0">
              <w:rPr>
                <w:sz w:val="16"/>
                <w:szCs w:val="22"/>
              </w:rPr>
              <w:t>c. Beheerders van icbe's</w:t>
            </w:r>
          </w:p>
        </w:tc>
        <w:tc>
          <w:tcPr>
            <w:tcW w:w="2677" w:type="dxa"/>
          </w:tcPr>
          <w:p w:rsidRPr="00ED12E0" w:rsidR="008015D5" w:rsidP="00BE4C53" w:rsidRDefault="008015D5" w14:paraId="45B2AAFF" w14:textId="22EA445B">
            <w:pPr>
              <w:keepNext/>
              <w:spacing w:line="276" w:lineRule="auto"/>
              <w:rPr>
                <w:sz w:val="16"/>
                <w:szCs w:val="22"/>
              </w:rPr>
            </w:pPr>
            <w:r w:rsidRPr="00ED12E0">
              <w:rPr>
                <w:sz w:val="16"/>
                <w:szCs w:val="22"/>
              </w:rPr>
              <w:t>Vergunningtype</w:t>
            </w:r>
          </w:p>
        </w:tc>
        <w:tc>
          <w:tcPr>
            <w:tcW w:w="2679" w:type="dxa"/>
          </w:tcPr>
          <w:p w:rsidRPr="00ED12E0" w:rsidR="008015D5" w:rsidP="00BE4C53" w:rsidRDefault="008015D5" w14:paraId="7256E368" w14:textId="02E80BDB">
            <w:pPr>
              <w:keepNext/>
              <w:spacing w:line="276" w:lineRule="auto"/>
              <w:rPr>
                <w:sz w:val="16"/>
                <w:szCs w:val="22"/>
              </w:rPr>
            </w:pPr>
            <w:r w:rsidRPr="00ED12E0">
              <w:rPr>
                <w:sz w:val="16"/>
                <w:szCs w:val="22"/>
              </w:rPr>
              <w:t>Balanstotaal van de beheerde beleggingsinstellingen en icbe’s</w:t>
            </w:r>
          </w:p>
        </w:tc>
      </w:tr>
      <w:tr w:rsidRPr="00ED12E0" w:rsidR="00ED12E0" w:rsidTr="008015D5" w14:paraId="6D87388C" w14:textId="77777777">
        <w:tc>
          <w:tcPr>
            <w:tcW w:w="2741" w:type="dxa"/>
          </w:tcPr>
          <w:p w:rsidRPr="00ED12E0" w:rsidR="008015D5" w:rsidP="00BE4C53" w:rsidRDefault="008015D5" w14:paraId="7A935BF3" w14:textId="517349D9">
            <w:pPr>
              <w:keepNext/>
              <w:spacing w:line="276" w:lineRule="auto"/>
              <w:rPr>
                <w:sz w:val="16"/>
                <w:szCs w:val="22"/>
              </w:rPr>
            </w:pPr>
            <w:r w:rsidRPr="00ED12E0">
              <w:rPr>
                <w:sz w:val="16"/>
                <w:szCs w:val="22"/>
              </w:rPr>
              <w:t>d. Beleggingsondernemingen</w:t>
            </w:r>
          </w:p>
        </w:tc>
        <w:tc>
          <w:tcPr>
            <w:tcW w:w="2677" w:type="dxa"/>
          </w:tcPr>
          <w:p w:rsidRPr="00ED12E0" w:rsidR="008015D5" w:rsidP="00BE4C53" w:rsidRDefault="008015D5" w14:paraId="023B75D0" w14:textId="1EE2FDAF">
            <w:pPr>
              <w:keepNext/>
              <w:spacing w:line="276" w:lineRule="auto"/>
              <w:rPr>
                <w:sz w:val="16"/>
                <w:szCs w:val="22"/>
              </w:rPr>
            </w:pPr>
            <w:r w:rsidRPr="00ED12E0">
              <w:rPr>
                <w:sz w:val="16"/>
                <w:szCs w:val="22"/>
              </w:rPr>
              <w:t>Vergunningtype, verleende beleggingsdiensten, verrichte beleggingsactiviteiten</w:t>
            </w:r>
          </w:p>
        </w:tc>
        <w:tc>
          <w:tcPr>
            <w:tcW w:w="2679" w:type="dxa"/>
          </w:tcPr>
          <w:p w:rsidRPr="00ED12E0" w:rsidR="008015D5" w:rsidP="00BE4C53" w:rsidRDefault="008015D5" w14:paraId="7F90FA55" w14:textId="77777777">
            <w:pPr>
              <w:keepNext/>
              <w:spacing w:line="276" w:lineRule="auto"/>
              <w:rPr>
                <w:sz w:val="16"/>
                <w:szCs w:val="22"/>
              </w:rPr>
            </w:pPr>
            <w:r w:rsidRPr="00ED12E0">
              <w:rPr>
                <w:sz w:val="16"/>
                <w:szCs w:val="22"/>
              </w:rPr>
              <w:t>Beheerd individueel vermogen</w:t>
            </w:r>
          </w:p>
          <w:p w:rsidRPr="00ED12E0" w:rsidR="008015D5" w:rsidP="00BE4C53" w:rsidRDefault="008015D5" w14:paraId="2A86637F" w14:textId="77777777">
            <w:pPr>
              <w:keepNext/>
              <w:spacing w:line="276" w:lineRule="auto"/>
              <w:rPr>
                <w:sz w:val="16"/>
                <w:szCs w:val="22"/>
              </w:rPr>
            </w:pPr>
            <w:r w:rsidRPr="00ED12E0">
              <w:rPr>
                <w:sz w:val="16"/>
                <w:szCs w:val="22"/>
              </w:rPr>
              <w:t>Vermogen waarover wordt geadviseerd</w:t>
            </w:r>
          </w:p>
          <w:p w:rsidRPr="00ED12E0" w:rsidR="008015D5" w:rsidP="00BE4C53" w:rsidRDefault="008015D5" w14:paraId="3E235BD8" w14:textId="3CC8C46B">
            <w:pPr>
              <w:keepNext/>
              <w:spacing w:line="276" w:lineRule="auto"/>
              <w:rPr>
                <w:sz w:val="16"/>
                <w:szCs w:val="22"/>
              </w:rPr>
            </w:pPr>
            <w:r w:rsidRPr="00ED12E0">
              <w:rPr>
                <w:sz w:val="16"/>
                <w:szCs w:val="22"/>
              </w:rPr>
              <w:t>Voor personen die handelen voor eigen rekening: het minimaal aan te houden toetsingsvermogen.</w:t>
            </w:r>
          </w:p>
        </w:tc>
      </w:tr>
      <w:tr w:rsidRPr="00ED12E0" w:rsidR="00ED12E0" w:rsidTr="008015D5" w14:paraId="4D97A19F" w14:textId="77777777">
        <w:tc>
          <w:tcPr>
            <w:tcW w:w="2741" w:type="dxa"/>
          </w:tcPr>
          <w:p w:rsidRPr="00ED12E0" w:rsidR="008015D5" w:rsidP="00BE4C53" w:rsidRDefault="008015D5" w14:paraId="779143D9" w14:textId="2F9D6643">
            <w:pPr>
              <w:keepNext/>
              <w:spacing w:line="276" w:lineRule="auto"/>
              <w:rPr>
                <w:sz w:val="16"/>
                <w:szCs w:val="22"/>
              </w:rPr>
            </w:pPr>
            <w:r w:rsidRPr="00ED12E0">
              <w:rPr>
                <w:sz w:val="16"/>
                <w:szCs w:val="22"/>
              </w:rPr>
              <w:t>e. Bewaarders</w:t>
            </w:r>
          </w:p>
        </w:tc>
        <w:tc>
          <w:tcPr>
            <w:tcW w:w="2677" w:type="dxa"/>
          </w:tcPr>
          <w:p w:rsidRPr="00ED12E0" w:rsidR="008015D5" w:rsidP="00BE4C53" w:rsidRDefault="008015D5" w14:paraId="1AE4D8BD" w14:textId="5F826D9B">
            <w:pPr>
              <w:keepNext/>
              <w:spacing w:line="276" w:lineRule="auto"/>
              <w:rPr>
                <w:sz w:val="16"/>
                <w:szCs w:val="22"/>
              </w:rPr>
            </w:pPr>
            <w:r w:rsidRPr="00ED12E0">
              <w:rPr>
                <w:sz w:val="16"/>
                <w:szCs w:val="22"/>
              </w:rPr>
              <w:t>Vergunningtyp</w:t>
            </w:r>
            <w:r w:rsidRPr="00ED12E0" w:rsidR="00171C9C">
              <w:rPr>
                <w:sz w:val="16"/>
                <w:szCs w:val="22"/>
              </w:rPr>
              <w:t>e</w:t>
            </w:r>
          </w:p>
        </w:tc>
        <w:tc>
          <w:tcPr>
            <w:tcW w:w="2679" w:type="dxa"/>
          </w:tcPr>
          <w:p w:rsidRPr="00ED12E0" w:rsidR="008015D5" w:rsidP="00BE4C53" w:rsidRDefault="008015D5" w14:paraId="585B9CB5" w14:textId="15C21094">
            <w:pPr>
              <w:keepNext/>
              <w:spacing w:line="276" w:lineRule="auto"/>
              <w:rPr>
                <w:sz w:val="16"/>
                <w:szCs w:val="22"/>
              </w:rPr>
            </w:pPr>
            <w:r w:rsidRPr="00ED12E0">
              <w:rPr>
                <w:sz w:val="16"/>
                <w:szCs w:val="22"/>
              </w:rPr>
              <w:t>N.v.t.</w:t>
            </w:r>
          </w:p>
        </w:tc>
      </w:tr>
      <w:tr w:rsidRPr="00ED12E0" w:rsidR="00ED12E0" w:rsidTr="008015D5" w14:paraId="5C76113C" w14:textId="77777777">
        <w:tc>
          <w:tcPr>
            <w:tcW w:w="2741" w:type="dxa"/>
          </w:tcPr>
          <w:p w:rsidRPr="00ED12E0" w:rsidR="008015D5" w:rsidP="00BE4C53" w:rsidRDefault="008015D5" w14:paraId="4D2030BF" w14:textId="562201EF">
            <w:pPr>
              <w:keepNext/>
              <w:spacing w:line="276" w:lineRule="auto"/>
              <w:rPr>
                <w:sz w:val="16"/>
                <w:szCs w:val="22"/>
              </w:rPr>
            </w:pPr>
            <w:r w:rsidRPr="00ED12E0">
              <w:rPr>
                <w:sz w:val="16"/>
                <w:szCs w:val="22"/>
              </w:rPr>
              <w:t xml:space="preserve">f. Uitgevers van </w:t>
            </w:r>
            <w:proofErr w:type="spellStart"/>
            <w:r w:rsidRPr="00ED12E0">
              <w:rPr>
                <w:sz w:val="16"/>
                <w:szCs w:val="22"/>
              </w:rPr>
              <w:t>ART’s</w:t>
            </w:r>
            <w:proofErr w:type="spellEnd"/>
          </w:p>
        </w:tc>
        <w:tc>
          <w:tcPr>
            <w:tcW w:w="2677" w:type="dxa"/>
          </w:tcPr>
          <w:p w:rsidRPr="00ED12E0" w:rsidR="008015D5" w:rsidP="00BE4C53" w:rsidRDefault="008015D5" w14:paraId="66FADD03" w14:textId="315922FF">
            <w:pPr>
              <w:keepNext/>
              <w:spacing w:line="276" w:lineRule="auto"/>
              <w:rPr>
                <w:sz w:val="16"/>
                <w:szCs w:val="22"/>
              </w:rPr>
            </w:pPr>
            <w:r w:rsidRPr="00ED12E0">
              <w:rPr>
                <w:sz w:val="16"/>
                <w:szCs w:val="22"/>
              </w:rPr>
              <w:t>n.v.t.</w:t>
            </w:r>
          </w:p>
        </w:tc>
        <w:tc>
          <w:tcPr>
            <w:tcW w:w="2679" w:type="dxa"/>
          </w:tcPr>
          <w:p w:rsidRPr="00ED12E0" w:rsidR="008015D5" w:rsidP="00BE4C53" w:rsidRDefault="008015D5" w14:paraId="40FD9CD3" w14:textId="739D0B98">
            <w:pPr>
              <w:keepNext/>
              <w:spacing w:line="276" w:lineRule="auto"/>
              <w:rPr>
                <w:sz w:val="16"/>
                <w:szCs w:val="22"/>
              </w:rPr>
            </w:pPr>
            <w:r w:rsidRPr="00ED12E0">
              <w:rPr>
                <w:sz w:val="16"/>
                <w:szCs w:val="22"/>
              </w:rPr>
              <w:t>Geaggregeerde waarde van de activareserve</w:t>
            </w:r>
          </w:p>
        </w:tc>
      </w:tr>
      <w:tr w:rsidRPr="00ED12E0" w:rsidR="00111B44" w:rsidTr="008015D5" w14:paraId="1CBE95BC" w14:textId="77777777">
        <w:tc>
          <w:tcPr>
            <w:tcW w:w="2741" w:type="dxa"/>
          </w:tcPr>
          <w:p w:rsidRPr="00ED12E0" w:rsidR="008015D5" w:rsidP="00BE4C53" w:rsidRDefault="008015D5" w14:paraId="388008AF" w14:textId="238A9926">
            <w:pPr>
              <w:keepNext/>
              <w:spacing w:line="276" w:lineRule="auto"/>
              <w:rPr>
                <w:sz w:val="16"/>
                <w:szCs w:val="22"/>
              </w:rPr>
            </w:pPr>
            <w:proofErr w:type="gramStart"/>
            <w:r w:rsidRPr="00ED12E0">
              <w:rPr>
                <w:sz w:val="16"/>
                <w:szCs w:val="22"/>
              </w:rPr>
              <w:t>g</w:t>
            </w:r>
            <w:proofErr w:type="gramEnd"/>
            <w:r w:rsidRPr="00ED12E0">
              <w:rPr>
                <w:sz w:val="16"/>
                <w:szCs w:val="22"/>
              </w:rPr>
              <w:t xml:space="preserve"> en h. Cryptoactivadienstverleners</w:t>
            </w:r>
          </w:p>
        </w:tc>
        <w:tc>
          <w:tcPr>
            <w:tcW w:w="2677" w:type="dxa"/>
          </w:tcPr>
          <w:p w:rsidRPr="00ED12E0" w:rsidR="008015D5" w:rsidP="00BE4C53" w:rsidRDefault="008015D5" w14:paraId="22D9EBE8" w14:textId="7BE7E3C1">
            <w:pPr>
              <w:keepNext/>
              <w:spacing w:line="276" w:lineRule="auto"/>
              <w:rPr>
                <w:sz w:val="16"/>
                <w:szCs w:val="22"/>
              </w:rPr>
            </w:pPr>
            <w:r w:rsidRPr="00ED12E0">
              <w:rPr>
                <w:sz w:val="16"/>
                <w:szCs w:val="22"/>
              </w:rPr>
              <w:t>Aangeboden cryptoactivadiensten</w:t>
            </w:r>
          </w:p>
        </w:tc>
        <w:tc>
          <w:tcPr>
            <w:tcW w:w="2679" w:type="dxa"/>
          </w:tcPr>
          <w:p w:rsidRPr="00ED12E0" w:rsidR="008015D5" w:rsidP="00BE4C53" w:rsidRDefault="008015D5" w14:paraId="1D3BDDF4" w14:textId="142E0631">
            <w:pPr>
              <w:keepNext/>
              <w:spacing w:line="276" w:lineRule="auto"/>
              <w:rPr>
                <w:sz w:val="16"/>
                <w:szCs w:val="22"/>
              </w:rPr>
            </w:pPr>
            <w:r w:rsidRPr="00ED12E0">
              <w:rPr>
                <w:sz w:val="16"/>
                <w:szCs w:val="22"/>
              </w:rPr>
              <w:t>Balanstotaal</w:t>
            </w:r>
          </w:p>
        </w:tc>
      </w:tr>
      <w:bookmarkEnd w:id="8"/>
    </w:tbl>
    <w:p w:rsidRPr="00ED12E0" w:rsidR="00C15A44" w:rsidP="00E3357E" w:rsidRDefault="00C15A44" w14:paraId="47BB737D" w14:textId="4BC911DB">
      <w:pPr>
        <w:spacing w:line="276" w:lineRule="auto"/>
      </w:pPr>
    </w:p>
    <w:p w:rsidRPr="00ED12E0" w:rsidR="00F06AAA" w:rsidP="00E3357E" w:rsidRDefault="00F06AAA" w14:paraId="2636AD5C" w14:textId="554CB746">
      <w:pPr>
        <w:spacing w:line="276" w:lineRule="auto"/>
      </w:pPr>
    </w:p>
    <w:p w:rsidRPr="00ED12E0" w:rsidR="002268D7" w:rsidP="00194FE5" w:rsidRDefault="002268D7" w14:paraId="352B6110" w14:textId="12014731">
      <w:pPr>
        <w:keepNext/>
        <w:spacing w:line="276" w:lineRule="auto"/>
        <w:rPr>
          <w:b/>
          <w:bCs/>
        </w:rPr>
      </w:pPr>
      <w:r w:rsidRPr="00ED12E0">
        <w:rPr>
          <w:b/>
          <w:bCs/>
          <w:caps/>
        </w:rPr>
        <w:t>Artikel II</w:t>
      </w:r>
      <w:r w:rsidRPr="00ED12E0">
        <w:rPr>
          <w:b/>
          <w:bCs/>
        </w:rPr>
        <w:t xml:space="preserve"> (Besluit bekostiging financieel toezicht 2019)</w:t>
      </w:r>
    </w:p>
    <w:p w:rsidRPr="00ED12E0" w:rsidR="002268D7" w:rsidP="00194FE5" w:rsidRDefault="002268D7" w14:paraId="7B1674D0" w14:textId="77777777">
      <w:pPr>
        <w:keepNext/>
        <w:spacing w:line="276" w:lineRule="auto"/>
        <w:rPr>
          <w:b/>
          <w:bCs/>
        </w:rPr>
      </w:pPr>
    </w:p>
    <w:p w:rsidRPr="00ED12E0" w:rsidR="002268D7" w:rsidP="00E3357E" w:rsidRDefault="00C56F37" w14:paraId="4A282331" w14:textId="4E9FC4F3">
      <w:pPr>
        <w:spacing w:line="276" w:lineRule="auto"/>
      </w:pPr>
      <w:proofErr w:type="spellStart"/>
      <w:r w:rsidRPr="00ED12E0">
        <w:t>MiCAR</w:t>
      </w:r>
      <w:proofErr w:type="spellEnd"/>
      <w:r w:rsidRPr="00ED12E0" w:rsidR="002268D7">
        <w:t xml:space="preserve"> voorziet in een overgangsperiode voor crypto-instellingen met een bestaande registratie op grond van de </w:t>
      </w:r>
      <w:proofErr w:type="spellStart"/>
      <w:r w:rsidRPr="00ED12E0" w:rsidR="002268D7">
        <w:t>Wwft</w:t>
      </w:r>
      <w:proofErr w:type="spellEnd"/>
      <w:r w:rsidRPr="00ED12E0" w:rsidR="002268D7">
        <w:t>. Zij kunnen tot en met 30 juni 2025 actief blijven. Waar DNB dit toezicht tot 30 december 2024 uitvoerde, wordt het vanaf die datum uitgevoerd door de AFM. In artikel I van dit besluit is voorzien in de mogelijkheid om deze kosten door te kunnen berekenen, maar nadat het overgangsregime vervalt kunnen ook de relevante personen en maatstaven vervallen.</w:t>
      </w:r>
    </w:p>
    <w:p w:rsidRPr="00ED12E0" w:rsidR="002268D7" w:rsidP="00E3357E" w:rsidRDefault="002268D7" w14:paraId="57E9A203" w14:textId="77777777">
      <w:pPr>
        <w:spacing w:line="276" w:lineRule="auto"/>
      </w:pPr>
    </w:p>
    <w:p w:rsidRPr="00ED12E0" w:rsidR="00F06AAA" w:rsidP="00E3357E" w:rsidRDefault="00F06AAA" w14:paraId="3AE69E16" w14:textId="77777777">
      <w:pPr>
        <w:spacing w:line="276" w:lineRule="auto"/>
      </w:pPr>
    </w:p>
    <w:p w:rsidRPr="00ED12E0" w:rsidR="002268D7" w:rsidP="00C56F37" w:rsidRDefault="0046215E" w14:paraId="3DE7038B" w14:textId="4D5E121D">
      <w:pPr>
        <w:spacing w:line="276" w:lineRule="auto"/>
        <w:rPr>
          <w:rFonts w:cs="Verdana"/>
          <w:b/>
          <w:bCs/>
          <w:szCs w:val="18"/>
        </w:rPr>
      </w:pPr>
      <w:bookmarkStart w:name="_Hlk164433121" w:id="10"/>
      <w:r w:rsidRPr="00ED12E0">
        <w:rPr>
          <w:b/>
          <w:bCs/>
          <w:caps/>
        </w:rPr>
        <w:t>Artikel II</w:t>
      </w:r>
      <w:r w:rsidRPr="00ED12E0" w:rsidR="002268D7">
        <w:rPr>
          <w:b/>
          <w:bCs/>
          <w:caps/>
        </w:rPr>
        <w:t>I</w:t>
      </w:r>
      <w:r w:rsidRPr="00ED12E0">
        <w:rPr>
          <w:b/>
          <w:bCs/>
          <w:caps/>
        </w:rPr>
        <w:t xml:space="preserve"> </w:t>
      </w:r>
      <w:bookmarkEnd w:id="10"/>
      <w:r w:rsidRPr="00ED12E0" w:rsidR="002268D7">
        <w:rPr>
          <w:rFonts w:cs="Verdana"/>
          <w:b/>
          <w:bCs/>
          <w:szCs w:val="18"/>
        </w:rPr>
        <w:t>(Inwerkingtreding)</w:t>
      </w:r>
    </w:p>
    <w:p w:rsidRPr="00ED12E0" w:rsidR="002268D7" w:rsidP="007F5CC2" w:rsidRDefault="002268D7" w14:paraId="38FC2C1C" w14:textId="77777777">
      <w:pPr>
        <w:autoSpaceDE w:val="0"/>
        <w:autoSpaceDN w:val="0"/>
        <w:adjustRightInd w:val="0"/>
        <w:spacing w:line="276" w:lineRule="auto"/>
        <w:rPr>
          <w:rFonts w:cs="Verdana"/>
          <w:b/>
          <w:bCs/>
          <w:szCs w:val="18"/>
        </w:rPr>
      </w:pPr>
    </w:p>
    <w:p w:rsidRPr="00ED12E0" w:rsidR="00C56F37" w:rsidP="007F5CC2" w:rsidRDefault="002268D7" w14:paraId="4079695E" w14:textId="3F7D5213">
      <w:pPr>
        <w:autoSpaceDE w:val="0"/>
        <w:autoSpaceDN w:val="0"/>
        <w:adjustRightInd w:val="0"/>
        <w:spacing w:line="276" w:lineRule="auto"/>
        <w:rPr>
          <w:rFonts w:cs="Verdana"/>
          <w:szCs w:val="18"/>
        </w:rPr>
      </w:pPr>
      <w:r w:rsidRPr="00ED12E0">
        <w:rPr>
          <w:rFonts w:cs="Verdana"/>
          <w:szCs w:val="18"/>
        </w:rPr>
        <w:t>Dit besluit treedt per 1 januari 2025 in werking om aan te sluiten bij het boekjaar van de toezichthouders</w:t>
      </w:r>
      <w:r w:rsidRPr="00ED12E0" w:rsidR="00C56F37">
        <w:rPr>
          <w:rFonts w:cs="Verdana"/>
          <w:szCs w:val="18"/>
        </w:rPr>
        <w:t>, met uitzondering van artikel II</w:t>
      </w:r>
      <w:r w:rsidRPr="00ED12E0">
        <w:rPr>
          <w:rFonts w:cs="Verdana"/>
          <w:szCs w:val="18"/>
        </w:rPr>
        <w:t>.</w:t>
      </w:r>
      <w:r w:rsidRPr="00ED12E0" w:rsidR="00C56F37">
        <w:rPr>
          <w:rFonts w:cs="Verdana"/>
          <w:szCs w:val="18"/>
        </w:rPr>
        <w:t xml:space="preserve"> </w:t>
      </w:r>
    </w:p>
    <w:p w:rsidRPr="00ED12E0" w:rsidR="00C56F37" w:rsidP="007F5CC2" w:rsidRDefault="00C56F37" w14:paraId="32B5CC9E" w14:textId="77777777">
      <w:pPr>
        <w:autoSpaceDE w:val="0"/>
        <w:autoSpaceDN w:val="0"/>
        <w:adjustRightInd w:val="0"/>
        <w:spacing w:line="276" w:lineRule="auto"/>
        <w:rPr>
          <w:rFonts w:cs="Verdana"/>
          <w:szCs w:val="18"/>
        </w:rPr>
      </w:pPr>
    </w:p>
    <w:p w:rsidRPr="00ED12E0" w:rsidR="002268D7" w:rsidP="00CB50AE" w:rsidRDefault="00C56F37" w14:paraId="35D4B486" w14:textId="24545ADE">
      <w:pPr>
        <w:keepNext/>
        <w:autoSpaceDE w:val="0"/>
        <w:autoSpaceDN w:val="0"/>
        <w:adjustRightInd w:val="0"/>
        <w:spacing w:line="276" w:lineRule="auto"/>
      </w:pPr>
      <w:r w:rsidRPr="00ED12E0">
        <w:rPr>
          <w:rFonts w:cs="Verdana"/>
          <w:szCs w:val="18"/>
        </w:rPr>
        <w:t>De overgangsperiode voor crypto-instellingen met een bestaande registratie geldt tot en met 30 juni 2025. Daarna kunnen de doorberekeningsgrondslagen voor dit regime komen te vervallen. Om te zorgen dat de AFM de kosten voor het overgangsregime in het boekjaar 2025 nog kan recupereren, treedt artikel II – dat de grondslagen doet vervallen – per 1 januari 2026 in werking.</w:t>
      </w:r>
      <w:r w:rsidRPr="00ED12E0" w:rsidR="002268D7">
        <w:rPr>
          <w:rFonts w:cs="Verdana"/>
          <w:szCs w:val="18"/>
        </w:rPr>
        <w:t xml:space="preserve"> </w:t>
      </w:r>
    </w:p>
    <w:p w:rsidRPr="00ED12E0" w:rsidR="0046215E" w:rsidP="00CB50AE" w:rsidRDefault="0046215E" w14:paraId="6D78ED0A" w14:textId="57E1D579">
      <w:pPr>
        <w:keepNext/>
        <w:spacing w:line="276" w:lineRule="auto"/>
      </w:pPr>
    </w:p>
    <w:p w:rsidRPr="00ED12E0" w:rsidR="00F06AAA" w:rsidP="00CB50AE" w:rsidRDefault="00F06AAA" w14:paraId="67F2A19F" w14:textId="77777777">
      <w:pPr>
        <w:keepNext/>
        <w:spacing w:line="276" w:lineRule="auto"/>
      </w:pPr>
    </w:p>
    <w:p w:rsidRPr="00ED12E0" w:rsidR="00C15A44" w:rsidP="00CB50AE" w:rsidRDefault="00C15A44" w14:paraId="7D4A5BCC" w14:textId="3730EDE6">
      <w:pPr>
        <w:keepNext/>
        <w:spacing w:line="276" w:lineRule="auto"/>
      </w:pPr>
      <w:r w:rsidRPr="00ED12E0">
        <w:t>De Minister van Financiën,</w:t>
      </w:r>
    </w:p>
    <w:p w:rsidRPr="00ED12E0" w:rsidR="00832F2C" w:rsidP="00E3357E" w:rsidRDefault="00832F2C" w14:paraId="08F08BA9" w14:textId="77777777">
      <w:pPr>
        <w:pStyle w:val="broodtekst"/>
        <w:spacing w:line="276" w:lineRule="auto"/>
      </w:pPr>
    </w:p>
    <w:sectPr w:rsidRPr="00ED12E0" w:rsidR="00832F2C" w:rsidSect="00D97908">
      <w:headerReference w:type="even" r:id="rId12"/>
      <w:footerReference w:type="default" r:id="rId13"/>
      <w:type w:val="continuous"/>
      <w:pgSz w:w="11906" w:h="16838" w:code="9"/>
      <w:pgMar w:top="2546" w:right="1758" w:bottom="1758" w:left="2041" w:header="2398" w:footer="624"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932D4" w14:textId="77777777" w:rsidR="005E710D" w:rsidRDefault="005E710D">
      <w:r>
        <w:separator/>
      </w:r>
    </w:p>
    <w:p w14:paraId="4F5FA8A3" w14:textId="77777777" w:rsidR="005E710D" w:rsidRDefault="005E710D"/>
    <w:p w14:paraId="23D542D8" w14:textId="77777777" w:rsidR="005E710D" w:rsidRDefault="005E710D"/>
    <w:p w14:paraId="477212D6" w14:textId="77777777" w:rsidR="005E710D" w:rsidRDefault="005E710D"/>
  </w:endnote>
  <w:endnote w:type="continuationSeparator" w:id="0">
    <w:p w14:paraId="660DA5D2" w14:textId="77777777" w:rsidR="005E710D" w:rsidRDefault="005E710D">
      <w:r>
        <w:continuationSeparator/>
      </w:r>
    </w:p>
    <w:p w14:paraId="349F5A0F" w14:textId="77777777" w:rsidR="005E710D" w:rsidRDefault="005E710D"/>
    <w:p w14:paraId="604EB316" w14:textId="77777777" w:rsidR="005E710D" w:rsidRDefault="005E710D"/>
    <w:p w14:paraId="46393154" w14:textId="77777777" w:rsidR="005E710D" w:rsidRDefault="005E710D"/>
  </w:endnote>
  <w:endnote w:type="continuationNotice" w:id="1">
    <w:p w14:paraId="233DD28E" w14:textId="77777777" w:rsidR="005E710D" w:rsidRDefault="005E71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IX Barcode">
    <w:panose1 w:val="020B7200000000000000"/>
    <w:charset w:val="00"/>
    <w:family w:val="swiss"/>
    <w:pitch w:val="variable"/>
    <w:sig w:usb0="80000003" w:usb1="00000000" w:usb2="00000000" w:usb3="00000000" w:csb0="00000001" w:csb1="00000000"/>
  </w:font>
  <w:font w:name="RO VenW">
    <w:altName w:val="Courier Ne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amp;W Syntax (Adobe)">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E2ED" w14:textId="77777777" w:rsidR="001859B1" w:rsidRDefault="001859B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5B799C80" w14:textId="77777777" w:rsidR="001859B1" w:rsidRDefault="001859B1">
    <w:pPr>
      <w:pStyle w:val="Voettekst"/>
    </w:pPr>
  </w:p>
  <w:p w14:paraId="6375C4D2" w14:textId="77777777" w:rsidR="001859B1" w:rsidRDefault="001859B1"/>
  <w:tbl>
    <w:tblPr>
      <w:tblW w:w="9900" w:type="dxa"/>
      <w:tblLayout w:type="fixed"/>
      <w:tblCellMar>
        <w:left w:w="0" w:type="dxa"/>
        <w:right w:w="0" w:type="dxa"/>
      </w:tblCellMar>
      <w:tblLook w:val="0000" w:firstRow="0" w:lastRow="0" w:firstColumn="0" w:lastColumn="0" w:noHBand="0" w:noVBand="0"/>
    </w:tblPr>
    <w:tblGrid>
      <w:gridCol w:w="7752"/>
      <w:gridCol w:w="2148"/>
    </w:tblGrid>
    <w:tr w:rsidR="001859B1" w14:paraId="49A7A5E8" w14:textId="77777777">
      <w:trPr>
        <w:trHeight w:hRule="exact" w:val="240"/>
      </w:trPr>
      <w:tc>
        <w:tcPr>
          <w:tcW w:w="7752" w:type="dxa"/>
        </w:tcPr>
        <w:p w14:paraId="380CA2D4" w14:textId="77777777" w:rsidR="001859B1" w:rsidRDefault="001859B1">
          <w:pPr>
            <w:pStyle w:val="Huisstijl-Rubricering"/>
          </w:pPr>
          <w:r>
            <w:t>VERTROUWELIJK</w:t>
          </w:r>
        </w:p>
      </w:tc>
      <w:tc>
        <w:tcPr>
          <w:tcW w:w="2148" w:type="dxa"/>
        </w:tcPr>
        <w:p w14:paraId="57CF6021" w14:textId="77777777" w:rsidR="001859B1" w:rsidRDefault="001859B1">
          <w:pPr>
            <w:pStyle w:val="Huisstijl-Paginanummering"/>
          </w:pPr>
          <w:r>
            <w:rPr>
              <w:rStyle w:val="Huisstijl-GegevenCharChar"/>
            </w:rPr>
            <w:t>Pagina  van</w:t>
          </w:r>
          <w:r>
            <w:t xml:space="preserve"> </w:t>
          </w:r>
          <w:r w:rsidR="007E49A7">
            <w:fldChar w:fldCharType="begin"/>
          </w:r>
          <w:r w:rsidR="007E49A7">
            <w:instrText xml:space="preserve"> NUMPAGES   \* MERGEFORMAT </w:instrText>
          </w:r>
          <w:r w:rsidR="007E49A7">
            <w:fldChar w:fldCharType="separate"/>
          </w:r>
          <w:r w:rsidR="00EE5E0D">
            <w:t>3</w:t>
          </w:r>
          <w:r w:rsidR="007E49A7">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859B1" w14:paraId="71376C9F" w14:textId="77777777">
      <w:trPr>
        <w:trHeight w:hRule="exact" w:val="240"/>
      </w:trPr>
      <w:tc>
        <w:tcPr>
          <w:tcW w:w="7752" w:type="dxa"/>
        </w:tcPr>
        <w:p w14:paraId="43C74CF7" w14:textId="77777777" w:rsidR="001859B1" w:rsidRDefault="001859B1">
          <w:pPr>
            <w:pStyle w:val="Huisstijl-Rubricering"/>
          </w:pPr>
          <w:r>
            <w:fldChar w:fldCharType="begin"/>
          </w:r>
          <w:r>
            <w:instrText xml:space="preserve"> DOCPROPERTY rubricering </w:instrText>
          </w:r>
          <w:r>
            <w:fldChar w:fldCharType="separate"/>
          </w:r>
          <w:r w:rsidR="00EE5E0D">
            <w:rPr>
              <w:b w:val="0"/>
              <w:bCs w:val="0"/>
            </w:rPr>
            <w:t>Fout! Onbekende naam voor documenteigenschap.</w:t>
          </w:r>
          <w:r>
            <w:fldChar w:fldCharType="end"/>
          </w:r>
        </w:p>
      </w:tc>
      <w:tc>
        <w:tcPr>
          <w:tcW w:w="2148" w:type="dxa"/>
        </w:tcPr>
        <w:p w14:paraId="4FE076B9" w14:textId="77777777" w:rsidR="001859B1" w:rsidRDefault="001859B1">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EE5E0D">
            <w:rPr>
              <w:rStyle w:val="Huisstijl-GegevenCharChar"/>
              <w:b/>
              <w:bCs/>
            </w:rPr>
            <w:t>Fout! Onbekende naam voor documenteigenschap.</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EE5E0D">
            <w:rPr>
              <w:rStyle w:val="Huisstijl-GegevenCharChar"/>
              <w:b/>
              <w:bCs/>
            </w:rPr>
            <w:t>Fout! Onbekende naam voor documenteigenschap.</w:t>
          </w:r>
          <w:r>
            <w:rPr>
              <w:rStyle w:val="Huisstijl-GegevenCharChar"/>
            </w:rPr>
            <w:fldChar w:fldCharType="end"/>
          </w:r>
          <w:r>
            <w:t xml:space="preserve"> </w:t>
          </w:r>
          <w:r w:rsidR="007E49A7">
            <w:fldChar w:fldCharType="begin"/>
          </w:r>
          <w:r w:rsidR="007E49A7">
            <w:instrText xml:space="preserve"> SECTIONPAGES   \* MERGEFORMAT </w:instrText>
          </w:r>
          <w:r w:rsidR="007E49A7">
            <w:fldChar w:fldCharType="separate"/>
          </w:r>
          <w:r>
            <w:t>1</w:t>
          </w:r>
          <w:r w:rsidR="007E49A7">
            <w:fldChar w:fldCharType="end"/>
          </w:r>
        </w:p>
      </w:tc>
    </w:tr>
  </w:tbl>
  <w:p w14:paraId="764F12A9" w14:textId="77777777" w:rsidR="001859B1" w:rsidRDefault="001859B1">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BBBB" w14:textId="77777777" w:rsidR="001859B1" w:rsidRDefault="001859B1">
    <w:pPr>
      <w:pStyle w:val="Huisstijl-Paginanummering"/>
      <w:rPr>
        <w:sz w:val="2"/>
      </w:rPr>
    </w:pPr>
  </w:p>
  <w:p w14:paraId="3D77B0E0" w14:textId="77777777" w:rsidR="001859B1" w:rsidRDefault="001859B1">
    <w:pPr>
      <w:pStyle w:val="Voettekst"/>
      <w:spacing w:line="240"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1C1D" w14:textId="77777777" w:rsidR="001859B1" w:rsidRDefault="001859B1">
    <w:pPr>
      <w:pStyle w:val="Voettekst"/>
      <w:spacing w:line="240" w:lineRule="auto"/>
      <w:rPr>
        <w:sz w:val="2"/>
        <w:szCs w:val="2"/>
      </w:rPr>
    </w:pPr>
  </w:p>
  <w:p w14:paraId="3A5182A4" w14:textId="77777777" w:rsidR="001859B1" w:rsidRDefault="001859B1">
    <w:pPr>
      <w:jc w:val="right"/>
      <w:rPr>
        <w:rStyle w:val="Huisstijl-GegevenCharChar"/>
      </w:rPr>
    </w:pPr>
    <w:r>
      <w:rPr>
        <w:rStyle w:val="Huisstijl-GegevenCharChar"/>
      </w:rPr>
      <w:fldChar w:fldCharType="begin"/>
    </w:r>
    <w:r>
      <w:rPr>
        <w:rStyle w:val="Huisstijl-GegevenCharChar"/>
      </w:rPr>
      <w:instrText xml:space="preserve"> PAGE </w:instrText>
    </w:r>
    <w:r>
      <w:rPr>
        <w:rStyle w:val="Huisstijl-GegevenCharChar"/>
      </w:rPr>
      <w:fldChar w:fldCharType="separate"/>
    </w:r>
    <w:r w:rsidR="007E2258">
      <w:rPr>
        <w:rStyle w:val="Huisstijl-GegevenCharChar"/>
      </w:rPr>
      <w:t>2</w:t>
    </w:r>
    <w:r>
      <w:rPr>
        <w:rStyle w:val="Huisstijl-GegevenCha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74D96" w14:textId="77777777" w:rsidR="005E710D" w:rsidRDefault="005E710D">
      <w:r>
        <w:separator/>
      </w:r>
    </w:p>
  </w:footnote>
  <w:footnote w:type="continuationSeparator" w:id="0">
    <w:p w14:paraId="276504F7" w14:textId="77777777" w:rsidR="005E710D" w:rsidRDefault="005E710D">
      <w:r>
        <w:continuationSeparator/>
      </w:r>
    </w:p>
  </w:footnote>
  <w:footnote w:type="continuationNotice" w:id="1">
    <w:p w14:paraId="60666A50" w14:textId="77777777" w:rsidR="005E710D" w:rsidRDefault="005E710D">
      <w:pPr>
        <w:spacing w:line="240" w:lineRule="auto"/>
      </w:pPr>
    </w:p>
  </w:footnote>
  <w:footnote w:id="2">
    <w:p w14:paraId="08BD8A23" w14:textId="5D9B962C" w:rsidR="00DD2396" w:rsidRPr="00AE04A6" w:rsidRDefault="00DD2396">
      <w:pPr>
        <w:pStyle w:val="Voetnoottekst"/>
      </w:pPr>
      <w:r w:rsidRPr="00AE04A6">
        <w:rPr>
          <w:rStyle w:val="Voetnootmarkering"/>
        </w:rPr>
        <w:footnoteRef/>
      </w:r>
      <w:r w:rsidRPr="00AE04A6">
        <w:t xml:space="preserve"> </w:t>
      </w:r>
      <w:r w:rsidR="008702F0" w:rsidRPr="00AE04A6">
        <w:t>Kamerstukken 36527.</w:t>
      </w:r>
    </w:p>
  </w:footnote>
  <w:footnote w:id="3">
    <w:p w14:paraId="00CDC64E" w14:textId="34DD081A" w:rsidR="00DD2396" w:rsidRPr="00AE04A6" w:rsidRDefault="00DD2396">
      <w:pPr>
        <w:pStyle w:val="Voetnoottekst"/>
      </w:pPr>
      <w:r w:rsidRPr="00AE04A6">
        <w:rPr>
          <w:rStyle w:val="Voetnootmarkering"/>
        </w:rPr>
        <w:footnoteRef/>
      </w:r>
      <w:r w:rsidRPr="00AE04A6">
        <w:t xml:space="preserve"> </w:t>
      </w:r>
      <w:r w:rsidR="00BA42CA" w:rsidRPr="00AE04A6">
        <w:t>https://wetgevingskalender.overheid.nl/Regeling/WGK026133</w:t>
      </w:r>
      <w:r w:rsidR="00096E94" w:rsidRPr="00AE04A6">
        <w:t>.</w:t>
      </w:r>
    </w:p>
  </w:footnote>
  <w:footnote w:id="4">
    <w:p w14:paraId="4A202467" w14:textId="30DBE5D1" w:rsidR="00FE138C" w:rsidRPr="00AE04A6" w:rsidRDefault="00FE138C">
      <w:pPr>
        <w:pStyle w:val="Voetnoottekst"/>
      </w:pPr>
      <w:r w:rsidRPr="00AE04A6">
        <w:rPr>
          <w:rStyle w:val="Voetnootmarkering"/>
        </w:rPr>
        <w:footnoteRef/>
      </w:r>
      <w:r w:rsidRPr="00AE04A6">
        <w:t xml:space="preserve"> </w:t>
      </w:r>
      <w:bookmarkStart w:id="6" w:name="_Hlk164775477"/>
      <w:r w:rsidR="008702F0" w:rsidRPr="00AE04A6">
        <w:t xml:space="preserve">Dit regime komt te vervallen met </w:t>
      </w:r>
      <w:r w:rsidR="008A0127" w:rsidRPr="00AE04A6">
        <w:t xml:space="preserve">de </w:t>
      </w:r>
      <w:r w:rsidR="008702F0" w:rsidRPr="00AE04A6">
        <w:t>Uitvoeringswet verordening bij geldovermakingen en overdrachten van cryptoactiva te voegen informatie (Kamerstukken 3652</w:t>
      </w:r>
      <w:r w:rsidR="00A677F1" w:rsidRPr="00AE04A6">
        <w:t>6</w:t>
      </w:r>
      <w:r w:rsidR="008702F0" w:rsidRPr="00AE04A6">
        <w:t>)</w:t>
      </w:r>
      <w:r w:rsidRPr="00AE04A6">
        <w:t>.</w:t>
      </w:r>
    </w:p>
    <w:bookmarkEnd w:id="6"/>
  </w:footnote>
  <w:footnote w:id="5">
    <w:p w14:paraId="2F690E6C" w14:textId="77777777" w:rsidR="00761718" w:rsidRPr="00AE04A6" w:rsidRDefault="00761718" w:rsidP="00761718">
      <w:pPr>
        <w:pStyle w:val="Voetnoottekst"/>
      </w:pPr>
      <w:r w:rsidRPr="00AE04A6">
        <w:rPr>
          <w:rStyle w:val="Voetnootmarkering"/>
        </w:rPr>
        <w:footnoteRef/>
      </w:r>
      <w:r w:rsidRPr="00AE04A6">
        <w:t xml:space="preserve"> Verder wordt verwezen naar de toelichting bij het Uitvoeringsbesluit verordening cryptoactiva en verordening bij geldovermakingen en overdrachten van cryptoactiva te voegen informatie.</w:t>
      </w:r>
    </w:p>
  </w:footnote>
  <w:footnote w:id="6">
    <w:p w14:paraId="0B16559C" w14:textId="219826A0" w:rsidR="00DB4A3E" w:rsidRPr="00AE04A6" w:rsidRDefault="00DB4A3E">
      <w:pPr>
        <w:pStyle w:val="Voetnoottekst"/>
      </w:pPr>
      <w:r w:rsidRPr="00AE04A6">
        <w:rPr>
          <w:rStyle w:val="Voetnootmarkering"/>
        </w:rPr>
        <w:footnoteRef/>
      </w:r>
      <w:r w:rsidRPr="00AE04A6">
        <w:t xml:space="preserve"> Artikel IV </w:t>
      </w:r>
      <w:r w:rsidR="007D7803" w:rsidRPr="00AE04A6">
        <w:t xml:space="preserve">van de </w:t>
      </w:r>
      <w:r w:rsidRPr="00AE04A6">
        <w:t>Uitvoeringswet verordening bij geldovermakingen en overdrachten van cryptoactiva te voegen informatie.</w:t>
      </w:r>
    </w:p>
  </w:footnote>
  <w:footnote w:id="7">
    <w:p w14:paraId="6BAF8C44" w14:textId="026E8D03" w:rsidR="00D0171D" w:rsidRPr="00AE04A6" w:rsidRDefault="00D0171D">
      <w:pPr>
        <w:pStyle w:val="Voetnoottekst"/>
      </w:pPr>
      <w:r w:rsidRPr="00AE04A6">
        <w:rPr>
          <w:rStyle w:val="Voetnootmarkering"/>
        </w:rPr>
        <w:footnoteRef/>
      </w:r>
      <w:r w:rsidRPr="00AE04A6">
        <w:t xml:space="preserve"> Kamerstukken II 2023/24, 32545, nr. 205.</w:t>
      </w:r>
    </w:p>
  </w:footnote>
  <w:footnote w:id="8">
    <w:p w14:paraId="1B0AA4EB" w14:textId="108D3F8E" w:rsidR="00D17CDD" w:rsidRPr="00AE04A6" w:rsidRDefault="00D17CDD">
      <w:pPr>
        <w:pStyle w:val="Voetnoottekst"/>
      </w:pPr>
      <w:r w:rsidRPr="00AE04A6">
        <w:rPr>
          <w:rStyle w:val="Voetnootmarkering"/>
        </w:rPr>
        <w:footnoteRef/>
      </w:r>
      <w:r w:rsidRPr="00AE04A6">
        <w:t xml:space="preserve"> Percentages </w:t>
      </w:r>
      <w:r w:rsidR="00146503" w:rsidRPr="00AE04A6">
        <w:t>zoals geldend in</w:t>
      </w:r>
      <w:r w:rsidRPr="00AE04A6">
        <w:t xml:space="preserve"> 2024.</w:t>
      </w:r>
    </w:p>
  </w:footnote>
  <w:footnote w:id="9">
    <w:p w14:paraId="49A63385" w14:textId="43DB9D08" w:rsidR="00507FF8" w:rsidRPr="00AE04A6" w:rsidRDefault="00507FF8">
      <w:pPr>
        <w:pStyle w:val="Voetnoottekst"/>
      </w:pPr>
      <w:r w:rsidRPr="00AE04A6">
        <w:rPr>
          <w:rStyle w:val="Voetnootmarkering"/>
        </w:rPr>
        <w:footnoteRef/>
      </w:r>
      <w:r w:rsidRPr="00AE04A6">
        <w:t xml:space="preserve"> </w:t>
      </w:r>
      <w:r w:rsidR="008702F0" w:rsidRPr="00AE04A6">
        <w:t>Kamerstukken</w:t>
      </w:r>
      <w:r w:rsidR="00BA42CA" w:rsidRPr="00AE04A6">
        <w:t xml:space="preserve"> II 2023/24,</w:t>
      </w:r>
      <w:r w:rsidR="008702F0" w:rsidRPr="00AE04A6">
        <w:t xml:space="preserve"> </w:t>
      </w:r>
      <w:r w:rsidRPr="00AE04A6">
        <w:t>36527</w:t>
      </w:r>
      <w:r w:rsidR="00BA42CA" w:rsidRPr="00AE04A6">
        <w:t>, nr. 3, paragraaf 6</w:t>
      </w:r>
      <w:r w:rsidR="008702F0" w:rsidRPr="00AE04A6">
        <w:t>.</w:t>
      </w:r>
    </w:p>
  </w:footnote>
  <w:footnote w:id="10">
    <w:p w14:paraId="3D7328C3" w14:textId="1F42CC3A" w:rsidR="00880713" w:rsidRPr="00AE04A6" w:rsidRDefault="00880713">
      <w:pPr>
        <w:pStyle w:val="Voetnoottekst"/>
      </w:pPr>
      <w:r w:rsidRPr="00AE04A6">
        <w:rPr>
          <w:rStyle w:val="Voetnootmarkering"/>
        </w:rPr>
        <w:footnoteRef/>
      </w:r>
      <w:r w:rsidRPr="00AE04A6">
        <w:t xml:space="preserve"> Zie www.internetconsultatie.nl/bbft2025.</w:t>
      </w:r>
    </w:p>
  </w:footnote>
  <w:footnote w:id="11">
    <w:p w14:paraId="675CB024" w14:textId="1C81084D" w:rsidR="008702F0" w:rsidRPr="00AE04A6" w:rsidRDefault="008702F0">
      <w:pPr>
        <w:pStyle w:val="Voetnoottekst"/>
      </w:pPr>
      <w:r w:rsidRPr="00AE04A6">
        <w:rPr>
          <w:rStyle w:val="Voetnootmarkering"/>
        </w:rPr>
        <w:footnoteRef/>
      </w:r>
      <w:r w:rsidRPr="00AE04A6">
        <w:t xml:space="preserve"> Kamerstukken 3652</w:t>
      </w:r>
      <w:r w:rsidR="00BF257D" w:rsidRPr="00AE04A6">
        <w:t>6</w:t>
      </w:r>
      <w:r w:rsidRPr="00AE04A6">
        <w:t>.</w:t>
      </w:r>
    </w:p>
  </w:footnote>
  <w:footnote w:id="12">
    <w:p w14:paraId="4A4BB717" w14:textId="0098B1B9" w:rsidR="00BE4C53" w:rsidRPr="00AE04A6" w:rsidRDefault="00BE4C53">
      <w:pPr>
        <w:pStyle w:val="Voetnoottekst"/>
      </w:pPr>
      <w:r w:rsidRPr="00AE04A6">
        <w:rPr>
          <w:rStyle w:val="Voetnootmarkering"/>
        </w:rPr>
        <w:footnoteRef/>
      </w:r>
      <w:r w:rsidRPr="00AE04A6">
        <w:t xml:space="preserve"> Zie ook de toelichting bij de Regeling bekostiging financieel toezicht 2024 (</w:t>
      </w:r>
      <w:r w:rsidRPr="00AE04A6">
        <w:t>Stcrt. 20574), p. 17—18.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4CDC" w14:textId="77777777" w:rsidR="001859B1" w:rsidRDefault="001859B1">
    <w:pPr>
      <w:pStyle w:val="Koptekst"/>
    </w:pPr>
  </w:p>
  <w:p w14:paraId="55289552" w14:textId="77777777" w:rsidR="001859B1" w:rsidRDefault="001859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34D1" w14:textId="77777777" w:rsidR="001859B1" w:rsidRDefault="001859B1">
    <w:pPr>
      <w:pStyle w:val="Koptekst"/>
    </w:pPr>
    <w:r>
      <w:rPr>
        <w:noProof/>
        <w:sz w:val="20"/>
      </w:rPr>
      <w:drawing>
        <wp:anchor distT="0" distB="0" distL="114300" distR="114300" simplePos="0" relativeHeight="251658240" behindDoc="0" locked="1" layoutInCell="1" allowOverlap="1" wp14:anchorId="7F2D1F80" wp14:editId="011E79F3">
          <wp:simplePos x="0" y="0"/>
          <wp:positionH relativeFrom="page">
            <wp:posOffset>3810</wp:posOffset>
          </wp:positionH>
          <wp:positionV relativeFrom="page">
            <wp:posOffset>0</wp:posOffset>
          </wp:positionV>
          <wp:extent cx="6432550" cy="2393950"/>
          <wp:effectExtent l="0" t="0" r="6350" b="6350"/>
          <wp:wrapNone/>
          <wp:docPr id="3" name="Afbeelding 3" descr="wijwillemalexan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wijwillemalexand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2550" cy="239395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09F6" w14:textId="77777777" w:rsidR="001859B1" w:rsidRDefault="001859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4490206"/>
    <w:multiLevelType w:val="multilevel"/>
    <w:tmpl w:val="BE54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012951"/>
    <w:multiLevelType w:val="hybridMultilevel"/>
    <w:tmpl w:val="83A862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8" w15:restartNumberingAfterBreak="0">
    <w:nsid w:val="3C2A4587"/>
    <w:multiLevelType w:val="hybridMultilevel"/>
    <w:tmpl w:val="09486404"/>
    <w:lvl w:ilvl="0" w:tplc="DC4E3324">
      <w:numFmt w:val="bullet"/>
      <w:lvlText w:val="-"/>
      <w:lvlJc w:val="left"/>
      <w:pPr>
        <w:ind w:left="720" w:hanging="360"/>
      </w:pPr>
      <w:rPr>
        <w:rFonts w:ascii="Verdana" w:eastAsia="Times New Roman" w:hAnsi="Verdana" w:cs="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05662F1"/>
    <w:multiLevelType w:val="hybridMultilevel"/>
    <w:tmpl w:val="0C0210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B346B1"/>
    <w:multiLevelType w:val="hybridMultilevel"/>
    <w:tmpl w:val="595815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4796319"/>
    <w:multiLevelType w:val="hybridMultilevel"/>
    <w:tmpl w:val="23B41BB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6" w15:restartNumberingAfterBreak="0">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7" w15:restartNumberingAfterBreak="0">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8" w15:restartNumberingAfterBreak="0">
    <w:nsid w:val="6E0A355D"/>
    <w:multiLevelType w:val="hybridMultilevel"/>
    <w:tmpl w:val="F3A21F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16cid:durableId="1516649219">
    <w:abstractNumId w:val="13"/>
  </w:num>
  <w:num w:numId="2" w16cid:durableId="1641687619">
    <w:abstractNumId w:val="7"/>
  </w:num>
  <w:num w:numId="3" w16cid:durableId="588738087">
    <w:abstractNumId w:val="6"/>
  </w:num>
  <w:num w:numId="4" w16cid:durableId="1470173625">
    <w:abstractNumId w:val="5"/>
  </w:num>
  <w:num w:numId="5" w16cid:durableId="68693154">
    <w:abstractNumId w:val="4"/>
  </w:num>
  <w:num w:numId="6" w16cid:durableId="576986149">
    <w:abstractNumId w:val="8"/>
  </w:num>
  <w:num w:numId="7" w16cid:durableId="394857549">
    <w:abstractNumId w:val="3"/>
  </w:num>
  <w:num w:numId="8" w16cid:durableId="1324813732">
    <w:abstractNumId w:val="2"/>
  </w:num>
  <w:num w:numId="9" w16cid:durableId="335691257">
    <w:abstractNumId w:val="1"/>
  </w:num>
  <w:num w:numId="10" w16cid:durableId="1230001911">
    <w:abstractNumId w:val="0"/>
  </w:num>
  <w:num w:numId="11" w16cid:durableId="1944876801">
    <w:abstractNumId w:val="11"/>
  </w:num>
  <w:num w:numId="12" w16cid:durableId="342897782">
    <w:abstractNumId w:val="15"/>
  </w:num>
  <w:num w:numId="13" w16cid:durableId="463160671">
    <w:abstractNumId w:val="22"/>
  </w:num>
  <w:num w:numId="14" w16cid:durableId="84614803">
    <w:abstractNumId w:val="16"/>
  </w:num>
  <w:num w:numId="15" w16cid:durableId="1800998621">
    <w:abstractNumId w:val="17"/>
  </w:num>
  <w:num w:numId="16" w16cid:durableId="85538609">
    <w:abstractNumId w:val="26"/>
  </w:num>
  <w:num w:numId="17" w16cid:durableId="439181866">
    <w:abstractNumId w:val="20"/>
  </w:num>
  <w:num w:numId="18" w16cid:durableId="687292733">
    <w:abstractNumId w:val="25"/>
  </w:num>
  <w:num w:numId="19" w16cid:durableId="1037435255">
    <w:abstractNumId w:val="19"/>
  </w:num>
  <w:num w:numId="20" w16cid:durableId="794712474">
    <w:abstractNumId w:val="10"/>
  </w:num>
  <w:num w:numId="21" w16cid:durableId="1938249228">
    <w:abstractNumId w:val="29"/>
  </w:num>
  <w:num w:numId="22" w16cid:durableId="417870607">
    <w:abstractNumId w:val="27"/>
  </w:num>
  <w:num w:numId="23" w16cid:durableId="1044908006">
    <w:abstractNumId w:val="14"/>
  </w:num>
  <w:num w:numId="24" w16cid:durableId="442384615">
    <w:abstractNumId w:val="17"/>
  </w:num>
  <w:num w:numId="25" w16cid:durableId="1670020567">
    <w:abstractNumId w:val="26"/>
  </w:num>
  <w:num w:numId="26" w16cid:durableId="2040738714">
    <w:abstractNumId w:val="29"/>
  </w:num>
  <w:num w:numId="27" w16cid:durableId="1285192547">
    <w:abstractNumId w:val="25"/>
  </w:num>
  <w:num w:numId="28" w16cid:durableId="111175835">
    <w:abstractNumId w:val="27"/>
  </w:num>
  <w:num w:numId="29" w16cid:durableId="778724048">
    <w:abstractNumId w:val="14"/>
  </w:num>
  <w:num w:numId="30" w16cid:durableId="1157260797">
    <w:abstractNumId w:val="28"/>
  </w:num>
  <w:num w:numId="31" w16cid:durableId="1343050203">
    <w:abstractNumId w:val="12"/>
  </w:num>
  <w:num w:numId="32" w16cid:durableId="1439331707">
    <w:abstractNumId w:val="23"/>
  </w:num>
  <w:num w:numId="33" w16cid:durableId="1749307858">
    <w:abstractNumId w:val="18"/>
  </w:num>
  <w:num w:numId="34" w16cid:durableId="2099446642">
    <w:abstractNumId w:val="9"/>
  </w:num>
  <w:num w:numId="35" w16cid:durableId="36242566">
    <w:abstractNumId w:val="21"/>
  </w:num>
  <w:num w:numId="36" w16cid:durableId="4028022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5" w:nlCheck="1" w:checkStyle="1"/>
  <w:activeWritingStyle w:appName="MSWord" w:lang="en-US" w:vendorID="64" w:dllVersion="6" w:nlCheck="1" w:checkStyle="1"/>
  <w:activeWritingStyle w:appName="MSWord" w:lang="en-GB" w:vendorID="64" w:dllVersion="5" w:nlCheck="1" w:checkStyle="1"/>
  <w:activeWritingStyle w:appName="MSWord" w:lang="nl-NL" w:vendorID="64" w:dllVersion="0" w:nlCheck="1" w:checkStyle="0"/>
  <w:activeWritingStyle w:appName="MSWord" w:lang="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050" style="mso-position-horizontal-relative:page;mso-position-vertical-relative:page" strokecolor="fuchsia">
      <v:stroke color="fuchsi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res" w:val=" "/>
    <w:docVar w:name="Carma DocSys~CanReopen" w:val="0"/>
    <w:docVar w:name="Carma DocSys~XML" w:val="&lt;?xml version=&quot;1.0&quot;?&gt;_x000d__x000a_&lt;data customer=&quot;minjus&quot; profile=&quot;minjus&quot; model=&quot;wij_willem-alexander.xml&quot; country-code=&quot;31&quot; target=&quot;Microsoft Word&quot; target-version=&quot;14.0&quot; target-build=&quot;14.0.6129&quot; engine-version=&quot;2.6.10&quot; lastuser-initials=&quot;LV&quot; lastuser-name=&quot;Vester L.J. - BD/DWJZ/WKB&quot;&gt;&lt;wijwa template=&quot;wij_willem-alexander.dot&quot; id=&quot;fb26ea6ce8b749498482ecb9e6614eaf&quot; version=&quot;1.0&quot; reopen=&quot;false&quot; lcid=&quot;1043&quot; locale=&quot;nl&quot;&gt;&lt;PAPER first=&quot;blanco&quot; other=&quot;blanco&quot;/&gt;&lt;zaak/&gt;&lt;digijust value=&quot;0&quot; formatted-value=&quot;0&quot;/&gt;&lt;documentsubtype formatted-value=&quot;Overige&quot;/&gt;&lt;documenttitel formatted-value=&quot;Wij Willem Alexander&quot;/&gt;&lt;heropend value=&quot;false&quot;/&gt;&lt;vorm value=&quot;Digitaal&quot;/&gt;&lt;ZaakLocatie/&gt;&lt;zaakkenmerk/&gt;&lt;zaaktitel/&gt;&lt;drager formatted-value=&quot;Document&quot;/&gt;&lt;documentclass value=&quot;Overige&quot; formatted-value=&quot;Overige&quot;/&gt;&lt;onderdeel/&gt;&lt;digionderdeel/&gt;&lt;documentdatum/&gt;&lt;documentomschrijving/&gt;&lt;adres/&gt;&lt;geadresseerde/&gt;&lt;land/&gt;&lt;postcode/&gt;&lt;woonplaats/&gt;&lt;titel/&gt;&lt;onderwerp/&gt;&lt;contactpersoon/&gt;&lt;directoraat/&gt;&lt;docstatus/&gt;&lt;documenttype value=&quot;Uitgaand&quot;/&gt;&lt;doctype value=&quot;Wij Willem Alexander&quot; formatted-value=&quot;Wij Willem Alexander&quot;/&gt;&lt;/wijwa&gt;&lt;/data&gt;_x000d__x000a_"/>
    <w:docVar w:name="clausule" w:val="clausule"/>
  </w:docVars>
  <w:rsids>
    <w:rsidRoot w:val="005E14AD"/>
    <w:rsid w:val="00003938"/>
    <w:rsid w:val="000126DE"/>
    <w:rsid w:val="00021695"/>
    <w:rsid w:val="00023063"/>
    <w:rsid w:val="00043A06"/>
    <w:rsid w:val="0006480C"/>
    <w:rsid w:val="000721BE"/>
    <w:rsid w:val="00091F28"/>
    <w:rsid w:val="00092368"/>
    <w:rsid w:val="00093D0D"/>
    <w:rsid w:val="00096E94"/>
    <w:rsid w:val="000A4FC9"/>
    <w:rsid w:val="000A7DEC"/>
    <w:rsid w:val="000B4FED"/>
    <w:rsid w:val="000C2BCA"/>
    <w:rsid w:val="000C5BB9"/>
    <w:rsid w:val="000D58EE"/>
    <w:rsid w:val="000D5982"/>
    <w:rsid w:val="000F55E3"/>
    <w:rsid w:val="00111B44"/>
    <w:rsid w:val="00117A7E"/>
    <w:rsid w:val="00133C99"/>
    <w:rsid w:val="00137D7B"/>
    <w:rsid w:val="00146503"/>
    <w:rsid w:val="001653D9"/>
    <w:rsid w:val="00171C9C"/>
    <w:rsid w:val="00174A14"/>
    <w:rsid w:val="001859B1"/>
    <w:rsid w:val="001914B3"/>
    <w:rsid w:val="00194FE5"/>
    <w:rsid w:val="001B6A25"/>
    <w:rsid w:val="001C0B05"/>
    <w:rsid w:val="001C0EFA"/>
    <w:rsid w:val="001C557D"/>
    <w:rsid w:val="001D3F81"/>
    <w:rsid w:val="001E73CD"/>
    <w:rsid w:val="001F000A"/>
    <w:rsid w:val="001F01A4"/>
    <w:rsid w:val="001F32F1"/>
    <w:rsid w:val="001F3E63"/>
    <w:rsid w:val="001F59BA"/>
    <w:rsid w:val="001F60E3"/>
    <w:rsid w:val="001F6FD6"/>
    <w:rsid w:val="002268D7"/>
    <w:rsid w:val="00231D31"/>
    <w:rsid w:val="00235291"/>
    <w:rsid w:val="00251680"/>
    <w:rsid w:val="00260F92"/>
    <w:rsid w:val="0026631D"/>
    <w:rsid w:val="00270C97"/>
    <w:rsid w:val="00270FEF"/>
    <w:rsid w:val="00274768"/>
    <w:rsid w:val="00282207"/>
    <w:rsid w:val="002832A3"/>
    <w:rsid w:val="00285D8E"/>
    <w:rsid w:val="00287F8C"/>
    <w:rsid w:val="00293E06"/>
    <w:rsid w:val="002A5C0D"/>
    <w:rsid w:val="002B0A29"/>
    <w:rsid w:val="002B3AE6"/>
    <w:rsid w:val="002B6CE4"/>
    <w:rsid w:val="002C3298"/>
    <w:rsid w:val="002C3837"/>
    <w:rsid w:val="002D13AB"/>
    <w:rsid w:val="002D2C26"/>
    <w:rsid w:val="002D6D60"/>
    <w:rsid w:val="002E1998"/>
    <w:rsid w:val="002E7966"/>
    <w:rsid w:val="002E7C06"/>
    <w:rsid w:val="002F6E6F"/>
    <w:rsid w:val="002F7CE3"/>
    <w:rsid w:val="00310763"/>
    <w:rsid w:val="00311672"/>
    <w:rsid w:val="00330726"/>
    <w:rsid w:val="00335F36"/>
    <w:rsid w:val="00365205"/>
    <w:rsid w:val="003768A4"/>
    <w:rsid w:val="00376B74"/>
    <w:rsid w:val="00376DCD"/>
    <w:rsid w:val="00385D17"/>
    <w:rsid w:val="003B066B"/>
    <w:rsid w:val="003B1C99"/>
    <w:rsid w:val="003C7F6B"/>
    <w:rsid w:val="0041258F"/>
    <w:rsid w:val="0042390C"/>
    <w:rsid w:val="00427062"/>
    <w:rsid w:val="0043179D"/>
    <w:rsid w:val="00437294"/>
    <w:rsid w:val="00441131"/>
    <w:rsid w:val="0046215E"/>
    <w:rsid w:val="00463EAB"/>
    <w:rsid w:val="00471CA0"/>
    <w:rsid w:val="00473773"/>
    <w:rsid w:val="00477C2E"/>
    <w:rsid w:val="004829EA"/>
    <w:rsid w:val="00486526"/>
    <w:rsid w:val="00487842"/>
    <w:rsid w:val="00490E34"/>
    <w:rsid w:val="004B3830"/>
    <w:rsid w:val="004E371E"/>
    <w:rsid w:val="004F324F"/>
    <w:rsid w:val="004F365D"/>
    <w:rsid w:val="00503FAE"/>
    <w:rsid w:val="00504CD8"/>
    <w:rsid w:val="00504E36"/>
    <w:rsid w:val="00507FF8"/>
    <w:rsid w:val="005200F1"/>
    <w:rsid w:val="00522E6B"/>
    <w:rsid w:val="0052337F"/>
    <w:rsid w:val="00533583"/>
    <w:rsid w:val="0054216B"/>
    <w:rsid w:val="005427E8"/>
    <w:rsid w:val="005464D6"/>
    <w:rsid w:val="005742FD"/>
    <w:rsid w:val="00580B9C"/>
    <w:rsid w:val="00590622"/>
    <w:rsid w:val="005A143C"/>
    <w:rsid w:val="005A3E82"/>
    <w:rsid w:val="005A4092"/>
    <w:rsid w:val="005B75CB"/>
    <w:rsid w:val="005C0D67"/>
    <w:rsid w:val="005C121E"/>
    <w:rsid w:val="005C2514"/>
    <w:rsid w:val="005C37C4"/>
    <w:rsid w:val="005C380A"/>
    <w:rsid w:val="005C7D84"/>
    <w:rsid w:val="005E14AD"/>
    <w:rsid w:val="005E710D"/>
    <w:rsid w:val="005F3339"/>
    <w:rsid w:val="006129E1"/>
    <w:rsid w:val="0062021E"/>
    <w:rsid w:val="00634828"/>
    <w:rsid w:val="00645213"/>
    <w:rsid w:val="006464B9"/>
    <w:rsid w:val="00646E37"/>
    <w:rsid w:val="00670615"/>
    <w:rsid w:val="00674E2B"/>
    <w:rsid w:val="006769C8"/>
    <w:rsid w:val="00680E3F"/>
    <w:rsid w:val="006A4539"/>
    <w:rsid w:val="006A6D0E"/>
    <w:rsid w:val="006A7657"/>
    <w:rsid w:val="006B12A0"/>
    <w:rsid w:val="006B5EDA"/>
    <w:rsid w:val="006C6189"/>
    <w:rsid w:val="006D03FA"/>
    <w:rsid w:val="006D10C7"/>
    <w:rsid w:val="006D4F44"/>
    <w:rsid w:val="006D5A8D"/>
    <w:rsid w:val="006E11B4"/>
    <w:rsid w:val="006F03F7"/>
    <w:rsid w:val="006F0AFF"/>
    <w:rsid w:val="006F5FA3"/>
    <w:rsid w:val="00724FBF"/>
    <w:rsid w:val="00727E5D"/>
    <w:rsid w:val="0073203A"/>
    <w:rsid w:val="0073575B"/>
    <w:rsid w:val="007377F9"/>
    <w:rsid w:val="00750D0D"/>
    <w:rsid w:val="00761718"/>
    <w:rsid w:val="00763A01"/>
    <w:rsid w:val="00767C6A"/>
    <w:rsid w:val="00771686"/>
    <w:rsid w:val="00772050"/>
    <w:rsid w:val="0077301B"/>
    <w:rsid w:val="0078052C"/>
    <w:rsid w:val="00782F37"/>
    <w:rsid w:val="0078473A"/>
    <w:rsid w:val="00786077"/>
    <w:rsid w:val="0078618E"/>
    <w:rsid w:val="007B0097"/>
    <w:rsid w:val="007B162D"/>
    <w:rsid w:val="007B377F"/>
    <w:rsid w:val="007C0562"/>
    <w:rsid w:val="007C3820"/>
    <w:rsid w:val="007D7803"/>
    <w:rsid w:val="007E2258"/>
    <w:rsid w:val="007E49A7"/>
    <w:rsid w:val="007E6294"/>
    <w:rsid w:val="007E76B5"/>
    <w:rsid w:val="007E787F"/>
    <w:rsid w:val="007F0740"/>
    <w:rsid w:val="007F5784"/>
    <w:rsid w:val="007F5CC2"/>
    <w:rsid w:val="008015D5"/>
    <w:rsid w:val="00803AEF"/>
    <w:rsid w:val="00824019"/>
    <w:rsid w:val="00832F2C"/>
    <w:rsid w:val="00853EBB"/>
    <w:rsid w:val="00855A17"/>
    <w:rsid w:val="00856D10"/>
    <w:rsid w:val="00860E9E"/>
    <w:rsid w:val="008702F0"/>
    <w:rsid w:val="008718C0"/>
    <w:rsid w:val="00880713"/>
    <w:rsid w:val="008819E8"/>
    <w:rsid w:val="00883D10"/>
    <w:rsid w:val="00895520"/>
    <w:rsid w:val="008A0127"/>
    <w:rsid w:val="008A2362"/>
    <w:rsid w:val="008B1E92"/>
    <w:rsid w:val="008B51AE"/>
    <w:rsid w:val="008C2C79"/>
    <w:rsid w:val="008D1ABE"/>
    <w:rsid w:val="008D59D8"/>
    <w:rsid w:val="008E11ED"/>
    <w:rsid w:val="00910454"/>
    <w:rsid w:val="00922DC0"/>
    <w:rsid w:val="009350AD"/>
    <w:rsid w:val="009370D6"/>
    <w:rsid w:val="009431DE"/>
    <w:rsid w:val="0094696D"/>
    <w:rsid w:val="00957928"/>
    <w:rsid w:val="0096589C"/>
    <w:rsid w:val="009A5005"/>
    <w:rsid w:val="009B0BF0"/>
    <w:rsid w:val="009B39E1"/>
    <w:rsid w:val="009B4363"/>
    <w:rsid w:val="009B61F4"/>
    <w:rsid w:val="009C5B14"/>
    <w:rsid w:val="009E3556"/>
    <w:rsid w:val="009F1ACF"/>
    <w:rsid w:val="009F1ECB"/>
    <w:rsid w:val="00A07AE9"/>
    <w:rsid w:val="00A11EFD"/>
    <w:rsid w:val="00A135B0"/>
    <w:rsid w:val="00A15539"/>
    <w:rsid w:val="00A16C6A"/>
    <w:rsid w:val="00A259FF"/>
    <w:rsid w:val="00A27672"/>
    <w:rsid w:val="00A35FF1"/>
    <w:rsid w:val="00A3789D"/>
    <w:rsid w:val="00A42783"/>
    <w:rsid w:val="00A42873"/>
    <w:rsid w:val="00A53554"/>
    <w:rsid w:val="00A64B90"/>
    <w:rsid w:val="00A65F95"/>
    <w:rsid w:val="00A666F0"/>
    <w:rsid w:val="00A677F1"/>
    <w:rsid w:val="00A72B97"/>
    <w:rsid w:val="00A914B6"/>
    <w:rsid w:val="00AB1485"/>
    <w:rsid w:val="00AB27E3"/>
    <w:rsid w:val="00AE04A6"/>
    <w:rsid w:val="00AE4452"/>
    <w:rsid w:val="00AE52B3"/>
    <w:rsid w:val="00B237DC"/>
    <w:rsid w:val="00B32E0B"/>
    <w:rsid w:val="00B33AC2"/>
    <w:rsid w:val="00B340C2"/>
    <w:rsid w:val="00B352F3"/>
    <w:rsid w:val="00B35BD3"/>
    <w:rsid w:val="00B51E0D"/>
    <w:rsid w:val="00B663B7"/>
    <w:rsid w:val="00B71B70"/>
    <w:rsid w:val="00B7490F"/>
    <w:rsid w:val="00B85AC1"/>
    <w:rsid w:val="00B92AF3"/>
    <w:rsid w:val="00B953F6"/>
    <w:rsid w:val="00BA0A64"/>
    <w:rsid w:val="00BA17FF"/>
    <w:rsid w:val="00BA2602"/>
    <w:rsid w:val="00BA26FB"/>
    <w:rsid w:val="00BA42CA"/>
    <w:rsid w:val="00BA5822"/>
    <w:rsid w:val="00BA655D"/>
    <w:rsid w:val="00BC32DC"/>
    <w:rsid w:val="00BC4A74"/>
    <w:rsid w:val="00BD350A"/>
    <w:rsid w:val="00BE4C53"/>
    <w:rsid w:val="00BE6D01"/>
    <w:rsid w:val="00BF256A"/>
    <w:rsid w:val="00BF257D"/>
    <w:rsid w:val="00C044A7"/>
    <w:rsid w:val="00C07C20"/>
    <w:rsid w:val="00C10B38"/>
    <w:rsid w:val="00C10F99"/>
    <w:rsid w:val="00C15A44"/>
    <w:rsid w:val="00C23F2A"/>
    <w:rsid w:val="00C268D2"/>
    <w:rsid w:val="00C31653"/>
    <w:rsid w:val="00C36918"/>
    <w:rsid w:val="00C44763"/>
    <w:rsid w:val="00C56F37"/>
    <w:rsid w:val="00C6587F"/>
    <w:rsid w:val="00C67DFA"/>
    <w:rsid w:val="00C709F4"/>
    <w:rsid w:val="00C73B72"/>
    <w:rsid w:val="00C7649B"/>
    <w:rsid w:val="00C76BAE"/>
    <w:rsid w:val="00CA3C1A"/>
    <w:rsid w:val="00CB3477"/>
    <w:rsid w:val="00CB50AE"/>
    <w:rsid w:val="00CD1DFB"/>
    <w:rsid w:val="00CD4C1E"/>
    <w:rsid w:val="00CF60D1"/>
    <w:rsid w:val="00D00529"/>
    <w:rsid w:val="00D0171D"/>
    <w:rsid w:val="00D14665"/>
    <w:rsid w:val="00D17CDD"/>
    <w:rsid w:val="00D21CCB"/>
    <w:rsid w:val="00D31992"/>
    <w:rsid w:val="00D43BA1"/>
    <w:rsid w:val="00D66B6B"/>
    <w:rsid w:val="00D738B8"/>
    <w:rsid w:val="00D80BCA"/>
    <w:rsid w:val="00D97908"/>
    <w:rsid w:val="00DA7A3C"/>
    <w:rsid w:val="00DB4A3E"/>
    <w:rsid w:val="00DC6E57"/>
    <w:rsid w:val="00DD2396"/>
    <w:rsid w:val="00DD5F8B"/>
    <w:rsid w:val="00DE47AC"/>
    <w:rsid w:val="00DE48FF"/>
    <w:rsid w:val="00DE5EED"/>
    <w:rsid w:val="00DE5F63"/>
    <w:rsid w:val="00DF2EE3"/>
    <w:rsid w:val="00E3357E"/>
    <w:rsid w:val="00E3445A"/>
    <w:rsid w:val="00E35046"/>
    <w:rsid w:val="00E52971"/>
    <w:rsid w:val="00E65DE0"/>
    <w:rsid w:val="00E76419"/>
    <w:rsid w:val="00EA1F15"/>
    <w:rsid w:val="00EA2B4D"/>
    <w:rsid w:val="00EA6651"/>
    <w:rsid w:val="00EC7B8E"/>
    <w:rsid w:val="00ED12E0"/>
    <w:rsid w:val="00ED1381"/>
    <w:rsid w:val="00ED2FC2"/>
    <w:rsid w:val="00ED3118"/>
    <w:rsid w:val="00ED43D0"/>
    <w:rsid w:val="00ED6FDF"/>
    <w:rsid w:val="00EE5972"/>
    <w:rsid w:val="00EE5E0D"/>
    <w:rsid w:val="00EF46DE"/>
    <w:rsid w:val="00F019E4"/>
    <w:rsid w:val="00F06AAA"/>
    <w:rsid w:val="00F22141"/>
    <w:rsid w:val="00F23A7A"/>
    <w:rsid w:val="00F3567F"/>
    <w:rsid w:val="00F411F4"/>
    <w:rsid w:val="00F56D82"/>
    <w:rsid w:val="00F66DE7"/>
    <w:rsid w:val="00F75873"/>
    <w:rsid w:val="00FA4EC1"/>
    <w:rsid w:val="00FB0F5A"/>
    <w:rsid w:val="00FB3746"/>
    <w:rsid w:val="00FB5496"/>
    <w:rsid w:val="00FC5E66"/>
    <w:rsid w:val="00FD771A"/>
    <w:rsid w:val="00FE138C"/>
    <w:rsid w:val="00FE3143"/>
    <w:rsid w:val="00FE7F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color="fuchsia">
      <v:stroke color="fuchsia"/>
    </o:shapedefaults>
    <o:shapelayout v:ext="edit">
      <o:idmap v:ext="edit" data="2"/>
    </o:shapelayout>
  </w:shapeDefaults>
  <w:decimalSymbol w:val=","/>
  <w:listSeparator w:val=";"/>
  <w14:docId w14:val="0031CDC0"/>
  <w15:docId w15:val="{2B9582D0-8092-4DD9-92CE-E0FC49AE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Standaard"/>
    <w:next w:val="Standaard"/>
    <w:qFormat/>
    <w:rsid w:val="00043A06"/>
    <w:pPr>
      <w:spacing w:line="276" w:lineRule="auto"/>
      <w:outlineLvl w:val="0"/>
    </w:pPr>
    <w:rPr>
      <w:b/>
    </w:rPr>
  </w:style>
  <w:style w:type="paragraph" w:styleId="Kop2">
    <w:name w:val="heading 2"/>
    <w:basedOn w:val="Standaard"/>
    <w:next w:val="Standaard"/>
    <w:qFormat/>
    <w:rsid w:val="00043A06"/>
    <w:pPr>
      <w:spacing w:line="276" w:lineRule="auto"/>
      <w:outlineLvl w:val="1"/>
    </w:pPr>
    <w:rPr>
      <w:i/>
    </w:rPr>
  </w:style>
  <w:style w:type="paragraph" w:styleId="Kop3">
    <w:name w:val="heading 3"/>
    <w:basedOn w:val="broodtekst"/>
    <w:next w:val="Standaard"/>
    <w:qFormat/>
    <w:pPr>
      <w:keepNext/>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B35BD3"/>
    <w:pPr>
      <w:keepNext/>
      <w:keepLines/>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5427E8"/>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pPr>
      <w:tabs>
        <w:tab w:val="center" w:pos="4536"/>
        <w:tab w:val="right" w:pos="9072"/>
      </w:tabs>
    </w:pPr>
  </w:style>
  <w:style w:type="paragraph" w:styleId="Voettekst">
    <w:name w:val="footer"/>
    <w:basedOn w:val="broodtekst"/>
    <w:pPr>
      <w:tabs>
        <w:tab w:val="center" w:pos="4536"/>
        <w:tab w:val="right" w:pos="9072"/>
      </w:tabs>
    </w:pPr>
  </w:style>
  <w:style w:type="character" w:styleId="GevolgdeHyperlink">
    <w:name w:val="FollowedHyperlink"/>
    <w:basedOn w:val="Standaardalinea-lettertype"/>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caps/>
      <w:noProof/>
      <w:sz w:val="13"/>
      <w:szCs w:val="13"/>
    </w:rPr>
  </w:style>
  <w:style w:type="paragraph" w:customStyle="1" w:styleId="adres">
    <w:name w:val="adres"/>
    <w:basedOn w:val="broodtekst"/>
    <w:rPr>
      <w:noProof/>
    </w:rPr>
  </w:style>
  <w:style w:type="character" w:styleId="Hyperlink">
    <w:name w:val="Hyperlink"/>
    <w:basedOn w:val="Standaardalinea-lettertype"/>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pPr>
      <w:spacing w:before="60" w:line="240" w:lineRule="auto"/>
    </w:pPr>
    <w:rPr>
      <w:rFonts w:ascii="KIX Barcode" w:hAnsi="KIX Barcode"/>
      <w:b/>
      <w:bCs/>
      <w:smallCaps/>
      <w:noProof/>
      <w:sz w:val="24"/>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4"/>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 w:val="left" w:pos="4536"/>
      </w:tabs>
      <w:ind w:left="908" w:hanging="454"/>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broodtekst-bold-italic">
    <w:name w:val="broodtekst-bold-italic"/>
    <w:basedOn w:val="broodtekst"/>
    <w:next w:val="broodtekst"/>
    <w:rPr>
      <w:b/>
      <w:i/>
    </w:rPr>
  </w:style>
  <w:style w:type="paragraph" w:customStyle="1" w:styleId="opsomming-lettersjustitie">
    <w:name w:val="opsomming-lett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customStyle="1" w:styleId="opsommingsvinkAan">
    <w:name w:val="opsommingsvink_Aan"/>
    <w:basedOn w:val="broodtekst"/>
    <w:pPr>
      <w:widowControl w:val="0"/>
      <w:numPr>
        <w:numId w:val="28"/>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Plattetekstinspringen">
    <w:name w:val="Body Text Indent"/>
    <w:basedOn w:val="Standaard"/>
    <w:link w:val="PlattetekstinspringenChar"/>
    <w:rsid w:val="00832F2C"/>
    <w:pPr>
      <w:overflowPunct w:val="0"/>
      <w:autoSpaceDE w:val="0"/>
      <w:spacing w:line="260" w:lineRule="exact"/>
      <w:ind w:firstLine="170"/>
      <w:textAlignment w:val="baseline"/>
    </w:pPr>
    <w:rPr>
      <w:rFonts w:ascii="V&amp;W Syntax (Adobe)" w:hAnsi="V&amp;W Syntax (Adobe)"/>
      <w:sz w:val="20"/>
      <w:szCs w:val="20"/>
      <w:lang w:val="nl" w:eastAsia="ar-SA"/>
    </w:rPr>
  </w:style>
  <w:style w:type="character" w:customStyle="1" w:styleId="PlattetekstinspringenChar">
    <w:name w:val="Platte tekst inspringen Char"/>
    <w:basedOn w:val="Standaardalinea-lettertype"/>
    <w:link w:val="Plattetekstinspringen"/>
    <w:rsid w:val="00832F2C"/>
    <w:rPr>
      <w:rFonts w:ascii="V&amp;W Syntax (Adobe)" w:hAnsi="V&amp;W Syntax (Adobe)"/>
      <w:lang w:val="nl" w:eastAsia="ar-SA"/>
    </w:rPr>
  </w:style>
  <w:style w:type="character" w:styleId="Verwijzingopmerking">
    <w:name w:val="annotation reference"/>
    <w:basedOn w:val="Standaardalinea-lettertype"/>
    <w:semiHidden/>
    <w:unhideWhenUsed/>
    <w:rsid w:val="00B35BD3"/>
    <w:rPr>
      <w:sz w:val="16"/>
      <w:szCs w:val="16"/>
    </w:rPr>
  </w:style>
  <w:style w:type="paragraph" w:styleId="Tekstopmerking">
    <w:name w:val="annotation text"/>
    <w:basedOn w:val="Standaard"/>
    <w:link w:val="TekstopmerkingChar"/>
    <w:unhideWhenUsed/>
    <w:rsid w:val="00B35BD3"/>
    <w:pPr>
      <w:spacing w:line="240" w:lineRule="auto"/>
    </w:pPr>
    <w:rPr>
      <w:sz w:val="20"/>
      <w:szCs w:val="20"/>
    </w:rPr>
  </w:style>
  <w:style w:type="character" w:customStyle="1" w:styleId="TekstopmerkingChar">
    <w:name w:val="Tekst opmerking Char"/>
    <w:basedOn w:val="Standaardalinea-lettertype"/>
    <w:link w:val="Tekstopmerking"/>
    <w:rsid w:val="00B35BD3"/>
    <w:rPr>
      <w:rFonts w:ascii="Verdana" w:hAnsi="Verdana"/>
    </w:rPr>
  </w:style>
  <w:style w:type="paragraph" w:styleId="Onderwerpvanopmerking">
    <w:name w:val="annotation subject"/>
    <w:basedOn w:val="Tekstopmerking"/>
    <w:next w:val="Tekstopmerking"/>
    <w:link w:val="OnderwerpvanopmerkingChar"/>
    <w:semiHidden/>
    <w:unhideWhenUsed/>
    <w:rsid w:val="00B35BD3"/>
    <w:rPr>
      <w:b/>
      <w:bCs/>
    </w:rPr>
  </w:style>
  <w:style w:type="character" w:customStyle="1" w:styleId="OnderwerpvanopmerkingChar">
    <w:name w:val="Onderwerp van opmerking Char"/>
    <w:basedOn w:val="TekstopmerkingChar"/>
    <w:link w:val="Onderwerpvanopmerking"/>
    <w:semiHidden/>
    <w:rsid w:val="00B35BD3"/>
    <w:rPr>
      <w:rFonts w:ascii="Verdana" w:hAnsi="Verdana"/>
      <w:b/>
      <w:bCs/>
    </w:rPr>
  </w:style>
  <w:style w:type="paragraph" w:styleId="Lijstalinea">
    <w:name w:val="List Paragraph"/>
    <w:aliases w:val="3,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B35BD3"/>
    <w:pPr>
      <w:ind w:left="720"/>
      <w:contextualSpacing/>
    </w:pPr>
  </w:style>
  <w:style w:type="character" w:customStyle="1" w:styleId="Kop4Char">
    <w:name w:val="Kop 4 Char"/>
    <w:basedOn w:val="Standaardalinea-lettertype"/>
    <w:link w:val="Kop4"/>
    <w:semiHidden/>
    <w:rsid w:val="00B35BD3"/>
    <w:rPr>
      <w:rFonts w:asciiTheme="majorHAnsi" w:eastAsiaTheme="majorEastAsia" w:hAnsiTheme="majorHAnsi" w:cstheme="majorBidi"/>
      <w:i/>
      <w:iCs/>
      <w:color w:val="365F91" w:themeColor="accent1" w:themeShade="BF"/>
      <w:sz w:val="18"/>
      <w:szCs w:val="24"/>
    </w:rPr>
  </w:style>
  <w:style w:type="table" w:styleId="Tabelraster">
    <w:name w:val="Table Grid"/>
    <w:basedOn w:val="Standaardtabel"/>
    <w:uiPriority w:val="59"/>
    <w:rsid w:val="00767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B352F3"/>
    <w:rPr>
      <w:rFonts w:ascii="Verdana" w:hAnsi="Verdana"/>
      <w:sz w:val="18"/>
      <w:szCs w:val="24"/>
    </w:rPr>
  </w:style>
  <w:style w:type="paragraph" w:styleId="Normaalweb">
    <w:name w:val="Normal (Web)"/>
    <w:basedOn w:val="Standaard"/>
    <w:uiPriority w:val="99"/>
    <w:unhideWhenUsed/>
    <w:rsid w:val="00C07C20"/>
    <w:pPr>
      <w:spacing w:before="100" w:beforeAutospacing="1" w:after="100" w:afterAutospacing="1" w:line="240" w:lineRule="auto"/>
    </w:pPr>
    <w:rPr>
      <w:rFonts w:ascii="Times New Roman" w:hAnsi="Times New Roman"/>
      <w:sz w:val="24"/>
    </w:rPr>
  </w:style>
  <w:style w:type="character" w:customStyle="1" w:styleId="LijstalineaChar">
    <w:name w:val="Lijstalinea Char"/>
    <w:aliases w:val="3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803AEF"/>
    <w:rPr>
      <w:rFonts w:ascii="Verdana" w:hAnsi="Verdana"/>
      <w:sz w:val="18"/>
      <w:szCs w:val="24"/>
    </w:rPr>
  </w:style>
  <w:style w:type="paragraph" w:customStyle="1" w:styleId="al">
    <w:name w:val="al"/>
    <w:basedOn w:val="Standaard"/>
    <w:rsid w:val="00803AEF"/>
    <w:pPr>
      <w:spacing w:before="100" w:beforeAutospacing="1" w:after="100" w:afterAutospacing="1" w:line="240" w:lineRule="auto"/>
    </w:pPr>
    <w:rPr>
      <w:rFonts w:ascii="Times New Roman" w:hAnsi="Times New Roman"/>
      <w:sz w:val="24"/>
    </w:rPr>
  </w:style>
  <w:style w:type="paragraph" w:styleId="Geenafstand">
    <w:name w:val="No Spacing"/>
    <w:uiPriority w:val="1"/>
    <w:qFormat/>
    <w:rsid w:val="0046215E"/>
    <w:rPr>
      <w:rFonts w:ascii="Verdana" w:eastAsia="Calibri" w:hAnsi="Verdana"/>
      <w:sz w:val="18"/>
      <w:szCs w:val="22"/>
      <w:lang w:eastAsia="en-US"/>
    </w:rPr>
  </w:style>
  <w:style w:type="character" w:styleId="Nadruk">
    <w:name w:val="Emphasis"/>
    <w:basedOn w:val="Standaardalinea-lettertype"/>
    <w:uiPriority w:val="20"/>
    <w:qFormat/>
    <w:rsid w:val="00B237DC"/>
    <w:rPr>
      <w:i/>
      <w:iCs/>
    </w:rPr>
  </w:style>
  <w:style w:type="paragraph" w:customStyle="1" w:styleId="wat">
    <w:name w:val="wat"/>
    <w:basedOn w:val="Standaard"/>
    <w:rsid w:val="006E11B4"/>
    <w:pPr>
      <w:spacing w:before="100" w:beforeAutospacing="1" w:after="100" w:afterAutospacing="1" w:line="240" w:lineRule="auto"/>
    </w:pPr>
    <w:rPr>
      <w:rFonts w:ascii="Times New Roman" w:hAnsi="Times New Roman"/>
      <w:sz w:val="24"/>
    </w:rPr>
  </w:style>
  <w:style w:type="paragraph" w:customStyle="1" w:styleId="labeled">
    <w:name w:val="labeled"/>
    <w:basedOn w:val="Standaard"/>
    <w:rsid w:val="006E11B4"/>
    <w:pPr>
      <w:spacing w:before="100" w:beforeAutospacing="1" w:after="100" w:afterAutospacing="1" w:line="240" w:lineRule="auto"/>
    </w:pPr>
    <w:rPr>
      <w:rFonts w:ascii="Times New Roman" w:hAnsi="Times New Roman"/>
      <w:sz w:val="24"/>
    </w:rPr>
  </w:style>
  <w:style w:type="character" w:customStyle="1" w:styleId="ol">
    <w:name w:val="ol"/>
    <w:basedOn w:val="Standaardalinea-lettertype"/>
    <w:rsid w:val="006E11B4"/>
  </w:style>
  <w:style w:type="character" w:customStyle="1" w:styleId="Kop5Char">
    <w:name w:val="Kop 5 Char"/>
    <w:basedOn w:val="Standaardalinea-lettertype"/>
    <w:link w:val="Kop5"/>
    <w:semiHidden/>
    <w:rsid w:val="005427E8"/>
    <w:rPr>
      <w:rFonts w:asciiTheme="majorHAnsi" w:eastAsiaTheme="majorEastAsia" w:hAnsiTheme="majorHAnsi" w:cstheme="majorBidi"/>
      <w:color w:val="365F91" w:themeColor="accent1" w:themeShade="BF"/>
      <w:sz w:val="18"/>
      <w:szCs w:val="24"/>
    </w:rPr>
  </w:style>
  <w:style w:type="character" w:styleId="Onopgelostemelding">
    <w:name w:val="Unresolved Mention"/>
    <w:basedOn w:val="Standaardalinea-lettertype"/>
    <w:uiPriority w:val="99"/>
    <w:semiHidden/>
    <w:unhideWhenUsed/>
    <w:rsid w:val="00FE7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6683">
      <w:bodyDiv w:val="1"/>
      <w:marLeft w:val="0"/>
      <w:marRight w:val="0"/>
      <w:marTop w:val="0"/>
      <w:marBottom w:val="0"/>
      <w:divBdr>
        <w:top w:val="none" w:sz="0" w:space="0" w:color="auto"/>
        <w:left w:val="none" w:sz="0" w:space="0" w:color="auto"/>
        <w:bottom w:val="none" w:sz="0" w:space="0" w:color="auto"/>
        <w:right w:val="none" w:sz="0" w:space="0" w:color="auto"/>
      </w:divBdr>
    </w:div>
    <w:div w:id="100877596">
      <w:bodyDiv w:val="1"/>
      <w:marLeft w:val="0"/>
      <w:marRight w:val="0"/>
      <w:marTop w:val="0"/>
      <w:marBottom w:val="0"/>
      <w:divBdr>
        <w:top w:val="none" w:sz="0" w:space="0" w:color="auto"/>
        <w:left w:val="none" w:sz="0" w:space="0" w:color="auto"/>
        <w:bottom w:val="none" w:sz="0" w:space="0" w:color="auto"/>
        <w:right w:val="none" w:sz="0" w:space="0" w:color="auto"/>
      </w:divBdr>
    </w:div>
    <w:div w:id="107431934">
      <w:bodyDiv w:val="1"/>
      <w:marLeft w:val="0"/>
      <w:marRight w:val="0"/>
      <w:marTop w:val="0"/>
      <w:marBottom w:val="0"/>
      <w:divBdr>
        <w:top w:val="none" w:sz="0" w:space="0" w:color="auto"/>
        <w:left w:val="none" w:sz="0" w:space="0" w:color="auto"/>
        <w:bottom w:val="none" w:sz="0" w:space="0" w:color="auto"/>
        <w:right w:val="none" w:sz="0" w:space="0" w:color="auto"/>
      </w:divBdr>
    </w:div>
    <w:div w:id="129328836">
      <w:bodyDiv w:val="1"/>
      <w:marLeft w:val="0"/>
      <w:marRight w:val="0"/>
      <w:marTop w:val="0"/>
      <w:marBottom w:val="0"/>
      <w:divBdr>
        <w:top w:val="none" w:sz="0" w:space="0" w:color="auto"/>
        <w:left w:val="none" w:sz="0" w:space="0" w:color="auto"/>
        <w:bottom w:val="none" w:sz="0" w:space="0" w:color="auto"/>
        <w:right w:val="none" w:sz="0" w:space="0" w:color="auto"/>
      </w:divBdr>
    </w:div>
    <w:div w:id="142429876">
      <w:bodyDiv w:val="1"/>
      <w:marLeft w:val="0"/>
      <w:marRight w:val="0"/>
      <w:marTop w:val="0"/>
      <w:marBottom w:val="0"/>
      <w:divBdr>
        <w:top w:val="none" w:sz="0" w:space="0" w:color="auto"/>
        <w:left w:val="none" w:sz="0" w:space="0" w:color="auto"/>
        <w:bottom w:val="none" w:sz="0" w:space="0" w:color="auto"/>
        <w:right w:val="none" w:sz="0" w:space="0" w:color="auto"/>
      </w:divBdr>
    </w:div>
    <w:div w:id="169103591">
      <w:bodyDiv w:val="1"/>
      <w:marLeft w:val="0"/>
      <w:marRight w:val="0"/>
      <w:marTop w:val="0"/>
      <w:marBottom w:val="0"/>
      <w:divBdr>
        <w:top w:val="none" w:sz="0" w:space="0" w:color="auto"/>
        <w:left w:val="none" w:sz="0" w:space="0" w:color="auto"/>
        <w:bottom w:val="none" w:sz="0" w:space="0" w:color="auto"/>
        <w:right w:val="none" w:sz="0" w:space="0" w:color="auto"/>
      </w:divBdr>
    </w:div>
    <w:div w:id="187721652">
      <w:bodyDiv w:val="1"/>
      <w:marLeft w:val="0"/>
      <w:marRight w:val="0"/>
      <w:marTop w:val="0"/>
      <w:marBottom w:val="0"/>
      <w:divBdr>
        <w:top w:val="none" w:sz="0" w:space="0" w:color="auto"/>
        <w:left w:val="none" w:sz="0" w:space="0" w:color="auto"/>
        <w:bottom w:val="none" w:sz="0" w:space="0" w:color="auto"/>
        <w:right w:val="none" w:sz="0" w:space="0" w:color="auto"/>
      </w:divBdr>
    </w:div>
    <w:div w:id="195512050">
      <w:bodyDiv w:val="1"/>
      <w:marLeft w:val="0"/>
      <w:marRight w:val="0"/>
      <w:marTop w:val="0"/>
      <w:marBottom w:val="0"/>
      <w:divBdr>
        <w:top w:val="none" w:sz="0" w:space="0" w:color="auto"/>
        <w:left w:val="none" w:sz="0" w:space="0" w:color="auto"/>
        <w:bottom w:val="none" w:sz="0" w:space="0" w:color="auto"/>
        <w:right w:val="none" w:sz="0" w:space="0" w:color="auto"/>
      </w:divBdr>
    </w:div>
    <w:div w:id="249508625">
      <w:bodyDiv w:val="1"/>
      <w:marLeft w:val="0"/>
      <w:marRight w:val="0"/>
      <w:marTop w:val="0"/>
      <w:marBottom w:val="0"/>
      <w:divBdr>
        <w:top w:val="none" w:sz="0" w:space="0" w:color="auto"/>
        <w:left w:val="none" w:sz="0" w:space="0" w:color="auto"/>
        <w:bottom w:val="none" w:sz="0" w:space="0" w:color="auto"/>
        <w:right w:val="none" w:sz="0" w:space="0" w:color="auto"/>
      </w:divBdr>
    </w:div>
    <w:div w:id="263610833">
      <w:bodyDiv w:val="1"/>
      <w:marLeft w:val="0"/>
      <w:marRight w:val="0"/>
      <w:marTop w:val="0"/>
      <w:marBottom w:val="0"/>
      <w:divBdr>
        <w:top w:val="none" w:sz="0" w:space="0" w:color="auto"/>
        <w:left w:val="none" w:sz="0" w:space="0" w:color="auto"/>
        <w:bottom w:val="none" w:sz="0" w:space="0" w:color="auto"/>
        <w:right w:val="none" w:sz="0" w:space="0" w:color="auto"/>
      </w:divBdr>
    </w:div>
    <w:div w:id="408503850">
      <w:bodyDiv w:val="1"/>
      <w:marLeft w:val="0"/>
      <w:marRight w:val="0"/>
      <w:marTop w:val="0"/>
      <w:marBottom w:val="0"/>
      <w:divBdr>
        <w:top w:val="none" w:sz="0" w:space="0" w:color="auto"/>
        <w:left w:val="none" w:sz="0" w:space="0" w:color="auto"/>
        <w:bottom w:val="none" w:sz="0" w:space="0" w:color="auto"/>
        <w:right w:val="none" w:sz="0" w:space="0" w:color="auto"/>
      </w:divBdr>
    </w:div>
    <w:div w:id="423115127">
      <w:bodyDiv w:val="1"/>
      <w:marLeft w:val="0"/>
      <w:marRight w:val="0"/>
      <w:marTop w:val="0"/>
      <w:marBottom w:val="0"/>
      <w:divBdr>
        <w:top w:val="none" w:sz="0" w:space="0" w:color="auto"/>
        <w:left w:val="none" w:sz="0" w:space="0" w:color="auto"/>
        <w:bottom w:val="none" w:sz="0" w:space="0" w:color="auto"/>
        <w:right w:val="none" w:sz="0" w:space="0" w:color="auto"/>
      </w:divBdr>
    </w:div>
    <w:div w:id="440882618">
      <w:bodyDiv w:val="1"/>
      <w:marLeft w:val="0"/>
      <w:marRight w:val="0"/>
      <w:marTop w:val="0"/>
      <w:marBottom w:val="0"/>
      <w:divBdr>
        <w:top w:val="none" w:sz="0" w:space="0" w:color="auto"/>
        <w:left w:val="none" w:sz="0" w:space="0" w:color="auto"/>
        <w:bottom w:val="none" w:sz="0" w:space="0" w:color="auto"/>
        <w:right w:val="none" w:sz="0" w:space="0" w:color="auto"/>
      </w:divBdr>
    </w:div>
    <w:div w:id="446237603">
      <w:bodyDiv w:val="1"/>
      <w:marLeft w:val="0"/>
      <w:marRight w:val="0"/>
      <w:marTop w:val="0"/>
      <w:marBottom w:val="0"/>
      <w:divBdr>
        <w:top w:val="none" w:sz="0" w:space="0" w:color="auto"/>
        <w:left w:val="none" w:sz="0" w:space="0" w:color="auto"/>
        <w:bottom w:val="none" w:sz="0" w:space="0" w:color="auto"/>
        <w:right w:val="none" w:sz="0" w:space="0" w:color="auto"/>
      </w:divBdr>
    </w:div>
    <w:div w:id="447044801">
      <w:bodyDiv w:val="1"/>
      <w:marLeft w:val="0"/>
      <w:marRight w:val="0"/>
      <w:marTop w:val="0"/>
      <w:marBottom w:val="0"/>
      <w:divBdr>
        <w:top w:val="none" w:sz="0" w:space="0" w:color="auto"/>
        <w:left w:val="none" w:sz="0" w:space="0" w:color="auto"/>
        <w:bottom w:val="none" w:sz="0" w:space="0" w:color="auto"/>
        <w:right w:val="none" w:sz="0" w:space="0" w:color="auto"/>
      </w:divBdr>
    </w:div>
    <w:div w:id="457265773">
      <w:bodyDiv w:val="1"/>
      <w:marLeft w:val="0"/>
      <w:marRight w:val="0"/>
      <w:marTop w:val="0"/>
      <w:marBottom w:val="0"/>
      <w:divBdr>
        <w:top w:val="none" w:sz="0" w:space="0" w:color="auto"/>
        <w:left w:val="none" w:sz="0" w:space="0" w:color="auto"/>
        <w:bottom w:val="none" w:sz="0" w:space="0" w:color="auto"/>
        <w:right w:val="none" w:sz="0" w:space="0" w:color="auto"/>
      </w:divBdr>
    </w:div>
    <w:div w:id="509880333">
      <w:bodyDiv w:val="1"/>
      <w:marLeft w:val="0"/>
      <w:marRight w:val="0"/>
      <w:marTop w:val="0"/>
      <w:marBottom w:val="0"/>
      <w:divBdr>
        <w:top w:val="none" w:sz="0" w:space="0" w:color="auto"/>
        <w:left w:val="none" w:sz="0" w:space="0" w:color="auto"/>
        <w:bottom w:val="none" w:sz="0" w:space="0" w:color="auto"/>
        <w:right w:val="none" w:sz="0" w:space="0" w:color="auto"/>
      </w:divBdr>
    </w:div>
    <w:div w:id="519585743">
      <w:bodyDiv w:val="1"/>
      <w:marLeft w:val="0"/>
      <w:marRight w:val="0"/>
      <w:marTop w:val="0"/>
      <w:marBottom w:val="0"/>
      <w:divBdr>
        <w:top w:val="none" w:sz="0" w:space="0" w:color="auto"/>
        <w:left w:val="none" w:sz="0" w:space="0" w:color="auto"/>
        <w:bottom w:val="none" w:sz="0" w:space="0" w:color="auto"/>
        <w:right w:val="none" w:sz="0" w:space="0" w:color="auto"/>
      </w:divBdr>
    </w:div>
    <w:div w:id="524709579">
      <w:bodyDiv w:val="1"/>
      <w:marLeft w:val="0"/>
      <w:marRight w:val="0"/>
      <w:marTop w:val="0"/>
      <w:marBottom w:val="0"/>
      <w:divBdr>
        <w:top w:val="none" w:sz="0" w:space="0" w:color="auto"/>
        <w:left w:val="none" w:sz="0" w:space="0" w:color="auto"/>
        <w:bottom w:val="none" w:sz="0" w:space="0" w:color="auto"/>
        <w:right w:val="none" w:sz="0" w:space="0" w:color="auto"/>
      </w:divBdr>
    </w:div>
    <w:div w:id="536434470">
      <w:bodyDiv w:val="1"/>
      <w:marLeft w:val="0"/>
      <w:marRight w:val="0"/>
      <w:marTop w:val="0"/>
      <w:marBottom w:val="0"/>
      <w:divBdr>
        <w:top w:val="none" w:sz="0" w:space="0" w:color="auto"/>
        <w:left w:val="none" w:sz="0" w:space="0" w:color="auto"/>
        <w:bottom w:val="none" w:sz="0" w:space="0" w:color="auto"/>
        <w:right w:val="none" w:sz="0" w:space="0" w:color="auto"/>
      </w:divBdr>
    </w:div>
    <w:div w:id="540484483">
      <w:bodyDiv w:val="1"/>
      <w:marLeft w:val="0"/>
      <w:marRight w:val="0"/>
      <w:marTop w:val="0"/>
      <w:marBottom w:val="0"/>
      <w:divBdr>
        <w:top w:val="none" w:sz="0" w:space="0" w:color="auto"/>
        <w:left w:val="none" w:sz="0" w:space="0" w:color="auto"/>
        <w:bottom w:val="none" w:sz="0" w:space="0" w:color="auto"/>
        <w:right w:val="none" w:sz="0" w:space="0" w:color="auto"/>
      </w:divBdr>
    </w:div>
    <w:div w:id="547493833">
      <w:bodyDiv w:val="1"/>
      <w:marLeft w:val="0"/>
      <w:marRight w:val="0"/>
      <w:marTop w:val="0"/>
      <w:marBottom w:val="0"/>
      <w:divBdr>
        <w:top w:val="none" w:sz="0" w:space="0" w:color="auto"/>
        <w:left w:val="none" w:sz="0" w:space="0" w:color="auto"/>
        <w:bottom w:val="none" w:sz="0" w:space="0" w:color="auto"/>
        <w:right w:val="none" w:sz="0" w:space="0" w:color="auto"/>
      </w:divBdr>
    </w:div>
    <w:div w:id="547685269">
      <w:bodyDiv w:val="1"/>
      <w:marLeft w:val="0"/>
      <w:marRight w:val="0"/>
      <w:marTop w:val="0"/>
      <w:marBottom w:val="0"/>
      <w:divBdr>
        <w:top w:val="none" w:sz="0" w:space="0" w:color="auto"/>
        <w:left w:val="none" w:sz="0" w:space="0" w:color="auto"/>
        <w:bottom w:val="none" w:sz="0" w:space="0" w:color="auto"/>
        <w:right w:val="none" w:sz="0" w:space="0" w:color="auto"/>
      </w:divBdr>
    </w:div>
    <w:div w:id="551042066">
      <w:bodyDiv w:val="1"/>
      <w:marLeft w:val="0"/>
      <w:marRight w:val="0"/>
      <w:marTop w:val="0"/>
      <w:marBottom w:val="0"/>
      <w:divBdr>
        <w:top w:val="none" w:sz="0" w:space="0" w:color="auto"/>
        <w:left w:val="none" w:sz="0" w:space="0" w:color="auto"/>
        <w:bottom w:val="none" w:sz="0" w:space="0" w:color="auto"/>
        <w:right w:val="none" w:sz="0" w:space="0" w:color="auto"/>
      </w:divBdr>
    </w:div>
    <w:div w:id="631711900">
      <w:bodyDiv w:val="1"/>
      <w:marLeft w:val="0"/>
      <w:marRight w:val="0"/>
      <w:marTop w:val="0"/>
      <w:marBottom w:val="0"/>
      <w:divBdr>
        <w:top w:val="none" w:sz="0" w:space="0" w:color="auto"/>
        <w:left w:val="none" w:sz="0" w:space="0" w:color="auto"/>
        <w:bottom w:val="none" w:sz="0" w:space="0" w:color="auto"/>
        <w:right w:val="none" w:sz="0" w:space="0" w:color="auto"/>
      </w:divBdr>
      <w:divsChild>
        <w:div w:id="1257255164">
          <w:marLeft w:val="0"/>
          <w:marRight w:val="0"/>
          <w:marTop w:val="0"/>
          <w:marBottom w:val="0"/>
          <w:divBdr>
            <w:top w:val="none" w:sz="0" w:space="0" w:color="auto"/>
            <w:left w:val="none" w:sz="0" w:space="0" w:color="auto"/>
            <w:bottom w:val="none" w:sz="0" w:space="0" w:color="auto"/>
            <w:right w:val="none" w:sz="0" w:space="0" w:color="auto"/>
          </w:divBdr>
          <w:divsChild>
            <w:div w:id="55007597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676200766">
      <w:bodyDiv w:val="1"/>
      <w:marLeft w:val="0"/>
      <w:marRight w:val="0"/>
      <w:marTop w:val="0"/>
      <w:marBottom w:val="0"/>
      <w:divBdr>
        <w:top w:val="none" w:sz="0" w:space="0" w:color="auto"/>
        <w:left w:val="none" w:sz="0" w:space="0" w:color="auto"/>
        <w:bottom w:val="none" w:sz="0" w:space="0" w:color="auto"/>
        <w:right w:val="none" w:sz="0" w:space="0" w:color="auto"/>
      </w:divBdr>
      <w:divsChild>
        <w:div w:id="569925331">
          <w:marLeft w:val="0"/>
          <w:marRight w:val="0"/>
          <w:marTop w:val="0"/>
          <w:marBottom w:val="0"/>
          <w:divBdr>
            <w:top w:val="none" w:sz="0" w:space="0" w:color="auto"/>
            <w:left w:val="none" w:sz="0" w:space="0" w:color="auto"/>
            <w:bottom w:val="none" w:sz="0" w:space="0" w:color="auto"/>
            <w:right w:val="none" w:sz="0" w:space="0" w:color="auto"/>
          </w:divBdr>
          <w:divsChild>
            <w:div w:id="84575442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766584176">
      <w:bodyDiv w:val="1"/>
      <w:marLeft w:val="0"/>
      <w:marRight w:val="0"/>
      <w:marTop w:val="0"/>
      <w:marBottom w:val="0"/>
      <w:divBdr>
        <w:top w:val="none" w:sz="0" w:space="0" w:color="auto"/>
        <w:left w:val="none" w:sz="0" w:space="0" w:color="auto"/>
        <w:bottom w:val="none" w:sz="0" w:space="0" w:color="auto"/>
        <w:right w:val="none" w:sz="0" w:space="0" w:color="auto"/>
      </w:divBdr>
    </w:div>
    <w:div w:id="779226989">
      <w:bodyDiv w:val="1"/>
      <w:marLeft w:val="0"/>
      <w:marRight w:val="0"/>
      <w:marTop w:val="0"/>
      <w:marBottom w:val="0"/>
      <w:divBdr>
        <w:top w:val="none" w:sz="0" w:space="0" w:color="auto"/>
        <w:left w:val="none" w:sz="0" w:space="0" w:color="auto"/>
        <w:bottom w:val="none" w:sz="0" w:space="0" w:color="auto"/>
        <w:right w:val="none" w:sz="0" w:space="0" w:color="auto"/>
      </w:divBdr>
      <w:divsChild>
        <w:div w:id="1736127326">
          <w:marLeft w:val="0"/>
          <w:marRight w:val="0"/>
          <w:marTop w:val="0"/>
          <w:marBottom w:val="240"/>
          <w:divBdr>
            <w:top w:val="none" w:sz="0" w:space="0" w:color="auto"/>
            <w:left w:val="none" w:sz="0" w:space="0" w:color="auto"/>
            <w:bottom w:val="none" w:sz="0" w:space="0" w:color="auto"/>
            <w:right w:val="none" w:sz="0" w:space="0" w:color="auto"/>
          </w:divBdr>
        </w:div>
      </w:divsChild>
    </w:div>
    <w:div w:id="794325853">
      <w:bodyDiv w:val="1"/>
      <w:marLeft w:val="0"/>
      <w:marRight w:val="0"/>
      <w:marTop w:val="0"/>
      <w:marBottom w:val="0"/>
      <w:divBdr>
        <w:top w:val="none" w:sz="0" w:space="0" w:color="auto"/>
        <w:left w:val="none" w:sz="0" w:space="0" w:color="auto"/>
        <w:bottom w:val="none" w:sz="0" w:space="0" w:color="auto"/>
        <w:right w:val="none" w:sz="0" w:space="0" w:color="auto"/>
      </w:divBdr>
      <w:divsChild>
        <w:div w:id="926890470">
          <w:marLeft w:val="0"/>
          <w:marRight w:val="0"/>
          <w:marTop w:val="0"/>
          <w:marBottom w:val="0"/>
          <w:divBdr>
            <w:top w:val="none" w:sz="0" w:space="0" w:color="auto"/>
            <w:left w:val="none" w:sz="0" w:space="0" w:color="auto"/>
            <w:bottom w:val="none" w:sz="0" w:space="0" w:color="auto"/>
            <w:right w:val="none" w:sz="0" w:space="0" w:color="auto"/>
          </w:divBdr>
        </w:div>
      </w:divsChild>
    </w:div>
    <w:div w:id="844242819">
      <w:bodyDiv w:val="1"/>
      <w:marLeft w:val="0"/>
      <w:marRight w:val="0"/>
      <w:marTop w:val="0"/>
      <w:marBottom w:val="0"/>
      <w:divBdr>
        <w:top w:val="none" w:sz="0" w:space="0" w:color="auto"/>
        <w:left w:val="none" w:sz="0" w:space="0" w:color="auto"/>
        <w:bottom w:val="none" w:sz="0" w:space="0" w:color="auto"/>
        <w:right w:val="none" w:sz="0" w:space="0" w:color="auto"/>
      </w:divBdr>
    </w:div>
    <w:div w:id="882866980">
      <w:bodyDiv w:val="1"/>
      <w:marLeft w:val="0"/>
      <w:marRight w:val="0"/>
      <w:marTop w:val="0"/>
      <w:marBottom w:val="0"/>
      <w:divBdr>
        <w:top w:val="none" w:sz="0" w:space="0" w:color="auto"/>
        <w:left w:val="none" w:sz="0" w:space="0" w:color="auto"/>
        <w:bottom w:val="none" w:sz="0" w:space="0" w:color="auto"/>
        <w:right w:val="none" w:sz="0" w:space="0" w:color="auto"/>
      </w:divBdr>
    </w:div>
    <w:div w:id="895896311">
      <w:bodyDiv w:val="1"/>
      <w:marLeft w:val="0"/>
      <w:marRight w:val="0"/>
      <w:marTop w:val="0"/>
      <w:marBottom w:val="0"/>
      <w:divBdr>
        <w:top w:val="none" w:sz="0" w:space="0" w:color="auto"/>
        <w:left w:val="none" w:sz="0" w:space="0" w:color="auto"/>
        <w:bottom w:val="none" w:sz="0" w:space="0" w:color="auto"/>
        <w:right w:val="none" w:sz="0" w:space="0" w:color="auto"/>
      </w:divBdr>
    </w:div>
    <w:div w:id="1020740956">
      <w:bodyDiv w:val="1"/>
      <w:marLeft w:val="0"/>
      <w:marRight w:val="0"/>
      <w:marTop w:val="0"/>
      <w:marBottom w:val="0"/>
      <w:divBdr>
        <w:top w:val="none" w:sz="0" w:space="0" w:color="auto"/>
        <w:left w:val="none" w:sz="0" w:space="0" w:color="auto"/>
        <w:bottom w:val="none" w:sz="0" w:space="0" w:color="auto"/>
        <w:right w:val="none" w:sz="0" w:space="0" w:color="auto"/>
      </w:divBdr>
    </w:div>
    <w:div w:id="1064911085">
      <w:bodyDiv w:val="1"/>
      <w:marLeft w:val="0"/>
      <w:marRight w:val="0"/>
      <w:marTop w:val="0"/>
      <w:marBottom w:val="0"/>
      <w:divBdr>
        <w:top w:val="none" w:sz="0" w:space="0" w:color="auto"/>
        <w:left w:val="none" w:sz="0" w:space="0" w:color="auto"/>
        <w:bottom w:val="none" w:sz="0" w:space="0" w:color="auto"/>
        <w:right w:val="none" w:sz="0" w:space="0" w:color="auto"/>
      </w:divBdr>
    </w:div>
    <w:div w:id="1074089508">
      <w:bodyDiv w:val="1"/>
      <w:marLeft w:val="0"/>
      <w:marRight w:val="0"/>
      <w:marTop w:val="0"/>
      <w:marBottom w:val="0"/>
      <w:divBdr>
        <w:top w:val="none" w:sz="0" w:space="0" w:color="auto"/>
        <w:left w:val="none" w:sz="0" w:space="0" w:color="auto"/>
        <w:bottom w:val="none" w:sz="0" w:space="0" w:color="auto"/>
        <w:right w:val="none" w:sz="0" w:space="0" w:color="auto"/>
      </w:divBdr>
      <w:divsChild>
        <w:div w:id="911550905">
          <w:marLeft w:val="0"/>
          <w:marRight w:val="0"/>
          <w:marTop w:val="0"/>
          <w:marBottom w:val="240"/>
          <w:divBdr>
            <w:top w:val="none" w:sz="0" w:space="0" w:color="auto"/>
            <w:left w:val="none" w:sz="0" w:space="0" w:color="auto"/>
            <w:bottom w:val="none" w:sz="0" w:space="0" w:color="auto"/>
            <w:right w:val="none" w:sz="0" w:space="0" w:color="auto"/>
          </w:divBdr>
          <w:divsChild>
            <w:div w:id="98778701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82747734">
      <w:bodyDiv w:val="1"/>
      <w:marLeft w:val="0"/>
      <w:marRight w:val="0"/>
      <w:marTop w:val="0"/>
      <w:marBottom w:val="0"/>
      <w:divBdr>
        <w:top w:val="none" w:sz="0" w:space="0" w:color="auto"/>
        <w:left w:val="none" w:sz="0" w:space="0" w:color="auto"/>
        <w:bottom w:val="none" w:sz="0" w:space="0" w:color="auto"/>
        <w:right w:val="none" w:sz="0" w:space="0" w:color="auto"/>
      </w:divBdr>
    </w:div>
    <w:div w:id="1203252124">
      <w:bodyDiv w:val="1"/>
      <w:marLeft w:val="0"/>
      <w:marRight w:val="0"/>
      <w:marTop w:val="0"/>
      <w:marBottom w:val="0"/>
      <w:divBdr>
        <w:top w:val="none" w:sz="0" w:space="0" w:color="auto"/>
        <w:left w:val="none" w:sz="0" w:space="0" w:color="auto"/>
        <w:bottom w:val="none" w:sz="0" w:space="0" w:color="auto"/>
        <w:right w:val="none" w:sz="0" w:space="0" w:color="auto"/>
      </w:divBdr>
    </w:div>
    <w:div w:id="1229653232">
      <w:bodyDiv w:val="1"/>
      <w:marLeft w:val="0"/>
      <w:marRight w:val="0"/>
      <w:marTop w:val="0"/>
      <w:marBottom w:val="0"/>
      <w:divBdr>
        <w:top w:val="none" w:sz="0" w:space="0" w:color="auto"/>
        <w:left w:val="none" w:sz="0" w:space="0" w:color="auto"/>
        <w:bottom w:val="none" w:sz="0" w:space="0" w:color="auto"/>
        <w:right w:val="none" w:sz="0" w:space="0" w:color="auto"/>
      </w:divBdr>
    </w:div>
    <w:div w:id="1250578203">
      <w:bodyDiv w:val="1"/>
      <w:marLeft w:val="0"/>
      <w:marRight w:val="0"/>
      <w:marTop w:val="0"/>
      <w:marBottom w:val="0"/>
      <w:divBdr>
        <w:top w:val="none" w:sz="0" w:space="0" w:color="auto"/>
        <w:left w:val="none" w:sz="0" w:space="0" w:color="auto"/>
        <w:bottom w:val="none" w:sz="0" w:space="0" w:color="auto"/>
        <w:right w:val="none" w:sz="0" w:space="0" w:color="auto"/>
      </w:divBdr>
    </w:div>
    <w:div w:id="1331056860">
      <w:bodyDiv w:val="1"/>
      <w:marLeft w:val="0"/>
      <w:marRight w:val="0"/>
      <w:marTop w:val="0"/>
      <w:marBottom w:val="0"/>
      <w:divBdr>
        <w:top w:val="none" w:sz="0" w:space="0" w:color="auto"/>
        <w:left w:val="none" w:sz="0" w:space="0" w:color="auto"/>
        <w:bottom w:val="none" w:sz="0" w:space="0" w:color="auto"/>
        <w:right w:val="none" w:sz="0" w:space="0" w:color="auto"/>
      </w:divBdr>
    </w:div>
    <w:div w:id="1342511738">
      <w:bodyDiv w:val="1"/>
      <w:marLeft w:val="0"/>
      <w:marRight w:val="0"/>
      <w:marTop w:val="0"/>
      <w:marBottom w:val="0"/>
      <w:divBdr>
        <w:top w:val="none" w:sz="0" w:space="0" w:color="auto"/>
        <w:left w:val="none" w:sz="0" w:space="0" w:color="auto"/>
        <w:bottom w:val="none" w:sz="0" w:space="0" w:color="auto"/>
        <w:right w:val="none" w:sz="0" w:space="0" w:color="auto"/>
      </w:divBdr>
    </w:div>
    <w:div w:id="1351952117">
      <w:bodyDiv w:val="1"/>
      <w:marLeft w:val="0"/>
      <w:marRight w:val="0"/>
      <w:marTop w:val="0"/>
      <w:marBottom w:val="0"/>
      <w:divBdr>
        <w:top w:val="none" w:sz="0" w:space="0" w:color="auto"/>
        <w:left w:val="none" w:sz="0" w:space="0" w:color="auto"/>
        <w:bottom w:val="none" w:sz="0" w:space="0" w:color="auto"/>
        <w:right w:val="none" w:sz="0" w:space="0" w:color="auto"/>
      </w:divBdr>
    </w:div>
    <w:div w:id="1456406630">
      <w:bodyDiv w:val="1"/>
      <w:marLeft w:val="0"/>
      <w:marRight w:val="0"/>
      <w:marTop w:val="0"/>
      <w:marBottom w:val="0"/>
      <w:divBdr>
        <w:top w:val="none" w:sz="0" w:space="0" w:color="auto"/>
        <w:left w:val="none" w:sz="0" w:space="0" w:color="auto"/>
        <w:bottom w:val="none" w:sz="0" w:space="0" w:color="auto"/>
        <w:right w:val="none" w:sz="0" w:space="0" w:color="auto"/>
      </w:divBdr>
    </w:div>
    <w:div w:id="1492526181">
      <w:bodyDiv w:val="1"/>
      <w:marLeft w:val="0"/>
      <w:marRight w:val="0"/>
      <w:marTop w:val="0"/>
      <w:marBottom w:val="0"/>
      <w:divBdr>
        <w:top w:val="none" w:sz="0" w:space="0" w:color="auto"/>
        <w:left w:val="none" w:sz="0" w:space="0" w:color="auto"/>
        <w:bottom w:val="none" w:sz="0" w:space="0" w:color="auto"/>
        <w:right w:val="none" w:sz="0" w:space="0" w:color="auto"/>
      </w:divBdr>
    </w:div>
    <w:div w:id="1504466179">
      <w:bodyDiv w:val="1"/>
      <w:marLeft w:val="0"/>
      <w:marRight w:val="0"/>
      <w:marTop w:val="0"/>
      <w:marBottom w:val="0"/>
      <w:divBdr>
        <w:top w:val="none" w:sz="0" w:space="0" w:color="auto"/>
        <w:left w:val="none" w:sz="0" w:space="0" w:color="auto"/>
        <w:bottom w:val="none" w:sz="0" w:space="0" w:color="auto"/>
        <w:right w:val="none" w:sz="0" w:space="0" w:color="auto"/>
      </w:divBdr>
    </w:div>
    <w:div w:id="1524591810">
      <w:bodyDiv w:val="1"/>
      <w:marLeft w:val="0"/>
      <w:marRight w:val="0"/>
      <w:marTop w:val="0"/>
      <w:marBottom w:val="0"/>
      <w:divBdr>
        <w:top w:val="none" w:sz="0" w:space="0" w:color="auto"/>
        <w:left w:val="none" w:sz="0" w:space="0" w:color="auto"/>
        <w:bottom w:val="none" w:sz="0" w:space="0" w:color="auto"/>
        <w:right w:val="none" w:sz="0" w:space="0" w:color="auto"/>
      </w:divBdr>
    </w:div>
    <w:div w:id="1550608142">
      <w:bodyDiv w:val="1"/>
      <w:marLeft w:val="0"/>
      <w:marRight w:val="0"/>
      <w:marTop w:val="0"/>
      <w:marBottom w:val="0"/>
      <w:divBdr>
        <w:top w:val="none" w:sz="0" w:space="0" w:color="auto"/>
        <w:left w:val="none" w:sz="0" w:space="0" w:color="auto"/>
        <w:bottom w:val="none" w:sz="0" w:space="0" w:color="auto"/>
        <w:right w:val="none" w:sz="0" w:space="0" w:color="auto"/>
      </w:divBdr>
    </w:div>
    <w:div w:id="1602638734">
      <w:bodyDiv w:val="1"/>
      <w:marLeft w:val="0"/>
      <w:marRight w:val="0"/>
      <w:marTop w:val="0"/>
      <w:marBottom w:val="0"/>
      <w:divBdr>
        <w:top w:val="none" w:sz="0" w:space="0" w:color="auto"/>
        <w:left w:val="none" w:sz="0" w:space="0" w:color="auto"/>
        <w:bottom w:val="none" w:sz="0" w:space="0" w:color="auto"/>
        <w:right w:val="none" w:sz="0" w:space="0" w:color="auto"/>
      </w:divBdr>
    </w:div>
    <w:div w:id="1609005833">
      <w:bodyDiv w:val="1"/>
      <w:marLeft w:val="0"/>
      <w:marRight w:val="0"/>
      <w:marTop w:val="0"/>
      <w:marBottom w:val="0"/>
      <w:divBdr>
        <w:top w:val="none" w:sz="0" w:space="0" w:color="auto"/>
        <w:left w:val="none" w:sz="0" w:space="0" w:color="auto"/>
        <w:bottom w:val="none" w:sz="0" w:space="0" w:color="auto"/>
        <w:right w:val="none" w:sz="0" w:space="0" w:color="auto"/>
      </w:divBdr>
    </w:div>
    <w:div w:id="1742673019">
      <w:bodyDiv w:val="1"/>
      <w:marLeft w:val="0"/>
      <w:marRight w:val="0"/>
      <w:marTop w:val="0"/>
      <w:marBottom w:val="0"/>
      <w:divBdr>
        <w:top w:val="none" w:sz="0" w:space="0" w:color="auto"/>
        <w:left w:val="none" w:sz="0" w:space="0" w:color="auto"/>
        <w:bottom w:val="none" w:sz="0" w:space="0" w:color="auto"/>
        <w:right w:val="none" w:sz="0" w:space="0" w:color="auto"/>
      </w:divBdr>
    </w:div>
    <w:div w:id="1781142711">
      <w:bodyDiv w:val="1"/>
      <w:marLeft w:val="0"/>
      <w:marRight w:val="0"/>
      <w:marTop w:val="0"/>
      <w:marBottom w:val="0"/>
      <w:divBdr>
        <w:top w:val="none" w:sz="0" w:space="0" w:color="auto"/>
        <w:left w:val="none" w:sz="0" w:space="0" w:color="auto"/>
        <w:bottom w:val="none" w:sz="0" w:space="0" w:color="auto"/>
        <w:right w:val="none" w:sz="0" w:space="0" w:color="auto"/>
      </w:divBdr>
      <w:divsChild>
        <w:div w:id="1614551459">
          <w:marLeft w:val="0"/>
          <w:marRight w:val="0"/>
          <w:marTop w:val="0"/>
          <w:marBottom w:val="0"/>
          <w:divBdr>
            <w:top w:val="none" w:sz="0" w:space="0" w:color="auto"/>
            <w:left w:val="none" w:sz="0" w:space="0" w:color="auto"/>
            <w:bottom w:val="none" w:sz="0" w:space="0" w:color="auto"/>
            <w:right w:val="none" w:sz="0" w:space="0" w:color="auto"/>
          </w:divBdr>
          <w:divsChild>
            <w:div w:id="71469315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810777878">
      <w:bodyDiv w:val="1"/>
      <w:marLeft w:val="0"/>
      <w:marRight w:val="0"/>
      <w:marTop w:val="0"/>
      <w:marBottom w:val="0"/>
      <w:divBdr>
        <w:top w:val="none" w:sz="0" w:space="0" w:color="auto"/>
        <w:left w:val="none" w:sz="0" w:space="0" w:color="auto"/>
        <w:bottom w:val="none" w:sz="0" w:space="0" w:color="auto"/>
        <w:right w:val="none" w:sz="0" w:space="0" w:color="auto"/>
      </w:divBdr>
    </w:div>
    <w:div w:id="1814103759">
      <w:bodyDiv w:val="1"/>
      <w:marLeft w:val="0"/>
      <w:marRight w:val="0"/>
      <w:marTop w:val="0"/>
      <w:marBottom w:val="0"/>
      <w:divBdr>
        <w:top w:val="none" w:sz="0" w:space="0" w:color="auto"/>
        <w:left w:val="none" w:sz="0" w:space="0" w:color="auto"/>
        <w:bottom w:val="none" w:sz="0" w:space="0" w:color="auto"/>
        <w:right w:val="none" w:sz="0" w:space="0" w:color="auto"/>
      </w:divBdr>
    </w:div>
    <w:div w:id="1838030609">
      <w:bodyDiv w:val="1"/>
      <w:marLeft w:val="0"/>
      <w:marRight w:val="0"/>
      <w:marTop w:val="0"/>
      <w:marBottom w:val="0"/>
      <w:divBdr>
        <w:top w:val="none" w:sz="0" w:space="0" w:color="auto"/>
        <w:left w:val="none" w:sz="0" w:space="0" w:color="auto"/>
        <w:bottom w:val="none" w:sz="0" w:space="0" w:color="auto"/>
        <w:right w:val="none" w:sz="0" w:space="0" w:color="auto"/>
      </w:divBdr>
    </w:div>
    <w:div w:id="1856335924">
      <w:bodyDiv w:val="1"/>
      <w:marLeft w:val="0"/>
      <w:marRight w:val="0"/>
      <w:marTop w:val="0"/>
      <w:marBottom w:val="0"/>
      <w:divBdr>
        <w:top w:val="none" w:sz="0" w:space="0" w:color="auto"/>
        <w:left w:val="none" w:sz="0" w:space="0" w:color="auto"/>
        <w:bottom w:val="none" w:sz="0" w:space="0" w:color="auto"/>
        <w:right w:val="none" w:sz="0" w:space="0" w:color="auto"/>
      </w:divBdr>
    </w:div>
    <w:div w:id="1921863373">
      <w:bodyDiv w:val="1"/>
      <w:marLeft w:val="0"/>
      <w:marRight w:val="0"/>
      <w:marTop w:val="0"/>
      <w:marBottom w:val="0"/>
      <w:divBdr>
        <w:top w:val="none" w:sz="0" w:space="0" w:color="auto"/>
        <w:left w:val="none" w:sz="0" w:space="0" w:color="auto"/>
        <w:bottom w:val="none" w:sz="0" w:space="0" w:color="auto"/>
        <w:right w:val="none" w:sz="0" w:space="0" w:color="auto"/>
      </w:divBdr>
    </w:div>
    <w:div w:id="1930460479">
      <w:bodyDiv w:val="1"/>
      <w:marLeft w:val="0"/>
      <w:marRight w:val="0"/>
      <w:marTop w:val="0"/>
      <w:marBottom w:val="0"/>
      <w:divBdr>
        <w:top w:val="none" w:sz="0" w:space="0" w:color="auto"/>
        <w:left w:val="none" w:sz="0" w:space="0" w:color="auto"/>
        <w:bottom w:val="none" w:sz="0" w:space="0" w:color="auto"/>
        <w:right w:val="none" w:sz="0" w:space="0" w:color="auto"/>
      </w:divBdr>
    </w:div>
    <w:div w:id="1959410038">
      <w:bodyDiv w:val="1"/>
      <w:marLeft w:val="0"/>
      <w:marRight w:val="0"/>
      <w:marTop w:val="0"/>
      <w:marBottom w:val="0"/>
      <w:divBdr>
        <w:top w:val="none" w:sz="0" w:space="0" w:color="auto"/>
        <w:left w:val="none" w:sz="0" w:space="0" w:color="auto"/>
        <w:bottom w:val="none" w:sz="0" w:space="0" w:color="auto"/>
        <w:right w:val="none" w:sz="0" w:space="0" w:color="auto"/>
      </w:divBdr>
      <w:divsChild>
        <w:div w:id="571352690">
          <w:marLeft w:val="0"/>
          <w:marRight w:val="0"/>
          <w:marTop w:val="0"/>
          <w:marBottom w:val="0"/>
          <w:divBdr>
            <w:top w:val="none" w:sz="0" w:space="0" w:color="auto"/>
            <w:left w:val="none" w:sz="0" w:space="0" w:color="auto"/>
            <w:bottom w:val="none" w:sz="0" w:space="0" w:color="auto"/>
            <w:right w:val="none" w:sz="0" w:space="0" w:color="auto"/>
          </w:divBdr>
        </w:div>
      </w:divsChild>
    </w:div>
    <w:div w:id="1972324311">
      <w:bodyDiv w:val="1"/>
      <w:marLeft w:val="0"/>
      <w:marRight w:val="0"/>
      <w:marTop w:val="0"/>
      <w:marBottom w:val="0"/>
      <w:divBdr>
        <w:top w:val="none" w:sz="0" w:space="0" w:color="auto"/>
        <w:left w:val="none" w:sz="0" w:space="0" w:color="auto"/>
        <w:bottom w:val="none" w:sz="0" w:space="0" w:color="auto"/>
        <w:right w:val="none" w:sz="0" w:space="0" w:color="auto"/>
      </w:divBdr>
    </w:div>
    <w:div w:id="1981493688">
      <w:bodyDiv w:val="1"/>
      <w:marLeft w:val="0"/>
      <w:marRight w:val="0"/>
      <w:marTop w:val="0"/>
      <w:marBottom w:val="0"/>
      <w:divBdr>
        <w:top w:val="none" w:sz="0" w:space="0" w:color="auto"/>
        <w:left w:val="none" w:sz="0" w:space="0" w:color="auto"/>
        <w:bottom w:val="none" w:sz="0" w:space="0" w:color="auto"/>
        <w:right w:val="none" w:sz="0" w:space="0" w:color="auto"/>
      </w:divBdr>
    </w:div>
    <w:div w:id="205338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vester\AppData\Roaming\B-ware\DocSys.Web\profiles\minjus\client\folders\wij_willem-alexander.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5931</ap:Words>
  <ap:Characters>37627</ap:Characters>
  <ap:DocSecurity>0</ap:DocSecurity>
  <ap:Lines>313</ap:Lines>
  <ap:Paragraphs>86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43472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2013-04-24T12:37:00.0000000Z</lastPrinted>
  <dcterms:created xsi:type="dcterms:W3CDTF">2024-09-12T14:35:00.0000000Z</dcterms:created>
  <dcterms:modified xsi:type="dcterms:W3CDTF">2024-09-12T14:35:00.0000000Z</dcterms:modified>
  <category/>
  <dc:description>------------------------</dc:description>
  <dc:subject/>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doc">
    <vt:lpwstr>companydoc</vt:lpwstr>
  </property>
  <property fmtid="{D5CDD505-2E9C-101B-9397-08002B2CF9AE}" pid="3" name="LogoDenyAt_logogroot">
    <vt:lpwstr>2-</vt:lpwstr>
  </property>
  <property fmtid="{D5CDD505-2E9C-101B-9397-08002B2CF9AE}" pid="4" name="LogoDenyAt_logoklein">
    <vt:lpwstr>0-</vt:lpwstr>
  </property>
  <property fmtid="{D5CDD505-2E9C-101B-9397-08002B2CF9AE}" pid="5" name="taal">
    <vt:lpwstr>taal</vt:lpwstr>
  </property>
  <property fmtid="{D5CDD505-2E9C-101B-9397-08002B2CF9AE}" pid="6" name="savename">
    <vt:lpwstr>savename</vt:lpwstr>
  </property>
  <property fmtid="{D5CDD505-2E9C-101B-9397-08002B2CF9AE}" pid="7" name="afdelingraised">
    <vt:lpwstr> </vt:lpwstr>
  </property>
  <property fmtid="{D5CDD505-2E9C-101B-9397-08002B2CF9AE}" pid="8" name="onskenmerk">
    <vt:lpwstr>onskenmerk</vt:lpwstr>
  </property>
  <property fmtid="{D5CDD505-2E9C-101B-9397-08002B2CF9AE}" pid="9" name="MSIP_Label_6800fede-0e59-47ad-af95-4e63bbdb932d_Enabled">
    <vt:lpwstr>true</vt:lpwstr>
  </property>
  <property fmtid="{D5CDD505-2E9C-101B-9397-08002B2CF9AE}" pid="10" name="MSIP_Label_6800fede-0e59-47ad-af95-4e63bbdb932d_SetDate">
    <vt:lpwstr>2023-11-21T14:04:35Z</vt:lpwstr>
  </property>
  <property fmtid="{D5CDD505-2E9C-101B-9397-08002B2CF9AE}" pid="11" name="MSIP_Label_6800fede-0e59-47ad-af95-4e63bbdb932d_Method">
    <vt:lpwstr>Standard</vt:lpwstr>
  </property>
  <property fmtid="{D5CDD505-2E9C-101B-9397-08002B2CF9AE}" pid="12" name="MSIP_Label_6800fede-0e59-47ad-af95-4e63bbdb932d_Name">
    <vt:lpwstr>FIN-DGGT-Rijksoverheid</vt:lpwstr>
  </property>
  <property fmtid="{D5CDD505-2E9C-101B-9397-08002B2CF9AE}" pid="13" name="MSIP_Label_6800fede-0e59-47ad-af95-4e63bbdb932d_SiteId">
    <vt:lpwstr>84712536-f524-40a0-913b-5d25ba502732</vt:lpwstr>
  </property>
  <property fmtid="{D5CDD505-2E9C-101B-9397-08002B2CF9AE}" pid="14" name="MSIP_Label_6800fede-0e59-47ad-af95-4e63bbdb932d_ActionId">
    <vt:lpwstr>58067bc7-3186-4eda-b1e1-746e5aef1780</vt:lpwstr>
  </property>
  <property fmtid="{D5CDD505-2E9C-101B-9397-08002B2CF9AE}" pid="15" name="MSIP_Label_6800fede-0e59-47ad-af95-4e63bbdb932d_ContentBits">
    <vt:lpwstr>0</vt:lpwstr>
  </property>
</Properties>
</file>