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2024Z13463</w:t>
        <w:br/>
      </w:r>
      <w:proofErr w:type="spellEnd"/>
    </w:p>
    <w:p>
      <w:pPr>
        <w:pStyle w:val="Normal"/>
        <w:rPr>
          <w:b w:val="1"/>
          <w:bCs w:val="1"/>
        </w:rPr>
      </w:pPr>
      <w:r w:rsidR="250AE766">
        <w:rPr>
          <w:b w:val="0"/>
          <w:bCs w:val="0"/>
        </w:rPr>
        <w:t>(ingezonden 12 september 2024)</w:t>
        <w:br/>
      </w:r>
    </w:p>
    <w:p>
      <w:r>
        <w:t xml:space="preserve">Vragen van de leden Saris en Omtzigt (beiden Nieuw Sociaal Contract) aan de minister van Sociale Zaken en Werkgelegenheid en de minister-president over de problemen met de WIA-keuringen en de vaststelling van de hoogte van de uitkeringen, die niet terug te vinden zijn in de vele verslagen, Kamerbrieven en andere zaken die aan de Kamer zijn gestuurd.</w:t>
      </w:r>
      <w:r>
        <w:br/>
      </w:r>
    </w:p>
    <w:p>
      <w:r>
        <w:t xml:space="preserve"> </w:t>
      </w:r>
      <w:r>
        <w:br/>
      </w:r>
    </w:p>
    <w:p>
      <w:r>
        <w:t xml:space="preserve">Vraag 1</w:t>
      </w:r>
      <w:r>
        <w:br/>
      </w:r>
    </w:p>
    <w:p>
      <w:r>
        <w:t xml:space="preserve">Heeft u kennisgenomen van het Uitvoeringsinstituut Werknemersverzekeringen (UWV) Viermaandenverslag 2024, waar in paragraaf 4.1 de tabel Financiële rechtmatigheid verslagjaar eerste twee kwartalen 2024 staat, waarin bij de wet Werk en Inkomen naar Arbeidsvermogen (WIA) staat dat de financiële fouten WIA 0,0% bedroegen in 2023 en 0,0% in de eerste vier maanden van 2024? 1)</w:t>
      </w:r>
      <w:r>
        <w:br/>
      </w:r>
    </w:p>
    <w:p>
      <w:r>
        <w:t xml:space="preserve"> </w:t>
      </w:r>
      <w:r>
        <w:br/>
      </w:r>
    </w:p>
    <w:p>
      <w:r>
        <w:t xml:space="preserve">Vraag 2</w:t>
      </w:r>
      <w:r>
        <w:br/>
      </w:r>
    </w:p>
    <w:p>
      <w:r>
        <w:t xml:space="preserve">Heeft u kennisgenomen van het UWV Viermaandenverslag 2024, waar in paragraaf 4.1 de tabel Financiële rechtmatigheid verslagjaar eerste twee kwartalen 2024 staat, waarin bij de WIA staat dat de financiële onzekerheden WIA 0,2% bedroegen in 2023 en 0,0% in de eerste vier maanden van 2024?</w:t>
      </w:r>
      <w:r>
        <w:br/>
      </w:r>
    </w:p>
    <w:p>
      <w:r>
        <w:t xml:space="preserve"> </w:t>
      </w:r>
      <w:r>
        <w:br/>
      </w:r>
    </w:p>
    <w:p>
      <w:r>
        <w:t xml:space="preserve">Vraag 3</w:t>
      </w:r>
      <w:r>
        <w:br/>
      </w:r>
    </w:p>
    <w:p>
      <w:r>
        <w:t xml:space="preserve">Kunt u aangeven wat de definities zijn van financiële fouten WIA en financiële onzekerheden WIA en hoe deze cijfers berekend zijn?</w:t>
      </w:r>
      <w:r>
        <w:br/>
      </w:r>
    </w:p>
    <w:p>
      <w:r>
        <w:t xml:space="preserve"> </w:t>
      </w:r>
      <w:r>
        <w:br/>
      </w:r>
    </w:p>
    <w:p>
      <w:r>
        <w:t xml:space="preserve">Vraag 4</w:t>
      </w:r>
      <w:r>
        <w:br/>
      </w:r>
    </w:p>
    <w:p>
      <w:r>
        <w:t xml:space="preserve">Ziet u aanleiding om aan het UWV te vragen om deze cijfers opnieuw te berekenen gezien de problemen die aan het licht gekomen zijn?</w:t>
      </w:r>
      <w:r>
        <w:br/>
      </w:r>
    </w:p>
    <w:p>
      <w:r>
        <w:t xml:space="preserve"> </w:t>
      </w:r>
      <w:r>
        <w:br/>
      </w:r>
    </w:p>
    <w:p>
      <w:r>
        <w:t xml:space="preserve">Vraag 5</w:t>
      </w:r>
      <w:r>
        <w:br/>
      </w:r>
    </w:p>
    <w:p>
      <w:r>
        <w:t xml:space="preserve">Kunt u aangeven hoe het komt dat de grote problemen met de foutieve keuringen en de vaststelling van de hoogte van de uitkeringen niet voorkomen in de Stand van de Uitvoering, het Jaarverslag van het UWV en de knelpuntenbrief?</w:t>
      </w:r>
      <w:r>
        <w:br/>
      </w:r>
    </w:p>
    <w:p>
      <w:r>
        <w:t xml:space="preserve"> </w:t>
      </w:r>
      <w:r>
        <w:br/>
      </w:r>
    </w:p>
    <w:p>
      <w:r>
        <w:t xml:space="preserve">Vraag 6</w:t>
      </w:r>
      <w:r>
        <w:br/>
      </w:r>
    </w:p>
    <w:p>
      <w:r>
        <w:t xml:space="preserve">Hoeveel geld is er de afgelopen vijf jaar uitgegeven aan het project ‘Werk aan Uitvoering’?</w:t>
      </w:r>
      <w:r>
        <w:br/>
      </w:r>
    </w:p>
    <w:p>
      <w:r>
        <w:t xml:space="preserve"> </w:t>
      </w:r>
      <w:r>
        <w:br/>
      </w:r>
    </w:p>
    <w:p>
      <w:r>
        <w:t xml:space="preserve">Vraag 7</w:t>
      </w:r>
      <w:r>
        <w:br/>
      </w:r>
    </w:p>
    <w:p>
      <w:r>
        <w:t xml:space="preserve">Hoe komt het dat deze problemen in dat project niet duidelijk naar boven gekomen zijn?</w:t>
      </w:r>
      <w:r>
        <w:br/>
      </w:r>
    </w:p>
    <w:p>
      <w:r>
        <w:t xml:space="preserve"> </w:t>
      </w:r>
      <w:r>
        <w:br/>
      </w:r>
    </w:p>
    <w:p>
      <w:r>
        <w:t xml:space="preserve">Vraag 8</w:t>
      </w:r>
      <w:r>
        <w:br/>
      </w:r>
    </w:p>
    <w:p>
      <w:r>
        <w:t xml:space="preserve">Is de accountantsverklaring aan het UWV over 2022 en 2023 op juiste gronden verstrekt?</w:t>
      </w:r>
      <w:r>
        <w:br/>
      </w:r>
    </w:p>
    <w:p>
      <w:r>
        <w:t xml:space="preserve"> </w:t>
      </w:r>
      <w:r>
        <w:br/>
      </w:r>
    </w:p>
    <w:p>
      <w:r>
        <w:t xml:space="preserve">Vraag 9</w:t>
      </w:r>
      <w:r>
        <w:br/>
      </w:r>
    </w:p>
    <w:p>
      <w:r>
        <w:t xml:space="preserve">Herinnert u zich dat uw ambtsvoorganger op 7 maart 2024 een brief aan de Algemene Rekenkamer schreef als reactie op het rapport menselijke maat met de volgende tekst:</w:t>
      </w:r>
      <w:r>
        <w:br/>
      </w:r>
    </w:p>
    <w:p>
      <w:r>
        <w:t xml:space="preserve">“Fouten en nalatigheden in de uitvoering en wettelijke grondslag. De AR constateert dat het onduidelijk is hoe met fouten en nalatigheden van uitvoeringsinstanties omgegaan moet worden. Ook adviseert de AR het redelijkerwijs duidelijk criterium van een wettelijke basis te voorzien. De twee artikelen waar u op wijst – artikel 3 en 4 van de beleidsregel - zien op terugvordering. De afgelopen tijd ben ik bezig geweest om het onderwerp terugvordering een plaats te geven in het conceptwetsvoorstel Handhaving sociale zekerheid. Daarbij overweeg ik ook een codificatie van het redelijkerwijs duidelijk criterium. Een andere overweging ligt bij enkele keuzes ten aanzien van de exacte invulling en reikwijdte die de bepaling moeten krijgen. Daarnaast bezie ik op welke wijze de gevolgen van fouten en nalatigheden van uitvoeringsinstanties in de terugvordering kunnen worden meegenomen.”? 2)</w:t>
      </w:r>
      <w:r>
        <w:br/>
      </w:r>
    </w:p>
    <w:p>
      <w:r>
        <w:t xml:space="preserve"> </w:t>
      </w:r>
      <w:r>
        <w:br/>
      </w:r>
    </w:p>
    <w:p>
      <w:r>
        <w:t xml:space="preserve">Vraag 10</w:t>
      </w:r>
      <w:r>
        <w:br/>
      </w:r>
    </w:p>
    <w:p>
      <w:r>
        <w:t xml:space="preserve">Kunt u aangeven hoe het staat met het wetsvoorstel Handhaving sociale zekerheid, met het ‘redelijkerwijs duidelijk criterium’ en met de gevolgen van fouten en nalatigheden van uitvoeringsinstanties in de terugvordering?</w:t>
      </w:r>
      <w:r>
        <w:br/>
      </w:r>
    </w:p>
    <w:p>
      <w:r>
        <w:t xml:space="preserve"> </w:t>
      </w:r>
      <w:r>
        <w:br/>
      </w:r>
    </w:p>
    <w:p>
      <w:r>
        <w:t xml:space="preserve">Vraag 11</w:t>
      </w:r>
      <w:r>
        <w:br/>
      </w:r>
    </w:p>
    <w:p>
      <w:r>
        <w:t xml:space="preserve">Kunt u deze vragen een voor een en minstens een week voor het plenaire debat hierover aan de Kamer doen toekomen?</w:t>
      </w:r>
      <w:r>
        <w:br/>
      </w:r>
    </w:p>
    <w:p>
      <w:r>
        <w:t xml:space="preserve"> </w:t>
      </w:r>
      <w:r>
        <w:br/>
      </w:r>
    </w:p>
    <w:p>
      <w:r>
        <w:t xml:space="preserve">1) UWV, 18 juli 2024, 'UWV viermaandenverslag 2024, deel 2', (UWV Viermaandenverslag 2024, deel 2 | UWV).</w:t>
      </w:r>
      <w:r>
        <w:br/>
      </w:r>
    </w:p>
    <w:p>
      <w:r>
        <w:t xml:space="preserve">2) Minister van Sociale Zaken en Werkgelegenheid, 7 maart 2024, 'Bestuurlijke reactie op het rapport ‘Grip op menselijk maat'',  aan de president van de Algemene Rekenkamer, (https://eur06.safelinks.protection.outlook.com/?url=https%3A%2F%2Fwww.rekenkamer.nl%2Fpublicaties%2Fbrieven%2F2024%2F04%2F18%2Freactie-minister-van-sociale-zaken-en-werkgelegenheid-op-het-rapport-grip-op-menselijke-maat&amp;data=05%7C02%7Ci.saris%40tweedekamer.nl%7Cdc6c87169062462e9b6608dcd2fa4676%7C238cb5073f714afeaaab8382731a4345%7C0%7C0%7C638617219576391229%7CUnknown%7CTWFpbGZsb3d8eyJWIjoiMC4wLjAwMDAiLCJQIjoiV2luMzIiLCJBTiI6Ik1haWwiLCJXVCI6Mn0%3D%7C0%7C%7C%7C&amp;sdata=PNtbAJDoyEzGMXq2OwhDw25AU5qYOmnxyKzednViNe8%3D&amp;reserved=0).</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420">
    <w:abstractNumId w:val="100453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