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F410A" w:rsidR="000A1D3D" w:rsidP="0050065D" w:rsidRDefault="00361784" w14:paraId="50AC95D3" w14:textId="65A2E2F7">
      <w:bookmarkStart w:name="_GoBack" w:id="0"/>
      <w:bookmarkEnd w:id="0"/>
      <w:r>
        <w:t xml:space="preserve">Het Wetenschappelijk Onderzoeks- en Datacentrum (WODC) publiceert sinds 2011 elke twee jaar </w:t>
      </w:r>
      <w:r w:rsidRPr="005E1E5F" w:rsidR="005E1E5F">
        <w:t xml:space="preserve">de </w:t>
      </w:r>
      <w:r>
        <w:t>monitor nazorg e</w:t>
      </w:r>
      <w:r w:rsidR="00823C38">
        <w:t>x</w:t>
      </w:r>
      <w:r>
        <w:t xml:space="preserve">-gedetineerden. Deze monitor brengt de </w:t>
      </w:r>
      <w:r w:rsidRPr="005E1E5F" w:rsidR="005E1E5F">
        <w:t xml:space="preserve">problematiek van ex-gedetineerde personen op de </w:t>
      </w:r>
      <w:r w:rsidR="005E1E5F">
        <w:t xml:space="preserve">vijf </w:t>
      </w:r>
      <w:r w:rsidRPr="005E1E5F" w:rsidR="005E1E5F">
        <w:t>basisvoorwaarden</w:t>
      </w:r>
      <w:r w:rsidR="005E1E5F">
        <w:t xml:space="preserve"> </w:t>
      </w:r>
      <w:r>
        <w:t>(</w:t>
      </w:r>
      <w:r w:rsidR="005E1E5F">
        <w:t>werk en inkomen, huisvesting, schuldenaanpak, ID bewijs en zorg</w:t>
      </w:r>
      <w:r>
        <w:t>)</w:t>
      </w:r>
      <w:r w:rsidR="005E1E5F">
        <w:t>,</w:t>
      </w:r>
      <w:r w:rsidRPr="005E1E5F" w:rsidR="005E1E5F">
        <w:t xml:space="preserve"> in kaart</w:t>
      </w:r>
      <w:r>
        <w:t xml:space="preserve">. Hierbij </w:t>
      </w:r>
      <w:r w:rsidRPr="00FF410A">
        <w:t xml:space="preserve">bied ik uw Kamer de </w:t>
      </w:r>
      <w:r w:rsidR="00823C38">
        <w:t>7</w:t>
      </w:r>
      <w:r w:rsidRPr="00823C38" w:rsidR="00823C38">
        <w:rPr>
          <w:vertAlign w:val="superscript"/>
        </w:rPr>
        <w:t>e</w:t>
      </w:r>
      <w:r w:rsidR="00823C38">
        <w:t xml:space="preserve"> </w:t>
      </w:r>
      <w:r>
        <w:t xml:space="preserve">monitor </w:t>
      </w:r>
      <w:r w:rsidR="00585017">
        <w:t xml:space="preserve">nazorg </w:t>
      </w:r>
      <w:r>
        <w:t>aan.</w:t>
      </w:r>
      <w:r w:rsidR="00823C38">
        <w:t xml:space="preserve"> </w:t>
      </w:r>
      <w:r w:rsidRPr="005E1E5F" w:rsidR="005E1E5F">
        <w:t>Uit voorgaande m</w:t>
      </w:r>
      <w:r>
        <w:t>onitors</w:t>
      </w:r>
      <w:r w:rsidRPr="005E1E5F" w:rsidR="005E1E5F">
        <w:t xml:space="preserve"> is duidelijk geworden dat personen die uit detentie stromen veel problemen ervaren op de bovengenoemde basisvoorwaarden, zowel in de periode voor detentie als in de periode na vrijlating. Hiermee heeft de monitor nazorg een belangrijke signaleringsfunctie voor het nazorgbeleid en</w:t>
      </w:r>
      <w:r w:rsidR="004F2F86">
        <w:t xml:space="preserve"> voor</w:t>
      </w:r>
      <w:r w:rsidRPr="005E1E5F" w:rsidR="005E1E5F">
        <w:t xml:space="preserve"> partijen die in de praktijk aan nazorg werken.</w:t>
      </w:r>
      <w:r w:rsidR="005E1E5F">
        <w:t xml:space="preserve"> </w:t>
      </w:r>
    </w:p>
    <w:p w:rsidRPr="00FF410A" w:rsidR="0050065D" w:rsidP="0050065D" w:rsidRDefault="0050065D" w14:paraId="3E374C28" w14:textId="77777777"/>
    <w:p w:rsidRPr="00B517FD" w:rsidR="0050065D" w:rsidP="002D549E" w:rsidRDefault="0050065D" w14:paraId="1DEBEDCA" w14:textId="69FD2CAC">
      <w:pPr>
        <w:spacing w:line="240" w:lineRule="exact"/>
        <w:rPr>
          <w:b/>
          <w:bCs/>
        </w:rPr>
      </w:pPr>
      <w:r w:rsidRPr="00B517FD">
        <w:rPr>
          <w:b/>
          <w:bCs/>
        </w:rPr>
        <w:t>Samenvatting 7</w:t>
      </w:r>
      <w:r w:rsidRPr="00B517FD">
        <w:rPr>
          <w:b/>
          <w:bCs/>
          <w:vertAlign w:val="superscript"/>
        </w:rPr>
        <w:t>e</w:t>
      </w:r>
      <w:r w:rsidRPr="00B517FD">
        <w:rPr>
          <w:b/>
          <w:bCs/>
        </w:rPr>
        <w:t xml:space="preserve"> monitor nazorg</w:t>
      </w:r>
    </w:p>
    <w:p w:rsidRPr="00906039" w:rsidR="00FF410A" w:rsidP="002D549E" w:rsidRDefault="00FF410A" w14:paraId="1F880536" w14:textId="1A3CA57A">
      <w:pPr>
        <w:pStyle w:val="Voetnoottekst"/>
        <w:spacing w:line="240" w:lineRule="exact"/>
        <w:rPr>
          <w:sz w:val="18"/>
          <w:szCs w:val="18"/>
        </w:rPr>
      </w:pPr>
      <w:r w:rsidRPr="00906039">
        <w:rPr>
          <w:sz w:val="18"/>
          <w:szCs w:val="18"/>
        </w:rPr>
        <w:t xml:space="preserve">De </w:t>
      </w:r>
      <w:r w:rsidRPr="00906039" w:rsidR="00823C38">
        <w:rPr>
          <w:sz w:val="18"/>
          <w:szCs w:val="18"/>
        </w:rPr>
        <w:t>7</w:t>
      </w:r>
      <w:r w:rsidRPr="00906039" w:rsidR="00823C38">
        <w:rPr>
          <w:sz w:val="18"/>
          <w:szCs w:val="18"/>
          <w:vertAlign w:val="superscript"/>
        </w:rPr>
        <w:t>e</w:t>
      </w:r>
      <w:r w:rsidRPr="00906039" w:rsidR="00823C38">
        <w:rPr>
          <w:sz w:val="18"/>
          <w:szCs w:val="18"/>
        </w:rPr>
        <w:t xml:space="preserve"> </w:t>
      </w:r>
      <w:r w:rsidRPr="00906039">
        <w:rPr>
          <w:sz w:val="18"/>
          <w:szCs w:val="18"/>
        </w:rPr>
        <w:t xml:space="preserve">monitor nazorg </w:t>
      </w:r>
      <w:r w:rsidRPr="00906039" w:rsidR="00920A36">
        <w:rPr>
          <w:sz w:val="18"/>
          <w:szCs w:val="18"/>
        </w:rPr>
        <w:t xml:space="preserve">brengt de situatie op het gebied van de </w:t>
      </w:r>
      <w:r w:rsidRPr="00906039">
        <w:rPr>
          <w:sz w:val="18"/>
          <w:szCs w:val="18"/>
        </w:rPr>
        <w:t>basisvoorwaarden</w:t>
      </w:r>
      <w:r w:rsidRPr="00906039" w:rsidR="00823C38">
        <w:rPr>
          <w:sz w:val="18"/>
          <w:szCs w:val="18"/>
        </w:rPr>
        <w:t xml:space="preserve"> </w:t>
      </w:r>
      <w:r w:rsidRPr="00906039">
        <w:rPr>
          <w:sz w:val="18"/>
          <w:szCs w:val="18"/>
        </w:rPr>
        <w:t>wer</w:t>
      </w:r>
      <w:r w:rsidRPr="00906039" w:rsidR="004340FA">
        <w:rPr>
          <w:sz w:val="18"/>
          <w:szCs w:val="18"/>
        </w:rPr>
        <w:t xml:space="preserve">k en </w:t>
      </w:r>
      <w:r w:rsidRPr="00906039">
        <w:rPr>
          <w:sz w:val="18"/>
          <w:szCs w:val="18"/>
        </w:rPr>
        <w:t xml:space="preserve">inkomen, onderdak en schulden </w:t>
      </w:r>
      <w:r w:rsidRPr="00906039" w:rsidR="00920A36">
        <w:rPr>
          <w:sz w:val="18"/>
          <w:szCs w:val="18"/>
        </w:rPr>
        <w:t xml:space="preserve">in kaart, </w:t>
      </w:r>
      <w:r w:rsidRPr="00906039">
        <w:rPr>
          <w:sz w:val="18"/>
          <w:szCs w:val="18"/>
        </w:rPr>
        <w:t>v</w:t>
      </w:r>
      <w:r w:rsidRPr="00906039" w:rsidR="00E57F58">
        <w:rPr>
          <w:sz w:val="18"/>
          <w:szCs w:val="18"/>
        </w:rPr>
        <w:t>an</w:t>
      </w:r>
      <w:r w:rsidRPr="00906039">
        <w:rPr>
          <w:sz w:val="18"/>
          <w:szCs w:val="18"/>
        </w:rPr>
        <w:t xml:space="preserve"> personen die in 2017, 2018 en 2019 zijn </w:t>
      </w:r>
      <w:r w:rsidRPr="00906039" w:rsidR="00E57F58">
        <w:rPr>
          <w:sz w:val="18"/>
          <w:szCs w:val="18"/>
        </w:rPr>
        <w:t>vrijgelaten</w:t>
      </w:r>
      <w:r w:rsidRPr="00906039" w:rsidR="00EA55C6">
        <w:rPr>
          <w:sz w:val="18"/>
          <w:szCs w:val="18"/>
        </w:rPr>
        <w:t>. Er is voor deze monitor</w:t>
      </w:r>
      <w:r w:rsidRPr="00906039" w:rsidR="00EA55C6">
        <w:rPr>
          <w:sz w:val="18"/>
          <w:szCs w:val="18"/>
          <w:lang w:val="en-US"/>
        </w:rPr>
        <w:t xml:space="preserve"> geen of ontoereikend data beschikbaar over de basisvoorwaarden identiteitsbewijs en (passende) zorg</w:t>
      </w:r>
      <w:r w:rsidRPr="00906039" w:rsidR="00EA55C6">
        <w:rPr>
          <w:sz w:val="18"/>
          <w:szCs w:val="18"/>
        </w:rPr>
        <w:t>. Daarom worden deze basisvoorwaarden in de huidige monitor buiten beschouwing gelaten.</w:t>
      </w:r>
      <w:r w:rsidRPr="00906039" w:rsidR="00E00679">
        <w:rPr>
          <w:sz w:val="18"/>
          <w:szCs w:val="18"/>
        </w:rPr>
        <w:t xml:space="preserve"> </w:t>
      </w:r>
      <w:r w:rsidR="00906039">
        <w:rPr>
          <w:sz w:val="18"/>
          <w:szCs w:val="18"/>
        </w:rPr>
        <w:t>I</w:t>
      </w:r>
      <w:r w:rsidRPr="00906039" w:rsidR="00920A36">
        <w:rPr>
          <w:sz w:val="18"/>
          <w:szCs w:val="18"/>
        </w:rPr>
        <w:t xml:space="preserve">n deze monitor </w:t>
      </w:r>
      <w:r w:rsidR="00906039">
        <w:rPr>
          <w:sz w:val="18"/>
          <w:szCs w:val="18"/>
        </w:rPr>
        <w:t xml:space="preserve">komt verder </w:t>
      </w:r>
      <w:r w:rsidRPr="00906039" w:rsidR="00E00679">
        <w:rPr>
          <w:sz w:val="18"/>
          <w:szCs w:val="18"/>
        </w:rPr>
        <w:t xml:space="preserve">de relatie tussen de situatie op deze basisvoorwaarden en de recidive aan bod. </w:t>
      </w:r>
      <w:r w:rsidR="00906039">
        <w:rPr>
          <w:sz w:val="18"/>
          <w:szCs w:val="18"/>
        </w:rPr>
        <w:t xml:space="preserve">Tot slot wordt in deze monitor </w:t>
      </w:r>
      <w:r w:rsidRPr="00906039" w:rsidR="00143B20">
        <w:rPr>
          <w:sz w:val="18"/>
          <w:szCs w:val="18"/>
        </w:rPr>
        <w:t xml:space="preserve">onderzocht of de situatie op deze basisvoorwaarden verschilt afhankelijk van hoe lang mensen in detentie zitten.  </w:t>
      </w:r>
    </w:p>
    <w:p w:rsidRPr="00906039" w:rsidR="00FF410A" w:rsidP="002D549E" w:rsidRDefault="00FF410A" w14:paraId="73D25BAC" w14:textId="77777777">
      <w:pPr>
        <w:spacing w:line="240" w:lineRule="exact"/>
      </w:pPr>
      <w:bookmarkStart w:name="_Hlk174442541" w:id="1"/>
    </w:p>
    <w:p w:rsidRPr="00906039" w:rsidR="00585017" w:rsidP="002D549E" w:rsidRDefault="00143B20" w14:paraId="47F49D57" w14:textId="179793B5">
      <w:pPr>
        <w:spacing w:line="240" w:lineRule="exact"/>
        <w:rPr>
          <w:i/>
          <w:iCs/>
        </w:rPr>
      </w:pPr>
      <w:r>
        <w:rPr>
          <w:i/>
          <w:iCs/>
        </w:rPr>
        <w:t xml:space="preserve">Situatie op de </w:t>
      </w:r>
      <w:r w:rsidRPr="00906039" w:rsidR="00585017">
        <w:rPr>
          <w:i/>
          <w:iCs/>
        </w:rPr>
        <w:t>basisvoorwaarden</w:t>
      </w:r>
      <w:r w:rsidR="00EA55C6">
        <w:rPr>
          <w:i/>
          <w:iCs/>
        </w:rPr>
        <w:t xml:space="preserve"> </w:t>
      </w:r>
    </w:p>
    <w:p w:rsidR="003E6685" w:rsidP="002D549E" w:rsidRDefault="00FF410A" w14:paraId="0C380734" w14:textId="0A68DC1B">
      <w:pPr>
        <w:autoSpaceDE w:val="0"/>
        <w:adjustRightInd w:val="0"/>
        <w:spacing w:line="240" w:lineRule="exact"/>
        <w:textAlignment w:val="auto"/>
      </w:pPr>
      <w:bookmarkStart w:name="_Hlk175657502" w:id="2"/>
      <w:bookmarkStart w:name="_Hlk175573527" w:id="3"/>
      <w:bookmarkStart w:name="_Hlk175557728" w:id="4"/>
      <w:r w:rsidRPr="00FF410A">
        <w:t>Uit de monitor blijkt dat</w:t>
      </w:r>
      <w:r w:rsidR="003E6685">
        <w:t xml:space="preserve"> er geen verschil zichtbaar is tussen de situatie voor of na detentie</w:t>
      </w:r>
      <w:r w:rsidR="009E60BC">
        <w:t xml:space="preserve"> op de basisvoorwaarden werk en inkomen, onderdak en schulden</w:t>
      </w:r>
      <w:r w:rsidR="003E6685">
        <w:t>:</w:t>
      </w:r>
      <w:r w:rsidRPr="00FF410A">
        <w:t xml:space="preserve"> </w:t>
      </w:r>
    </w:p>
    <w:p w:rsidRPr="00B517FD" w:rsidR="003E6685" w:rsidP="002D549E" w:rsidRDefault="003E6685" w14:paraId="0BAC84B7" w14:textId="3D805A6F">
      <w:pPr>
        <w:pStyle w:val="Lijstalinea"/>
        <w:numPr>
          <w:ilvl w:val="0"/>
          <w:numId w:val="15"/>
        </w:numPr>
        <w:autoSpaceDE w:val="0"/>
        <w:adjustRightInd w:val="0"/>
        <w:spacing w:line="240" w:lineRule="exact"/>
        <w:textAlignment w:val="auto"/>
        <w:rPr>
          <w:rFonts w:cs="Verdana"/>
          <w:color w:val="auto"/>
        </w:rPr>
      </w:pPr>
      <w:r>
        <w:t>o</w:t>
      </w:r>
      <w:r w:rsidR="00FF410A">
        <w:t>ngeveer 80% heeft</w:t>
      </w:r>
      <w:r w:rsidRPr="00957ED0" w:rsidR="00FF410A">
        <w:t xml:space="preserve"> geen</w:t>
      </w:r>
      <w:r w:rsidR="00FF410A">
        <w:t xml:space="preserve"> dagbesteding in de vorm van werk of een opleiding</w:t>
      </w:r>
      <w:r w:rsidR="00BB631A">
        <w:t xml:space="preserve">. </w:t>
      </w:r>
    </w:p>
    <w:p w:rsidRPr="00B517FD" w:rsidR="003E6685" w:rsidP="002D549E" w:rsidRDefault="00FF410A" w14:paraId="7E043354" w14:textId="697EC031">
      <w:pPr>
        <w:pStyle w:val="Lijstalinea"/>
        <w:numPr>
          <w:ilvl w:val="0"/>
          <w:numId w:val="15"/>
        </w:numPr>
        <w:autoSpaceDE w:val="0"/>
        <w:adjustRightInd w:val="0"/>
        <w:spacing w:line="240" w:lineRule="exact"/>
        <w:textAlignment w:val="auto"/>
        <w:rPr>
          <w:rFonts w:cs="Verdana"/>
          <w:color w:val="auto"/>
        </w:rPr>
      </w:pPr>
      <w:r>
        <w:t xml:space="preserve">30% </w:t>
      </w:r>
      <w:r w:rsidR="003E6685">
        <w:t xml:space="preserve">heeft </w:t>
      </w:r>
      <w:r>
        <w:t>geen inkomen</w:t>
      </w:r>
      <w:r w:rsidR="003E6685">
        <w:t xml:space="preserve"> (uit werk, uitkering of pensioen)</w:t>
      </w:r>
    </w:p>
    <w:p w:rsidRPr="00B517FD" w:rsidR="003E6685" w:rsidP="002D549E" w:rsidRDefault="00FF410A" w14:paraId="442CC102" w14:textId="5DEAA27A">
      <w:pPr>
        <w:pStyle w:val="Lijstalinea"/>
        <w:numPr>
          <w:ilvl w:val="0"/>
          <w:numId w:val="15"/>
        </w:numPr>
        <w:autoSpaceDE w:val="0"/>
        <w:adjustRightInd w:val="0"/>
        <w:spacing w:line="240" w:lineRule="exact"/>
        <w:textAlignment w:val="auto"/>
        <w:rPr>
          <w:rFonts w:cs="Verdana"/>
          <w:color w:val="auto"/>
        </w:rPr>
      </w:pPr>
      <w:r>
        <w:t>30%</w:t>
      </w:r>
      <w:r w:rsidR="00BB631A">
        <w:t xml:space="preserve"> </w:t>
      </w:r>
      <w:r w:rsidR="003E6685">
        <w:t>heeft</w:t>
      </w:r>
      <w:r w:rsidR="000B63BF">
        <w:t xml:space="preserve"> </w:t>
      </w:r>
      <w:r>
        <w:t>geen onderdak</w:t>
      </w:r>
    </w:p>
    <w:p w:rsidRPr="00B517FD" w:rsidR="009E60BC" w:rsidP="002D549E" w:rsidRDefault="009E60BC" w14:paraId="7AEF332D" w14:textId="001A2DDE">
      <w:pPr>
        <w:pStyle w:val="Lijstalinea"/>
        <w:numPr>
          <w:ilvl w:val="0"/>
          <w:numId w:val="15"/>
        </w:numPr>
        <w:autoSpaceDE w:val="0"/>
        <w:adjustRightInd w:val="0"/>
        <w:spacing w:line="240" w:lineRule="exact"/>
        <w:textAlignment w:val="auto"/>
        <w:rPr>
          <w:rFonts w:cs="Verdana"/>
          <w:color w:val="auto"/>
        </w:rPr>
      </w:pPr>
      <w:r>
        <w:t>60% van de</w:t>
      </w:r>
      <w:r w:rsidRPr="00B36FA9">
        <w:t xml:space="preserve"> </w:t>
      </w:r>
      <w:r>
        <w:t>ex-gedetineerden</w:t>
      </w:r>
      <w:r w:rsidRPr="00B36FA9">
        <w:t xml:space="preserve"> he</w:t>
      </w:r>
      <w:r>
        <w:t>eft</w:t>
      </w:r>
      <w:r w:rsidRPr="00B36FA9">
        <w:t xml:space="preserve"> problematische schulden</w:t>
      </w:r>
      <w:r>
        <w:t>. Hierbij zijn kredietschulden en informele schulden niet meegenomen, waardoor het werkelijke aandeel met schulden hoger ligt.</w:t>
      </w:r>
    </w:p>
    <w:p w:rsidR="00FB22B8" w:rsidP="002D549E" w:rsidRDefault="008A08E1" w14:paraId="16B749A5" w14:textId="0AB95005">
      <w:pPr>
        <w:spacing w:line="240" w:lineRule="exact"/>
        <w:rPr>
          <w:rFonts w:cs="Verdana"/>
          <w:color w:val="auto"/>
        </w:rPr>
      </w:pPr>
      <w:r w:rsidRPr="00B517FD">
        <w:rPr>
          <w:rFonts w:cs="Verdana"/>
          <w:color w:val="auto"/>
        </w:rPr>
        <w:t>Deze percentages zijn vergelijkbaar met voorgaande metingen.</w:t>
      </w:r>
      <w:r w:rsidR="00FB22B8">
        <w:rPr>
          <w:rFonts w:cs="Verdana"/>
          <w:color w:val="auto"/>
        </w:rPr>
        <w:t xml:space="preserve"> </w:t>
      </w:r>
    </w:p>
    <w:bookmarkEnd w:id="1"/>
    <w:bookmarkEnd w:id="2"/>
    <w:p w:rsidR="007B5FBE" w:rsidP="002D549E" w:rsidRDefault="007B5FBE" w14:paraId="3648E7A6" w14:textId="77777777">
      <w:pPr>
        <w:pStyle w:val="broodtekst"/>
        <w:spacing w:line="240" w:lineRule="exact"/>
        <w:rPr>
          <w:i/>
          <w:iCs/>
        </w:rPr>
      </w:pPr>
    </w:p>
    <w:p w:rsidRPr="00834974" w:rsidR="00834974" w:rsidP="002D549E" w:rsidRDefault="00834974" w14:paraId="5B3AB1A5" w14:textId="78B0EB89">
      <w:pPr>
        <w:pStyle w:val="broodtekst"/>
        <w:spacing w:line="240" w:lineRule="exact"/>
        <w:rPr>
          <w:i/>
          <w:iCs/>
        </w:rPr>
      </w:pPr>
      <w:r w:rsidRPr="00834974">
        <w:rPr>
          <w:i/>
          <w:iCs/>
        </w:rPr>
        <w:t>Samenhang basisvoorwaarden en recidive</w:t>
      </w:r>
    </w:p>
    <w:p w:rsidR="00ED5D9D" w:rsidP="002D549E" w:rsidRDefault="00B517FD" w14:paraId="7A6249B0" w14:textId="35B76FAF">
      <w:pPr>
        <w:pStyle w:val="broodtekst"/>
        <w:spacing w:line="240" w:lineRule="exact"/>
      </w:pPr>
      <w:r w:rsidRPr="006877C2">
        <w:t>Het tweejarig recidivepercentage van volwassen</w:t>
      </w:r>
      <w:r w:rsidR="00C961C8">
        <w:t>en</w:t>
      </w:r>
      <w:r w:rsidRPr="006877C2">
        <w:t xml:space="preserve"> </w:t>
      </w:r>
      <w:r w:rsidRPr="00C961C8" w:rsidR="00C961C8">
        <w:t xml:space="preserve">die </w:t>
      </w:r>
      <w:r w:rsidR="00485961">
        <w:t>zijn vrijgelaten</w:t>
      </w:r>
      <w:r w:rsidRPr="00C961C8" w:rsidR="00C961C8">
        <w:t xml:space="preserve"> is stabiel</w:t>
      </w:r>
      <w:r w:rsidR="002D549E">
        <w:t xml:space="preserve"> en ligt sinds </w:t>
      </w:r>
      <w:r w:rsidRPr="006877C2">
        <w:t xml:space="preserve">2010 </w:t>
      </w:r>
      <w:r w:rsidR="002D549E">
        <w:t>op</w:t>
      </w:r>
      <w:r w:rsidRPr="006877C2">
        <w:t xml:space="preserve"> 47%</w:t>
      </w:r>
      <w:r w:rsidR="00567B7F">
        <w:t>.</w:t>
      </w:r>
      <w:r>
        <w:rPr>
          <w:rStyle w:val="Voetnootmarkering"/>
        </w:rPr>
        <w:footnoteReference w:id="1"/>
      </w:r>
      <w:r>
        <w:t xml:space="preserve"> </w:t>
      </w:r>
      <w:bookmarkStart w:name="_Hlk176359176" w:id="5"/>
      <w:r w:rsidR="00ED5D9D">
        <w:t>Het op orde hebben van de basisvoorwaarden werk, onderdak en schulden hangt samen met</w:t>
      </w:r>
      <w:r w:rsidR="00946C2A">
        <w:t xml:space="preserve"> </w:t>
      </w:r>
      <w:r w:rsidR="00ED5D9D">
        <w:t>een lager recidive</w:t>
      </w:r>
      <w:r w:rsidR="00567B7F">
        <w:t>percentage</w:t>
      </w:r>
      <w:r w:rsidR="00ED5D9D">
        <w:t xml:space="preserve">.  </w:t>
      </w:r>
    </w:p>
    <w:p w:rsidR="00ED5D9D" w:rsidP="002D549E" w:rsidRDefault="00ED5D9D" w14:paraId="6CE0B576" w14:textId="77777777">
      <w:pPr>
        <w:pStyle w:val="broodtekst"/>
        <w:spacing w:line="240" w:lineRule="exact"/>
      </w:pPr>
    </w:p>
    <w:p w:rsidR="00C26BAC" w:rsidP="002D549E" w:rsidRDefault="00541AEC" w14:paraId="1EF128C5" w14:textId="18C29BB0">
      <w:pPr>
        <w:pStyle w:val="broodtekst"/>
        <w:spacing w:line="240" w:lineRule="exact"/>
      </w:pPr>
      <w:r w:rsidRPr="00541AEC">
        <w:t>De</w:t>
      </w:r>
      <w:r w:rsidR="00C961C8">
        <w:t>ze</w:t>
      </w:r>
      <w:r w:rsidRPr="00541AEC">
        <w:t xml:space="preserve"> monitor</w:t>
      </w:r>
      <w:r w:rsidR="00C961C8">
        <w:t xml:space="preserve"> nazorg</w:t>
      </w:r>
      <w:r w:rsidRPr="00541AEC">
        <w:t xml:space="preserve"> laat zien dat het hebben van werk samenhangt met</w:t>
      </w:r>
      <w:r w:rsidR="00946C2A">
        <w:t xml:space="preserve"> </w:t>
      </w:r>
      <w:r w:rsidRPr="00541AEC">
        <w:t>een 20% lagere recidiv</w:t>
      </w:r>
      <w:r w:rsidR="004E207D">
        <w:t xml:space="preserve">e. </w:t>
      </w:r>
      <w:r w:rsidR="001E1F87">
        <w:t xml:space="preserve">Daarbij is </w:t>
      </w:r>
      <w:r w:rsidR="009E60BC">
        <w:t xml:space="preserve">een </w:t>
      </w:r>
      <w:r w:rsidR="001E1F87">
        <w:t xml:space="preserve">verschil te zien tussen hoeveel uren mensen werken en of een baan voor langere termijn is. </w:t>
      </w:r>
      <w:r w:rsidRPr="00C26BAC" w:rsidR="00C26BAC">
        <w:t>De recidive van mensen die meer dan 35 uur werken is ongeveer een kwart lager dan de recidive van mensen die wel werken maar minder uren.</w:t>
      </w:r>
      <w:r w:rsidR="00C26BAC">
        <w:t xml:space="preserve"> </w:t>
      </w:r>
      <w:r w:rsidRPr="00C26BAC" w:rsidR="00C26BAC">
        <w:t xml:space="preserve">De recidive van mensen die meer dan </w:t>
      </w:r>
      <w:r w:rsidR="00D72DC5">
        <w:t>drie</w:t>
      </w:r>
      <w:r w:rsidRPr="00C26BAC" w:rsidR="00C26BAC">
        <w:t xml:space="preserve"> maanden dezelfde baan behouden is zo’n 40% lager dan de recidive van mensen die </w:t>
      </w:r>
      <w:r w:rsidR="00946C2A">
        <w:t>zes</w:t>
      </w:r>
      <w:r w:rsidRPr="00C26BAC" w:rsidR="007B5FBE">
        <w:t xml:space="preserve"> </w:t>
      </w:r>
      <w:r w:rsidRPr="00C26BAC" w:rsidR="00C26BAC">
        <w:t>maanden na detentie wel werken maar korter een baan behouden.</w:t>
      </w:r>
    </w:p>
    <w:p w:rsidR="00C26BAC" w:rsidP="00FF410A" w:rsidRDefault="00C26BAC" w14:paraId="3BCDCDFF" w14:textId="77777777"/>
    <w:p w:rsidRPr="00541AEC" w:rsidR="00FF410A" w:rsidP="00FF410A" w:rsidRDefault="000B63BF" w14:paraId="3D394908" w14:textId="3460261B">
      <w:pPr>
        <w:rPr>
          <w:color w:val="auto"/>
        </w:rPr>
      </w:pPr>
      <w:r>
        <w:t xml:space="preserve">Ex-gedetineerden </w:t>
      </w:r>
      <w:r w:rsidR="00FF410A">
        <w:t>met onderdak hebben een lagere recidive, vooral als zij terugkeren naar hun adres van voor detentie en als zij samenwonen met een partner, ouders of anderen</w:t>
      </w:r>
      <w:r w:rsidR="00EA7364">
        <w:t xml:space="preserve">. De </w:t>
      </w:r>
      <w:r w:rsidRPr="007E6E1C" w:rsidR="007E6E1C">
        <w:t xml:space="preserve">kans op recidive in de eerste twee jaar is 14% lager als je samenwoont met een partner, 8% lager als je samenwoont met je ouders en 13% lager als je </w:t>
      </w:r>
      <w:r w:rsidRPr="00541AEC" w:rsidR="007E6E1C">
        <w:rPr>
          <w:color w:val="auto"/>
        </w:rPr>
        <w:t>samenwoont met anderen</w:t>
      </w:r>
      <w:r w:rsidRPr="00541AEC" w:rsidR="00541AEC">
        <w:rPr>
          <w:color w:val="auto"/>
        </w:rPr>
        <w:t xml:space="preserve"> vergeleken met mensen die alleen wonen.</w:t>
      </w:r>
    </w:p>
    <w:p w:rsidRPr="00541AEC" w:rsidR="00BB631A" w:rsidP="00FF410A" w:rsidRDefault="00BB631A" w14:paraId="1A7A385B" w14:textId="77777777">
      <w:pPr>
        <w:rPr>
          <w:color w:val="auto"/>
          <w:u w:val="single"/>
        </w:rPr>
      </w:pPr>
    </w:p>
    <w:p w:rsidR="00B36FA9" w:rsidP="00FF410A" w:rsidRDefault="00EC2C8F" w14:paraId="765F9AB7" w14:textId="36DC16D4">
      <w:bookmarkStart w:name="_Hlk176357442" w:id="6"/>
      <w:r>
        <w:t xml:space="preserve">In deze monitor is </w:t>
      </w:r>
      <w:r w:rsidRPr="005A73C3">
        <w:t>nieuwe</w:t>
      </w:r>
      <w:r>
        <w:t xml:space="preserve"> </w:t>
      </w:r>
      <w:r w:rsidR="005A73C3">
        <w:t xml:space="preserve">data </w:t>
      </w:r>
      <w:r>
        <w:t xml:space="preserve">beschikbaar </w:t>
      </w:r>
      <w:r w:rsidR="005A73C3">
        <w:t xml:space="preserve">waardoor er een overzicht gegeven </w:t>
      </w:r>
      <w:r w:rsidR="00D72DC5">
        <w:t>is</w:t>
      </w:r>
      <w:r w:rsidR="005A73C3">
        <w:t xml:space="preserve"> van</w:t>
      </w:r>
      <w:r>
        <w:t xml:space="preserve"> problematische schulden</w:t>
      </w:r>
      <w:r w:rsidR="005A73C3">
        <w:t xml:space="preserve"> bij verschillende instanties</w:t>
      </w:r>
      <w:r>
        <w:t xml:space="preserve">. Hiermee </w:t>
      </w:r>
      <w:r w:rsidR="00D72DC5">
        <w:t>is</w:t>
      </w:r>
      <w:r>
        <w:t>, beter dan in de eerdere metingen</w:t>
      </w:r>
      <w:r w:rsidR="007D1147">
        <w:t>,</w:t>
      </w:r>
      <w:r>
        <w:t xml:space="preserve"> in kaart worden gebracht of de gedetineerden voor en na detentie</w:t>
      </w:r>
      <w:r w:rsidR="00893EA4">
        <w:t xml:space="preserve"> problematische schulden hebben en of deze schulden samenhangen met recidive. Uit de monitor blijkt dat h</w:t>
      </w:r>
      <w:r w:rsidRPr="002B1624" w:rsidR="002B1624">
        <w:t xml:space="preserve">et hebben van problematische schulden </w:t>
      </w:r>
      <w:r w:rsidR="00D72DC5">
        <w:t xml:space="preserve">de kans op recidive vergroot met </w:t>
      </w:r>
      <w:r w:rsidRPr="002B1624" w:rsidR="002B1624">
        <w:t>12%</w:t>
      </w:r>
      <w:bookmarkEnd w:id="6"/>
      <w:r w:rsidR="00E00679">
        <w:t xml:space="preserve">. </w:t>
      </w:r>
    </w:p>
    <w:bookmarkEnd w:id="3"/>
    <w:bookmarkEnd w:id="4"/>
    <w:bookmarkEnd w:id="5"/>
    <w:p w:rsidR="0050065D" w:rsidP="0050065D" w:rsidRDefault="0050065D" w14:paraId="4C4AA9AD" w14:textId="046D262D">
      <w:pPr>
        <w:rPr>
          <w:b/>
          <w:bCs/>
        </w:rPr>
      </w:pPr>
    </w:p>
    <w:p w:rsidRPr="002D549E" w:rsidR="00143B20" w:rsidP="00143B20" w:rsidRDefault="00143B20" w14:paraId="5CFE3382" w14:textId="77777777">
      <w:pPr>
        <w:rPr>
          <w:i/>
          <w:iCs/>
        </w:rPr>
      </w:pPr>
      <w:r w:rsidRPr="002D549E">
        <w:rPr>
          <w:i/>
          <w:iCs/>
        </w:rPr>
        <w:t>Effect detentieduur op de situatie van de basisvoorwaarden</w:t>
      </w:r>
    </w:p>
    <w:p w:rsidRPr="004568A4" w:rsidR="00143B20" w:rsidP="00143B20" w:rsidRDefault="00143B20" w14:paraId="1F0AF432" w14:textId="4F56F65F">
      <w:pPr>
        <w:rPr>
          <w:rStyle w:val="cf01"/>
          <w:rFonts w:ascii="Verdana" w:hAnsi="Verdana" w:cs="Lohit Hindi"/>
          <w:color w:val="000000"/>
        </w:rPr>
      </w:pPr>
      <w:r w:rsidRPr="002D549E">
        <w:t xml:space="preserve">De analyses laten zien dat detentieduur niet of nauwelijks effect heeft op of ex-gedetineerden werk, inkomen, onderdak en schulden hebben na detentie. </w:t>
      </w:r>
      <w:r>
        <w:t>De onderzoekers geven als m</w:t>
      </w:r>
      <w:r w:rsidRPr="00EC2C8F">
        <w:rPr>
          <w:rStyle w:val="cf01"/>
          <w:rFonts w:ascii="Verdana" w:hAnsi="Verdana"/>
          <w:color w:val="auto"/>
        </w:rPr>
        <w:t>ogelijke verklaring dat</w:t>
      </w:r>
      <w:r>
        <w:rPr>
          <w:rStyle w:val="cf01"/>
          <w:rFonts w:ascii="Verdana" w:hAnsi="Verdana"/>
          <w:color w:val="auto"/>
        </w:rPr>
        <w:t xml:space="preserve"> zowel de mogelijkheden tot </w:t>
      </w:r>
      <w:r w:rsidRPr="00EC2C8F">
        <w:rPr>
          <w:rStyle w:val="cf01"/>
          <w:rFonts w:ascii="Verdana" w:hAnsi="Verdana"/>
          <w:color w:val="auto"/>
        </w:rPr>
        <w:t>re-integratie</w:t>
      </w:r>
      <w:r>
        <w:rPr>
          <w:rStyle w:val="cf01"/>
          <w:rFonts w:ascii="Verdana" w:hAnsi="Verdana"/>
          <w:color w:val="auto"/>
        </w:rPr>
        <w:t xml:space="preserve"> </w:t>
      </w:r>
      <w:r w:rsidRPr="00906039">
        <w:t>activiteiten (zoals het volgen van trainingen, afkicken van een verslaving, inschrijven voor een woning, regelen van een identiteitsbewijs) als</w:t>
      </w:r>
      <w:r>
        <w:rPr>
          <w:rStyle w:val="cf01"/>
          <w:rFonts w:ascii="Verdana" w:hAnsi="Verdana"/>
          <w:color w:val="auto"/>
        </w:rPr>
        <w:t xml:space="preserve"> </w:t>
      </w:r>
      <w:r w:rsidRPr="00EC2C8F">
        <w:rPr>
          <w:rStyle w:val="cf01"/>
          <w:rFonts w:ascii="Verdana" w:hAnsi="Verdana"/>
          <w:color w:val="auto"/>
        </w:rPr>
        <w:t>de negatieve effecten van detentie (zoals verlies van woning en werk) toenemen met detentieduur</w:t>
      </w:r>
      <w:r w:rsidR="005A73C3">
        <w:rPr>
          <w:rStyle w:val="cf01"/>
          <w:rFonts w:ascii="Verdana" w:hAnsi="Verdana"/>
          <w:color w:val="auto"/>
        </w:rPr>
        <w:t>,</w:t>
      </w:r>
      <w:r>
        <w:rPr>
          <w:rStyle w:val="cf01"/>
          <w:rFonts w:ascii="Verdana" w:hAnsi="Verdana"/>
          <w:color w:val="auto"/>
        </w:rPr>
        <w:t xml:space="preserve"> waardoor de effecten tegen elkaar wegvallen</w:t>
      </w:r>
      <w:r w:rsidRPr="00EC2C8F">
        <w:rPr>
          <w:rStyle w:val="cf01"/>
          <w:rFonts w:ascii="Verdana" w:hAnsi="Verdana"/>
          <w:color w:val="auto"/>
        </w:rPr>
        <w:t xml:space="preserve">. </w:t>
      </w:r>
    </w:p>
    <w:p w:rsidRPr="0050065D" w:rsidR="00143B20" w:rsidP="0050065D" w:rsidRDefault="00143B20" w14:paraId="413E318F" w14:textId="77777777">
      <w:pPr>
        <w:rPr>
          <w:b/>
          <w:bCs/>
        </w:rPr>
      </w:pPr>
    </w:p>
    <w:p w:rsidRPr="00324842" w:rsidR="007037EE" w:rsidP="00324842" w:rsidRDefault="0050065D" w14:paraId="72130FA0" w14:textId="77777777">
      <w:pPr>
        <w:rPr>
          <w:b/>
          <w:bCs/>
        </w:rPr>
      </w:pPr>
      <w:r w:rsidRPr="00324842">
        <w:rPr>
          <w:b/>
          <w:bCs/>
        </w:rPr>
        <w:t xml:space="preserve">Beleidsreactie </w:t>
      </w:r>
    </w:p>
    <w:p w:rsidR="0076640F" w:rsidP="0097526B" w:rsidRDefault="001B79E5" w14:paraId="00E46DFD" w14:textId="2EEBECD5">
      <w:r w:rsidRPr="00D410FD">
        <w:t>De 7</w:t>
      </w:r>
      <w:r w:rsidRPr="00D410FD">
        <w:rPr>
          <w:vertAlign w:val="superscript"/>
        </w:rPr>
        <w:t>e</w:t>
      </w:r>
      <w:r w:rsidRPr="00D410FD">
        <w:t xml:space="preserve"> monitor nazorg bevestigt opnieuw dat gedetineerden voor en na detentie problemen hebben op de basisvoorwaarden</w:t>
      </w:r>
      <w:r w:rsidRPr="00D410FD" w:rsidR="00707ED3">
        <w:t xml:space="preserve"> werk</w:t>
      </w:r>
      <w:r w:rsidRPr="00D410FD" w:rsidR="00EB191C">
        <w:t xml:space="preserve"> en</w:t>
      </w:r>
      <w:r w:rsidRPr="00D410FD" w:rsidR="00707ED3">
        <w:t xml:space="preserve"> inkomen</w:t>
      </w:r>
      <w:r w:rsidRPr="00D410FD" w:rsidR="00D410FD">
        <w:t>,</w:t>
      </w:r>
      <w:r w:rsidRPr="00D410FD" w:rsidR="00707ED3">
        <w:t xml:space="preserve"> onderdak</w:t>
      </w:r>
      <w:r w:rsidRPr="00D410FD" w:rsidR="00EB191C">
        <w:t xml:space="preserve"> en schulden</w:t>
      </w:r>
      <w:r w:rsidRPr="00D410FD">
        <w:t xml:space="preserve"> en dat </w:t>
      </w:r>
      <w:r w:rsidRPr="00D410FD" w:rsidR="00494F79">
        <w:t xml:space="preserve">de omvang </w:t>
      </w:r>
      <w:r w:rsidRPr="00D410FD">
        <w:t xml:space="preserve">vergelijkbaar </w:t>
      </w:r>
      <w:r w:rsidRPr="00D410FD" w:rsidR="00494F79">
        <w:t xml:space="preserve">is </w:t>
      </w:r>
      <w:r w:rsidRPr="00D410FD">
        <w:t xml:space="preserve">met de vorige metingen. </w:t>
      </w:r>
      <w:r w:rsidRPr="00D410FD" w:rsidR="008E5F4B">
        <w:t xml:space="preserve">Vanwege </w:t>
      </w:r>
      <w:r w:rsidRPr="00D410FD" w:rsidR="00494F79">
        <w:t>het effect op</w:t>
      </w:r>
      <w:r w:rsidRPr="00D410FD" w:rsidR="008E5F4B">
        <w:t xml:space="preserve"> </w:t>
      </w:r>
      <w:r w:rsidRPr="00D410FD" w:rsidR="00494F79">
        <w:t>de</w:t>
      </w:r>
      <w:r w:rsidRPr="00D410FD" w:rsidR="00C24C2C">
        <w:t xml:space="preserve"> </w:t>
      </w:r>
      <w:r w:rsidRPr="00D410FD" w:rsidR="008E5F4B">
        <w:t>recidive</w:t>
      </w:r>
      <w:r w:rsidRPr="00D410FD" w:rsidR="00494F79">
        <w:t>kans</w:t>
      </w:r>
      <w:r w:rsidRPr="00D410FD" w:rsidR="008E5F4B">
        <w:t xml:space="preserve"> is het van belang</w:t>
      </w:r>
      <w:r w:rsidRPr="00D410FD">
        <w:t xml:space="preserve"> om de problemen op de basisvoorwaarden aan te pakken.</w:t>
      </w:r>
      <w:r w:rsidR="001108E3">
        <w:t xml:space="preserve"> </w:t>
      </w:r>
    </w:p>
    <w:p w:rsidR="0076640F" w:rsidP="0097526B" w:rsidRDefault="0076640F" w14:paraId="2B1DBFF3" w14:textId="77777777"/>
    <w:p w:rsidRPr="00D410FD" w:rsidR="00ED6D3B" w:rsidP="0097526B" w:rsidRDefault="001B79E5" w14:paraId="4F0B89F1" w14:textId="165FE1BE">
      <w:r>
        <w:t>Op 2</w:t>
      </w:r>
      <w:r w:rsidR="00E00679">
        <w:t xml:space="preserve"> </w:t>
      </w:r>
      <w:r>
        <w:t xml:space="preserve">juli 2019 is door </w:t>
      </w:r>
      <w:r w:rsidR="008E5F4B">
        <w:t xml:space="preserve">de Dienst Justitiële Inrichtingen, </w:t>
      </w:r>
      <w:r>
        <w:t>de reclassering</w:t>
      </w:r>
      <w:r w:rsidR="008E5F4B">
        <w:t>, de VNG en het ministerie van Justitie en Veiligheid</w:t>
      </w:r>
      <w:r>
        <w:t xml:space="preserve"> afgesproken hun samenwerking op re-integratie en de basisvoorwaarden te intensiveren, vanaf de aanvang van detentie. </w:t>
      </w:r>
      <w:r w:rsidRPr="00D410FD">
        <w:t xml:space="preserve">Deze afspraak is vastgelegd in het bestuurlijk akkoord </w:t>
      </w:r>
      <w:r w:rsidRPr="00D410FD" w:rsidR="00707ED3">
        <w:t>‘</w:t>
      </w:r>
      <w:r w:rsidRPr="00D410FD">
        <w:t>Kansen bieden voor re-integratie</w:t>
      </w:r>
      <w:r w:rsidRPr="00D410FD" w:rsidR="00707ED3">
        <w:t>’.</w:t>
      </w:r>
      <w:r w:rsidRPr="00D410FD">
        <w:rPr>
          <w:rStyle w:val="Voetnootmarkering"/>
        </w:rPr>
        <w:footnoteReference w:id="2"/>
      </w:r>
      <w:r w:rsidRPr="00D410FD">
        <w:t xml:space="preserve"> </w:t>
      </w:r>
      <w:r w:rsidRPr="00D410FD" w:rsidR="00ED6D3B">
        <w:t>De 8</w:t>
      </w:r>
      <w:r w:rsidRPr="00D410FD" w:rsidR="00ED6D3B">
        <w:rPr>
          <w:vertAlign w:val="superscript"/>
        </w:rPr>
        <w:t>e</w:t>
      </w:r>
      <w:r w:rsidRPr="00D410FD" w:rsidR="00ED6D3B">
        <w:t xml:space="preserve"> monitor</w:t>
      </w:r>
      <w:r w:rsidRPr="00D410FD" w:rsidR="007B5FBE">
        <w:t xml:space="preserve"> nazorg</w:t>
      </w:r>
      <w:r w:rsidRPr="00D410FD" w:rsidR="00ED6D3B">
        <w:t xml:space="preserve"> zal de eerste monitor worden sinds het afsluiten van dit akkoord aangezien </w:t>
      </w:r>
      <w:r w:rsidRPr="00D410FD" w:rsidR="00381C82">
        <w:t>d</w:t>
      </w:r>
      <w:r w:rsidRPr="00D410FD" w:rsidR="007E3E07">
        <w:t>ie</w:t>
      </w:r>
      <w:r w:rsidRPr="00D410FD" w:rsidR="00381C82">
        <w:t xml:space="preserve"> monitor zich richt op personen die in de jaren 20</w:t>
      </w:r>
      <w:r w:rsidRPr="00D410FD" w:rsidR="00D365EA">
        <w:t>20</w:t>
      </w:r>
      <w:r w:rsidRPr="00D410FD" w:rsidR="00381C82">
        <w:t>, 20</w:t>
      </w:r>
      <w:r w:rsidRPr="00D410FD" w:rsidR="00D365EA">
        <w:t>21</w:t>
      </w:r>
      <w:r w:rsidRPr="00D410FD" w:rsidR="00381C82">
        <w:t xml:space="preserve"> en 2</w:t>
      </w:r>
      <w:r w:rsidRPr="00D410FD" w:rsidR="00D365EA">
        <w:t>022</w:t>
      </w:r>
      <w:r w:rsidRPr="00D410FD" w:rsidR="00381C82">
        <w:t xml:space="preserve"> zijn vrijgelaten. </w:t>
      </w:r>
      <w:r w:rsidRPr="00D410FD" w:rsidR="00920A36">
        <w:t>Naar verwachting komt de 8</w:t>
      </w:r>
      <w:r w:rsidRPr="00D410FD" w:rsidR="00920A36">
        <w:rPr>
          <w:vertAlign w:val="superscript"/>
        </w:rPr>
        <w:t>e</w:t>
      </w:r>
      <w:r w:rsidRPr="00D410FD" w:rsidR="00920A36">
        <w:t xml:space="preserve"> monitor </w:t>
      </w:r>
      <w:r w:rsidRPr="00D410FD" w:rsidR="007B5FBE">
        <w:t xml:space="preserve">nazorg </w:t>
      </w:r>
      <w:r w:rsidRPr="00D410FD" w:rsidR="00920A36">
        <w:t>uit in 202</w:t>
      </w:r>
      <w:r w:rsidRPr="00D410FD" w:rsidR="00D365EA">
        <w:t>6</w:t>
      </w:r>
      <w:r w:rsidRPr="00D410FD" w:rsidR="00920A36">
        <w:t xml:space="preserve">. </w:t>
      </w:r>
    </w:p>
    <w:p w:rsidRPr="00D410FD" w:rsidR="001B79E5" w:rsidP="0097526B" w:rsidRDefault="001B79E5" w14:paraId="7C5BB9CD" w14:textId="77777777"/>
    <w:p w:rsidRPr="00D410FD" w:rsidR="005257E6" w:rsidP="0097526B" w:rsidRDefault="00AC3C31" w14:paraId="2F009F35" w14:textId="179589C1">
      <w:r w:rsidRPr="00D410FD">
        <w:t>In d</w:t>
      </w:r>
      <w:r w:rsidRPr="00D410FD" w:rsidR="00B4327D">
        <w:t>e 6</w:t>
      </w:r>
      <w:r w:rsidRPr="00D410FD" w:rsidR="00B4327D">
        <w:rPr>
          <w:vertAlign w:val="superscript"/>
        </w:rPr>
        <w:t>e</w:t>
      </w:r>
      <w:r w:rsidRPr="00D410FD" w:rsidR="00B4327D">
        <w:t xml:space="preserve"> voortgangsbrief </w:t>
      </w:r>
      <w:r w:rsidRPr="00D410FD" w:rsidR="00707ED3">
        <w:t>‘</w:t>
      </w:r>
      <w:r w:rsidRPr="00D410FD" w:rsidR="00B4327D">
        <w:t>Recht doen, kansen bieden</w:t>
      </w:r>
      <w:r w:rsidRPr="00D410FD" w:rsidR="00707ED3">
        <w:t>’</w:t>
      </w:r>
      <w:r w:rsidRPr="00D410FD" w:rsidR="00B4327D">
        <w:t xml:space="preserve"> </w:t>
      </w:r>
      <w:r w:rsidRPr="00D410FD">
        <w:t xml:space="preserve">is </w:t>
      </w:r>
      <w:r w:rsidRPr="00D410FD" w:rsidR="00DA49AD">
        <w:t>een</w:t>
      </w:r>
      <w:r w:rsidRPr="00D410FD">
        <w:t xml:space="preserve"> uitvoerig beeld gegeven van de inzet op re-integratie</w:t>
      </w:r>
      <w:r w:rsidRPr="00D410FD" w:rsidR="00707ED3">
        <w:t>.</w:t>
      </w:r>
      <w:r w:rsidRPr="00D410FD" w:rsidR="00707ED3">
        <w:rPr>
          <w:rStyle w:val="Voetnootmarkering"/>
        </w:rPr>
        <w:footnoteReference w:id="3"/>
      </w:r>
      <w:r w:rsidRPr="00D410FD" w:rsidR="00EA55C6">
        <w:t xml:space="preserve"> </w:t>
      </w:r>
      <w:r w:rsidRPr="00D410FD" w:rsidR="00324FCE">
        <w:t>G</w:t>
      </w:r>
      <w:r w:rsidRPr="00D410FD" w:rsidR="007F4107">
        <w:t>ezien de resultaten van d</w:t>
      </w:r>
      <w:r w:rsidRPr="00D410FD" w:rsidR="000C0E7E">
        <w:t xml:space="preserve">eze monitor </w:t>
      </w:r>
      <w:r w:rsidRPr="00D410FD" w:rsidR="00324FCE">
        <w:t>vind</w:t>
      </w:r>
      <w:r w:rsidRPr="00D410FD" w:rsidR="00EA55C6">
        <w:t xml:space="preserve"> </w:t>
      </w:r>
      <w:r w:rsidRPr="00D410FD" w:rsidR="007F4107">
        <w:t>ik</w:t>
      </w:r>
      <w:r w:rsidRPr="00D410FD" w:rsidR="00324FCE">
        <w:t xml:space="preserve"> het van belang</w:t>
      </w:r>
      <w:r w:rsidRPr="00D410FD" w:rsidR="007F4107">
        <w:t xml:space="preserve"> </w:t>
      </w:r>
      <w:r w:rsidRPr="00D410FD" w:rsidR="00EA55C6">
        <w:t>d</w:t>
      </w:r>
      <w:r w:rsidRPr="00D410FD" w:rsidR="00324FCE">
        <w:t>eze aanpak</w:t>
      </w:r>
      <w:r w:rsidRPr="00D410FD" w:rsidR="00EA55C6">
        <w:t xml:space="preserve"> voort</w:t>
      </w:r>
      <w:r w:rsidRPr="00D410FD" w:rsidR="00324FCE">
        <w:t xml:space="preserve"> te </w:t>
      </w:r>
      <w:r w:rsidRPr="00D410FD" w:rsidR="00EA55C6">
        <w:t>zetten</w:t>
      </w:r>
      <w:r w:rsidRPr="00D410FD" w:rsidR="00F94570">
        <w:t xml:space="preserve">. </w:t>
      </w:r>
      <w:r w:rsidRPr="00D410FD" w:rsidR="00ED6D3B">
        <w:t>Onderdeel van deze aanpak</w:t>
      </w:r>
      <w:r w:rsidRPr="00D410FD" w:rsidR="0076640F">
        <w:t>, naast de uitvoering van het Bestuurlijk Akkoord,</w:t>
      </w:r>
      <w:r w:rsidRPr="00D410FD" w:rsidR="00ED6D3B">
        <w:t xml:space="preserve"> is </w:t>
      </w:r>
      <w:r w:rsidRPr="00D410FD" w:rsidR="00324FCE">
        <w:t>het</w:t>
      </w:r>
      <w:r w:rsidRPr="00D410FD" w:rsidR="00ED6D3B">
        <w:t xml:space="preserve"> </w:t>
      </w:r>
      <w:r w:rsidRPr="00D410FD" w:rsidR="0076640F">
        <w:t xml:space="preserve">recent </w:t>
      </w:r>
      <w:r w:rsidRPr="00D410FD" w:rsidR="00ED6D3B">
        <w:t>aangepast</w:t>
      </w:r>
      <w:r w:rsidRPr="00D410FD" w:rsidR="00980846">
        <w:t>e</w:t>
      </w:r>
      <w:r w:rsidRPr="00D410FD" w:rsidR="00ED6D3B">
        <w:t xml:space="preserve"> Detentie en Re-integratie-proces. Het uitgangspunt daarbij is</w:t>
      </w:r>
      <w:r w:rsidRPr="00D410FD" w:rsidR="00707ED3">
        <w:t>:</w:t>
      </w:r>
      <w:r w:rsidRPr="00D410FD" w:rsidR="00ED6D3B">
        <w:t xml:space="preserve"> doen wat nodig is, voor welke gedetineerde dat nodig is en wanneer dat nodig is, ongeacht de detentieduur. De beoogde vernieuwde werkwijze is bedoeld om meer te werken volgens de bedoeling van de wet</w:t>
      </w:r>
      <w:r w:rsidRPr="00D410FD" w:rsidR="00980846">
        <w:t xml:space="preserve"> Straffen en Beschermen</w:t>
      </w:r>
      <w:r w:rsidRPr="00D410FD" w:rsidR="00ED6D3B">
        <w:t xml:space="preserve">, om de administratieve last te verminderen en om het vakmanschap van de betrokken medewerkers te verbeteren. </w:t>
      </w:r>
      <w:r w:rsidRPr="00D410FD" w:rsidR="008E5F4B">
        <w:t>Daar</w:t>
      </w:r>
      <w:r w:rsidRPr="00D410FD" w:rsidR="00ED6D3B">
        <w:t xml:space="preserve">bij zullen de extra middelen (structureel €12 miljoen) die het vorige kabinet heeft vrijgemaakt worden ingezet voor </w:t>
      </w:r>
      <w:r w:rsidRPr="00D410FD" w:rsidR="00FF2C33">
        <w:t>een betere ketensamenwerking, meer om- en bijscholing</w:t>
      </w:r>
      <w:r w:rsidRPr="00D410FD" w:rsidR="00DA49AD">
        <w:t xml:space="preserve"> van gedetineerden</w:t>
      </w:r>
      <w:r w:rsidRPr="00D410FD" w:rsidR="00FF2C33">
        <w:t xml:space="preserve"> en een ophoging van de Bijdrageregeling ‘Begeleiden (ex) gedetineerden voor Wonen en Werken’ tot een totaal van €4,5 miljoen.</w:t>
      </w:r>
      <w:r w:rsidRPr="00D410FD" w:rsidR="00823C38">
        <w:t xml:space="preserve"> </w:t>
      </w:r>
      <w:r w:rsidRPr="00D410FD" w:rsidR="00DA49AD">
        <w:t>Met deze regeling</w:t>
      </w:r>
      <w:r w:rsidRPr="00D410FD" w:rsidR="0097526B">
        <w:t xml:space="preserve"> kunnen gemeenten extra interventies plegen om ex-gedetineerden aan een woning en werk te helpen of ondersteuning te bieden op de andere basisvoorwaarden. </w:t>
      </w:r>
    </w:p>
    <w:p w:rsidRPr="00D410FD" w:rsidR="0097526B" w:rsidP="0097526B" w:rsidRDefault="0097526B" w14:paraId="27262952" w14:textId="77777777"/>
    <w:p w:rsidRPr="00D410FD" w:rsidR="00ED6D3B" w:rsidP="00ED6D3B" w:rsidRDefault="00ED6D3B" w14:paraId="2B3B99E5" w14:textId="359A06B5">
      <w:r w:rsidRPr="00D410FD">
        <w:t>Uit de 7</w:t>
      </w:r>
      <w:r w:rsidRPr="00D410FD">
        <w:rPr>
          <w:vertAlign w:val="superscript"/>
        </w:rPr>
        <w:t>e</w:t>
      </w:r>
      <w:r w:rsidRPr="00D410FD">
        <w:t xml:space="preserve"> monitor blijkt dat het hebben van problematische schulden </w:t>
      </w:r>
      <w:r w:rsidRPr="00D410FD" w:rsidR="00980846">
        <w:t>zorgt voor</w:t>
      </w:r>
      <w:r w:rsidRPr="00D410FD">
        <w:t xml:space="preserve">  een grotere kans op recidive. </w:t>
      </w:r>
      <w:r w:rsidRPr="00D410FD" w:rsidR="00E70BAB">
        <w:t xml:space="preserve">Dit onderstreept de noodzaak voor een schuldenaanpak voor (ex)gedetineerden. </w:t>
      </w:r>
      <w:r w:rsidRPr="00D410FD">
        <w:t>Samen met het ministerie van Sociale Zaken en Werkgelegenheid (SZW) wordt momenteel gewerkt aan een gezamenlijke schuldenaanpak.</w:t>
      </w:r>
      <w:r w:rsidRPr="00D410FD" w:rsidR="00707ED3">
        <w:rPr>
          <w:rStyle w:val="Voetnootmarkering"/>
        </w:rPr>
        <w:footnoteReference w:id="4"/>
      </w:r>
      <w:r w:rsidRPr="00D410FD">
        <w:t xml:space="preserve"> </w:t>
      </w:r>
      <w:r w:rsidRPr="00D410FD" w:rsidR="00893EA4">
        <w:t>In de derde voortgangsrapportage Aanpak geldzorgen, armoede en schulden</w:t>
      </w:r>
      <w:r w:rsidRPr="00D410FD" w:rsidR="00A16172">
        <w:t xml:space="preserve"> is uw Kamer geïnformeerd over deze aanpak.</w:t>
      </w:r>
      <w:r w:rsidRPr="00D410FD" w:rsidR="00707ED3">
        <w:rPr>
          <w:rStyle w:val="Voetnootmarkering"/>
        </w:rPr>
        <w:footnoteReference w:id="5"/>
      </w:r>
      <w:r w:rsidRPr="00D410FD" w:rsidR="00A16172">
        <w:t xml:space="preserve"> </w:t>
      </w:r>
      <w:r w:rsidRPr="00D410FD">
        <w:t xml:space="preserve">Uw Kamer </w:t>
      </w:r>
      <w:r w:rsidRPr="00D410FD" w:rsidR="00A029F1">
        <w:t xml:space="preserve">ontvangt </w:t>
      </w:r>
      <w:r w:rsidRPr="00D410FD">
        <w:t xml:space="preserve">eind 2024 </w:t>
      </w:r>
      <w:r w:rsidRPr="00D410FD" w:rsidR="00A029F1">
        <w:t xml:space="preserve">een nieuwe voortgangsrapportage van de </w:t>
      </w:r>
      <w:r w:rsidRPr="00D410FD">
        <w:t>minister van SZW.</w:t>
      </w:r>
    </w:p>
    <w:p w:rsidRPr="00D410FD" w:rsidR="00244BFE" w:rsidP="00B40900" w:rsidRDefault="00244BFE" w14:paraId="34D6FAF2" w14:textId="77777777">
      <w:pPr>
        <w:rPr>
          <w:b/>
          <w:bCs/>
        </w:rPr>
      </w:pPr>
    </w:p>
    <w:p w:rsidRPr="00D410FD" w:rsidR="0050065D" w:rsidP="00B40900" w:rsidRDefault="003E4B80" w14:paraId="15AC0EAE" w14:textId="62ACFA07">
      <w:pPr>
        <w:rPr>
          <w:b/>
          <w:bCs/>
        </w:rPr>
      </w:pPr>
      <w:r w:rsidRPr="00D410FD">
        <w:rPr>
          <w:b/>
          <w:bCs/>
        </w:rPr>
        <w:t>Tot slot</w:t>
      </w:r>
      <w:r w:rsidRPr="00D410FD" w:rsidR="00690FDB">
        <w:rPr>
          <w:b/>
          <w:bCs/>
        </w:rPr>
        <w:t xml:space="preserve"> </w:t>
      </w:r>
    </w:p>
    <w:p w:rsidR="0056355B" w:rsidP="00FB22B8" w:rsidRDefault="0056355B" w14:paraId="4A15A959" w14:textId="6CD58C67">
      <w:r w:rsidRPr="00D410FD">
        <w:t>Het op orde brengen van basisvoorwaarden van (ex-)gedetineerde</w:t>
      </w:r>
      <w:r w:rsidRPr="00D410FD" w:rsidR="0003372E">
        <w:t>n</w:t>
      </w:r>
      <w:r w:rsidRPr="00D410FD">
        <w:t xml:space="preserve"> draagt bij aan hun re-integratie in de maatschappij en daarmee aan een veilige</w:t>
      </w:r>
      <w:r w:rsidRPr="00D410FD" w:rsidR="000B2FE3">
        <w:t>re</w:t>
      </w:r>
      <w:r w:rsidRPr="00D410FD" w:rsidR="00BE4362">
        <w:t xml:space="preserve"> </w:t>
      </w:r>
      <w:r w:rsidRPr="00D410FD">
        <w:t xml:space="preserve">samenleving. </w:t>
      </w:r>
      <w:r w:rsidRPr="00D410FD" w:rsidR="007677A7">
        <w:t>Er is een duidelijke relatie</w:t>
      </w:r>
      <w:r w:rsidRPr="00D410FD" w:rsidR="00D3189A">
        <w:t xml:space="preserve"> tussen het op orde hebben van de basisvoorwaarden</w:t>
      </w:r>
      <w:r w:rsidRPr="00D410FD" w:rsidR="007677A7">
        <w:t xml:space="preserve"> </w:t>
      </w:r>
      <w:r w:rsidRPr="00D410FD" w:rsidR="00D3189A">
        <w:t>en</w:t>
      </w:r>
      <w:r w:rsidRPr="00D410FD" w:rsidR="007677A7">
        <w:t xml:space="preserve"> de kans dat iemand in herhaling </w:t>
      </w:r>
      <w:r w:rsidRPr="00D410FD" w:rsidR="0076640F">
        <w:t>valt</w:t>
      </w:r>
      <w:r w:rsidRPr="00D410FD" w:rsidR="007677A7">
        <w:t xml:space="preserve">. </w:t>
      </w:r>
      <w:r w:rsidRPr="00D410FD">
        <w:t xml:space="preserve">Ik vind het dan ook belangrijk om te blijven werken aan het verkrijgen, maar vooral </w:t>
      </w:r>
      <w:r w:rsidRPr="00D410FD" w:rsidR="0000589A">
        <w:t xml:space="preserve">ook </w:t>
      </w:r>
      <w:r w:rsidRPr="00D410FD">
        <w:t>aan het behouden van de basisvoorwaarden</w:t>
      </w:r>
      <w:r w:rsidRPr="00D410FD" w:rsidR="00D3189A">
        <w:t xml:space="preserve"> van gedetineerden</w:t>
      </w:r>
      <w:r w:rsidRPr="00D410FD" w:rsidR="0000589A">
        <w:t>,</w:t>
      </w:r>
      <w:r w:rsidRPr="00D410FD">
        <w:t xml:space="preserve"> samen met alle betrokken partners.</w:t>
      </w:r>
      <w:r w:rsidR="00661795">
        <w:t xml:space="preserve"> </w:t>
      </w:r>
    </w:p>
    <w:p w:rsidR="0056355B" w:rsidRDefault="0056355B" w14:paraId="4BDB7C5A" w14:textId="77777777"/>
    <w:p w:rsidR="00C44684" w:rsidRDefault="00A9447F" w14:paraId="1B6A41F5" w14:textId="165297F8">
      <w:r>
        <w:t xml:space="preserve">De </w:t>
      </w:r>
      <w:r w:rsidR="000527FA">
        <w:t xml:space="preserve">Staatssecretaris </w:t>
      </w:r>
      <w:r w:rsidR="00173CAC">
        <w:t xml:space="preserve">van </w:t>
      </w:r>
      <w:r w:rsidR="000527FA">
        <w:t>Justitie en Veiligheid</w:t>
      </w:r>
      <w:r w:rsidR="00B8635D">
        <w:t>,</w:t>
      </w:r>
    </w:p>
    <w:p w:rsidR="00C44684" w:rsidRDefault="00C44684" w14:paraId="567116D7" w14:textId="77777777"/>
    <w:p w:rsidR="00C44684" w:rsidP="000527FA" w:rsidRDefault="00C44684" w14:paraId="66B7B291" w14:textId="408342E2"/>
    <w:p w:rsidR="000527FA" w:rsidP="000527FA" w:rsidRDefault="000527FA" w14:paraId="5B249473" w14:textId="77777777"/>
    <w:p w:rsidR="000527FA" w:rsidP="000527FA" w:rsidRDefault="000527FA" w14:paraId="6DB59FD2" w14:textId="77777777"/>
    <w:p w:rsidR="00C44684" w:rsidRDefault="000527FA" w14:paraId="304A5DD6" w14:textId="3BAE01EC">
      <w:r>
        <w:t xml:space="preserve">I. Coenradie </w:t>
      </w:r>
    </w:p>
    <w:sectPr w:rsidR="00C44684">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A19C6" w14:textId="77777777" w:rsidR="00DE1557" w:rsidRDefault="00DE1557">
      <w:pPr>
        <w:spacing w:line="240" w:lineRule="auto"/>
      </w:pPr>
      <w:r>
        <w:separator/>
      </w:r>
    </w:p>
  </w:endnote>
  <w:endnote w:type="continuationSeparator" w:id="0">
    <w:p w14:paraId="6778A79D" w14:textId="77777777" w:rsidR="00DE1557" w:rsidRDefault="00DE1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743B4" w14:textId="77777777" w:rsidR="00DE1557" w:rsidRDefault="00DE1557">
      <w:pPr>
        <w:spacing w:line="240" w:lineRule="auto"/>
      </w:pPr>
      <w:r>
        <w:separator/>
      </w:r>
    </w:p>
  </w:footnote>
  <w:footnote w:type="continuationSeparator" w:id="0">
    <w:p w14:paraId="32C1F362" w14:textId="77777777" w:rsidR="00DE1557" w:rsidRDefault="00DE1557">
      <w:pPr>
        <w:spacing w:line="240" w:lineRule="auto"/>
      </w:pPr>
      <w:r>
        <w:continuationSeparator/>
      </w:r>
    </w:p>
  </w:footnote>
  <w:footnote w:id="1">
    <w:p w14:paraId="3BE3487A" w14:textId="1302CADA" w:rsidR="00B517FD" w:rsidRPr="00B517FD" w:rsidRDefault="00B517FD">
      <w:pPr>
        <w:pStyle w:val="Voetnoottekst"/>
        <w:rPr>
          <w:sz w:val="16"/>
          <w:szCs w:val="16"/>
          <w:lang w:val="en-US"/>
        </w:rPr>
      </w:pPr>
      <w:r w:rsidRPr="00B517FD">
        <w:rPr>
          <w:rStyle w:val="Voetnootmarkering"/>
          <w:sz w:val="16"/>
          <w:szCs w:val="16"/>
        </w:rPr>
        <w:footnoteRef/>
      </w:r>
      <w:r w:rsidRPr="00B517FD">
        <w:rPr>
          <w:sz w:val="16"/>
          <w:szCs w:val="16"/>
        </w:rPr>
        <w:t xml:space="preserve"> Tweejaarlijkse recidivemonitor periode 2010-2022</w:t>
      </w:r>
    </w:p>
  </w:footnote>
  <w:footnote w:id="2">
    <w:p w14:paraId="10BE58DD" w14:textId="77ABF102" w:rsidR="001B79E5" w:rsidRPr="001B79E5" w:rsidRDefault="001B79E5">
      <w:pPr>
        <w:pStyle w:val="Voetnoottekst"/>
        <w:rPr>
          <w:sz w:val="16"/>
          <w:szCs w:val="16"/>
        </w:rPr>
      </w:pPr>
      <w:r w:rsidRPr="001B79E5">
        <w:rPr>
          <w:rStyle w:val="Voetnootmarkering"/>
          <w:sz w:val="16"/>
          <w:szCs w:val="16"/>
        </w:rPr>
        <w:footnoteRef/>
      </w:r>
      <w:r w:rsidRPr="001B79E5">
        <w:rPr>
          <w:sz w:val="16"/>
          <w:szCs w:val="16"/>
        </w:rPr>
        <w:t xml:space="preserve"> </w:t>
      </w:r>
      <w:r>
        <w:rPr>
          <w:sz w:val="16"/>
          <w:szCs w:val="16"/>
        </w:rPr>
        <w:t xml:space="preserve">Kamerstukken II, 2019/20, 29279, </w:t>
      </w:r>
      <w:r w:rsidR="00707ED3">
        <w:rPr>
          <w:sz w:val="16"/>
          <w:szCs w:val="16"/>
        </w:rPr>
        <w:t>n</w:t>
      </w:r>
      <w:r>
        <w:rPr>
          <w:sz w:val="16"/>
          <w:szCs w:val="16"/>
        </w:rPr>
        <w:t>r. 603</w:t>
      </w:r>
      <w:r w:rsidR="00707ED3">
        <w:rPr>
          <w:sz w:val="16"/>
          <w:szCs w:val="16"/>
        </w:rPr>
        <w:t>.</w:t>
      </w:r>
    </w:p>
  </w:footnote>
  <w:footnote w:id="3">
    <w:p w14:paraId="0CC16CAA" w14:textId="1A49E40C" w:rsidR="00707ED3" w:rsidRDefault="00707ED3" w:rsidP="00707ED3">
      <w:pPr>
        <w:pStyle w:val="Voetnoottekst"/>
      </w:pPr>
      <w:r w:rsidRPr="00FC5528">
        <w:rPr>
          <w:rStyle w:val="Voetnootmarkering"/>
          <w:sz w:val="16"/>
          <w:szCs w:val="16"/>
        </w:rPr>
        <w:footnoteRef/>
      </w:r>
      <w:r w:rsidRPr="00FC5528">
        <w:rPr>
          <w:sz w:val="16"/>
          <w:szCs w:val="16"/>
        </w:rPr>
        <w:t xml:space="preserve"> </w:t>
      </w:r>
      <w:r w:rsidRPr="00AC3C31">
        <w:rPr>
          <w:sz w:val="16"/>
          <w:szCs w:val="16"/>
        </w:rPr>
        <w:t xml:space="preserve">Kamerstukken II, 2023/23, </w:t>
      </w:r>
      <w:r w:rsidRPr="00AC3C31">
        <w:rPr>
          <w:rStyle w:val="Voetnootmarkering"/>
          <w:sz w:val="16"/>
          <w:szCs w:val="16"/>
        </w:rPr>
        <w:t xml:space="preserve"> </w:t>
      </w:r>
      <w:r w:rsidRPr="00AC3C31">
        <w:rPr>
          <w:sz w:val="16"/>
          <w:szCs w:val="16"/>
        </w:rPr>
        <w:t xml:space="preserve">24 587, </w:t>
      </w:r>
      <w:r>
        <w:rPr>
          <w:sz w:val="16"/>
          <w:szCs w:val="16"/>
        </w:rPr>
        <w:t>n</w:t>
      </w:r>
      <w:r w:rsidRPr="00AC3C31">
        <w:rPr>
          <w:sz w:val="16"/>
          <w:szCs w:val="16"/>
        </w:rPr>
        <w:t>r. 865</w:t>
      </w:r>
      <w:r>
        <w:rPr>
          <w:sz w:val="16"/>
          <w:szCs w:val="16"/>
        </w:rPr>
        <w:t>.</w:t>
      </w:r>
    </w:p>
  </w:footnote>
  <w:footnote w:id="4">
    <w:p w14:paraId="5EE20C21" w14:textId="1FBE5FD3" w:rsidR="00707ED3" w:rsidRPr="005257E6" w:rsidRDefault="00707ED3" w:rsidP="00707ED3">
      <w:pPr>
        <w:pStyle w:val="Voetnoottekst"/>
        <w:rPr>
          <w:sz w:val="16"/>
          <w:szCs w:val="16"/>
        </w:rPr>
      </w:pPr>
      <w:r w:rsidRPr="005257E6">
        <w:rPr>
          <w:rStyle w:val="Voetnootmarkering"/>
          <w:sz w:val="16"/>
          <w:szCs w:val="16"/>
        </w:rPr>
        <w:footnoteRef/>
      </w:r>
      <w:r w:rsidRPr="005257E6">
        <w:rPr>
          <w:sz w:val="16"/>
          <w:szCs w:val="16"/>
        </w:rPr>
        <w:t xml:space="preserve"> </w:t>
      </w:r>
      <w:r>
        <w:rPr>
          <w:sz w:val="16"/>
          <w:szCs w:val="16"/>
        </w:rPr>
        <w:t xml:space="preserve">Kamerstukken II, </w:t>
      </w:r>
      <w:r w:rsidRPr="005257E6">
        <w:rPr>
          <w:sz w:val="16"/>
          <w:szCs w:val="16"/>
        </w:rPr>
        <w:t>2022</w:t>
      </w:r>
      <w:r>
        <w:rPr>
          <w:sz w:val="16"/>
          <w:szCs w:val="16"/>
        </w:rPr>
        <w:t>/</w:t>
      </w:r>
      <w:r w:rsidRPr="005257E6">
        <w:rPr>
          <w:sz w:val="16"/>
          <w:szCs w:val="16"/>
        </w:rPr>
        <w:t xml:space="preserve">23, 24 515, </w:t>
      </w:r>
      <w:r>
        <w:rPr>
          <w:sz w:val="16"/>
          <w:szCs w:val="16"/>
        </w:rPr>
        <w:t>n</w:t>
      </w:r>
      <w:r w:rsidRPr="005257E6">
        <w:rPr>
          <w:sz w:val="16"/>
          <w:szCs w:val="16"/>
        </w:rPr>
        <w:t>r. 703</w:t>
      </w:r>
      <w:r>
        <w:rPr>
          <w:sz w:val="16"/>
          <w:szCs w:val="16"/>
        </w:rPr>
        <w:t>.</w:t>
      </w:r>
    </w:p>
  </w:footnote>
  <w:footnote w:id="5">
    <w:p w14:paraId="00AC5615" w14:textId="656EF5B8" w:rsidR="00707ED3" w:rsidRPr="00F566B4" w:rsidRDefault="00707ED3" w:rsidP="00707ED3">
      <w:pPr>
        <w:pStyle w:val="Voetnoottekst"/>
        <w:rPr>
          <w:sz w:val="16"/>
          <w:szCs w:val="16"/>
        </w:rPr>
      </w:pPr>
      <w:r w:rsidRPr="00F566B4">
        <w:rPr>
          <w:rStyle w:val="Voetnootmarkering"/>
          <w:sz w:val="16"/>
          <w:szCs w:val="16"/>
        </w:rPr>
        <w:footnoteRef/>
      </w:r>
      <w:r w:rsidRPr="00F566B4">
        <w:rPr>
          <w:sz w:val="16"/>
          <w:szCs w:val="16"/>
        </w:rPr>
        <w:t xml:space="preserve"> Kamerstukken II, 2023/24, 24 515, </w:t>
      </w:r>
      <w:r>
        <w:rPr>
          <w:sz w:val="16"/>
          <w:szCs w:val="16"/>
        </w:rPr>
        <w:t>n</w:t>
      </w:r>
      <w:r w:rsidRPr="00F566B4">
        <w:rPr>
          <w:sz w:val="16"/>
          <w:szCs w:val="16"/>
        </w:rPr>
        <w:t>r</w:t>
      </w:r>
      <w:r>
        <w:rPr>
          <w:sz w:val="16"/>
          <w:szCs w:val="16"/>
        </w:rPr>
        <w:t>.</w:t>
      </w:r>
      <w:r w:rsidRPr="00F566B4">
        <w:rPr>
          <w:sz w:val="16"/>
          <w:szCs w:val="16"/>
        </w:rPr>
        <w:t xml:space="preserve"> 765</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D19D9" w14:textId="77777777" w:rsidR="00C44684" w:rsidRDefault="00B8635D">
    <w:r>
      <w:rPr>
        <w:noProof/>
      </w:rPr>
      <mc:AlternateContent>
        <mc:Choice Requires="wps">
          <w:drawing>
            <wp:anchor distT="0" distB="0" distL="0" distR="0" simplePos="0" relativeHeight="251652096" behindDoc="0" locked="1" layoutInCell="1" allowOverlap="1" wp14:anchorId="04C7E098" wp14:editId="02FFE7E3">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64BAA60" w14:textId="77777777" w:rsidR="00B8635D" w:rsidRDefault="00B8635D"/>
                      </w:txbxContent>
                    </wps:txbx>
                    <wps:bodyPr vert="horz" wrap="square" lIns="0" tIns="0" rIns="0" bIns="0" anchor="t" anchorCtr="0"/>
                  </wps:wsp>
                </a:graphicData>
              </a:graphic>
            </wp:anchor>
          </w:drawing>
        </mc:Choice>
        <mc:Fallback>
          <w:pict>
            <v:shapetype w14:anchorId="04C7E09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564BAA60" w14:textId="77777777" w:rsidR="00B8635D" w:rsidRDefault="00B8635D"/>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E6F9993" wp14:editId="0A63796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E495DA" w14:textId="77777777" w:rsidR="00C44684" w:rsidRDefault="00B8635D">
                          <w:pPr>
                            <w:pStyle w:val="Referentiegegevensbold"/>
                          </w:pPr>
                          <w:r>
                            <w:t>Directoraat-Generaal Straffen en Beschermen</w:t>
                          </w:r>
                        </w:p>
                        <w:p w14:paraId="3A55BA6A" w14:textId="77777777" w:rsidR="00C44684" w:rsidRDefault="00B8635D">
                          <w:pPr>
                            <w:pStyle w:val="Referentiegegevens"/>
                          </w:pPr>
                          <w:r>
                            <w:t>Directie Sanctie- en Slachtofferbeleid</w:t>
                          </w:r>
                        </w:p>
                        <w:p w14:paraId="05DD55D8" w14:textId="77777777" w:rsidR="00C44684" w:rsidRDefault="00B8635D">
                          <w:pPr>
                            <w:pStyle w:val="Referentiegegevens"/>
                          </w:pPr>
                          <w:r>
                            <w:t>Sancties Intramuraal</w:t>
                          </w:r>
                        </w:p>
                        <w:p w14:paraId="1732F113" w14:textId="77777777" w:rsidR="00C44684" w:rsidRDefault="00C44684">
                          <w:pPr>
                            <w:pStyle w:val="WitregelW2"/>
                          </w:pPr>
                        </w:p>
                        <w:p w14:paraId="185722D2" w14:textId="77777777" w:rsidR="00C44684" w:rsidRDefault="00B8635D">
                          <w:pPr>
                            <w:pStyle w:val="Referentiegegevensbold"/>
                          </w:pPr>
                          <w:r>
                            <w:t>Datum</w:t>
                          </w:r>
                        </w:p>
                        <w:p w14:paraId="61DF9F9D" w14:textId="4877851E" w:rsidR="00C44684" w:rsidRDefault="00524CD1">
                          <w:pPr>
                            <w:pStyle w:val="Referentiegegevens"/>
                          </w:pPr>
                          <w:sdt>
                            <w:sdtPr>
                              <w:id w:val="1560203393"/>
                              <w:date w:fullDate="2024-09-12T00:00:00Z">
                                <w:dateFormat w:val="d MMMM yyyy"/>
                                <w:lid w:val="nl"/>
                                <w:storeMappedDataAs w:val="dateTime"/>
                                <w:calendar w:val="gregorian"/>
                              </w:date>
                            </w:sdtPr>
                            <w:sdtEndPr/>
                            <w:sdtContent>
                              <w:r w:rsidR="00823C38">
                                <w:rPr>
                                  <w:lang w:val="nl"/>
                                </w:rPr>
                                <w:t>12 september 2024</w:t>
                              </w:r>
                            </w:sdtContent>
                          </w:sdt>
                        </w:p>
                        <w:p w14:paraId="5AFB3542" w14:textId="77777777" w:rsidR="00C44684" w:rsidRDefault="00C44684">
                          <w:pPr>
                            <w:pStyle w:val="WitregelW1"/>
                          </w:pPr>
                        </w:p>
                        <w:p w14:paraId="7236FC0A" w14:textId="77777777" w:rsidR="00C44684" w:rsidRDefault="00B8635D">
                          <w:pPr>
                            <w:pStyle w:val="Referentiegegevensbold"/>
                          </w:pPr>
                          <w:r>
                            <w:t>Onze referentie</w:t>
                          </w:r>
                        </w:p>
                        <w:p w14:paraId="42700E62" w14:textId="77777777" w:rsidR="00C44684" w:rsidRDefault="00B8635D">
                          <w:pPr>
                            <w:pStyle w:val="Referentiegegevens"/>
                          </w:pPr>
                          <w:r>
                            <w:t>5575849</w:t>
                          </w:r>
                        </w:p>
                      </w:txbxContent>
                    </wps:txbx>
                    <wps:bodyPr vert="horz" wrap="square" lIns="0" tIns="0" rIns="0" bIns="0" anchor="t" anchorCtr="0"/>
                  </wps:wsp>
                </a:graphicData>
              </a:graphic>
            </wp:anchor>
          </w:drawing>
        </mc:Choice>
        <mc:Fallback>
          <w:pict>
            <v:shape w14:anchorId="2E6F999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76E495DA" w14:textId="77777777" w:rsidR="00C44684" w:rsidRDefault="00B8635D">
                    <w:pPr>
                      <w:pStyle w:val="Referentiegegevensbold"/>
                    </w:pPr>
                    <w:r>
                      <w:t>Directoraat-Generaal Straffen en Beschermen</w:t>
                    </w:r>
                  </w:p>
                  <w:p w14:paraId="3A55BA6A" w14:textId="77777777" w:rsidR="00C44684" w:rsidRDefault="00B8635D">
                    <w:pPr>
                      <w:pStyle w:val="Referentiegegevens"/>
                    </w:pPr>
                    <w:r>
                      <w:t>Directie Sanctie- en Slachtofferbeleid</w:t>
                    </w:r>
                  </w:p>
                  <w:p w14:paraId="05DD55D8" w14:textId="77777777" w:rsidR="00C44684" w:rsidRDefault="00B8635D">
                    <w:pPr>
                      <w:pStyle w:val="Referentiegegevens"/>
                    </w:pPr>
                    <w:r>
                      <w:t>Sancties Intramuraal</w:t>
                    </w:r>
                  </w:p>
                  <w:p w14:paraId="1732F113" w14:textId="77777777" w:rsidR="00C44684" w:rsidRDefault="00C44684">
                    <w:pPr>
                      <w:pStyle w:val="WitregelW2"/>
                    </w:pPr>
                  </w:p>
                  <w:p w14:paraId="185722D2" w14:textId="77777777" w:rsidR="00C44684" w:rsidRDefault="00B8635D">
                    <w:pPr>
                      <w:pStyle w:val="Referentiegegevensbold"/>
                    </w:pPr>
                    <w:r>
                      <w:t>Datum</w:t>
                    </w:r>
                  </w:p>
                  <w:p w14:paraId="61DF9F9D" w14:textId="4877851E" w:rsidR="00C44684" w:rsidRDefault="00524CD1">
                    <w:pPr>
                      <w:pStyle w:val="Referentiegegevens"/>
                    </w:pPr>
                    <w:sdt>
                      <w:sdtPr>
                        <w:id w:val="1560203393"/>
                        <w:date w:fullDate="2024-09-12T00:00:00Z">
                          <w:dateFormat w:val="d MMMM yyyy"/>
                          <w:lid w:val="nl"/>
                          <w:storeMappedDataAs w:val="dateTime"/>
                          <w:calendar w:val="gregorian"/>
                        </w:date>
                      </w:sdtPr>
                      <w:sdtEndPr/>
                      <w:sdtContent>
                        <w:r w:rsidR="00823C38">
                          <w:rPr>
                            <w:lang w:val="nl"/>
                          </w:rPr>
                          <w:t>12 september 2024</w:t>
                        </w:r>
                      </w:sdtContent>
                    </w:sdt>
                  </w:p>
                  <w:p w14:paraId="5AFB3542" w14:textId="77777777" w:rsidR="00C44684" w:rsidRDefault="00C44684">
                    <w:pPr>
                      <w:pStyle w:val="WitregelW1"/>
                    </w:pPr>
                  </w:p>
                  <w:p w14:paraId="7236FC0A" w14:textId="77777777" w:rsidR="00C44684" w:rsidRDefault="00B8635D">
                    <w:pPr>
                      <w:pStyle w:val="Referentiegegevensbold"/>
                    </w:pPr>
                    <w:r>
                      <w:t>Onze referentie</w:t>
                    </w:r>
                  </w:p>
                  <w:p w14:paraId="42700E62" w14:textId="77777777" w:rsidR="00C44684" w:rsidRDefault="00B8635D">
                    <w:pPr>
                      <w:pStyle w:val="Referentiegegevens"/>
                    </w:pPr>
                    <w:r>
                      <w:t>5575849</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534CBC5" wp14:editId="757A014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91C60C" w14:textId="77777777" w:rsidR="00B8635D" w:rsidRDefault="00B8635D"/>
                      </w:txbxContent>
                    </wps:txbx>
                    <wps:bodyPr vert="horz" wrap="square" lIns="0" tIns="0" rIns="0" bIns="0" anchor="t" anchorCtr="0"/>
                  </wps:wsp>
                </a:graphicData>
              </a:graphic>
            </wp:anchor>
          </w:drawing>
        </mc:Choice>
        <mc:Fallback>
          <w:pict>
            <v:shape w14:anchorId="2534CBC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6091C60C" w14:textId="77777777" w:rsidR="00B8635D" w:rsidRDefault="00B8635D"/>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48F1FC2" wp14:editId="61C24D2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F9FD28" w14:textId="158E65B1" w:rsidR="00C44684" w:rsidRDefault="00B8635D">
                          <w:pPr>
                            <w:pStyle w:val="Referentiegegevens"/>
                          </w:pPr>
                          <w:r>
                            <w:t xml:space="preserve">Pagina </w:t>
                          </w:r>
                          <w:r>
                            <w:fldChar w:fldCharType="begin"/>
                          </w:r>
                          <w:r>
                            <w:instrText>PAGE</w:instrText>
                          </w:r>
                          <w:r>
                            <w:fldChar w:fldCharType="separate"/>
                          </w:r>
                          <w:r w:rsidR="00F95FEC">
                            <w:rPr>
                              <w:noProof/>
                            </w:rPr>
                            <w:t>3</w:t>
                          </w:r>
                          <w:r>
                            <w:fldChar w:fldCharType="end"/>
                          </w:r>
                          <w:r>
                            <w:t xml:space="preserve"> van </w:t>
                          </w:r>
                          <w:r>
                            <w:fldChar w:fldCharType="begin"/>
                          </w:r>
                          <w:r>
                            <w:instrText>NUMPAGES</w:instrText>
                          </w:r>
                          <w:r>
                            <w:fldChar w:fldCharType="separate"/>
                          </w:r>
                          <w:r w:rsidR="00F95FEC">
                            <w:rPr>
                              <w:noProof/>
                            </w:rPr>
                            <w:t>3</w:t>
                          </w:r>
                          <w:r>
                            <w:fldChar w:fldCharType="end"/>
                          </w:r>
                        </w:p>
                      </w:txbxContent>
                    </wps:txbx>
                    <wps:bodyPr vert="horz" wrap="square" lIns="0" tIns="0" rIns="0" bIns="0" anchor="t" anchorCtr="0"/>
                  </wps:wsp>
                </a:graphicData>
              </a:graphic>
            </wp:anchor>
          </w:drawing>
        </mc:Choice>
        <mc:Fallback>
          <w:pict>
            <v:shape w14:anchorId="648F1FC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4CF9FD28" w14:textId="158E65B1" w:rsidR="00C44684" w:rsidRDefault="00B8635D">
                    <w:pPr>
                      <w:pStyle w:val="Referentiegegevens"/>
                    </w:pPr>
                    <w:r>
                      <w:t xml:space="preserve">Pagina </w:t>
                    </w:r>
                    <w:r>
                      <w:fldChar w:fldCharType="begin"/>
                    </w:r>
                    <w:r>
                      <w:instrText>PAGE</w:instrText>
                    </w:r>
                    <w:r>
                      <w:fldChar w:fldCharType="separate"/>
                    </w:r>
                    <w:r w:rsidR="00F95FEC">
                      <w:rPr>
                        <w:noProof/>
                      </w:rPr>
                      <w:t>3</w:t>
                    </w:r>
                    <w:r>
                      <w:fldChar w:fldCharType="end"/>
                    </w:r>
                    <w:r>
                      <w:t xml:space="preserve"> van </w:t>
                    </w:r>
                    <w:r>
                      <w:fldChar w:fldCharType="begin"/>
                    </w:r>
                    <w:r>
                      <w:instrText>NUMPAGES</w:instrText>
                    </w:r>
                    <w:r>
                      <w:fldChar w:fldCharType="separate"/>
                    </w:r>
                    <w:r w:rsidR="00F95FEC">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F6963" w14:textId="77777777" w:rsidR="00C44684" w:rsidRDefault="00B8635D">
    <w:pPr>
      <w:spacing w:after="6377" w:line="14" w:lineRule="exact"/>
    </w:pPr>
    <w:r>
      <w:rPr>
        <w:noProof/>
      </w:rPr>
      <mc:AlternateContent>
        <mc:Choice Requires="wps">
          <w:drawing>
            <wp:anchor distT="0" distB="0" distL="0" distR="0" simplePos="0" relativeHeight="251656192" behindDoc="0" locked="1" layoutInCell="1" allowOverlap="1" wp14:anchorId="7616149F" wp14:editId="482220F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1B7D84E" w14:textId="77777777" w:rsidR="00C44684" w:rsidRDefault="00B8635D">
                          <w:pPr>
                            <w:spacing w:line="240" w:lineRule="auto"/>
                          </w:pPr>
                          <w:r>
                            <w:rPr>
                              <w:noProof/>
                            </w:rPr>
                            <w:drawing>
                              <wp:inline distT="0" distB="0" distL="0" distR="0" wp14:anchorId="118F4448" wp14:editId="403B269E">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616149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1B7D84E" w14:textId="77777777" w:rsidR="00C44684" w:rsidRDefault="00B8635D">
                    <w:pPr>
                      <w:spacing w:line="240" w:lineRule="auto"/>
                    </w:pPr>
                    <w:r>
                      <w:rPr>
                        <w:noProof/>
                      </w:rPr>
                      <w:drawing>
                        <wp:inline distT="0" distB="0" distL="0" distR="0" wp14:anchorId="118F4448" wp14:editId="403B269E">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05720F5" wp14:editId="09983B9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F4AF810" w14:textId="77777777" w:rsidR="00C44684" w:rsidRDefault="00B8635D">
                          <w:pPr>
                            <w:spacing w:line="240" w:lineRule="auto"/>
                          </w:pPr>
                          <w:r>
                            <w:rPr>
                              <w:noProof/>
                            </w:rPr>
                            <w:drawing>
                              <wp:inline distT="0" distB="0" distL="0" distR="0" wp14:anchorId="38455889" wp14:editId="57625124">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5720F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4F4AF810" w14:textId="77777777" w:rsidR="00C44684" w:rsidRDefault="00B8635D">
                    <w:pPr>
                      <w:spacing w:line="240" w:lineRule="auto"/>
                    </w:pPr>
                    <w:r>
                      <w:rPr>
                        <w:noProof/>
                      </w:rPr>
                      <w:drawing>
                        <wp:inline distT="0" distB="0" distL="0" distR="0" wp14:anchorId="38455889" wp14:editId="57625124">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031ADA6" wp14:editId="7CDF84D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5040294" w14:textId="77777777" w:rsidR="00C44684" w:rsidRDefault="00B8635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031ADA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55040294" w14:textId="77777777" w:rsidR="00C44684" w:rsidRDefault="00B8635D">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5F7BCD1" wp14:editId="2C1364E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4D1EB90" w14:textId="6B9FBA2E" w:rsidR="00A9447F" w:rsidRDefault="00B8635D">
                          <w:r>
                            <w:t xml:space="preserve">Aan de </w:t>
                          </w:r>
                          <w:r w:rsidR="00A9447F">
                            <w:t>V</w:t>
                          </w:r>
                          <w:r>
                            <w:t xml:space="preserve">oorzitter van de Tweede Kamer </w:t>
                          </w:r>
                        </w:p>
                        <w:p w14:paraId="5F22367C" w14:textId="1DEC7F07" w:rsidR="00C44684" w:rsidRDefault="00B8635D">
                          <w:r>
                            <w:t>der Staten-Generaal</w:t>
                          </w:r>
                        </w:p>
                        <w:p w14:paraId="3E9124F0" w14:textId="77777777" w:rsidR="00C44684" w:rsidRDefault="00B8635D">
                          <w:r>
                            <w:t xml:space="preserve">Postbus 20018 </w:t>
                          </w:r>
                        </w:p>
                        <w:p w14:paraId="6142E89F" w14:textId="77777777" w:rsidR="00C44684" w:rsidRDefault="00B8635D">
                          <w:r>
                            <w:t xml:space="preserve">2500 EA  Den Haag </w:t>
                          </w:r>
                        </w:p>
                      </w:txbxContent>
                    </wps:txbx>
                    <wps:bodyPr vert="horz" wrap="square" lIns="0" tIns="0" rIns="0" bIns="0" anchor="t" anchorCtr="0"/>
                  </wps:wsp>
                </a:graphicData>
              </a:graphic>
            </wp:anchor>
          </w:drawing>
        </mc:Choice>
        <mc:Fallback>
          <w:pict>
            <v:shape w14:anchorId="25F7BCD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14D1EB90" w14:textId="6B9FBA2E" w:rsidR="00A9447F" w:rsidRDefault="00B8635D">
                    <w:r>
                      <w:t xml:space="preserve">Aan de </w:t>
                    </w:r>
                    <w:r w:rsidR="00A9447F">
                      <w:t>V</w:t>
                    </w:r>
                    <w:r>
                      <w:t xml:space="preserve">oorzitter van de Tweede Kamer </w:t>
                    </w:r>
                  </w:p>
                  <w:p w14:paraId="5F22367C" w14:textId="1DEC7F07" w:rsidR="00C44684" w:rsidRDefault="00B8635D">
                    <w:r>
                      <w:t>der Staten-Generaal</w:t>
                    </w:r>
                  </w:p>
                  <w:p w14:paraId="3E9124F0" w14:textId="77777777" w:rsidR="00C44684" w:rsidRDefault="00B8635D">
                    <w:r>
                      <w:t xml:space="preserve">Postbus 20018 </w:t>
                    </w:r>
                  </w:p>
                  <w:p w14:paraId="6142E89F" w14:textId="77777777" w:rsidR="00C44684" w:rsidRDefault="00B8635D">
                    <w:r>
                      <w:t xml:space="preserve">2500 EA  Den Haag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F120C76" wp14:editId="72750D51">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44684" w14:paraId="7C9F7C1F" w14:textId="77777777">
                            <w:trPr>
                              <w:trHeight w:val="240"/>
                            </w:trPr>
                            <w:tc>
                              <w:tcPr>
                                <w:tcW w:w="1140" w:type="dxa"/>
                              </w:tcPr>
                              <w:p w14:paraId="46DD651F" w14:textId="77777777" w:rsidR="00C44684" w:rsidRDefault="00B8635D">
                                <w:r>
                                  <w:t>Datum</w:t>
                                </w:r>
                              </w:p>
                            </w:tc>
                            <w:tc>
                              <w:tcPr>
                                <w:tcW w:w="5918" w:type="dxa"/>
                              </w:tcPr>
                              <w:p w14:paraId="367D3678" w14:textId="3850A456" w:rsidR="00C44684" w:rsidRDefault="00524CD1">
                                <w:sdt>
                                  <w:sdtPr>
                                    <w:id w:val="929392962"/>
                                    <w:date w:fullDate="2024-09-12T00:00:00Z">
                                      <w:dateFormat w:val="d MMMM yyyy"/>
                                      <w:lid w:val="nl"/>
                                      <w:storeMappedDataAs w:val="dateTime"/>
                                      <w:calendar w:val="gregorian"/>
                                    </w:date>
                                  </w:sdtPr>
                                  <w:sdtEndPr/>
                                  <w:sdtContent>
                                    <w:r w:rsidR="00A9447F">
                                      <w:rPr>
                                        <w:lang w:val="nl"/>
                                      </w:rPr>
                                      <w:t>12 september 2024</w:t>
                                    </w:r>
                                  </w:sdtContent>
                                </w:sdt>
                              </w:p>
                            </w:tc>
                          </w:tr>
                          <w:tr w:rsidR="00C44684" w14:paraId="2E904C08" w14:textId="77777777">
                            <w:trPr>
                              <w:trHeight w:val="240"/>
                            </w:trPr>
                            <w:tc>
                              <w:tcPr>
                                <w:tcW w:w="1140" w:type="dxa"/>
                              </w:tcPr>
                              <w:p w14:paraId="0D69ABFF" w14:textId="77777777" w:rsidR="00C44684" w:rsidRDefault="00B8635D">
                                <w:r>
                                  <w:t>Betreft</w:t>
                                </w:r>
                              </w:p>
                            </w:tc>
                            <w:tc>
                              <w:tcPr>
                                <w:tcW w:w="5918" w:type="dxa"/>
                              </w:tcPr>
                              <w:p w14:paraId="29F81D7F" w14:textId="77777777" w:rsidR="00C44684" w:rsidRDefault="00B8635D">
                                <w:r>
                                  <w:t xml:space="preserve">Monitor nazorg ex-gedetineerden - 7e meting </w:t>
                                </w:r>
                              </w:p>
                            </w:tc>
                          </w:tr>
                        </w:tbl>
                        <w:p w14:paraId="70C19FE7" w14:textId="77777777" w:rsidR="00B8635D" w:rsidRDefault="00B8635D"/>
                      </w:txbxContent>
                    </wps:txbx>
                    <wps:bodyPr vert="horz" wrap="square" lIns="0" tIns="0" rIns="0" bIns="0" anchor="t" anchorCtr="0"/>
                  </wps:wsp>
                </a:graphicData>
              </a:graphic>
            </wp:anchor>
          </w:drawing>
        </mc:Choice>
        <mc:Fallback>
          <w:pict>
            <v:shape w14:anchorId="7F120C76"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44684" w14:paraId="7C9F7C1F" w14:textId="77777777">
                      <w:trPr>
                        <w:trHeight w:val="240"/>
                      </w:trPr>
                      <w:tc>
                        <w:tcPr>
                          <w:tcW w:w="1140" w:type="dxa"/>
                        </w:tcPr>
                        <w:p w14:paraId="46DD651F" w14:textId="77777777" w:rsidR="00C44684" w:rsidRDefault="00B8635D">
                          <w:r>
                            <w:t>Datum</w:t>
                          </w:r>
                        </w:p>
                      </w:tc>
                      <w:tc>
                        <w:tcPr>
                          <w:tcW w:w="5918" w:type="dxa"/>
                        </w:tcPr>
                        <w:p w14:paraId="367D3678" w14:textId="3850A456" w:rsidR="00C44684" w:rsidRDefault="00524CD1">
                          <w:sdt>
                            <w:sdtPr>
                              <w:id w:val="929392962"/>
                              <w:date w:fullDate="2024-09-12T00:00:00Z">
                                <w:dateFormat w:val="d MMMM yyyy"/>
                                <w:lid w:val="nl"/>
                                <w:storeMappedDataAs w:val="dateTime"/>
                                <w:calendar w:val="gregorian"/>
                              </w:date>
                            </w:sdtPr>
                            <w:sdtEndPr/>
                            <w:sdtContent>
                              <w:r w:rsidR="00A9447F">
                                <w:rPr>
                                  <w:lang w:val="nl"/>
                                </w:rPr>
                                <w:t>12 september 2024</w:t>
                              </w:r>
                            </w:sdtContent>
                          </w:sdt>
                        </w:p>
                      </w:tc>
                    </w:tr>
                    <w:tr w:rsidR="00C44684" w14:paraId="2E904C08" w14:textId="77777777">
                      <w:trPr>
                        <w:trHeight w:val="240"/>
                      </w:trPr>
                      <w:tc>
                        <w:tcPr>
                          <w:tcW w:w="1140" w:type="dxa"/>
                        </w:tcPr>
                        <w:p w14:paraId="0D69ABFF" w14:textId="77777777" w:rsidR="00C44684" w:rsidRDefault="00B8635D">
                          <w:r>
                            <w:t>Betreft</w:t>
                          </w:r>
                        </w:p>
                      </w:tc>
                      <w:tc>
                        <w:tcPr>
                          <w:tcW w:w="5918" w:type="dxa"/>
                        </w:tcPr>
                        <w:p w14:paraId="29F81D7F" w14:textId="77777777" w:rsidR="00C44684" w:rsidRDefault="00B8635D">
                          <w:r>
                            <w:t xml:space="preserve">Monitor nazorg ex-gedetineerden - 7e meting </w:t>
                          </w:r>
                        </w:p>
                      </w:tc>
                    </w:tr>
                  </w:tbl>
                  <w:p w14:paraId="70C19FE7" w14:textId="77777777" w:rsidR="00B8635D" w:rsidRDefault="00B8635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F8CBF69" wp14:editId="2597D0AD">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4833EBE" w14:textId="77777777" w:rsidR="00C44684" w:rsidRDefault="00B8635D">
                          <w:pPr>
                            <w:pStyle w:val="Referentiegegevensbold"/>
                          </w:pPr>
                          <w:r>
                            <w:t>Directoraat-Generaal Straffen en Beschermen</w:t>
                          </w:r>
                        </w:p>
                        <w:p w14:paraId="5A0AC767" w14:textId="77777777" w:rsidR="00C44684" w:rsidRDefault="00B8635D">
                          <w:pPr>
                            <w:pStyle w:val="Referentiegegevens"/>
                          </w:pPr>
                          <w:r>
                            <w:t>Directie Sanctie- en Slachtofferbeleid</w:t>
                          </w:r>
                        </w:p>
                        <w:p w14:paraId="6A90A616" w14:textId="77777777" w:rsidR="00C44684" w:rsidRDefault="00B8635D">
                          <w:pPr>
                            <w:pStyle w:val="Referentiegegevens"/>
                          </w:pPr>
                          <w:r>
                            <w:t>Sancties Intramuraal</w:t>
                          </w:r>
                        </w:p>
                        <w:p w14:paraId="4A409ADE" w14:textId="77777777" w:rsidR="00C44684" w:rsidRDefault="00C44684">
                          <w:pPr>
                            <w:pStyle w:val="WitregelW1"/>
                          </w:pPr>
                        </w:p>
                        <w:p w14:paraId="2B8220AC" w14:textId="77777777" w:rsidR="00C44684" w:rsidRDefault="00B8635D">
                          <w:pPr>
                            <w:pStyle w:val="Referentiegegevens"/>
                          </w:pPr>
                          <w:r>
                            <w:t>Turfmarkt 147</w:t>
                          </w:r>
                        </w:p>
                        <w:p w14:paraId="3A2C4126" w14:textId="77777777" w:rsidR="00C44684" w:rsidRDefault="00B8635D">
                          <w:pPr>
                            <w:pStyle w:val="Referentiegegevens"/>
                          </w:pPr>
                          <w:r>
                            <w:t>2511 DP   Den Haag</w:t>
                          </w:r>
                        </w:p>
                        <w:p w14:paraId="4ECC2067" w14:textId="77777777" w:rsidR="00C44684" w:rsidRDefault="00B8635D">
                          <w:pPr>
                            <w:pStyle w:val="Referentiegegevens"/>
                          </w:pPr>
                          <w:r>
                            <w:t>Postbus 20301</w:t>
                          </w:r>
                        </w:p>
                        <w:p w14:paraId="0803E1D8" w14:textId="77777777" w:rsidR="00C44684" w:rsidRDefault="00B8635D">
                          <w:pPr>
                            <w:pStyle w:val="Referentiegegevens"/>
                          </w:pPr>
                          <w:r>
                            <w:t>2500 EH   Den Haag</w:t>
                          </w:r>
                        </w:p>
                        <w:p w14:paraId="17FBC774" w14:textId="77777777" w:rsidR="00C44684" w:rsidRDefault="00B8635D">
                          <w:pPr>
                            <w:pStyle w:val="Referentiegegevens"/>
                          </w:pPr>
                          <w:r>
                            <w:t>www.rijksoverheid.nl/jenv</w:t>
                          </w:r>
                        </w:p>
                        <w:p w14:paraId="311F7885" w14:textId="77777777" w:rsidR="00C44684" w:rsidRDefault="00C44684">
                          <w:pPr>
                            <w:pStyle w:val="WitregelW1"/>
                          </w:pPr>
                        </w:p>
                        <w:p w14:paraId="12692A9F" w14:textId="77777777" w:rsidR="00C44684" w:rsidRDefault="00C44684">
                          <w:pPr>
                            <w:pStyle w:val="WitregelW2"/>
                          </w:pPr>
                        </w:p>
                        <w:p w14:paraId="6794D1C7" w14:textId="77777777" w:rsidR="00C44684" w:rsidRDefault="00B8635D">
                          <w:pPr>
                            <w:pStyle w:val="Referentiegegevensbold"/>
                          </w:pPr>
                          <w:r>
                            <w:t>Onze referentie</w:t>
                          </w:r>
                        </w:p>
                        <w:p w14:paraId="5340AC17" w14:textId="77777777" w:rsidR="00C44684" w:rsidRDefault="00B8635D">
                          <w:pPr>
                            <w:pStyle w:val="Referentiegegevens"/>
                          </w:pPr>
                          <w:r>
                            <w:t>5575849</w:t>
                          </w:r>
                        </w:p>
                        <w:p w14:paraId="7316BE4D" w14:textId="77777777" w:rsidR="00C44684" w:rsidRDefault="00C44684">
                          <w:pPr>
                            <w:pStyle w:val="WitregelW1"/>
                          </w:pPr>
                        </w:p>
                        <w:p w14:paraId="4A8F88E8" w14:textId="77777777" w:rsidR="00C44684" w:rsidRDefault="00B8635D">
                          <w:pPr>
                            <w:pStyle w:val="Referentiegegevensbold"/>
                          </w:pPr>
                          <w:r>
                            <w:t>Bijlage(n)</w:t>
                          </w:r>
                        </w:p>
                        <w:p w14:paraId="7F840CB6" w14:textId="77777777" w:rsidR="00C44684" w:rsidRDefault="00B8635D">
                          <w:pPr>
                            <w:pStyle w:val="Referentiegegevens"/>
                          </w:pPr>
                          <w:r>
                            <w:t>1</w:t>
                          </w:r>
                        </w:p>
                      </w:txbxContent>
                    </wps:txbx>
                    <wps:bodyPr vert="horz" wrap="square" lIns="0" tIns="0" rIns="0" bIns="0" anchor="t" anchorCtr="0"/>
                  </wps:wsp>
                </a:graphicData>
              </a:graphic>
            </wp:anchor>
          </w:drawing>
        </mc:Choice>
        <mc:Fallback>
          <w:pict>
            <v:shape w14:anchorId="0F8CBF69"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24833EBE" w14:textId="77777777" w:rsidR="00C44684" w:rsidRDefault="00B8635D">
                    <w:pPr>
                      <w:pStyle w:val="Referentiegegevensbold"/>
                    </w:pPr>
                    <w:r>
                      <w:t>Directoraat-Generaal Straffen en Beschermen</w:t>
                    </w:r>
                  </w:p>
                  <w:p w14:paraId="5A0AC767" w14:textId="77777777" w:rsidR="00C44684" w:rsidRDefault="00B8635D">
                    <w:pPr>
                      <w:pStyle w:val="Referentiegegevens"/>
                    </w:pPr>
                    <w:r>
                      <w:t>Directie Sanctie- en Slachtofferbeleid</w:t>
                    </w:r>
                  </w:p>
                  <w:p w14:paraId="6A90A616" w14:textId="77777777" w:rsidR="00C44684" w:rsidRDefault="00B8635D">
                    <w:pPr>
                      <w:pStyle w:val="Referentiegegevens"/>
                    </w:pPr>
                    <w:r>
                      <w:t>Sancties Intramuraal</w:t>
                    </w:r>
                  </w:p>
                  <w:p w14:paraId="4A409ADE" w14:textId="77777777" w:rsidR="00C44684" w:rsidRDefault="00C44684">
                    <w:pPr>
                      <w:pStyle w:val="WitregelW1"/>
                    </w:pPr>
                  </w:p>
                  <w:p w14:paraId="2B8220AC" w14:textId="77777777" w:rsidR="00C44684" w:rsidRDefault="00B8635D">
                    <w:pPr>
                      <w:pStyle w:val="Referentiegegevens"/>
                    </w:pPr>
                    <w:r>
                      <w:t>Turfmarkt 147</w:t>
                    </w:r>
                  </w:p>
                  <w:p w14:paraId="3A2C4126" w14:textId="77777777" w:rsidR="00C44684" w:rsidRDefault="00B8635D">
                    <w:pPr>
                      <w:pStyle w:val="Referentiegegevens"/>
                    </w:pPr>
                    <w:r>
                      <w:t>2511 DP   Den Haag</w:t>
                    </w:r>
                  </w:p>
                  <w:p w14:paraId="4ECC2067" w14:textId="77777777" w:rsidR="00C44684" w:rsidRDefault="00B8635D">
                    <w:pPr>
                      <w:pStyle w:val="Referentiegegevens"/>
                    </w:pPr>
                    <w:r>
                      <w:t>Postbus 20301</w:t>
                    </w:r>
                  </w:p>
                  <w:p w14:paraId="0803E1D8" w14:textId="77777777" w:rsidR="00C44684" w:rsidRDefault="00B8635D">
                    <w:pPr>
                      <w:pStyle w:val="Referentiegegevens"/>
                    </w:pPr>
                    <w:r>
                      <w:t>2500 EH   Den Haag</w:t>
                    </w:r>
                  </w:p>
                  <w:p w14:paraId="17FBC774" w14:textId="77777777" w:rsidR="00C44684" w:rsidRDefault="00B8635D">
                    <w:pPr>
                      <w:pStyle w:val="Referentiegegevens"/>
                    </w:pPr>
                    <w:r>
                      <w:t>www.rijksoverheid.nl/jenv</w:t>
                    </w:r>
                  </w:p>
                  <w:p w14:paraId="311F7885" w14:textId="77777777" w:rsidR="00C44684" w:rsidRDefault="00C44684">
                    <w:pPr>
                      <w:pStyle w:val="WitregelW1"/>
                    </w:pPr>
                  </w:p>
                  <w:p w14:paraId="12692A9F" w14:textId="77777777" w:rsidR="00C44684" w:rsidRDefault="00C44684">
                    <w:pPr>
                      <w:pStyle w:val="WitregelW2"/>
                    </w:pPr>
                  </w:p>
                  <w:p w14:paraId="6794D1C7" w14:textId="77777777" w:rsidR="00C44684" w:rsidRDefault="00B8635D">
                    <w:pPr>
                      <w:pStyle w:val="Referentiegegevensbold"/>
                    </w:pPr>
                    <w:r>
                      <w:t>Onze referentie</w:t>
                    </w:r>
                  </w:p>
                  <w:p w14:paraId="5340AC17" w14:textId="77777777" w:rsidR="00C44684" w:rsidRDefault="00B8635D">
                    <w:pPr>
                      <w:pStyle w:val="Referentiegegevens"/>
                    </w:pPr>
                    <w:r>
                      <w:t>5575849</w:t>
                    </w:r>
                  </w:p>
                  <w:p w14:paraId="7316BE4D" w14:textId="77777777" w:rsidR="00C44684" w:rsidRDefault="00C44684">
                    <w:pPr>
                      <w:pStyle w:val="WitregelW1"/>
                    </w:pPr>
                  </w:p>
                  <w:p w14:paraId="4A8F88E8" w14:textId="77777777" w:rsidR="00C44684" w:rsidRDefault="00B8635D">
                    <w:pPr>
                      <w:pStyle w:val="Referentiegegevensbold"/>
                    </w:pPr>
                    <w:r>
                      <w:t>Bijlage(n)</w:t>
                    </w:r>
                  </w:p>
                  <w:p w14:paraId="7F840CB6" w14:textId="77777777" w:rsidR="00C44684" w:rsidRDefault="00B8635D">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C2D32CC" wp14:editId="7D028D8E">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157A4BF" w14:textId="2EC0B303" w:rsidR="00C44684" w:rsidRDefault="00B8635D">
                          <w:pPr>
                            <w:pStyle w:val="Referentiegegevens"/>
                          </w:pPr>
                          <w:r>
                            <w:t xml:space="preserve">Pagina </w:t>
                          </w:r>
                          <w:r>
                            <w:fldChar w:fldCharType="begin"/>
                          </w:r>
                          <w:r>
                            <w:instrText>PAGE</w:instrText>
                          </w:r>
                          <w:r>
                            <w:fldChar w:fldCharType="separate"/>
                          </w:r>
                          <w:r w:rsidR="00524CD1">
                            <w:rPr>
                              <w:noProof/>
                            </w:rPr>
                            <w:t>1</w:t>
                          </w:r>
                          <w:r>
                            <w:fldChar w:fldCharType="end"/>
                          </w:r>
                          <w:r>
                            <w:t xml:space="preserve"> van </w:t>
                          </w:r>
                          <w:r>
                            <w:fldChar w:fldCharType="begin"/>
                          </w:r>
                          <w:r>
                            <w:instrText>NUMPAGES</w:instrText>
                          </w:r>
                          <w:r>
                            <w:fldChar w:fldCharType="separate"/>
                          </w:r>
                          <w:r w:rsidR="00524CD1">
                            <w:rPr>
                              <w:noProof/>
                            </w:rPr>
                            <w:t>1</w:t>
                          </w:r>
                          <w:r>
                            <w:fldChar w:fldCharType="end"/>
                          </w:r>
                        </w:p>
                      </w:txbxContent>
                    </wps:txbx>
                    <wps:bodyPr vert="horz" wrap="square" lIns="0" tIns="0" rIns="0" bIns="0" anchor="t" anchorCtr="0"/>
                  </wps:wsp>
                </a:graphicData>
              </a:graphic>
            </wp:anchor>
          </w:drawing>
        </mc:Choice>
        <mc:Fallback>
          <w:pict>
            <v:shape w14:anchorId="4C2D32C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0157A4BF" w14:textId="2EC0B303" w:rsidR="00C44684" w:rsidRDefault="00B8635D">
                    <w:pPr>
                      <w:pStyle w:val="Referentiegegevens"/>
                    </w:pPr>
                    <w:r>
                      <w:t xml:space="preserve">Pagina </w:t>
                    </w:r>
                    <w:r>
                      <w:fldChar w:fldCharType="begin"/>
                    </w:r>
                    <w:r>
                      <w:instrText>PAGE</w:instrText>
                    </w:r>
                    <w:r>
                      <w:fldChar w:fldCharType="separate"/>
                    </w:r>
                    <w:r w:rsidR="00524CD1">
                      <w:rPr>
                        <w:noProof/>
                      </w:rPr>
                      <w:t>1</w:t>
                    </w:r>
                    <w:r>
                      <w:fldChar w:fldCharType="end"/>
                    </w:r>
                    <w:r>
                      <w:t xml:space="preserve"> van </w:t>
                    </w:r>
                    <w:r>
                      <w:fldChar w:fldCharType="begin"/>
                    </w:r>
                    <w:r>
                      <w:instrText>NUMPAGES</w:instrText>
                    </w:r>
                    <w:r>
                      <w:fldChar w:fldCharType="separate"/>
                    </w:r>
                    <w:r w:rsidR="00524CD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5FD6B6F" wp14:editId="460F5C1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CAA343" w14:textId="77777777" w:rsidR="00B8635D" w:rsidRDefault="00B8635D"/>
                      </w:txbxContent>
                    </wps:txbx>
                    <wps:bodyPr vert="horz" wrap="square" lIns="0" tIns="0" rIns="0" bIns="0" anchor="t" anchorCtr="0"/>
                  </wps:wsp>
                </a:graphicData>
              </a:graphic>
            </wp:anchor>
          </w:drawing>
        </mc:Choice>
        <mc:Fallback>
          <w:pict>
            <v:shape w14:anchorId="65FD6B6F"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38CAA343" w14:textId="77777777" w:rsidR="00B8635D" w:rsidRDefault="00B8635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AB2BC5"/>
    <w:multiLevelType w:val="multilevel"/>
    <w:tmpl w:val="FD45014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193D403"/>
    <w:multiLevelType w:val="multilevel"/>
    <w:tmpl w:val="455CAAC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2DA87D"/>
    <w:multiLevelType w:val="multilevel"/>
    <w:tmpl w:val="D80741E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21C92A8"/>
    <w:multiLevelType w:val="multilevel"/>
    <w:tmpl w:val="2AD73B9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CB721B5"/>
    <w:multiLevelType w:val="hybridMultilevel"/>
    <w:tmpl w:val="93DE40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C85CC8"/>
    <w:multiLevelType w:val="hybridMultilevel"/>
    <w:tmpl w:val="4244A0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DC2FFF"/>
    <w:multiLevelType w:val="hybridMultilevel"/>
    <w:tmpl w:val="6E7ACC3A"/>
    <w:lvl w:ilvl="0" w:tplc="5E3A2FF0">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6740F81"/>
    <w:multiLevelType w:val="hybridMultilevel"/>
    <w:tmpl w:val="47446466"/>
    <w:lvl w:ilvl="0" w:tplc="CE287C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DF4C554"/>
    <w:multiLevelType w:val="multilevel"/>
    <w:tmpl w:val="D02098C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5C7A0C52"/>
    <w:multiLevelType w:val="hybridMultilevel"/>
    <w:tmpl w:val="A3F0CC1E"/>
    <w:lvl w:ilvl="0" w:tplc="407AFE40">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2744DC7"/>
    <w:multiLevelType w:val="multilevel"/>
    <w:tmpl w:val="81042ED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740F2D7A"/>
    <w:multiLevelType w:val="hybridMultilevel"/>
    <w:tmpl w:val="39EC6974"/>
    <w:lvl w:ilvl="0" w:tplc="E30AAC22">
      <w:start w:val="2"/>
      <w:numFmt w:val="bullet"/>
      <w:lvlText w:val="-"/>
      <w:lvlJc w:val="left"/>
      <w:pPr>
        <w:ind w:left="360" w:hanging="360"/>
      </w:pPr>
      <w:rPr>
        <w:rFonts w:ascii="Verdana" w:eastAsia="DejaVu Sans" w:hAnsi="Verdana" w:cs="Lohit Hindi" w:hint="default"/>
        <w:color w:val="0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5F33EF6"/>
    <w:multiLevelType w:val="hybridMultilevel"/>
    <w:tmpl w:val="862CE1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AC0689E"/>
    <w:multiLevelType w:val="hybridMultilevel"/>
    <w:tmpl w:val="F5404752"/>
    <w:lvl w:ilvl="0" w:tplc="ADA8AA26">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C3131EB"/>
    <w:multiLevelType w:val="hybridMultilevel"/>
    <w:tmpl w:val="3E92DE50"/>
    <w:lvl w:ilvl="0" w:tplc="26AAA9C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
  </w:num>
  <w:num w:numId="5">
    <w:abstractNumId w:val="0"/>
  </w:num>
  <w:num w:numId="6">
    <w:abstractNumId w:val="3"/>
  </w:num>
  <w:num w:numId="7">
    <w:abstractNumId w:val="12"/>
  </w:num>
  <w:num w:numId="8">
    <w:abstractNumId w:val="14"/>
  </w:num>
  <w:num w:numId="9">
    <w:abstractNumId w:val="7"/>
  </w:num>
  <w:num w:numId="10">
    <w:abstractNumId w:val="13"/>
  </w:num>
  <w:num w:numId="11">
    <w:abstractNumId w:val="5"/>
  </w:num>
  <w:num w:numId="12">
    <w:abstractNumId w:val="9"/>
  </w:num>
  <w:num w:numId="13">
    <w:abstractNumId w:val="4"/>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65D"/>
    <w:rsid w:val="0000589A"/>
    <w:rsid w:val="0001100F"/>
    <w:rsid w:val="0003372E"/>
    <w:rsid w:val="000527D3"/>
    <w:rsid w:val="000527FA"/>
    <w:rsid w:val="000615AD"/>
    <w:rsid w:val="000A1D3D"/>
    <w:rsid w:val="000B2FE3"/>
    <w:rsid w:val="000B52A7"/>
    <w:rsid w:val="000B63BF"/>
    <w:rsid w:val="000C0E7E"/>
    <w:rsid w:val="000C5982"/>
    <w:rsid w:val="000F4BA2"/>
    <w:rsid w:val="000F4BF6"/>
    <w:rsid w:val="0010299C"/>
    <w:rsid w:val="001108E3"/>
    <w:rsid w:val="00117109"/>
    <w:rsid w:val="00124F3F"/>
    <w:rsid w:val="00140DA6"/>
    <w:rsid w:val="00143B20"/>
    <w:rsid w:val="001543BA"/>
    <w:rsid w:val="00173CAC"/>
    <w:rsid w:val="0017580C"/>
    <w:rsid w:val="00190751"/>
    <w:rsid w:val="00195100"/>
    <w:rsid w:val="001A1EA4"/>
    <w:rsid w:val="001B79E5"/>
    <w:rsid w:val="001E1F87"/>
    <w:rsid w:val="001F0F99"/>
    <w:rsid w:val="001F662C"/>
    <w:rsid w:val="002064A7"/>
    <w:rsid w:val="00221BB3"/>
    <w:rsid w:val="00241634"/>
    <w:rsid w:val="00244BFE"/>
    <w:rsid w:val="00266247"/>
    <w:rsid w:val="00281DCC"/>
    <w:rsid w:val="00294100"/>
    <w:rsid w:val="002A0FAD"/>
    <w:rsid w:val="002B001F"/>
    <w:rsid w:val="002B1624"/>
    <w:rsid w:val="002D549E"/>
    <w:rsid w:val="00324842"/>
    <w:rsid w:val="00324FCE"/>
    <w:rsid w:val="00340AF1"/>
    <w:rsid w:val="00361784"/>
    <w:rsid w:val="00377104"/>
    <w:rsid w:val="003819FB"/>
    <w:rsid w:val="00381C82"/>
    <w:rsid w:val="00383B90"/>
    <w:rsid w:val="003A040D"/>
    <w:rsid w:val="003C1897"/>
    <w:rsid w:val="003E4B80"/>
    <w:rsid w:val="003E6685"/>
    <w:rsid w:val="003F0375"/>
    <w:rsid w:val="004265C9"/>
    <w:rsid w:val="00431AEE"/>
    <w:rsid w:val="004340FA"/>
    <w:rsid w:val="00440FA3"/>
    <w:rsid w:val="00466ED1"/>
    <w:rsid w:val="004736A3"/>
    <w:rsid w:val="00477091"/>
    <w:rsid w:val="00485961"/>
    <w:rsid w:val="004874DE"/>
    <w:rsid w:val="00494F79"/>
    <w:rsid w:val="004E207D"/>
    <w:rsid w:val="004E46E9"/>
    <w:rsid w:val="004F2F86"/>
    <w:rsid w:val="0050065D"/>
    <w:rsid w:val="00515A04"/>
    <w:rsid w:val="00524CD1"/>
    <w:rsid w:val="005257E6"/>
    <w:rsid w:val="00541AEC"/>
    <w:rsid w:val="0056355B"/>
    <w:rsid w:val="00567B7F"/>
    <w:rsid w:val="00575E1F"/>
    <w:rsid w:val="00585017"/>
    <w:rsid w:val="005A6AB2"/>
    <w:rsid w:val="005A73C3"/>
    <w:rsid w:val="005E1E5F"/>
    <w:rsid w:val="00612D2B"/>
    <w:rsid w:val="006248E0"/>
    <w:rsid w:val="00631885"/>
    <w:rsid w:val="00661795"/>
    <w:rsid w:val="00665232"/>
    <w:rsid w:val="00690FDB"/>
    <w:rsid w:val="006A20B7"/>
    <w:rsid w:val="006E1BE6"/>
    <w:rsid w:val="007037EE"/>
    <w:rsid w:val="00707ED3"/>
    <w:rsid w:val="007638C5"/>
    <w:rsid w:val="00765A71"/>
    <w:rsid w:val="0076640F"/>
    <w:rsid w:val="007677A7"/>
    <w:rsid w:val="007A5937"/>
    <w:rsid w:val="007B5FBE"/>
    <w:rsid w:val="007D1147"/>
    <w:rsid w:val="007D3812"/>
    <w:rsid w:val="007E37BE"/>
    <w:rsid w:val="007E3E07"/>
    <w:rsid w:val="007E5EBB"/>
    <w:rsid w:val="007E6E1C"/>
    <w:rsid w:val="007F4107"/>
    <w:rsid w:val="007F6C66"/>
    <w:rsid w:val="008145C6"/>
    <w:rsid w:val="00815C8C"/>
    <w:rsid w:val="00823C38"/>
    <w:rsid w:val="00834974"/>
    <w:rsid w:val="00893EA4"/>
    <w:rsid w:val="008A08E1"/>
    <w:rsid w:val="008E2784"/>
    <w:rsid w:val="008E5F4B"/>
    <w:rsid w:val="008F2B42"/>
    <w:rsid w:val="00906039"/>
    <w:rsid w:val="00920A36"/>
    <w:rsid w:val="00946C2A"/>
    <w:rsid w:val="0097526B"/>
    <w:rsid w:val="00980846"/>
    <w:rsid w:val="00991B9F"/>
    <w:rsid w:val="009A017E"/>
    <w:rsid w:val="009D7A88"/>
    <w:rsid w:val="009E60BC"/>
    <w:rsid w:val="00A01DE6"/>
    <w:rsid w:val="00A029F1"/>
    <w:rsid w:val="00A05B10"/>
    <w:rsid w:val="00A16172"/>
    <w:rsid w:val="00A30955"/>
    <w:rsid w:val="00A31591"/>
    <w:rsid w:val="00A9447F"/>
    <w:rsid w:val="00AC3C31"/>
    <w:rsid w:val="00B0284E"/>
    <w:rsid w:val="00B21B58"/>
    <w:rsid w:val="00B36FA9"/>
    <w:rsid w:val="00B40900"/>
    <w:rsid w:val="00B4327D"/>
    <w:rsid w:val="00B517FD"/>
    <w:rsid w:val="00B56DF0"/>
    <w:rsid w:val="00B8635D"/>
    <w:rsid w:val="00BB0B0C"/>
    <w:rsid w:val="00BB631A"/>
    <w:rsid w:val="00BC1C69"/>
    <w:rsid w:val="00BE4362"/>
    <w:rsid w:val="00BF199D"/>
    <w:rsid w:val="00C24C2C"/>
    <w:rsid w:val="00C26BAC"/>
    <w:rsid w:val="00C44684"/>
    <w:rsid w:val="00C51ACA"/>
    <w:rsid w:val="00C961C8"/>
    <w:rsid w:val="00CA6950"/>
    <w:rsid w:val="00CE18A5"/>
    <w:rsid w:val="00CF40AA"/>
    <w:rsid w:val="00D16B9F"/>
    <w:rsid w:val="00D3189A"/>
    <w:rsid w:val="00D365EA"/>
    <w:rsid w:val="00D410FD"/>
    <w:rsid w:val="00D72DC5"/>
    <w:rsid w:val="00D90E04"/>
    <w:rsid w:val="00DA0DEE"/>
    <w:rsid w:val="00DA49AD"/>
    <w:rsid w:val="00DE1557"/>
    <w:rsid w:val="00DE30D3"/>
    <w:rsid w:val="00DE60C1"/>
    <w:rsid w:val="00DF699B"/>
    <w:rsid w:val="00E00679"/>
    <w:rsid w:val="00E00D78"/>
    <w:rsid w:val="00E06DD8"/>
    <w:rsid w:val="00E132D6"/>
    <w:rsid w:val="00E1575E"/>
    <w:rsid w:val="00E421F5"/>
    <w:rsid w:val="00E52AB3"/>
    <w:rsid w:val="00E57F58"/>
    <w:rsid w:val="00E70BAB"/>
    <w:rsid w:val="00E90658"/>
    <w:rsid w:val="00EA55C6"/>
    <w:rsid w:val="00EA7364"/>
    <w:rsid w:val="00EB191C"/>
    <w:rsid w:val="00EC2C8F"/>
    <w:rsid w:val="00ED5D9D"/>
    <w:rsid w:val="00ED6D3B"/>
    <w:rsid w:val="00EE270A"/>
    <w:rsid w:val="00F12815"/>
    <w:rsid w:val="00F27C7F"/>
    <w:rsid w:val="00F4001B"/>
    <w:rsid w:val="00F407E9"/>
    <w:rsid w:val="00F40D9E"/>
    <w:rsid w:val="00F566B4"/>
    <w:rsid w:val="00F75267"/>
    <w:rsid w:val="00F94570"/>
    <w:rsid w:val="00F95FEC"/>
    <w:rsid w:val="00FA103F"/>
    <w:rsid w:val="00FA16E7"/>
    <w:rsid w:val="00FB22B8"/>
    <w:rsid w:val="00FC5528"/>
    <w:rsid w:val="00FD57C3"/>
    <w:rsid w:val="00FF2C33"/>
    <w:rsid w:val="00FF41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4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50065D"/>
    <w:pPr>
      <w:ind w:left="720"/>
      <w:contextualSpacing/>
    </w:pPr>
  </w:style>
  <w:style w:type="paragraph" w:styleId="Koptekst">
    <w:name w:val="header"/>
    <w:basedOn w:val="Standaard"/>
    <w:link w:val="KoptekstChar"/>
    <w:uiPriority w:val="99"/>
    <w:unhideWhenUsed/>
    <w:rsid w:val="0050065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0065D"/>
    <w:rPr>
      <w:rFonts w:ascii="Verdana" w:hAnsi="Verdana"/>
      <w:color w:val="000000"/>
      <w:sz w:val="18"/>
      <w:szCs w:val="18"/>
    </w:rPr>
  </w:style>
  <w:style w:type="character" w:styleId="Verwijzingopmerking">
    <w:name w:val="annotation reference"/>
    <w:basedOn w:val="Standaardalinea-lettertype"/>
    <w:uiPriority w:val="99"/>
    <w:semiHidden/>
    <w:unhideWhenUsed/>
    <w:rsid w:val="000A1D3D"/>
    <w:rPr>
      <w:sz w:val="16"/>
      <w:szCs w:val="16"/>
    </w:rPr>
  </w:style>
  <w:style w:type="paragraph" w:styleId="Tekstopmerking">
    <w:name w:val="annotation text"/>
    <w:basedOn w:val="Standaard"/>
    <w:link w:val="TekstopmerkingChar"/>
    <w:uiPriority w:val="99"/>
    <w:unhideWhenUsed/>
    <w:rsid w:val="000A1D3D"/>
    <w:pPr>
      <w:spacing w:line="240" w:lineRule="auto"/>
    </w:pPr>
    <w:rPr>
      <w:sz w:val="20"/>
      <w:szCs w:val="20"/>
    </w:rPr>
  </w:style>
  <w:style w:type="character" w:customStyle="1" w:styleId="TekstopmerkingChar">
    <w:name w:val="Tekst opmerking Char"/>
    <w:basedOn w:val="Standaardalinea-lettertype"/>
    <w:link w:val="Tekstopmerking"/>
    <w:uiPriority w:val="99"/>
    <w:rsid w:val="000A1D3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A1D3D"/>
    <w:rPr>
      <w:b/>
      <w:bCs/>
    </w:rPr>
  </w:style>
  <w:style w:type="character" w:customStyle="1" w:styleId="OnderwerpvanopmerkingChar">
    <w:name w:val="Onderwerp van opmerking Char"/>
    <w:basedOn w:val="TekstopmerkingChar"/>
    <w:link w:val="Onderwerpvanopmerking"/>
    <w:uiPriority w:val="99"/>
    <w:semiHidden/>
    <w:rsid w:val="000A1D3D"/>
    <w:rPr>
      <w:rFonts w:ascii="Verdana" w:hAnsi="Verdana"/>
      <w:b/>
      <w:bCs/>
      <w:color w:val="000000"/>
    </w:rPr>
  </w:style>
  <w:style w:type="paragraph" w:styleId="Voetnoottekst">
    <w:name w:val="footnote text"/>
    <w:basedOn w:val="Standaard"/>
    <w:link w:val="VoetnoottekstChar"/>
    <w:uiPriority w:val="99"/>
    <w:unhideWhenUsed/>
    <w:rsid w:val="00383B90"/>
    <w:pPr>
      <w:spacing w:line="240" w:lineRule="auto"/>
    </w:pPr>
    <w:rPr>
      <w:sz w:val="20"/>
      <w:szCs w:val="20"/>
    </w:rPr>
  </w:style>
  <w:style w:type="character" w:customStyle="1" w:styleId="VoetnoottekstChar">
    <w:name w:val="Voetnoottekst Char"/>
    <w:basedOn w:val="Standaardalinea-lettertype"/>
    <w:link w:val="Voetnoottekst"/>
    <w:uiPriority w:val="99"/>
    <w:rsid w:val="00383B90"/>
    <w:rPr>
      <w:rFonts w:ascii="Verdana" w:hAnsi="Verdana"/>
      <w:color w:val="000000"/>
    </w:rPr>
  </w:style>
  <w:style w:type="character" w:styleId="Voetnootmarkering">
    <w:name w:val="footnote reference"/>
    <w:basedOn w:val="Standaardalinea-lettertype"/>
    <w:uiPriority w:val="99"/>
    <w:semiHidden/>
    <w:unhideWhenUsed/>
    <w:rsid w:val="00383B90"/>
    <w:rPr>
      <w:vertAlign w:val="superscript"/>
    </w:rPr>
  </w:style>
  <w:style w:type="paragraph" w:styleId="Revisie">
    <w:name w:val="Revision"/>
    <w:hidden/>
    <w:uiPriority w:val="99"/>
    <w:semiHidden/>
    <w:rsid w:val="00361784"/>
    <w:pPr>
      <w:autoSpaceDN/>
      <w:textAlignment w:val="auto"/>
    </w:pPr>
    <w:rPr>
      <w:rFonts w:ascii="Verdana" w:hAnsi="Verdana"/>
      <w:color w:val="000000"/>
      <w:sz w:val="18"/>
      <w:szCs w:val="18"/>
    </w:rPr>
  </w:style>
  <w:style w:type="paragraph" w:styleId="Ballontekst">
    <w:name w:val="Balloon Text"/>
    <w:basedOn w:val="Standaard"/>
    <w:link w:val="BallontekstChar"/>
    <w:uiPriority w:val="99"/>
    <w:semiHidden/>
    <w:unhideWhenUsed/>
    <w:rsid w:val="00BF199D"/>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BF199D"/>
    <w:rPr>
      <w:rFonts w:ascii="Segoe UI" w:hAnsi="Segoe UI" w:cs="Segoe UI"/>
      <w:color w:val="000000"/>
      <w:sz w:val="18"/>
      <w:szCs w:val="18"/>
    </w:rPr>
  </w:style>
  <w:style w:type="paragraph" w:customStyle="1" w:styleId="broodtekst">
    <w:name w:val="broodtekst"/>
    <w:basedOn w:val="Standaard"/>
    <w:qFormat/>
    <w:rsid w:val="00B517FD"/>
    <w:pPr>
      <w:tabs>
        <w:tab w:val="left" w:pos="227"/>
        <w:tab w:val="left" w:pos="454"/>
        <w:tab w:val="left" w:pos="680"/>
      </w:tabs>
      <w:autoSpaceDE w:val="0"/>
      <w:adjustRightInd w:val="0"/>
      <w:textAlignment w:val="auto"/>
    </w:pPr>
    <w:rPr>
      <w:rFonts w:eastAsia="Times New Roman" w:cs="Times New Roman"/>
      <w:color w:val="auto"/>
    </w:rPr>
  </w:style>
  <w:style w:type="paragraph" w:customStyle="1" w:styleId="pf0">
    <w:name w:val="pf0"/>
    <w:basedOn w:val="Standaard"/>
    <w:rsid w:val="002D549E"/>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2D549E"/>
    <w:rPr>
      <w:rFonts w:ascii="Segoe UI" w:hAnsi="Segoe UI" w:cs="Segoe UI" w:hint="default"/>
      <w:color w:val="2E74B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98813">
      <w:bodyDiv w:val="1"/>
      <w:marLeft w:val="0"/>
      <w:marRight w:val="0"/>
      <w:marTop w:val="0"/>
      <w:marBottom w:val="0"/>
      <w:divBdr>
        <w:top w:val="none" w:sz="0" w:space="0" w:color="auto"/>
        <w:left w:val="none" w:sz="0" w:space="0" w:color="auto"/>
        <w:bottom w:val="none" w:sz="0" w:space="0" w:color="auto"/>
        <w:right w:val="none" w:sz="0" w:space="0" w:color="auto"/>
      </w:divBdr>
    </w:div>
    <w:div w:id="437457333">
      <w:bodyDiv w:val="1"/>
      <w:marLeft w:val="0"/>
      <w:marRight w:val="0"/>
      <w:marTop w:val="0"/>
      <w:marBottom w:val="0"/>
      <w:divBdr>
        <w:top w:val="none" w:sz="0" w:space="0" w:color="auto"/>
        <w:left w:val="none" w:sz="0" w:space="0" w:color="auto"/>
        <w:bottom w:val="none" w:sz="0" w:space="0" w:color="auto"/>
        <w:right w:val="none" w:sz="0" w:space="0" w:color="auto"/>
      </w:divBdr>
    </w:div>
    <w:div w:id="575625133">
      <w:bodyDiv w:val="1"/>
      <w:marLeft w:val="0"/>
      <w:marRight w:val="0"/>
      <w:marTop w:val="0"/>
      <w:marBottom w:val="0"/>
      <w:divBdr>
        <w:top w:val="none" w:sz="0" w:space="0" w:color="auto"/>
        <w:left w:val="none" w:sz="0" w:space="0" w:color="auto"/>
        <w:bottom w:val="none" w:sz="0" w:space="0" w:color="auto"/>
        <w:right w:val="none" w:sz="0" w:space="0" w:color="auto"/>
      </w:divBdr>
    </w:div>
    <w:div w:id="1992100201">
      <w:bodyDiv w:val="1"/>
      <w:marLeft w:val="0"/>
      <w:marRight w:val="0"/>
      <w:marTop w:val="0"/>
      <w:marBottom w:val="0"/>
      <w:divBdr>
        <w:top w:val="none" w:sz="0" w:space="0" w:color="auto"/>
        <w:left w:val="none" w:sz="0" w:space="0" w:color="auto"/>
        <w:bottom w:val="none" w:sz="0" w:space="0" w:color="auto"/>
        <w:right w:val="none" w:sz="0" w:space="0" w:color="auto"/>
      </w:divBdr>
    </w:div>
    <w:div w:id="200023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1132</ap:Words>
  <ap:Characters>6226</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Brief - Monitor nazorg ex-gedetineerden - 7e meting</vt:lpstr>
    </vt:vector>
  </ap:TitlesOfParts>
  <ap:LinksUpToDate>false</ap:LinksUpToDate>
  <ap:CharactersWithSpaces>7344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2024-09-12T08:55:00.0000000Z</dcterms:created>
  <dcterms:modified xsi:type="dcterms:W3CDTF">2024-09-12T08:55:00.0000000Z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Monitor nazorg ex-gedetineerden - 7e meting </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juni 2024</vt:lpwstr>
  </property>
  <property fmtid="{D5CDD505-2E9C-101B-9397-08002B2CF9AE}" pid="13" name="Opgesteld door, Naam">
    <vt:lpwstr>M.M. Veelders</vt:lpwstr>
  </property>
  <property fmtid="{D5CDD505-2E9C-101B-9397-08002B2CF9AE}" pid="14" name="Opgesteld door, Telefoonnummer">
    <vt:lpwstr/>
  </property>
  <property fmtid="{D5CDD505-2E9C-101B-9397-08002B2CF9AE}" pid="15" name="Kenmerk">
    <vt:lpwstr>5575849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