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549A" w:rsidP="00F633FA" w:rsidRDefault="00765A10" w14:paraId="20E07D78" w14:textId="77777777">
      <w:pPr>
        <w:spacing w:line="276" w:lineRule="auto"/>
      </w:pPr>
      <w:r>
        <w:t>Geachte voorzitter,</w:t>
      </w:r>
    </w:p>
    <w:p w:rsidR="00B4549A" w:rsidP="00F633FA" w:rsidRDefault="00B4549A" w14:paraId="20E07D79" w14:textId="77777777">
      <w:pPr>
        <w:spacing w:line="276" w:lineRule="auto"/>
      </w:pPr>
    </w:p>
    <w:p w:rsidR="00B4549A" w:rsidP="00F633FA" w:rsidRDefault="00EA2E20" w14:paraId="20E07D7A" w14:textId="1DF4622C">
      <w:pPr>
        <w:spacing w:line="276" w:lineRule="auto"/>
      </w:pPr>
      <w:r>
        <w:t xml:space="preserve">Op 19 juli 2024 heeft het Internationaal Gerechtshof </w:t>
      </w:r>
      <w:r w:rsidR="00E15D7C">
        <w:t xml:space="preserve">(IGH, het Hof) </w:t>
      </w:r>
      <w:r>
        <w:t xml:space="preserve">een advies uitgebracht aan de Algemene Vergadering van de Verenigde Naties (AVVN) inzake </w:t>
      </w:r>
      <w:r w:rsidR="00647898">
        <w:t xml:space="preserve">het optreden </w:t>
      </w:r>
      <w:r>
        <w:t xml:space="preserve">van Israël in de bezette Palestijnse </w:t>
      </w:r>
      <w:r w:rsidR="00E904B6">
        <w:t>G</w:t>
      </w:r>
      <w:r>
        <w:t>ebieden. Uw Kamer heeft verzocht</w:t>
      </w:r>
      <w:r w:rsidR="00AE30EC">
        <w:t xml:space="preserve"> om een </w:t>
      </w:r>
      <w:r w:rsidR="004600C4">
        <w:t>kamerbrief</w:t>
      </w:r>
      <w:r w:rsidR="00AE30EC">
        <w:t xml:space="preserve"> “</w:t>
      </w:r>
      <w:r w:rsidRPr="00AE30EC" w:rsidR="00AE30EC">
        <w:t>waarin het kabinet aangeeft hoe zij de uitspraak interpreteert en welke consequenties de uitspraak heeft voor het kabinetsbeleid ten aanzien van Israël en de Palestijnse Gebieden, inclusief het ontmoedigingsbeleid</w:t>
      </w:r>
      <w:r w:rsidR="00AE30EC">
        <w:t>”.</w:t>
      </w:r>
      <w:r w:rsidRPr="00292746" w:rsidR="00292746">
        <w:t xml:space="preserve"> </w:t>
      </w:r>
    </w:p>
    <w:p w:rsidRPr="00765A10" w:rsidR="00765A10" w:rsidP="00F633FA" w:rsidRDefault="00765A10" w14:paraId="3AE7AF9F" w14:textId="1520898C">
      <w:pPr>
        <w:spacing w:line="276" w:lineRule="auto"/>
      </w:pPr>
    </w:p>
    <w:p w:rsidR="004C2CC5" w:rsidP="00F633FA" w:rsidRDefault="003924B2" w14:paraId="0E0F2FDE" w14:textId="40095BE8">
      <w:pPr>
        <w:spacing w:line="276" w:lineRule="auto"/>
      </w:pPr>
      <w:r w:rsidRPr="003924B2">
        <w:t xml:space="preserve">Adviezen van het </w:t>
      </w:r>
      <w:r>
        <w:t>IGH</w:t>
      </w:r>
      <w:r w:rsidRPr="003924B2">
        <w:t xml:space="preserve"> zijn niet juridisch bindend, maar wel gezaghebbend omdat het voornaamste gerechtelijke orgaan van de </w:t>
      </w:r>
      <w:r>
        <w:t>V</w:t>
      </w:r>
      <w:r w:rsidR="00F505F3">
        <w:t>erenigde Naties (VN)</w:t>
      </w:r>
      <w:r w:rsidRPr="003924B2">
        <w:t xml:space="preserve"> daarin een uiteenzetting geeft van het </w:t>
      </w:r>
      <w:r w:rsidR="00A858B1">
        <w:t>geldend</w:t>
      </w:r>
      <w:r w:rsidRPr="003924B2">
        <w:t xml:space="preserve"> internationaal recht.</w:t>
      </w:r>
      <w:r w:rsidR="004C2CC5">
        <w:t xml:space="preserve"> In het advies van 19 juli </w:t>
      </w:r>
      <w:r w:rsidR="008450CC">
        <w:t xml:space="preserve">jl. </w:t>
      </w:r>
      <w:r w:rsidR="004C2CC5">
        <w:t xml:space="preserve">past het IGH het toepasselijk recht ook toe op de feiten </w:t>
      </w:r>
      <w:r w:rsidR="00B77398">
        <w:t>die,</w:t>
      </w:r>
      <w:r w:rsidR="000000BB">
        <w:t xml:space="preserve"> onder andere</w:t>
      </w:r>
      <w:r w:rsidR="00B77398">
        <w:t xml:space="preserve"> op basis van het werk van verschillende VN</w:t>
      </w:r>
      <w:r w:rsidR="008450CC">
        <w:t>-</w:t>
      </w:r>
      <w:r w:rsidR="00B77398">
        <w:t xml:space="preserve">organen en speciale rapporteurs, </w:t>
      </w:r>
      <w:r w:rsidR="004C2CC5">
        <w:t xml:space="preserve">bekend </w:t>
      </w:r>
      <w:r w:rsidR="00B77398">
        <w:t xml:space="preserve">zijn </w:t>
      </w:r>
      <w:r w:rsidR="004C2CC5">
        <w:t>bij het Hof</w:t>
      </w:r>
      <w:r w:rsidR="00F505F3">
        <w:t>.</w:t>
      </w:r>
    </w:p>
    <w:p w:rsidR="003924B2" w:rsidP="00F633FA" w:rsidRDefault="003924B2" w14:paraId="76A3FEE0" w14:textId="77777777">
      <w:pPr>
        <w:spacing w:line="276" w:lineRule="auto"/>
      </w:pPr>
    </w:p>
    <w:p w:rsidR="009556FC" w:rsidP="00F633FA" w:rsidRDefault="009556FC" w14:paraId="747F3ED6" w14:textId="0467A2DA">
      <w:pPr>
        <w:spacing w:line="276" w:lineRule="auto"/>
      </w:pPr>
      <w:r>
        <w:t xml:space="preserve">Het IGH stelt in het advies dat </w:t>
      </w:r>
      <w:r w:rsidR="000C35FB">
        <w:t>Israël</w:t>
      </w:r>
      <w:r w:rsidR="00647898">
        <w:t xml:space="preserve"> door zijn optreden</w:t>
      </w:r>
      <w:r w:rsidR="00D1149E">
        <w:t xml:space="preserve"> in de bezette Palestijnse </w:t>
      </w:r>
      <w:r w:rsidR="00DD2213">
        <w:t>G</w:t>
      </w:r>
      <w:r w:rsidR="00D1149E">
        <w:t xml:space="preserve">ebieden </w:t>
      </w:r>
      <w:r>
        <w:t xml:space="preserve">verschillende </w:t>
      </w:r>
      <w:r w:rsidR="000248AC">
        <w:t>regels</w:t>
      </w:r>
      <w:r w:rsidR="005C7736">
        <w:t xml:space="preserve"> van het </w:t>
      </w:r>
      <w:r>
        <w:t xml:space="preserve">internationaal recht </w:t>
      </w:r>
      <w:r w:rsidR="005C7736">
        <w:t>schend</w:t>
      </w:r>
      <w:r>
        <w:t>t:</w:t>
      </w:r>
    </w:p>
    <w:p w:rsidR="00243A15" w:rsidP="00F633FA" w:rsidRDefault="00243A15" w14:paraId="5F347DC6" w14:textId="77777777">
      <w:pPr>
        <w:spacing w:line="276" w:lineRule="auto"/>
      </w:pPr>
    </w:p>
    <w:p w:rsidR="009556FC" w:rsidP="00F633FA" w:rsidRDefault="009556FC" w14:paraId="5190E107" w14:textId="7490ADDA">
      <w:pPr>
        <w:pStyle w:val="ListParagraph"/>
        <w:numPr>
          <w:ilvl w:val="0"/>
          <w:numId w:val="7"/>
        </w:numPr>
        <w:spacing w:line="276" w:lineRule="auto"/>
      </w:pPr>
      <w:r>
        <w:t>Het verbod op gebruik van geweld</w:t>
      </w:r>
      <w:r w:rsidR="005274C4">
        <w:t xml:space="preserve"> door staten</w:t>
      </w:r>
      <w:r w:rsidR="00605097">
        <w:t>, doordat sprake is van annexatie</w:t>
      </w:r>
      <w:r w:rsidR="00EA2E20">
        <w:t xml:space="preserve"> van bezet Palestijns gebied</w:t>
      </w:r>
      <w:r w:rsidR="006062BA">
        <w:t>;</w:t>
      </w:r>
    </w:p>
    <w:p w:rsidR="009556FC" w:rsidP="00F633FA" w:rsidRDefault="009556FC" w14:paraId="3E15B0A5" w14:textId="3C252860">
      <w:pPr>
        <w:pStyle w:val="ListParagraph"/>
        <w:numPr>
          <w:ilvl w:val="0"/>
          <w:numId w:val="7"/>
        </w:numPr>
        <w:spacing w:line="276" w:lineRule="auto"/>
      </w:pPr>
      <w:r>
        <w:t>H</w:t>
      </w:r>
      <w:r w:rsidR="005C7736">
        <w:t>et h</w:t>
      </w:r>
      <w:r>
        <w:t>umanitair oorlogsrecht</w:t>
      </w:r>
      <w:r w:rsidR="005C7736">
        <w:t>, inclusief het bezettingsrecht</w:t>
      </w:r>
      <w:r w:rsidR="00605097">
        <w:t>;</w:t>
      </w:r>
    </w:p>
    <w:p w:rsidR="009556FC" w:rsidP="00F633FA" w:rsidRDefault="009556FC" w14:paraId="61268162" w14:textId="4E0657FF">
      <w:pPr>
        <w:pStyle w:val="ListParagraph"/>
        <w:numPr>
          <w:ilvl w:val="0"/>
          <w:numId w:val="7"/>
        </w:numPr>
        <w:spacing w:line="276" w:lineRule="auto"/>
      </w:pPr>
      <w:r>
        <w:t xml:space="preserve">Mensenrechten, </w:t>
      </w:r>
      <w:r w:rsidR="00215437">
        <w:t xml:space="preserve">waaronder het verbod op discriminatie en </w:t>
      </w:r>
      <w:r>
        <w:t xml:space="preserve">het zelfbeschikkingsrecht. </w:t>
      </w:r>
    </w:p>
    <w:p w:rsidR="009556FC" w:rsidP="00F633FA" w:rsidRDefault="009556FC" w14:paraId="1D3E6578" w14:textId="77777777">
      <w:pPr>
        <w:spacing w:line="276" w:lineRule="auto"/>
      </w:pPr>
    </w:p>
    <w:p w:rsidR="009556FC" w:rsidP="00F633FA" w:rsidRDefault="009556FC" w14:paraId="7DC77067" w14:textId="66577FDB">
      <w:pPr>
        <w:spacing w:line="276" w:lineRule="auto"/>
      </w:pPr>
      <w:r>
        <w:t>V</w:t>
      </w:r>
      <w:r w:rsidR="00C5038C">
        <w:t xml:space="preserve">olgens het Hof leiden de schending van het verbod op annexatie en het feit dat de Palestijnse bevolking het recht op zelfbeschikking niet kan uitoefenen ertoe dat de </w:t>
      </w:r>
      <w:r>
        <w:t xml:space="preserve">voortdurende aanwezigheid van </w:t>
      </w:r>
      <w:r w:rsidR="000C35FB">
        <w:t>Israël</w:t>
      </w:r>
      <w:r>
        <w:t xml:space="preserve"> in de </w:t>
      </w:r>
      <w:r w:rsidR="00C5038C">
        <w:t xml:space="preserve">bezette </w:t>
      </w:r>
      <w:r>
        <w:t xml:space="preserve">Palestijnse </w:t>
      </w:r>
      <w:r w:rsidR="00F17BE6">
        <w:t>G</w:t>
      </w:r>
      <w:r>
        <w:t>ebieden</w:t>
      </w:r>
      <w:r w:rsidR="00C5038C">
        <w:t xml:space="preserve">, en daarmee ook de </w:t>
      </w:r>
      <w:r w:rsidR="00963833">
        <w:t>voortdurende</w:t>
      </w:r>
      <w:r w:rsidR="000248AC">
        <w:t xml:space="preserve"> </w:t>
      </w:r>
      <w:r w:rsidR="00C5038C">
        <w:t>bezetting daarvan,</w:t>
      </w:r>
      <w:r>
        <w:t xml:space="preserve"> onrechtmatig</w:t>
      </w:r>
      <w:r w:rsidR="00C5038C">
        <w:t xml:space="preserve"> is</w:t>
      </w:r>
      <w:r>
        <w:t xml:space="preserve">. </w:t>
      </w:r>
    </w:p>
    <w:p w:rsidR="009556FC" w:rsidP="00F633FA" w:rsidRDefault="009556FC" w14:paraId="67300804" w14:textId="77777777">
      <w:pPr>
        <w:spacing w:line="276" w:lineRule="auto"/>
      </w:pPr>
    </w:p>
    <w:p w:rsidR="009556FC" w:rsidP="00F633FA" w:rsidRDefault="009556FC" w14:paraId="38B0712C" w14:textId="0C5D125C">
      <w:pPr>
        <w:spacing w:line="276" w:lineRule="auto"/>
      </w:pPr>
      <w:r>
        <w:t xml:space="preserve">Het IGH verbindt verschillende rechtsgevolgen aan de schendingen van </w:t>
      </w:r>
      <w:r w:rsidR="000C35FB">
        <w:t>Israël</w:t>
      </w:r>
      <w:r w:rsidR="00647898">
        <w:t>.</w:t>
      </w:r>
    </w:p>
    <w:p w:rsidR="009556FC" w:rsidP="00F633FA" w:rsidRDefault="000C35FB" w14:paraId="63F27827" w14:textId="3A826383">
      <w:pPr>
        <w:pStyle w:val="ListParagraph"/>
        <w:numPr>
          <w:ilvl w:val="0"/>
          <w:numId w:val="8"/>
        </w:numPr>
        <w:spacing w:line="276" w:lineRule="auto"/>
      </w:pPr>
      <w:r>
        <w:t>Israël</w:t>
      </w:r>
      <w:r w:rsidR="009556FC">
        <w:t xml:space="preserve"> moet zo snel mogelijk een einde maken aan zijn aanwezigheid in de </w:t>
      </w:r>
      <w:r w:rsidR="00EA2E20">
        <w:t xml:space="preserve">bezette </w:t>
      </w:r>
      <w:r w:rsidR="009556FC">
        <w:t>Palestijnse</w:t>
      </w:r>
      <w:r w:rsidR="00243A15">
        <w:t xml:space="preserve"> </w:t>
      </w:r>
      <w:r w:rsidR="00DF7DBD">
        <w:t>G</w:t>
      </w:r>
      <w:r w:rsidR="009556FC">
        <w:t xml:space="preserve">ebieden, </w:t>
      </w:r>
      <w:r w:rsidR="005C7736">
        <w:t xml:space="preserve">onmiddellijk stoppen met uitbreiding van de </w:t>
      </w:r>
      <w:r w:rsidR="005C7736">
        <w:lastRenderedPageBreak/>
        <w:t xml:space="preserve">nederzettingen </w:t>
      </w:r>
      <w:r w:rsidR="009556FC">
        <w:t xml:space="preserve">en alle kolonisten in de </w:t>
      </w:r>
      <w:r w:rsidR="00EA2E20">
        <w:t xml:space="preserve">bezette </w:t>
      </w:r>
      <w:r w:rsidR="009556FC">
        <w:t xml:space="preserve">Palestijnse </w:t>
      </w:r>
      <w:r w:rsidR="00DF7DBD">
        <w:t>G</w:t>
      </w:r>
      <w:r w:rsidR="009556FC">
        <w:t xml:space="preserve">ebieden evacueren. Daarnaast moet </w:t>
      </w:r>
      <w:r w:rsidR="00EA2E20">
        <w:t>Israël</w:t>
      </w:r>
      <w:r w:rsidR="009556FC">
        <w:t xml:space="preserve"> rechtsherstel bieden aan alle natuurlijke en juridische personen die schade hebben opgelopen als gevolg van het onrechtmatig handelen door </w:t>
      </w:r>
      <w:r>
        <w:t>Israël</w:t>
      </w:r>
      <w:r w:rsidR="00647898">
        <w:t>.</w:t>
      </w:r>
    </w:p>
    <w:p w:rsidR="009556FC" w:rsidP="00F633FA" w:rsidRDefault="009556FC" w14:paraId="67F861D5" w14:textId="4845EC23">
      <w:pPr>
        <w:pStyle w:val="ListParagraph"/>
        <w:numPr>
          <w:ilvl w:val="0"/>
          <w:numId w:val="8"/>
        </w:numPr>
        <w:spacing w:line="276" w:lineRule="auto"/>
      </w:pPr>
      <w:bookmarkStart w:name="_Hlk174613342" w:id="0"/>
      <w:r>
        <w:t xml:space="preserve">Andere staten (waaronder </w:t>
      </w:r>
      <w:r w:rsidR="00EA2E20">
        <w:t>Nederland</w:t>
      </w:r>
      <w:r>
        <w:t xml:space="preserve">) hebben onder internationaal recht de verplichting om de situatie die is ontstaan door de onrechtmatige bezetting van </w:t>
      </w:r>
      <w:r w:rsidR="000C35FB">
        <w:t>Israël</w:t>
      </w:r>
      <w:r>
        <w:t xml:space="preserve"> van de Palestijnse </w:t>
      </w:r>
      <w:r w:rsidR="00DF7DBD">
        <w:t>G</w:t>
      </w:r>
      <w:r>
        <w:t>ebieden niet te erkennen en om geen hulp of assistentie te bieden die bijdraagt aan het handhaven van de onrechtmatige situatie</w:t>
      </w:r>
      <w:r w:rsidR="00647898">
        <w:t>.</w:t>
      </w:r>
      <w:r w:rsidR="00046729">
        <w:softHyphen/>
      </w:r>
      <w:r w:rsidR="00046729">
        <w:softHyphen/>
      </w:r>
      <w:r w:rsidR="00046729">
        <w:softHyphen/>
      </w:r>
      <w:r w:rsidR="005B6DBD">
        <w:t xml:space="preserve"> Ook </w:t>
      </w:r>
      <w:r w:rsidR="002D61CD">
        <w:t xml:space="preserve">zijn </w:t>
      </w:r>
      <w:r w:rsidR="005B6DBD">
        <w:t xml:space="preserve">alle staten op basis van het Vierde Verdrag van Genève </w:t>
      </w:r>
      <w:r w:rsidR="002D61CD">
        <w:t>verplicht te verzekeren dat Israël de regels van het humanitair oorlogsrecht zoals neergelegd in dat verdrag eerbiedigt.</w:t>
      </w:r>
    </w:p>
    <w:bookmarkEnd w:id="0"/>
    <w:p w:rsidRPr="008C4A76" w:rsidR="009556FC" w:rsidP="00F633FA" w:rsidRDefault="009D79F2" w14:paraId="3ECE1746" w14:textId="292919CD">
      <w:pPr>
        <w:pStyle w:val="ListParagraph"/>
        <w:numPr>
          <w:ilvl w:val="0"/>
          <w:numId w:val="8"/>
        </w:numPr>
        <w:spacing w:line="276" w:lineRule="auto"/>
      </w:pPr>
      <w:r>
        <w:t>Internationale organisaties</w:t>
      </w:r>
      <w:r w:rsidR="009556FC">
        <w:t xml:space="preserve"> hebben onder internationaal recht ook de verplichting om de situatie die is ontstaan door de onrechtmatige bezetting van </w:t>
      </w:r>
      <w:r w:rsidR="000C35FB">
        <w:t>Israël</w:t>
      </w:r>
      <w:r w:rsidR="009556FC">
        <w:t xml:space="preserve"> van de Palestijnse </w:t>
      </w:r>
      <w:r w:rsidR="00F17BE6">
        <w:t>G</w:t>
      </w:r>
      <w:r w:rsidR="009556FC">
        <w:t xml:space="preserve">ebieden niet te erkennen. </w:t>
      </w:r>
      <w:r w:rsidR="00243A15">
        <w:t xml:space="preserve">Dit geldt ook voor de VN Veiligheidsraad (VNVR). </w:t>
      </w:r>
      <w:r w:rsidR="009556FC">
        <w:t xml:space="preserve">Daarnaast draagt het IGH de AVVN </w:t>
      </w:r>
      <w:r>
        <w:t>en de VNVR</w:t>
      </w:r>
      <w:r w:rsidR="009556FC">
        <w:t xml:space="preserve"> op om na te gaan welke volgende stappen nodig zijn om snel een einde te </w:t>
      </w:r>
      <w:r w:rsidR="000D3145">
        <w:t xml:space="preserve">maken </w:t>
      </w:r>
      <w:r w:rsidR="009556FC">
        <w:t xml:space="preserve">aan de onrechtmatige bezetting door </w:t>
      </w:r>
      <w:r w:rsidR="000C35FB">
        <w:t>Israël</w:t>
      </w:r>
      <w:r w:rsidR="009556FC">
        <w:t xml:space="preserve">. </w:t>
      </w:r>
    </w:p>
    <w:p w:rsidR="009556FC" w:rsidP="00F633FA" w:rsidRDefault="009556FC" w14:paraId="035FABAE" w14:textId="77777777">
      <w:pPr>
        <w:spacing w:line="276" w:lineRule="auto"/>
      </w:pPr>
    </w:p>
    <w:p w:rsidR="00B206DB" w:rsidP="00F633FA" w:rsidRDefault="00DF4070" w14:paraId="67C51518" w14:textId="005E2AE2">
      <w:pPr>
        <w:spacing w:line="276" w:lineRule="auto"/>
      </w:pPr>
      <w:r>
        <w:t xml:space="preserve">Het Hof maakt </w:t>
      </w:r>
      <w:r w:rsidR="00B206DB">
        <w:t xml:space="preserve">een uitgebreide analyse van </w:t>
      </w:r>
      <w:r w:rsidR="00C119C3">
        <w:t xml:space="preserve">het </w:t>
      </w:r>
      <w:r w:rsidR="00B206DB">
        <w:t xml:space="preserve">Israëlisch </w:t>
      </w:r>
      <w:r w:rsidR="00C119C3">
        <w:t>optreden in de bezette Palestijnse Gebieden</w:t>
      </w:r>
      <w:r w:rsidR="0023359E">
        <w:t xml:space="preserve"> </w:t>
      </w:r>
      <w:r w:rsidR="00B206DB">
        <w:t xml:space="preserve">en </w:t>
      </w:r>
      <w:r w:rsidR="00F20FF2">
        <w:t>de schendingen van</w:t>
      </w:r>
      <w:r w:rsidR="00B206DB">
        <w:t xml:space="preserve"> het internationaal recht </w:t>
      </w:r>
      <w:r w:rsidR="00F20FF2">
        <w:t xml:space="preserve">als gevolg </w:t>
      </w:r>
      <w:r w:rsidR="001E4460">
        <w:t>daar</w:t>
      </w:r>
      <w:r w:rsidR="00F20FF2">
        <w:t>van</w:t>
      </w:r>
      <w:r w:rsidR="0023359E">
        <w:t xml:space="preserve">. </w:t>
      </w:r>
      <w:bookmarkStart w:name="_Hlk174613644" w:id="1"/>
      <w:r>
        <w:t>Vervolgens</w:t>
      </w:r>
      <w:r w:rsidR="00951034">
        <w:t xml:space="preserve"> concludeert het Hof dat de bezetting van de Palestijnse Gebieden door </w:t>
      </w:r>
      <w:r w:rsidR="002952D6">
        <w:t>Israël</w:t>
      </w:r>
      <w:r w:rsidR="00951034">
        <w:t xml:space="preserve"> onrechtmatig is, omdat </w:t>
      </w:r>
      <w:r w:rsidR="002952D6">
        <w:t>Israël</w:t>
      </w:r>
      <w:r w:rsidR="00951034">
        <w:t xml:space="preserve"> hiermee het verbod op annexatie schendt en </w:t>
      </w:r>
      <w:r w:rsidR="008142A2">
        <w:t xml:space="preserve">de uitoefening van </w:t>
      </w:r>
      <w:r w:rsidR="00951034">
        <w:t xml:space="preserve">het recht op zelfbeschikking </w:t>
      </w:r>
      <w:r w:rsidR="008142A2">
        <w:t xml:space="preserve">door </w:t>
      </w:r>
      <w:r w:rsidR="00951034">
        <w:t xml:space="preserve">het Palestijnse volk </w:t>
      </w:r>
      <w:r w:rsidR="008142A2">
        <w:t>frustreert</w:t>
      </w:r>
      <w:r w:rsidR="00951034">
        <w:t>.</w:t>
      </w:r>
      <w:r>
        <w:t xml:space="preserve"> </w:t>
      </w:r>
    </w:p>
    <w:bookmarkEnd w:id="1"/>
    <w:p w:rsidR="005654AB" w:rsidP="00F633FA" w:rsidRDefault="005654AB" w14:paraId="40E18091" w14:textId="77777777">
      <w:pPr>
        <w:spacing w:line="276" w:lineRule="auto"/>
      </w:pPr>
    </w:p>
    <w:p w:rsidR="004D1E0C" w:rsidP="00F633FA" w:rsidRDefault="004D1E0C" w14:paraId="74A128A3" w14:textId="42FAEC8D">
      <w:pPr>
        <w:spacing w:line="276" w:lineRule="auto"/>
      </w:pPr>
      <w:r>
        <w:t>Het advies bevestigt voorts de voortdurende toepasselijkheid van de Israëlische verplichtingen op basis van het bezettingsrecht in Gaza</w:t>
      </w:r>
      <w:r w:rsidR="000A5032">
        <w:t>,</w:t>
      </w:r>
      <w:r>
        <w:t xml:space="preserve"> ook na </w:t>
      </w:r>
      <w:r w:rsidR="005A7B65">
        <w:t xml:space="preserve">het terugtrekken van de Israëlische krijgsmacht uit Gaza in </w:t>
      </w:r>
      <w:r>
        <w:t>200</w:t>
      </w:r>
      <w:r w:rsidR="003A208C">
        <w:t>5</w:t>
      </w:r>
      <w:r w:rsidR="00D70656">
        <w:t>.</w:t>
      </w:r>
    </w:p>
    <w:p w:rsidR="005654AB" w:rsidP="00F633FA" w:rsidRDefault="005654AB" w14:paraId="4BF3B913" w14:textId="77777777">
      <w:pPr>
        <w:spacing w:line="276" w:lineRule="auto"/>
      </w:pPr>
    </w:p>
    <w:p w:rsidR="0000768B" w:rsidP="00F633FA" w:rsidRDefault="004D1E0C" w14:paraId="40AE1A28" w14:textId="61203139">
      <w:pPr>
        <w:spacing w:line="276" w:lineRule="auto"/>
      </w:pPr>
      <w:r>
        <w:t xml:space="preserve">Het Hof stelt in het advies </w:t>
      </w:r>
      <w:r w:rsidR="001E4460">
        <w:t xml:space="preserve">verder </w:t>
      </w:r>
      <w:r>
        <w:t>vast dat het Israëlisch</w:t>
      </w:r>
      <w:r w:rsidR="008142A2">
        <w:t>e</w:t>
      </w:r>
      <w:r>
        <w:t xml:space="preserve"> </w:t>
      </w:r>
      <w:r w:rsidR="00C119C3">
        <w:t>optreden</w:t>
      </w:r>
      <w:r w:rsidR="00FC7359">
        <w:t xml:space="preserve"> </w:t>
      </w:r>
      <w:r>
        <w:t xml:space="preserve">in de bezette Palestijnse </w:t>
      </w:r>
      <w:r w:rsidR="00FC7359">
        <w:t>G</w:t>
      </w:r>
      <w:r>
        <w:t>ebieden een schending oplever</w:t>
      </w:r>
      <w:r w:rsidR="00C05337">
        <w:t>t</w:t>
      </w:r>
      <w:r>
        <w:t xml:space="preserve"> van artikel 3 van het </w:t>
      </w:r>
      <w:r w:rsidR="00351BAA">
        <w:t xml:space="preserve">Internationaal </w:t>
      </w:r>
      <w:r w:rsidR="00AF1075">
        <w:t>V</w:t>
      </w:r>
      <w:r w:rsidR="00351BAA">
        <w:t xml:space="preserve">erdrag inzake de uitbanning van alle vormen van rassendiscriminatie </w:t>
      </w:r>
      <w:r>
        <w:t xml:space="preserve">(het CERD). </w:t>
      </w:r>
      <w:r w:rsidR="005654AB">
        <w:t>Dit artikel bepaal</w:t>
      </w:r>
      <w:r w:rsidR="007F2DAC">
        <w:t>t</w:t>
      </w:r>
      <w:r w:rsidR="005654AB">
        <w:t xml:space="preserve"> dat staten die hierbij partij zijn </w:t>
      </w:r>
      <w:r w:rsidRPr="005654AB" w:rsidR="005654AB">
        <w:t xml:space="preserve">in het bijzonder rassenscheiding en apartheid </w:t>
      </w:r>
      <w:r w:rsidR="005654AB">
        <w:t>veroordelen</w:t>
      </w:r>
      <w:r w:rsidR="00C119C3">
        <w:t>,</w:t>
      </w:r>
      <w:r w:rsidR="005654AB">
        <w:t xml:space="preserve"> </w:t>
      </w:r>
      <w:r w:rsidRPr="005654AB" w:rsidR="005654AB">
        <w:t xml:space="preserve">en </w:t>
      </w:r>
      <w:r w:rsidR="00C119C3">
        <w:t>verplicht zijn op hun</w:t>
      </w:r>
      <w:r w:rsidRPr="005654AB" w:rsidR="005654AB">
        <w:t xml:space="preserve"> grondgebied alle uitingen van dien aard te voorkomen, te verbieden en uit te bannen.</w:t>
      </w:r>
      <w:r w:rsidR="005654AB">
        <w:t xml:space="preserve"> </w:t>
      </w:r>
      <w:r w:rsidR="0051297B">
        <w:t xml:space="preserve">In </w:t>
      </w:r>
      <w:r w:rsidR="00401628">
        <w:t xml:space="preserve">een </w:t>
      </w:r>
      <w:r w:rsidR="0051297B">
        <w:t xml:space="preserve">eerdere </w:t>
      </w:r>
      <w:r w:rsidR="00401628">
        <w:t>brief aan</w:t>
      </w:r>
      <w:r w:rsidR="00FB11D5">
        <w:t xml:space="preserve"> uw </w:t>
      </w:r>
      <w:r w:rsidR="002F28EA">
        <w:t>K</w:t>
      </w:r>
      <w:r w:rsidR="00FB11D5">
        <w:t xml:space="preserve">amer </w:t>
      </w:r>
      <w:r w:rsidR="007F2DAC">
        <w:t>over dit onderwerp</w:t>
      </w:r>
      <w:r w:rsidR="00EC661C">
        <w:rPr>
          <w:rStyle w:val="FootnoteReference"/>
        </w:rPr>
        <w:footnoteReference w:id="2"/>
      </w:r>
      <w:r w:rsidR="007F2DAC">
        <w:t xml:space="preserve"> </w:t>
      </w:r>
      <w:r w:rsidR="00FB11D5">
        <w:t>heeft het kabinet zich op het standpunt gesteld dat a</w:t>
      </w:r>
      <w:r w:rsidRPr="0051297B" w:rsidR="0051297B">
        <w:t xml:space="preserve">partheid een specifieke juridische term </w:t>
      </w:r>
      <w:r w:rsidR="00FB11D5">
        <w:t xml:space="preserve">is, waarbij het aan </w:t>
      </w:r>
      <w:r w:rsidRPr="0051297B" w:rsidR="0051297B">
        <w:t xml:space="preserve">de rechter </w:t>
      </w:r>
      <w:r w:rsidR="00FB11D5">
        <w:t xml:space="preserve">is </w:t>
      </w:r>
      <w:r w:rsidRPr="0051297B" w:rsidR="0051297B">
        <w:t xml:space="preserve">om te oordelen of </w:t>
      </w:r>
      <w:r w:rsidR="00FB11D5">
        <w:t xml:space="preserve">daar </w:t>
      </w:r>
      <w:r w:rsidRPr="0051297B" w:rsidR="0051297B">
        <w:t xml:space="preserve">sprake van is. </w:t>
      </w:r>
      <w:r w:rsidR="00FB11D5">
        <w:t xml:space="preserve">Het Hof is er duidelijk over in het advies dat Israël artikel 3 van het CERD schendt, maar geeft daarbij geen duidelijk uitsluitsel over de vraag of hierbij alleen sprake is van rassenscheiding of ook van apartheid in de bezette Palestijnse </w:t>
      </w:r>
      <w:r w:rsidR="002F28EA">
        <w:t>G</w:t>
      </w:r>
      <w:r w:rsidR="00FB11D5">
        <w:t>ebieden</w:t>
      </w:r>
      <w:r w:rsidRPr="0051297B" w:rsidR="0051297B">
        <w:t>.</w:t>
      </w:r>
    </w:p>
    <w:p w:rsidR="00363216" w:rsidP="00F633FA" w:rsidRDefault="00363216" w14:paraId="29D88562" w14:textId="77777777">
      <w:pPr>
        <w:spacing w:line="276" w:lineRule="auto"/>
      </w:pPr>
    </w:p>
    <w:p w:rsidRPr="00F468A5" w:rsidR="009E680B" w:rsidP="00F633FA" w:rsidRDefault="009E680B" w14:paraId="17850F63" w14:textId="05C5383F">
      <w:pPr>
        <w:spacing w:line="276" w:lineRule="auto"/>
      </w:pPr>
      <w:r w:rsidRPr="009E680B">
        <w:t xml:space="preserve">Het </w:t>
      </w:r>
      <w:r>
        <w:t>Hof</w:t>
      </w:r>
      <w:r w:rsidRPr="009E680B">
        <w:t xml:space="preserve"> gaat ook in op de Oslo-akkoorden (Oslo I-akkoord en Oslo II-akkoord). Het Hof erkent dat Israël en de Palestinian Liberation Organization (PLO) door middel van de Oslo-akkoorden afspraken hebben gemaakt over hun bevoegdheden en verantwoordelijkheden ten aanzien van de door Israël bezette gebieden. Israël heeft op basis van de Oslo-akkoorden zeggenschap over een </w:t>
      </w:r>
      <w:r w:rsidRPr="009E680B">
        <w:lastRenderedPageBreak/>
        <w:t>groot deel van de bezette gebieden totdat Israël en de PLO tot andere afspraken en uiteindelijk een tweestaten-oplossing komen. Daarbij is inachtneming van de internationaal aanvaarde normen en beginselen op het gebied van de mensenrechten en de rechtsstaat van belang. De resoluties van de VNVR (e.g. Res</w:t>
      </w:r>
      <w:r w:rsidR="00773F48">
        <w:t>oluties</w:t>
      </w:r>
      <w:r w:rsidRPr="009E680B">
        <w:t xml:space="preserve"> 1515, 2735, 2334, 77/126) respecteren de Oslo-akkoorden en de daarmee gepaarde tweestaten-oplossing. Het Hof geeft aan dat de legitieme rechten van het Palestijnse volk die zijn erkend in de Oslo-akkoorden het recht op zelfbeschikking omvat. Verder geeft het Hof aan dat de Oslo-akkoorden partijen verb</w:t>
      </w:r>
      <w:r w:rsidR="00A02903">
        <w:t>ie</w:t>
      </w:r>
      <w:r w:rsidRPr="009E680B">
        <w:t>den om “enige stap te initiëren of te nemen die de status van de Westelijke Jordaanoever en de Gazastrook zou veranderen, in afwachting van de uitkomst van de onderhandelingen over de permanente status” (Oslo II-akkoord, Art. XXXI (7)). Het Hof merkt ook op dat het bij de interpretatie van de Oslo-akkoorden rekening moet worden gehouden met artikel 47 van het Vierde Verdrag van Genève, dat bepaalt dat de beschermde bevolking de voordelen van het Verdrag niet mag worden ontnomen door een overeenkomst tussen de autoriteiten van de bezette gebieden en de bezettende macht. Samenvattend</w:t>
      </w:r>
      <w:r w:rsidR="00DA03FB">
        <w:t xml:space="preserve"> concludeert</w:t>
      </w:r>
      <w:r w:rsidRPr="009E680B">
        <w:t xml:space="preserve"> het IGH dat de Oslo-</w:t>
      </w:r>
      <w:r w:rsidR="006B0A3E">
        <w:t>a</w:t>
      </w:r>
      <w:r w:rsidRPr="009E680B">
        <w:t>kkoorden I</w:t>
      </w:r>
      <w:r w:rsidR="000C5DAE">
        <w:t>sra</w:t>
      </w:r>
      <w:r w:rsidRPr="000C5DAE" w:rsidR="000C5DAE">
        <w:t>ë</w:t>
      </w:r>
      <w:r w:rsidR="000C5DAE">
        <w:t>l</w:t>
      </w:r>
      <w:r w:rsidRPr="009E680B">
        <w:t xml:space="preserve"> niet ontslaan van de verplichtingen onder het bezettingsrecht. Voorbeelden van door het IGH vastgestelde schendingen van het bezettingsrecht zijn de</w:t>
      </w:r>
      <w:r w:rsidRPr="009E680B">
        <w:rPr>
          <w:rFonts w:eastAsia="Times New Roman"/>
        </w:rPr>
        <w:t xml:space="preserve"> gedwongen verplaatsing van personen, het verplaatsen van de eigen bevolking naar bezet gebied en de vernietiging van eigendom.</w:t>
      </w:r>
    </w:p>
    <w:p w:rsidR="00363216" w:rsidP="00F633FA" w:rsidRDefault="00363216" w14:paraId="18BD6033" w14:textId="77777777">
      <w:pPr>
        <w:autoSpaceDN/>
        <w:spacing w:line="276" w:lineRule="auto"/>
        <w:textAlignment w:val="auto"/>
        <w:rPr>
          <w:rFonts w:eastAsia="Times New Roman"/>
        </w:rPr>
      </w:pPr>
    </w:p>
    <w:p w:rsidR="00C15576" w:rsidP="00F633FA" w:rsidRDefault="00B206DB" w14:paraId="42E52374" w14:textId="14D05E46">
      <w:pPr>
        <w:autoSpaceDN/>
        <w:spacing w:line="276" w:lineRule="auto"/>
        <w:textAlignment w:val="auto"/>
        <w:rPr>
          <w:rFonts w:eastAsia="Times New Roman"/>
        </w:rPr>
      </w:pPr>
      <w:r w:rsidRPr="00C15576">
        <w:rPr>
          <w:rFonts w:eastAsia="Times New Roman"/>
        </w:rPr>
        <w:t xml:space="preserve">Al voor </w:t>
      </w:r>
      <w:r w:rsidR="006C2545">
        <w:rPr>
          <w:rFonts w:eastAsia="Times New Roman"/>
        </w:rPr>
        <w:t xml:space="preserve">het uitkomen </w:t>
      </w:r>
      <w:r w:rsidRPr="00C15576">
        <w:rPr>
          <w:rFonts w:eastAsia="Times New Roman"/>
        </w:rPr>
        <w:t xml:space="preserve">van het advies beschouwden Nederland en andere staten de </w:t>
      </w:r>
      <w:r w:rsidR="006C2545">
        <w:rPr>
          <w:rFonts w:eastAsia="Times New Roman"/>
        </w:rPr>
        <w:t xml:space="preserve">nederzettingen en de </w:t>
      </w:r>
      <w:r w:rsidR="00C119C3">
        <w:rPr>
          <w:rFonts w:eastAsia="Times New Roman"/>
        </w:rPr>
        <w:t xml:space="preserve">aanleg van een </w:t>
      </w:r>
      <w:r w:rsidR="006C2545">
        <w:rPr>
          <w:rFonts w:eastAsia="Times New Roman"/>
        </w:rPr>
        <w:t xml:space="preserve">muur </w:t>
      </w:r>
      <w:r w:rsidR="00C119C3">
        <w:rPr>
          <w:rFonts w:eastAsia="Times New Roman"/>
        </w:rPr>
        <w:t xml:space="preserve">in de bezette </w:t>
      </w:r>
      <w:r w:rsidR="00963093">
        <w:rPr>
          <w:rFonts w:eastAsia="Times New Roman"/>
        </w:rPr>
        <w:t>Palestijnse</w:t>
      </w:r>
      <w:r w:rsidR="00C119C3">
        <w:rPr>
          <w:rFonts w:eastAsia="Times New Roman"/>
        </w:rPr>
        <w:t xml:space="preserve"> Gebieden</w:t>
      </w:r>
      <w:r w:rsidR="00DC6C2E">
        <w:rPr>
          <w:rFonts w:eastAsia="Times New Roman"/>
        </w:rPr>
        <w:t xml:space="preserve"> </w:t>
      </w:r>
      <w:r w:rsidRPr="00C15576">
        <w:rPr>
          <w:rFonts w:eastAsia="Times New Roman"/>
        </w:rPr>
        <w:t>als onrechtmatig</w:t>
      </w:r>
      <w:r w:rsidR="00C119C3">
        <w:rPr>
          <w:rFonts w:eastAsia="Times New Roman"/>
        </w:rPr>
        <w:t>.</w:t>
      </w:r>
      <w:r w:rsidR="00D86D72">
        <w:rPr>
          <w:rFonts w:eastAsia="Times New Roman"/>
        </w:rPr>
        <w:t xml:space="preserve"> </w:t>
      </w:r>
      <w:r w:rsidR="001E4460">
        <w:rPr>
          <w:rFonts w:eastAsia="Times New Roman"/>
        </w:rPr>
        <w:t xml:space="preserve">De </w:t>
      </w:r>
      <w:r w:rsidR="00D86D72">
        <w:rPr>
          <w:rFonts w:eastAsia="Times New Roman"/>
        </w:rPr>
        <w:t xml:space="preserve">Israëlische soevereiniteit over de bezette </w:t>
      </w:r>
      <w:r w:rsidR="00963093">
        <w:rPr>
          <w:rFonts w:eastAsia="Times New Roman"/>
        </w:rPr>
        <w:t>Palestijnse</w:t>
      </w:r>
      <w:r w:rsidR="00C119C3">
        <w:rPr>
          <w:rFonts w:eastAsia="Times New Roman"/>
        </w:rPr>
        <w:t xml:space="preserve"> G</w:t>
      </w:r>
      <w:r w:rsidR="00D86D72">
        <w:rPr>
          <w:rFonts w:eastAsia="Times New Roman"/>
        </w:rPr>
        <w:t>ebieden</w:t>
      </w:r>
      <w:r w:rsidR="000F6B28">
        <w:rPr>
          <w:rFonts w:eastAsia="Times New Roman"/>
        </w:rPr>
        <w:t xml:space="preserve"> </w:t>
      </w:r>
      <w:r w:rsidR="00C119C3">
        <w:rPr>
          <w:rFonts w:eastAsia="Times New Roman"/>
        </w:rPr>
        <w:t>is nimmer</w:t>
      </w:r>
      <w:r w:rsidR="000F6B28">
        <w:rPr>
          <w:rFonts w:eastAsia="Times New Roman"/>
        </w:rPr>
        <w:t xml:space="preserve"> erkend</w:t>
      </w:r>
      <w:r w:rsidRPr="00C15576">
        <w:rPr>
          <w:rFonts w:eastAsia="Times New Roman"/>
        </w:rPr>
        <w:t xml:space="preserve">. Nederland spreekt zich hier consequent en nadrukkelijk over uit. </w:t>
      </w:r>
      <w:r w:rsidR="00C119C3">
        <w:rPr>
          <w:rFonts w:eastAsia="Times New Roman"/>
        </w:rPr>
        <w:t>Ter ondersteuning hiervan is ook een beleidskader ontwikkeld</w:t>
      </w:r>
      <w:r w:rsidR="00CD7DF2">
        <w:rPr>
          <w:rFonts w:eastAsia="Times New Roman"/>
        </w:rPr>
        <w:t xml:space="preserve"> </w:t>
      </w:r>
      <w:r w:rsidR="00D52F5E">
        <w:rPr>
          <w:rFonts w:eastAsia="Times New Roman"/>
        </w:rPr>
        <w:t>waarvan de volgende maatregelen onderdeel uitmaken</w:t>
      </w:r>
      <w:r w:rsidR="00CD7DF2">
        <w:rPr>
          <w:rFonts w:eastAsia="Times New Roman"/>
        </w:rPr>
        <w:t>.</w:t>
      </w:r>
      <w:r>
        <w:rPr>
          <w:rStyle w:val="FootnoteReference"/>
          <w:rFonts w:eastAsia="Times New Roman"/>
        </w:rPr>
        <w:footnoteReference w:id="3"/>
      </w:r>
    </w:p>
    <w:p w:rsidRPr="00C15576" w:rsidR="00C15576" w:rsidP="00F633FA" w:rsidRDefault="00C15576" w14:paraId="38B6A8D6" w14:textId="77777777">
      <w:pPr>
        <w:autoSpaceDN/>
        <w:spacing w:line="276" w:lineRule="auto"/>
        <w:textAlignment w:val="auto"/>
        <w:rPr>
          <w:rFonts w:eastAsia="Times New Roman"/>
        </w:rPr>
      </w:pPr>
    </w:p>
    <w:p w:rsidRPr="00C15576" w:rsidR="00566F9B" w:rsidP="00F633FA" w:rsidRDefault="00044D5A" w14:paraId="1BFD9606" w14:textId="39035584">
      <w:pPr>
        <w:pStyle w:val="ListParagraph"/>
        <w:numPr>
          <w:ilvl w:val="0"/>
          <w:numId w:val="12"/>
        </w:numPr>
        <w:autoSpaceDN/>
        <w:spacing w:line="276" w:lineRule="auto"/>
        <w:textAlignment w:val="auto"/>
        <w:rPr>
          <w:rFonts w:eastAsia="Times New Roman"/>
        </w:rPr>
      </w:pPr>
      <w:r w:rsidRPr="00C15576">
        <w:rPr>
          <w:rFonts w:eastAsia="Times New Roman"/>
        </w:rPr>
        <w:t xml:space="preserve">De Nederlandse overheid voert </w:t>
      </w:r>
      <w:r w:rsidRPr="007A326A" w:rsidR="007A326A">
        <w:rPr>
          <w:rFonts w:eastAsia="Times New Roman"/>
        </w:rPr>
        <w:t xml:space="preserve">sinds 2006 </w:t>
      </w:r>
      <w:r w:rsidRPr="00C15576">
        <w:rPr>
          <w:rFonts w:eastAsia="Times New Roman"/>
        </w:rPr>
        <w:t>een</w:t>
      </w:r>
      <w:r w:rsidRPr="00C15576" w:rsidR="00235420">
        <w:rPr>
          <w:rFonts w:eastAsia="Times New Roman"/>
        </w:rPr>
        <w:t xml:space="preserve"> ontmoedigingsbeleid ten aanzien van activiteiten </w:t>
      </w:r>
      <w:r w:rsidR="002336AD">
        <w:rPr>
          <w:rFonts w:eastAsia="Times New Roman"/>
        </w:rPr>
        <w:t>die</w:t>
      </w:r>
      <w:r w:rsidRPr="00C15576" w:rsidR="002336AD">
        <w:rPr>
          <w:rFonts w:eastAsia="Times New Roman"/>
        </w:rPr>
        <w:t xml:space="preserve"> </w:t>
      </w:r>
      <w:r w:rsidRPr="00C15576">
        <w:rPr>
          <w:rFonts w:eastAsia="Times New Roman"/>
        </w:rPr>
        <w:t xml:space="preserve">Nederlandse </w:t>
      </w:r>
      <w:r w:rsidRPr="00C15576" w:rsidR="00235420">
        <w:rPr>
          <w:rFonts w:eastAsia="Times New Roman"/>
        </w:rPr>
        <w:t xml:space="preserve">bedrijven </w:t>
      </w:r>
      <w:r w:rsidR="00693CB7">
        <w:rPr>
          <w:rFonts w:eastAsia="Times New Roman"/>
        </w:rPr>
        <w:t xml:space="preserve">ontplooien in of ten </w:t>
      </w:r>
      <w:r w:rsidR="00CD7DF2">
        <w:rPr>
          <w:rFonts w:eastAsia="Times New Roman"/>
        </w:rPr>
        <w:t xml:space="preserve"> </w:t>
      </w:r>
      <w:r w:rsidR="00693CB7">
        <w:rPr>
          <w:rFonts w:eastAsia="Times New Roman"/>
        </w:rPr>
        <w:t xml:space="preserve">behoeve van Israëlische nederzettingen in bezet gebied. </w:t>
      </w:r>
      <w:r w:rsidR="00EB4BDF">
        <w:rPr>
          <w:rFonts w:eastAsia="Times New Roman"/>
        </w:rPr>
        <w:t>Conform dit beleid verleent</w:t>
      </w:r>
      <w:r w:rsidRPr="00C15576">
        <w:rPr>
          <w:rFonts w:eastAsia="Times New Roman"/>
        </w:rPr>
        <w:t xml:space="preserve"> de Nederlandse overheid</w:t>
      </w:r>
      <w:r w:rsidR="0057418D">
        <w:rPr>
          <w:rFonts w:eastAsia="Times New Roman"/>
        </w:rPr>
        <w:t xml:space="preserve"> </w:t>
      </w:r>
      <w:r w:rsidRPr="00C15576">
        <w:rPr>
          <w:rFonts w:eastAsia="Times New Roman"/>
        </w:rPr>
        <w:t xml:space="preserve">geen diensten </w:t>
      </w:r>
      <w:r w:rsidR="00C21689">
        <w:rPr>
          <w:rFonts w:eastAsia="Times New Roman"/>
        </w:rPr>
        <w:t xml:space="preserve">aan Nederlandse bedrijven </w:t>
      </w:r>
      <w:r w:rsidR="00693CB7">
        <w:rPr>
          <w:rFonts w:eastAsia="Times New Roman"/>
        </w:rPr>
        <w:t>ten behoeve van activiteiten</w:t>
      </w:r>
      <w:r w:rsidRPr="002336AD" w:rsidR="002336AD">
        <w:t xml:space="preserve"> </w:t>
      </w:r>
      <w:r w:rsidRPr="002336AD" w:rsidR="002336AD">
        <w:rPr>
          <w:rFonts w:eastAsia="Times New Roman"/>
        </w:rPr>
        <w:t>die direct bijdragen aan de aanleg en instandhouding van nederzettingen, of deze direct faciliteren</w:t>
      </w:r>
      <w:r w:rsidR="00693CB7">
        <w:rPr>
          <w:rFonts w:eastAsia="Times New Roman"/>
        </w:rPr>
        <w:t>.</w:t>
      </w:r>
      <w:r w:rsidRPr="00B206DB" w:rsidR="00B206DB">
        <w:rPr>
          <w:rFonts w:eastAsia="Times New Roman"/>
        </w:rPr>
        <w:t xml:space="preserve"> </w:t>
      </w:r>
      <w:r w:rsidR="00B206DB">
        <w:rPr>
          <w:rFonts w:eastAsia="Times New Roman"/>
        </w:rPr>
        <w:t>Indien Nederlandse bedrijven bij de overheid informeren naar mogelijkheden tot het ontplooien van activiteiten in bezet gebied</w:t>
      </w:r>
      <w:r w:rsidR="00651401">
        <w:rPr>
          <w:rFonts w:eastAsia="Times New Roman"/>
        </w:rPr>
        <w:t>,</w:t>
      </w:r>
      <w:r w:rsidR="00B206DB">
        <w:rPr>
          <w:rFonts w:eastAsia="Times New Roman"/>
        </w:rPr>
        <w:t xml:space="preserve"> </w:t>
      </w:r>
      <w:r w:rsidR="00963093">
        <w:rPr>
          <w:rFonts w:eastAsia="Times New Roman"/>
        </w:rPr>
        <w:t xml:space="preserve">worden zij gewezen op de mogelijke risico’s, waaronder die op het gebied van mensenrechten. Het ontmoedigingsbeleid bestaat in aanvulling op de eigen maatschappelijke verantwoordelijkheid die bedrijven hebben om mensenrechten te respecteren. </w:t>
      </w:r>
      <w:r w:rsidRPr="00266542" w:rsidR="00963093">
        <w:rPr>
          <w:rFonts w:eastAsia="Times New Roman"/>
        </w:rPr>
        <w:t xml:space="preserve">Van de zijde van het bedrijfsleven verwacht het kabinet dat zij zaken doen in lijn met de OESO-richtlijnen voor multinationale ondernemingen inzake maatschappelijk verantwoord ondernemen. </w:t>
      </w:r>
      <w:r w:rsidR="00963093">
        <w:rPr>
          <w:rFonts w:eastAsia="Times New Roman"/>
        </w:rPr>
        <w:t>Het is aan bedrijven zelf om te bepalen welke activiteiten zij ontplooien.</w:t>
      </w:r>
    </w:p>
    <w:p w:rsidR="00F44984" w:rsidP="00F633FA" w:rsidRDefault="00401928" w14:paraId="4EAACAE7" w14:textId="7905C0AE">
      <w:pPr>
        <w:pStyle w:val="ListParagraph"/>
        <w:numPr>
          <w:ilvl w:val="0"/>
          <w:numId w:val="12"/>
        </w:numPr>
        <w:autoSpaceDN/>
        <w:spacing w:line="276" w:lineRule="auto"/>
        <w:textAlignment w:val="auto"/>
        <w:rPr>
          <w:rFonts w:eastAsia="Times New Roman"/>
        </w:rPr>
      </w:pPr>
      <w:r w:rsidRPr="00F44984">
        <w:rPr>
          <w:rFonts w:eastAsia="Times New Roman"/>
        </w:rPr>
        <w:t>Vanwege het feit</w:t>
      </w:r>
      <w:r w:rsidRPr="00F44984" w:rsidR="003D331C">
        <w:rPr>
          <w:rFonts w:eastAsia="Times New Roman"/>
        </w:rPr>
        <w:t xml:space="preserve"> dat Israël geen soevereiniteit heeft verkregen over de gebieden die het sinds juni 1967 bezet, hanteert Nederland een strikte lijn ten aanzien van de gelding van bilaterale verdragen tussen Nederland en Israël: </w:t>
      </w:r>
      <w:r w:rsidRPr="00F44984" w:rsidR="00003B55">
        <w:rPr>
          <w:rFonts w:eastAsia="Times New Roman"/>
        </w:rPr>
        <w:t xml:space="preserve">door Israël in eigen naam gesloten verdragen mogen niet worden </w:t>
      </w:r>
      <w:r w:rsidRPr="00F44984" w:rsidR="00003B55">
        <w:rPr>
          <w:rFonts w:eastAsia="Times New Roman"/>
        </w:rPr>
        <w:lastRenderedPageBreak/>
        <w:t>toegepast op de bezette</w:t>
      </w:r>
      <w:r w:rsidR="00C15576">
        <w:rPr>
          <w:rFonts w:eastAsia="Times New Roman"/>
        </w:rPr>
        <w:t xml:space="preserve"> gebieden</w:t>
      </w:r>
      <w:r w:rsidRPr="00F44984" w:rsidR="00003B55">
        <w:rPr>
          <w:rFonts w:eastAsia="Times New Roman"/>
        </w:rPr>
        <w:t xml:space="preserve">; </w:t>
      </w:r>
      <w:r w:rsidRPr="00F44984" w:rsidR="003D331C">
        <w:rPr>
          <w:rFonts w:eastAsia="Times New Roman"/>
        </w:rPr>
        <w:t xml:space="preserve">deze verdragen </w:t>
      </w:r>
      <w:r w:rsidRPr="00F44984" w:rsidR="00870D71">
        <w:rPr>
          <w:rFonts w:eastAsia="Times New Roman"/>
        </w:rPr>
        <w:t xml:space="preserve">gelden alleen binnen Israël op basis van de internationaal erkende grenzen van het land. Een voorbeeld hiervan is het </w:t>
      </w:r>
      <w:r w:rsidR="00E15D7C">
        <w:rPr>
          <w:rFonts w:eastAsia="Times New Roman"/>
        </w:rPr>
        <w:t>Verdrag inzake sociale zekerheid</w:t>
      </w:r>
      <w:r w:rsidRPr="00F44984" w:rsidR="00870D71">
        <w:rPr>
          <w:rFonts w:eastAsia="Times New Roman"/>
        </w:rPr>
        <w:t xml:space="preserve"> tussen Nederland en Israël</w:t>
      </w:r>
      <w:r w:rsidRPr="00F44984" w:rsidR="00830DBB">
        <w:rPr>
          <w:rFonts w:eastAsia="Times New Roman"/>
        </w:rPr>
        <w:t xml:space="preserve"> dat niet van toepassing is in </w:t>
      </w:r>
      <w:r w:rsidRPr="00F44984" w:rsidR="00AA7D79">
        <w:rPr>
          <w:rFonts w:eastAsia="Times New Roman"/>
        </w:rPr>
        <w:t>de door Israël bezette gebieden. Op grond van de Wet beperking export uitkeringen (Wet BEU)</w:t>
      </w:r>
      <w:r w:rsidRPr="00F44984" w:rsidR="002C0552">
        <w:rPr>
          <w:rFonts w:eastAsia="Times New Roman"/>
        </w:rPr>
        <w:t>,</w:t>
      </w:r>
      <w:r w:rsidRPr="00F44984" w:rsidR="00AA7D79">
        <w:rPr>
          <w:rFonts w:eastAsia="Times New Roman"/>
        </w:rPr>
        <w:t xml:space="preserve"> die als uitgangspunt hanteert dat Nederlandse sociale zekerheidsuitkeringen alleen</w:t>
      </w:r>
      <w:r w:rsidRPr="00F44984" w:rsidR="002C0552">
        <w:rPr>
          <w:rFonts w:eastAsia="Times New Roman"/>
        </w:rPr>
        <w:t xml:space="preserve"> kunnen worden geëxporteerd naar landen waarmee Nederland een verdrag heeft gesloten, is de export</w:t>
      </w:r>
      <w:r w:rsidRPr="00F44984" w:rsidR="00830DBB">
        <w:rPr>
          <w:rFonts w:eastAsia="Times New Roman"/>
        </w:rPr>
        <w:t xml:space="preserve"> </w:t>
      </w:r>
      <w:r w:rsidRPr="00F44984" w:rsidR="00AA7D79">
        <w:rPr>
          <w:rFonts w:eastAsia="Times New Roman"/>
        </w:rPr>
        <w:t xml:space="preserve">van Nederlandse sociale </w:t>
      </w:r>
      <w:r w:rsidRPr="00F44984" w:rsidR="002C0552">
        <w:rPr>
          <w:rFonts w:eastAsia="Times New Roman"/>
        </w:rPr>
        <w:t>z</w:t>
      </w:r>
      <w:r w:rsidRPr="00F44984" w:rsidR="00AA7D79">
        <w:rPr>
          <w:rFonts w:eastAsia="Times New Roman"/>
        </w:rPr>
        <w:t xml:space="preserve">ekerheidsuitkeringen </w:t>
      </w:r>
      <w:r w:rsidRPr="00F44984" w:rsidR="002C0552">
        <w:rPr>
          <w:rFonts w:eastAsia="Times New Roman"/>
        </w:rPr>
        <w:t xml:space="preserve">aan uitkeringsgerechtigden </w:t>
      </w:r>
      <w:r w:rsidRPr="00F44984" w:rsidR="00830DBB">
        <w:rPr>
          <w:rFonts w:eastAsia="Times New Roman"/>
        </w:rPr>
        <w:t xml:space="preserve">woonachtig in </w:t>
      </w:r>
      <w:r w:rsidRPr="00F44984" w:rsidR="00AA7D79">
        <w:rPr>
          <w:rFonts w:eastAsia="Times New Roman"/>
        </w:rPr>
        <w:t xml:space="preserve">Israëlische </w:t>
      </w:r>
      <w:r w:rsidRPr="00F44984" w:rsidR="00830DBB">
        <w:rPr>
          <w:rFonts w:eastAsia="Times New Roman"/>
        </w:rPr>
        <w:t xml:space="preserve">nederzettingen </w:t>
      </w:r>
      <w:r w:rsidRPr="00F44984" w:rsidR="00AA7D79">
        <w:rPr>
          <w:rFonts w:eastAsia="Times New Roman"/>
        </w:rPr>
        <w:t xml:space="preserve">in die gebieden </w:t>
      </w:r>
      <w:r w:rsidRPr="00F44984" w:rsidR="002C0552">
        <w:rPr>
          <w:rFonts w:eastAsia="Times New Roman"/>
        </w:rPr>
        <w:t>beperkt</w:t>
      </w:r>
      <w:r w:rsidRPr="00F44984" w:rsidR="00BF6C89">
        <w:rPr>
          <w:rFonts w:eastAsia="Times New Roman"/>
        </w:rPr>
        <w:t>.</w:t>
      </w:r>
    </w:p>
    <w:p w:rsidRPr="009E4AE5" w:rsidR="00C15576" w:rsidP="00F633FA" w:rsidRDefault="008D7D4F" w14:paraId="6F40FE92" w14:textId="540A195E">
      <w:pPr>
        <w:pStyle w:val="ListParagraph"/>
        <w:numPr>
          <w:ilvl w:val="0"/>
          <w:numId w:val="12"/>
        </w:numPr>
        <w:autoSpaceDN/>
        <w:spacing w:line="276" w:lineRule="auto"/>
        <w:textAlignment w:val="auto"/>
        <w:rPr>
          <w:rFonts w:eastAsia="Times New Roman"/>
        </w:rPr>
      </w:pPr>
      <w:r w:rsidRPr="009E4AE5">
        <w:rPr>
          <w:rFonts w:eastAsia="Times New Roman"/>
        </w:rPr>
        <w:t xml:space="preserve">In EU-verband zijn verdere stappen genomen die het onderscheid tussen de gebieden moeten verduidelijken. Zo heeft de Europese Commissie in 2013 richtsnoeren aangenomen "over de mogelijkheid van Israëlische entiteiten en hun activiteiten in de door Israël sinds juni 1967 bezette gebieden om in aanmerking te komen voor subsidies, prijzen en financieringsinstrumenten die na 2014 met EU-middelen worden gefinancierd" (2013/C 205/05) op basis waarvan alleen Israëlische entiteiten waarvan de vestigingsplaats zich binnen de Israëlische grenzen van vóór 1967 bevindt, in aanmerking komen voor </w:t>
      </w:r>
      <w:r w:rsidR="00D70656">
        <w:rPr>
          <w:rFonts w:eastAsia="Times New Roman"/>
        </w:rPr>
        <w:t xml:space="preserve">subsidies, </w:t>
      </w:r>
      <w:r w:rsidRPr="009E4AE5">
        <w:rPr>
          <w:rFonts w:eastAsia="Times New Roman"/>
        </w:rPr>
        <w:t>prijzen</w:t>
      </w:r>
      <w:r w:rsidR="00D70656">
        <w:rPr>
          <w:rFonts w:eastAsia="Times New Roman"/>
        </w:rPr>
        <w:t xml:space="preserve"> en financieringsinstrumenten</w:t>
      </w:r>
      <w:r w:rsidRPr="009E4AE5">
        <w:rPr>
          <w:rFonts w:eastAsia="Times New Roman"/>
        </w:rPr>
        <w:t xml:space="preserve">. </w:t>
      </w:r>
      <w:r w:rsidRPr="002418FC" w:rsidR="00160062">
        <w:rPr>
          <w:rFonts w:eastAsia="Times New Roman"/>
        </w:rPr>
        <w:t xml:space="preserve">Bij de toepassing van EU-wetgeving over herkomstaanduiding wordt gedifferentieerd tussen producten gemaakt in Israël en producten gemaakt in nederzettingen in de bezette Palestijnse Gebieden. </w:t>
      </w:r>
      <w:r w:rsidRPr="002418FC">
        <w:rPr>
          <w:rFonts w:eastAsia="Times New Roman"/>
          <w:strike/>
        </w:rPr>
        <w:t>In 2015</w:t>
      </w:r>
      <w:r w:rsidRPr="002418FC">
        <w:rPr>
          <w:rFonts w:eastAsia="Times New Roman"/>
        </w:rPr>
        <w:t xml:space="preserve"> </w:t>
      </w:r>
      <w:r w:rsidRPr="002418FC">
        <w:rPr>
          <w:rFonts w:eastAsia="Times New Roman"/>
          <w:strike/>
        </w:rPr>
        <w:t>heeft de</w:t>
      </w:r>
      <w:r w:rsidRPr="002418FC">
        <w:rPr>
          <w:rFonts w:eastAsia="Times New Roman"/>
        </w:rPr>
        <w:t xml:space="preserve"> </w:t>
      </w:r>
      <w:proofErr w:type="spellStart"/>
      <w:r w:rsidRPr="002418FC" w:rsidR="00160062">
        <w:rPr>
          <w:rFonts w:eastAsia="Times New Roman"/>
        </w:rPr>
        <w:t>De</w:t>
      </w:r>
      <w:proofErr w:type="spellEnd"/>
      <w:r w:rsidR="00160062">
        <w:rPr>
          <w:rFonts w:eastAsia="Times New Roman"/>
        </w:rPr>
        <w:t xml:space="preserve"> </w:t>
      </w:r>
      <w:r w:rsidRPr="009E4AE5">
        <w:rPr>
          <w:rFonts w:eastAsia="Times New Roman"/>
        </w:rPr>
        <w:t xml:space="preserve">Europese Commissie </w:t>
      </w:r>
      <w:r w:rsidRPr="002418FC" w:rsidR="00160062">
        <w:rPr>
          <w:rFonts w:eastAsia="Times New Roman"/>
        </w:rPr>
        <w:t>heeft in 2015</w:t>
      </w:r>
      <w:r w:rsidR="00160062">
        <w:rPr>
          <w:rFonts w:eastAsia="Times New Roman"/>
        </w:rPr>
        <w:t xml:space="preserve"> </w:t>
      </w:r>
      <w:r w:rsidRPr="009E4AE5">
        <w:rPr>
          <w:rFonts w:eastAsia="Times New Roman"/>
        </w:rPr>
        <w:t xml:space="preserve">een interpretatieve mededeling gepubliceerd over de toepassing van EU-wetgeving inzake herkomstaanduiding - die algemeen van toepassing is ongeacht </w:t>
      </w:r>
      <w:r w:rsidR="00B55E31">
        <w:rPr>
          <w:rFonts w:eastAsia="Times New Roman"/>
        </w:rPr>
        <w:t xml:space="preserve">het </w:t>
      </w:r>
      <w:r w:rsidRPr="009E4AE5">
        <w:rPr>
          <w:rFonts w:eastAsia="Times New Roman"/>
        </w:rPr>
        <w:t>land of</w:t>
      </w:r>
      <w:r w:rsidR="00B55E31">
        <w:rPr>
          <w:rFonts w:eastAsia="Times New Roman"/>
        </w:rPr>
        <w:t xml:space="preserve"> het</w:t>
      </w:r>
      <w:r w:rsidRPr="009E4AE5">
        <w:rPr>
          <w:rFonts w:eastAsia="Times New Roman"/>
        </w:rPr>
        <w:t xml:space="preserve"> gebied waar het product vandaan komt - op producten afkomstig uit de sinds juni 1967 door Israël bezette gebieden. In zijn uitspraak van 12 november 2019 heeft het EU Hof in antwoord op prejudiciële vragen bevestigd dat de omstandigheid dat een levensmiddel afkomstig is uit een Israëlische nederzetting de aankoopbeslissingen van consumenten kan beïnvloeden. Het weglaten van een dergelijke vermelding kan de consument daarom misleiden. Dit is een juridisch bindende uitspraak, in lijn met het Nederlandse beleid van de afgelopen jaren</w:t>
      </w:r>
      <w:r w:rsidRPr="008D7D4F">
        <w:rPr>
          <w:rFonts w:eastAsia="Times New Roman"/>
        </w:rPr>
        <w:t>.</w:t>
      </w:r>
      <w:r w:rsidR="00D14B5E">
        <w:rPr>
          <w:rStyle w:val="FootnoteReference"/>
          <w:rFonts w:eastAsia="Times New Roman"/>
        </w:rPr>
        <w:footnoteReference w:id="4"/>
      </w:r>
      <w:r w:rsidRPr="009E4AE5" w:rsidR="00393A53">
        <w:rPr>
          <w:rFonts w:eastAsia="Times New Roman"/>
        </w:rPr>
        <w:t xml:space="preserve"> </w:t>
      </w:r>
      <w:r w:rsidRPr="002418FC" w:rsidR="00160062">
        <w:rPr>
          <w:rFonts w:eastAsia="Times New Roman"/>
        </w:rPr>
        <w:t>De Nederlandse Voedsel- en Warenautoriteit (NVWA) past EU-wetgeving met betrekking tot juiste en niet-misleidende herkomstaanduiding toe.</w:t>
      </w:r>
      <w:r w:rsidR="00160062">
        <w:rPr>
          <w:rFonts w:eastAsia="Times New Roman"/>
        </w:rPr>
        <w:t xml:space="preserve"> </w:t>
      </w:r>
      <w:r w:rsidRPr="009D4F82" w:rsidR="007F65BE">
        <w:rPr>
          <w:lang w:eastAsia="ja-JP"/>
        </w:rPr>
        <w:t xml:space="preserve">Goederen afkomstig uit </w:t>
      </w:r>
      <w:r w:rsidRPr="009E4AE5" w:rsidR="002C2075">
        <w:rPr>
          <w:rFonts w:eastAsia="Times New Roman"/>
        </w:rPr>
        <w:t>gebieden die Israël sinds juni 1967 bezet</w:t>
      </w:r>
      <w:r w:rsidRPr="009D4F82" w:rsidR="007F65BE">
        <w:rPr>
          <w:lang w:eastAsia="ja-JP"/>
        </w:rPr>
        <w:t xml:space="preserve">, komen </w:t>
      </w:r>
      <w:r w:rsidR="002C2075">
        <w:rPr>
          <w:lang w:eastAsia="ja-JP"/>
        </w:rPr>
        <w:t xml:space="preserve">ook </w:t>
      </w:r>
      <w:r w:rsidRPr="009D4F82" w:rsidR="007F65BE">
        <w:rPr>
          <w:lang w:eastAsia="ja-JP"/>
        </w:rPr>
        <w:t xml:space="preserve">niet in aanmerking voor tariefpreferenties. Alleen producten van oorsprong uit Israël zelf komen in aanmerking voor preferentiële behandeling in het kader van </w:t>
      </w:r>
      <w:r w:rsidR="002C2075">
        <w:rPr>
          <w:lang w:eastAsia="ja-JP"/>
        </w:rPr>
        <w:t>het</w:t>
      </w:r>
      <w:r w:rsidRPr="009D4F82" w:rsidR="007F65BE">
        <w:rPr>
          <w:lang w:eastAsia="ja-JP"/>
        </w:rPr>
        <w:t xml:space="preserve"> </w:t>
      </w:r>
      <w:r w:rsidR="002C2075">
        <w:rPr>
          <w:lang w:eastAsia="ja-JP"/>
        </w:rPr>
        <w:t>A</w:t>
      </w:r>
      <w:r w:rsidRPr="009D4F82" w:rsidR="007F65BE">
        <w:rPr>
          <w:lang w:eastAsia="ja-JP"/>
        </w:rPr>
        <w:t>ssociatie</w:t>
      </w:r>
      <w:r w:rsidR="002C2075">
        <w:rPr>
          <w:lang w:eastAsia="ja-JP"/>
        </w:rPr>
        <w:t>akkoord</w:t>
      </w:r>
      <w:r w:rsidRPr="009D4F82" w:rsidR="007F65BE">
        <w:rPr>
          <w:lang w:eastAsia="ja-JP"/>
        </w:rPr>
        <w:t xml:space="preserve"> tussen de EU</w:t>
      </w:r>
      <w:r w:rsidR="009E4AE5">
        <w:rPr>
          <w:lang w:eastAsia="ja-JP"/>
        </w:rPr>
        <w:t xml:space="preserve"> en haar lidstaten enerzijds</w:t>
      </w:r>
      <w:r w:rsidRPr="009D4F82" w:rsidR="007F65BE">
        <w:rPr>
          <w:lang w:eastAsia="ja-JP"/>
        </w:rPr>
        <w:t xml:space="preserve"> en Israël</w:t>
      </w:r>
      <w:r w:rsidR="009E4AE5">
        <w:rPr>
          <w:lang w:eastAsia="ja-JP"/>
        </w:rPr>
        <w:t xml:space="preserve"> anderzijds</w:t>
      </w:r>
      <w:r w:rsidRPr="009D4F82" w:rsidR="007F65BE">
        <w:rPr>
          <w:lang w:eastAsia="ja-JP"/>
        </w:rPr>
        <w:t>.</w:t>
      </w:r>
    </w:p>
    <w:p w:rsidR="005521EA" w:rsidP="00F633FA" w:rsidRDefault="005521EA" w14:paraId="6BD2595D" w14:textId="77777777">
      <w:pPr>
        <w:autoSpaceDN/>
        <w:spacing w:line="276" w:lineRule="auto"/>
        <w:textAlignment w:val="auto"/>
        <w:rPr>
          <w:rFonts w:eastAsia="Times New Roman"/>
        </w:rPr>
      </w:pPr>
    </w:p>
    <w:p w:rsidRPr="005521EA" w:rsidR="00401928" w:rsidP="00F633FA" w:rsidRDefault="00C15576" w14:paraId="0A2838AD" w14:textId="7DD38297">
      <w:pPr>
        <w:autoSpaceDN/>
        <w:spacing w:line="276" w:lineRule="auto"/>
        <w:textAlignment w:val="auto"/>
        <w:rPr>
          <w:rFonts w:eastAsia="Times New Roman"/>
        </w:rPr>
      </w:pPr>
      <w:r w:rsidRPr="005521EA">
        <w:rPr>
          <w:rFonts w:eastAsia="Times New Roman"/>
        </w:rPr>
        <w:t>N</w:t>
      </w:r>
      <w:r w:rsidRPr="005521EA" w:rsidR="004C0E5D">
        <w:rPr>
          <w:rFonts w:eastAsia="Times New Roman"/>
        </w:rPr>
        <w:t xml:space="preserve">ederland </w:t>
      </w:r>
      <w:r w:rsidRPr="005521EA" w:rsidR="009A1C46">
        <w:rPr>
          <w:rFonts w:eastAsia="Times New Roman"/>
        </w:rPr>
        <w:t xml:space="preserve">maakt zich </w:t>
      </w:r>
      <w:r w:rsidRPr="005521EA" w:rsidR="003D32EE">
        <w:rPr>
          <w:rFonts w:eastAsia="Times New Roman"/>
        </w:rPr>
        <w:t xml:space="preserve">voorts </w:t>
      </w:r>
      <w:r w:rsidRPr="005521EA" w:rsidR="009A1C46">
        <w:rPr>
          <w:rFonts w:eastAsia="Times New Roman"/>
        </w:rPr>
        <w:t>grote zorgen ove</w:t>
      </w:r>
      <w:r w:rsidRPr="005521EA" w:rsidR="00CA3DBD">
        <w:rPr>
          <w:rFonts w:eastAsia="Times New Roman"/>
        </w:rPr>
        <w:t>r de toenemende instabiliteit</w:t>
      </w:r>
      <w:r w:rsidRPr="005521EA" w:rsidR="009A1C46">
        <w:rPr>
          <w:rFonts w:eastAsia="Times New Roman"/>
        </w:rPr>
        <w:t xml:space="preserve"> </w:t>
      </w:r>
      <w:r w:rsidRPr="005521EA" w:rsidR="00CA3DBD">
        <w:rPr>
          <w:rFonts w:eastAsia="Times New Roman"/>
        </w:rPr>
        <w:t xml:space="preserve">op </w:t>
      </w:r>
      <w:r w:rsidRPr="005521EA" w:rsidR="009A1C46">
        <w:rPr>
          <w:rFonts w:eastAsia="Times New Roman"/>
        </w:rPr>
        <w:t>de bezette West</w:t>
      </w:r>
      <w:r w:rsidRPr="005521EA" w:rsidR="00CA3DBD">
        <w:rPr>
          <w:rFonts w:eastAsia="Times New Roman"/>
        </w:rPr>
        <w:t>e</w:t>
      </w:r>
      <w:r w:rsidRPr="005521EA" w:rsidR="009A1C46">
        <w:rPr>
          <w:rFonts w:eastAsia="Times New Roman"/>
        </w:rPr>
        <w:t>lijke Jorda</w:t>
      </w:r>
      <w:r w:rsidRPr="002418FC" w:rsidR="009A1C46">
        <w:rPr>
          <w:rFonts w:eastAsia="Times New Roman"/>
        </w:rPr>
        <w:t>anoever</w:t>
      </w:r>
      <w:r w:rsidRPr="002418FC" w:rsidR="00CA3DBD">
        <w:rPr>
          <w:rFonts w:eastAsia="Times New Roman"/>
        </w:rPr>
        <w:t>.</w:t>
      </w:r>
      <w:r w:rsidRPr="002418FC" w:rsidR="00160062">
        <w:rPr>
          <w:rFonts w:eastAsia="Times New Roman"/>
        </w:rPr>
        <w:t xml:space="preserve"> Hierbij spelen diverse factoren en actoren een rol, waaronder geweld van kolonisten.</w:t>
      </w:r>
      <w:r w:rsidRPr="002418FC" w:rsidR="004C0E5D">
        <w:rPr>
          <w:rFonts w:eastAsia="Times New Roman"/>
        </w:rPr>
        <w:t xml:space="preserve"> Om te voorkomen dat </w:t>
      </w:r>
      <w:r w:rsidRPr="002418FC" w:rsidR="00160062">
        <w:rPr>
          <w:rFonts w:eastAsia="Times New Roman"/>
        </w:rPr>
        <w:t>dit laatste</w:t>
      </w:r>
      <w:r w:rsidRPr="002418FC" w:rsidR="00CA3DBD">
        <w:rPr>
          <w:rFonts w:eastAsia="Times New Roman"/>
        </w:rPr>
        <w:t xml:space="preserve"> nog verder </w:t>
      </w:r>
      <w:r w:rsidRPr="002418FC" w:rsidR="004C0E5D">
        <w:rPr>
          <w:rFonts w:eastAsia="Times New Roman"/>
        </w:rPr>
        <w:t>escaleert</w:t>
      </w:r>
      <w:r w:rsidRPr="002418FC" w:rsidR="009403C1">
        <w:rPr>
          <w:rFonts w:eastAsia="Times New Roman"/>
        </w:rPr>
        <w:t>,</w:t>
      </w:r>
      <w:r w:rsidRPr="002418FC" w:rsidR="004C0E5D">
        <w:rPr>
          <w:rFonts w:eastAsia="Times New Roman"/>
        </w:rPr>
        <w:t xml:space="preserve"> </w:t>
      </w:r>
      <w:r w:rsidRPr="002418FC" w:rsidR="00160062">
        <w:rPr>
          <w:rFonts w:eastAsia="Times New Roman"/>
        </w:rPr>
        <w:t>heeft</w:t>
      </w:r>
      <w:r w:rsidRPr="002418FC" w:rsidR="004C0E5D">
        <w:rPr>
          <w:rFonts w:eastAsia="Times New Roman"/>
        </w:rPr>
        <w:t xml:space="preserve"> Nederland zich binnen de EU actief in</w:t>
      </w:r>
      <w:r w:rsidRPr="002418FC" w:rsidR="00160062">
        <w:rPr>
          <w:rFonts w:eastAsia="Times New Roman"/>
        </w:rPr>
        <w:t>gezet</w:t>
      </w:r>
      <w:r w:rsidRPr="005521EA" w:rsidR="004C0E5D">
        <w:rPr>
          <w:rFonts w:eastAsia="Times New Roman"/>
        </w:rPr>
        <w:t xml:space="preserve"> voor </w:t>
      </w:r>
      <w:r w:rsidRPr="005521EA" w:rsidR="009F599D">
        <w:rPr>
          <w:rFonts w:eastAsia="Times New Roman"/>
        </w:rPr>
        <w:t>mensenrechten</w:t>
      </w:r>
      <w:r w:rsidRPr="005521EA" w:rsidR="004C0E5D">
        <w:rPr>
          <w:rFonts w:eastAsia="Times New Roman"/>
        </w:rPr>
        <w:t>sancties teg</w:t>
      </w:r>
      <w:r w:rsidRPr="005521EA" w:rsidR="00703275">
        <w:rPr>
          <w:rFonts w:eastAsia="Times New Roman"/>
        </w:rPr>
        <w:t xml:space="preserve">en </w:t>
      </w:r>
      <w:r w:rsidRPr="005521EA" w:rsidR="004F30C6">
        <w:rPr>
          <w:rFonts w:eastAsia="Times New Roman"/>
        </w:rPr>
        <w:t>individuen</w:t>
      </w:r>
      <w:r w:rsidRPr="005521EA" w:rsidR="00703275">
        <w:rPr>
          <w:rFonts w:eastAsia="Times New Roman"/>
        </w:rPr>
        <w:t xml:space="preserve"> en entiteiten die zich hier schuldig aan maken.</w:t>
      </w:r>
      <w:r w:rsidRPr="005521EA" w:rsidR="003D32EE">
        <w:rPr>
          <w:rFonts w:eastAsia="Times New Roman"/>
        </w:rPr>
        <w:t xml:space="preserve"> </w:t>
      </w:r>
      <w:r w:rsidRPr="005521EA" w:rsidR="004C0E5D">
        <w:rPr>
          <w:rFonts w:eastAsia="Times New Roman"/>
        </w:rPr>
        <w:t xml:space="preserve">Met de sancties (zoals reis- en handelsbeperkingen en het bevriezen van </w:t>
      </w:r>
      <w:r w:rsidRPr="005521EA" w:rsidR="004C0E5D">
        <w:rPr>
          <w:rFonts w:eastAsia="Times New Roman"/>
        </w:rPr>
        <w:lastRenderedPageBreak/>
        <w:t>bankrekeningen in de EU) maken EU-landen duidelijk dat zij zich grote zorgen</w:t>
      </w:r>
      <w:r w:rsidRPr="005521EA" w:rsidR="00703275">
        <w:rPr>
          <w:rFonts w:eastAsia="Times New Roman"/>
        </w:rPr>
        <w:t xml:space="preserve"> </w:t>
      </w:r>
      <w:r w:rsidRPr="005521EA" w:rsidR="004C0E5D">
        <w:rPr>
          <w:rFonts w:eastAsia="Times New Roman"/>
        </w:rPr>
        <w:t>maken</w:t>
      </w:r>
      <w:r w:rsidRPr="005521EA" w:rsidR="00DC2794">
        <w:rPr>
          <w:rFonts w:eastAsia="Times New Roman"/>
        </w:rPr>
        <w:t xml:space="preserve"> hierover</w:t>
      </w:r>
      <w:r w:rsidRPr="005521EA" w:rsidR="004C0E5D">
        <w:rPr>
          <w:rFonts w:eastAsia="Times New Roman"/>
        </w:rPr>
        <w:t xml:space="preserve"> – en dat dit geweld gevolgen heeft. Inmiddels zijn er twee sanctiepakketten aangenomen.</w:t>
      </w:r>
      <w:r w:rsidRPr="00071F9E" w:rsidR="00CA3DBD">
        <w:t xml:space="preserve">                                  </w:t>
      </w:r>
    </w:p>
    <w:p w:rsidR="00071F9E" w:rsidP="00F633FA" w:rsidRDefault="00071F9E" w14:paraId="42F0083D" w14:textId="77777777">
      <w:pPr>
        <w:autoSpaceDN/>
        <w:spacing w:line="276" w:lineRule="auto"/>
        <w:textAlignment w:val="auto"/>
        <w:rPr>
          <w:rFonts w:eastAsia="Times New Roman"/>
        </w:rPr>
      </w:pPr>
    </w:p>
    <w:p w:rsidR="009556FC" w:rsidP="00F633FA" w:rsidRDefault="000248AC" w14:paraId="0BBFA16C" w14:textId="3645D5D0">
      <w:pPr>
        <w:spacing w:line="276" w:lineRule="auto"/>
      </w:pPr>
      <w:r>
        <w:t>Het</w:t>
      </w:r>
      <w:r w:rsidR="002459D5">
        <w:t xml:space="preserve"> advies van het</w:t>
      </w:r>
      <w:r w:rsidR="00C80EE4">
        <w:t xml:space="preserve"> IGH</w:t>
      </w:r>
      <w:r>
        <w:t xml:space="preserve"> rechtvaardigt d</w:t>
      </w:r>
      <w:r w:rsidR="00235420">
        <w:t>e instandhouding van d</w:t>
      </w:r>
      <w:r>
        <w:t>e</w:t>
      </w:r>
      <w:r w:rsidR="00235420">
        <w:t>ze maatregelen</w:t>
      </w:r>
      <w:r>
        <w:t xml:space="preserve">. </w:t>
      </w:r>
      <w:r w:rsidR="007F2DAC">
        <w:t>Het kabinet zal in de komende periode nader analys</w:t>
      </w:r>
      <w:r w:rsidR="005A7B65">
        <w:t>er</w:t>
      </w:r>
      <w:r w:rsidR="007F2DAC">
        <w:t xml:space="preserve">en </w:t>
      </w:r>
      <w:r w:rsidR="005A7B65">
        <w:t xml:space="preserve">of </w:t>
      </w:r>
      <w:r w:rsidR="007F2DAC">
        <w:t xml:space="preserve">aanleiding bestaat het huidige beleidskader </w:t>
      </w:r>
      <w:r w:rsidR="005A7B65">
        <w:t xml:space="preserve">aan te passen </w:t>
      </w:r>
      <w:r w:rsidR="007F2DAC">
        <w:t xml:space="preserve">op basis van het advies van </w:t>
      </w:r>
      <w:r w:rsidRPr="002418FC" w:rsidR="007F2DAC">
        <w:t>het H</w:t>
      </w:r>
      <w:r w:rsidRPr="002418FC" w:rsidR="005A7B65">
        <w:t xml:space="preserve">of. </w:t>
      </w:r>
      <w:r w:rsidRPr="002418FC" w:rsidR="00160062">
        <w:t xml:space="preserve">Deze analyse dient zorgvuldig te geschieden, wat enige tijd in beslag zal nemen. De komende periode zullen de eventuele consequenties van het advies van het IGH onderwerp zijn van internationaal overleg. Het kabinet hecht eraan om kennis te nemen van de visie van andere landen en zal dit, onder andere, ook meenemen in de gesprekken die gevoerd gaan worden tijdens de ministeriele week van de aankomende zitting van de Algemene Vergadering van de Verenigde Naties (de ‘High-level Week’). </w:t>
      </w:r>
      <w:r w:rsidRPr="002418FC" w:rsidR="007E516A">
        <w:t xml:space="preserve">Het kabinet zal </w:t>
      </w:r>
      <w:r w:rsidRPr="002418FC" w:rsidR="00206DAB">
        <w:t xml:space="preserve">de Kamer </w:t>
      </w:r>
      <w:r w:rsidRPr="002418FC" w:rsidR="00160062">
        <w:t xml:space="preserve">derhalve </w:t>
      </w:r>
      <w:r w:rsidRPr="002418FC" w:rsidR="007E516A">
        <w:t xml:space="preserve">op een later tijdstip </w:t>
      </w:r>
      <w:r w:rsidRPr="002418FC" w:rsidR="00206DAB">
        <w:t>informeren</w:t>
      </w:r>
      <w:r w:rsidRPr="002418FC" w:rsidR="00160062">
        <w:t xml:space="preserve"> over eventuele aanpassingen op het huidige beleidskader</w:t>
      </w:r>
      <w:r w:rsidRPr="002418FC" w:rsidR="007E516A">
        <w:t>.</w:t>
      </w:r>
    </w:p>
    <w:p w:rsidR="00B4549A" w:rsidP="00F633FA" w:rsidRDefault="00B4549A" w14:paraId="20E07D7B" w14:textId="77777777">
      <w:pPr>
        <w:spacing w:line="276" w:lineRule="auto"/>
      </w:pPr>
    </w:p>
    <w:p w:rsidR="002418FC" w:rsidP="00F633FA" w:rsidRDefault="002418FC" w14:paraId="195A8A2E"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B4549A" w14:paraId="20E07D7E" w14:textId="77777777">
        <w:tc>
          <w:tcPr>
            <w:tcW w:w="3620" w:type="dxa"/>
          </w:tcPr>
          <w:p w:rsidR="00B4549A" w:rsidP="00F633FA" w:rsidRDefault="00765A10" w14:paraId="20E07D7C" w14:textId="776AC770">
            <w:pPr>
              <w:spacing w:line="276" w:lineRule="auto"/>
            </w:pPr>
            <w:r>
              <w:t xml:space="preserve">De </w:t>
            </w:r>
            <w:r w:rsidR="00F633FA">
              <w:t>m</w:t>
            </w:r>
            <w:r>
              <w:t>inister van Buitenlandse Zaken,</w:t>
            </w:r>
            <w:r>
              <w:br/>
            </w:r>
            <w:r>
              <w:br/>
            </w:r>
            <w:r>
              <w:br/>
            </w:r>
            <w:r>
              <w:br/>
            </w:r>
            <w:r>
              <w:br/>
            </w:r>
            <w:r>
              <w:br/>
              <w:t>Caspar Veldkamp</w:t>
            </w:r>
          </w:p>
        </w:tc>
        <w:tc>
          <w:tcPr>
            <w:tcW w:w="3921" w:type="dxa"/>
          </w:tcPr>
          <w:p w:rsidR="00B4549A" w:rsidP="00F633FA" w:rsidRDefault="00B4549A" w14:paraId="20E07D7D" w14:textId="77777777">
            <w:pPr>
              <w:spacing w:line="276" w:lineRule="auto"/>
            </w:pPr>
          </w:p>
        </w:tc>
      </w:tr>
    </w:tbl>
    <w:p w:rsidR="00B4549A" w:rsidP="00F633FA" w:rsidRDefault="00B4549A" w14:paraId="20E07D7F" w14:textId="77777777">
      <w:pPr>
        <w:spacing w:line="276" w:lineRule="auto"/>
      </w:pPr>
    </w:p>
    <w:sectPr w:rsidR="00B4549A" w:rsidSect="00086684">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ED67" w14:textId="77777777" w:rsidR="001745FD" w:rsidRDefault="001745FD">
      <w:pPr>
        <w:spacing w:line="240" w:lineRule="auto"/>
      </w:pPr>
      <w:r>
        <w:separator/>
      </w:r>
    </w:p>
  </w:endnote>
  <w:endnote w:type="continuationSeparator" w:id="0">
    <w:p w14:paraId="3C83468B" w14:textId="77777777" w:rsidR="001745FD" w:rsidRDefault="001745FD">
      <w:pPr>
        <w:spacing w:line="240" w:lineRule="auto"/>
      </w:pPr>
      <w:r>
        <w:continuationSeparator/>
      </w:r>
    </w:p>
  </w:endnote>
  <w:endnote w:type="continuationNotice" w:id="1">
    <w:p w14:paraId="1E657B5B" w14:textId="77777777" w:rsidR="001745FD" w:rsidRDefault="001745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E595" w14:textId="77777777" w:rsidR="00572E10" w:rsidRDefault="00572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200931"/>
      <w:docPartObj>
        <w:docPartGallery w:val="Page Numbers (Bottom of Page)"/>
        <w:docPartUnique/>
      </w:docPartObj>
    </w:sdtPr>
    <w:sdtEndPr/>
    <w:sdtContent>
      <w:p w14:paraId="26053448" w14:textId="5B2AE7AD" w:rsidR="00F633FA" w:rsidRDefault="00F633FA">
        <w:pPr>
          <w:pStyle w:val="Footer"/>
          <w:jc w:val="right"/>
        </w:pPr>
        <w:r>
          <w:fldChar w:fldCharType="begin"/>
        </w:r>
        <w:r>
          <w:instrText>PAGE   \* MERGEFORMAT</w:instrText>
        </w:r>
        <w:r>
          <w:fldChar w:fldCharType="separate"/>
        </w:r>
        <w:r>
          <w:t>2</w:t>
        </w:r>
        <w:r>
          <w:fldChar w:fldCharType="end"/>
        </w:r>
      </w:p>
    </w:sdtContent>
  </w:sdt>
  <w:p w14:paraId="5D9486D3" w14:textId="77777777" w:rsidR="00F633FA" w:rsidRDefault="00F63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378804"/>
      <w:docPartObj>
        <w:docPartGallery w:val="Page Numbers (Bottom of Page)"/>
        <w:docPartUnique/>
      </w:docPartObj>
    </w:sdtPr>
    <w:sdtEndPr/>
    <w:sdtContent>
      <w:p w14:paraId="5E2AF128" w14:textId="22CF5D57" w:rsidR="00F633FA" w:rsidRDefault="00F633FA">
        <w:pPr>
          <w:pStyle w:val="Footer"/>
          <w:jc w:val="right"/>
        </w:pPr>
        <w:r>
          <w:fldChar w:fldCharType="begin"/>
        </w:r>
        <w:r>
          <w:instrText>PAGE   \* MERGEFORMAT</w:instrText>
        </w:r>
        <w:r>
          <w:fldChar w:fldCharType="separate"/>
        </w:r>
        <w:r>
          <w:t>2</w:t>
        </w:r>
        <w:r>
          <w:fldChar w:fldCharType="end"/>
        </w:r>
      </w:p>
    </w:sdtContent>
  </w:sdt>
  <w:p w14:paraId="081CA7B7" w14:textId="77777777" w:rsidR="00F633FA" w:rsidRDefault="00F63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2A2B" w14:textId="77777777" w:rsidR="001745FD" w:rsidRDefault="001745FD">
      <w:pPr>
        <w:spacing w:line="240" w:lineRule="auto"/>
      </w:pPr>
      <w:r>
        <w:separator/>
      </w:r>
    </w:p>
  </w:footnote>
  <w:footnote w:type="continuationSeparator" w:id="0">
    <w:p w14:paraId="63A49860" w14:textId="77777777" w:rsidR="001745FD" w:rsidRDefault="001745FD">
      <w:pPr>
        <w:spacing w:line="240" w:lineRule="auto"/>
      </w:pPr>
      <w:r>
        <w:continuationSeparator/>
      </w:r>
    </w:p>
  </w:footnote>
  <w:footnote w:type="continuationNotice" w:id="1">
    <w:p w14:paraId="278800BB" w14:textId="77777777" w:rsidR="001745FD" w:rsidRDefault="001745FD">
      <w:pPr>
        <w:spacing w:line="240" w:lineRule="auto"/>
      </w:pPr>
    </w:p>
  </w:footnote>
  <w:footnote w:id="2">
    <w:p w14:paraId="16C0F0F3" w14:textId="6D26DEDB" w:rsidR="00EC661C" w:rsidRPr="00D70656" w:rsidRDefault="00EC661C">
      <w:pPr>
        <w:pStyle w:val="FootnoteText"/>
        <w:rPr>
          <w:sz w:val="16"/>
          <w:szCs w:val="16"/>
        </w:rPr>
      </w:pPr>
      <w:r w:rsidRPr="00D70656">
        <w:rPr>
          <w:rStyle w:val="FootnoteReference"/>
          <w:sz w:val="16"/>
          <w:szCs w:val="16"/>
        </w:rPr>
        <w:footnoteRef/>
      </w:r>
      <w:r w:rsidRPr="00D70656">
        <w:rPr>
          <w:sz w:val="16"/>
          <w:szCs w:val="16"/>
        </w:rPr>
        <w:t xml:space="preserve"> Zie onder meer</w:t>
      </w:r>
      <w:r w:rsidR="006F394C" w:rsidRPr="00D70656">
        <w:rPr>
          <w:sz w:val="16"/>
          <w:szCs w:val="16"/>
        </w:rPr>
        <w:t xml:space="preserve"> </w:t>
      </w:r>
      <w:r w:rsidR="006F394C" w:rsidRPr="00F633FA">
        <w:rPr>
          <w:i/>
          <w:iCs/>
          <w:sz w:val="16"/>
          <w:szCs w:val="16"/>
        </w:rPr>
        <w:t>Kamerstukken II</w:t>
      </w:r>
      <w:r w:rsidR="006F394C" w:rsidRPr="00F633FA">
        <w:rPr>
          <w:sz w:val="16"/>
          <w:szCs w:val="16"/>
        </w:rPr>
        <w:t>, 2022/23, 30950, nr. 320</w:t>
      </w:r>
      <w:r w:rsidR="00042BE5" w:rsidRPr="00F633FA">
        <w:rPr>
          <w:sz w:val="16"/>
          <w:szCs w:val="16"/>
        </w:rPr>
        <w:t>,</w:t>
      </w:r>
      <w:r w:rsidR="00042BE5" w:rsidRPr="008C2FB7">
        <w:rPr>
          <w:sz w:val="16"/>
          <w:szCs w:val="16"/>
        </w:rPr>
        <w:t xml:space="preserve"> </w:t>
      </w:r>
      <w:hyperlink r:id="rId1" w:history="1">
        <w:r w:rsidR="008C2FB7" w:rsidRPr="008C2FB7">
          <w:rPr>
            <w:rStyle w:val="Hyperlink"/>
            <w:sz w:val="16"/>
            <w:szCs w:val="16"/>
          </w:rPr>
          <w:t>https://zoek.officielebekendmakingen.nl/behandelddossier/kst-23432-489.html</w:t>
        </w:r>
      </w:hyperlink>
    </w:p>
  </w:footnote>
  <w:footnote w:id="3">
    <w:p w14:paraId="3BA76B07" w14:textId="4CA46397" w:rsidR="00B206DB" w:rsidRPr="00C15576" w:rsidRDefault="00B206DB" w:rsidP="00B206DB">
      <w:pPr>
        <w:pStyle w:val="FootnoteText"/>
        <w:rPr>
          <w:sz w:val="16"/>
          <w:szCs w:val="16"/>
        </w:rPr>
      </w:pPr>
      <w:r w:rsidRPr="00D70656">
        <w:rPr>
          <w:rStyle w:val="FootnoteReference"/>
          <w:sz w:val="16"/>
          <w:szCs w:val="16"/>
        </w:rPr>
        <w:footnoteRef/>
      </w:r>
      <w:r w:rsidRPr="00D70656">
        <w:rPr>
          <w:sz w:val="16"/>
          <w:szCs w:val="16"/>
        </w:rPr>
        <w:t xml:space="preserve"> </w:t>
      </w:r>
      <w:r w:rsidRPr="00D70656">
        <w:rPr>
          <w:rStyle w:val="cf01"/>
          <w:rFonts w:ascii="Verdana" w:hAnsi="Verdana"/>
          <w:sz w:val="16"/>
          <w:szCs w:val="16"/>
        </w:rPr>
        <w:t xml:space="preserve">Zie ook </w:t>
      </w:r>
      <w:r w:rsidRPr="008C2FB7">
        <w:rPr>
          <w:i/>
          <w:iCs/>
          <w:sz w:val="16"/>
          <w:szCs w:val="16"/>
        </w:rPr>
        <w:t>Kamerstuk</w:t>
      </w:r>
      <w:r w:rsidR="00401628" w:rsidRPr="008C2FB7">
        <w:rPr>
          <w:i/>
          <w:iCs/>
          <w:sz w:val="16"/>
          <w:szCs w:val="16"/>
        </w:rPr>
        <w:t>ken II</w:t>
      </w:r>
      <w:r w:rsidR="00D70656" w:rsidRPr="008C2FB7">
        <w:rPr>
          <w:i/>
          <w:iCs/>
          <w:sz w:val="16"/>
          <w:szCs w:val="16"/>
        </w:rPr>
        <w:t>,</w:t>
      </w:r>
      <w:r w:rsidR="00401628" w:rsidRPr="008C2FB7">
        <w:rPr>
          <w:rFonts w:cs="Segoe UI"/>
          <w:sz w:val="16"/>
          <w:szCs w:val="16"/>
        </w:rPr>
        <w:t xml:space="preserve"> 2018/19,</w:t>
      </w:r>
      <w:r w:rsidRPr="008C2FB7">
        <w:rPr>
          <w:rFonts w:cs="Segoe UI"/>
          <w:sz w:val="16"/>
          <w:szCs w:val="16"/>
        </w:rPr>
        <w:t xml:space="preserve"> 23432, </w:t>
      </w:r>
      <w:r w:rsidR="00F7407C" w:rsidRPr="008C2FB7">
        <w:rPr>
          <w:rFonts w:cs="Segoe UI"/>
          <w:sz w:val="16"/>
          <w:szCs w:val="16"/>
        </w:rPr>
        <w:t>n</w:t>
      </w:r>
      <w:r w:rsidRPr="008C2FB7">
        <w:rPr>
          <w:rFonts w:cs="Segoe UI"/>
          <w:sz w:val="16"/>
          <w:szCs w:val="16"/>
        </w:rPr>
        <w:t>r. 471</w:t>
      </w:r>
      <w:r w:rsidR="00042BE5" w:rsidRPr="00042BE5">
        <w:rPr>
          <w:rStyle w:val="cf01"/>
          <w:rFonts w:ascii="Verdana" w:hAnsi="Verdana"/>
          <w:i/>
          <w:iCs/>
          <w:color w:val="auto"/>
          <w:sz w:val="16"/>
          <w:szCs w:val="16"/>
        </w:rPr>
        <w:t>,</w:t>
      </w:r>
      <w:r w:rsidR="00042BE5" w:rsidRPr="00042BE5">
        <w:rPr>
          <w:rStyle w:val="cf01"/>
          <w:rFonts w:ascii="Verdana" w:hAnsi="Verdana"/>
          <w:sz w:val="16"/>
          <w:szCs w:val="16"/>
        </w:rPr>
        <w:t xml:space="preserve"> </w:t>
      </w:r>
      <w:hyperlink r:id="rId2" w:history="1">
        <w:r w:rsidR="00042BE5" w:rsidRPr="00042BE5">
          <w:rPr>
            <w:rStyle w:val="Hyperlink"/>
            <w:rFonts w:cs="Segoe UI"/>
            <w:sz w:val="16"/>
            <w:szCs w:val="16"/>
          </w:rPr>
          <w:t>https://zoek.officielebekendmakingen.nl/kst-23432-471.html</w:t>
        </w:r>
      </w:hyperlink>
      <w:r w:rsidR="006F394C" w:rsidRPr="00042BE5">
        <w:rPr>
          <w:rStyle w:val="cf01"/>
          <w:rFonts w:ascii="Verdana" w:hAnsi="Verdana"/>
          <w:sz w:val="16"/>
          <w:szCs w:val="16"/>
        </w:rPr>
        <w:t>.</w:t>
      </w:r>
    </w:p>
  </w:footnote>
  <w:footnote w:id="4">
    <w:p w14:paraId="123D5081" w14:textId="3778E787" w:rsidR="00D14B5E" w:rsidRPr="003B73A0" w:rsidRDefault="00D14B5E">
      <w:pPr>
        <w:pStyle w:val="FootnoteText"/>
        <w:rPr>
          <w:sz w:val="16"/>
          <w:szCs w:val="16"/>
        </w:rPr>
      </w:pPr>
      <w:r w:rsidRPr="003B73A0">
        <w:rPr>
          <w:rStyle w:val="FootnoteReference"/>
          <w:sz w:val="16"/>
          <w:szCs w:val="16"/>
        </w:rPr>
        <w:footnoteRef/>
      </w:r>
      <w:r w:rsidRPr="003B73A0">
        <w:rPr>
          <w:sz w:val="16"/>
          <w:szCs w:val="16"/>
        </w:rPr>
        <w:t xml:space="preserve"> Zie ook </w:t>
      </w:r>
      <w:r w:rsidRPr="008C2FB7">
        <w:rPr>
          <w:i/>
          <w:iCs/>
          <w:sz w:val="16"/>
          <w:szCs w:val="16"/>
        </w:rPr>
        <w:t>Kamerstuk</w:t>
      </w:r>
      <w:r w:rsidR="00080716">
        <w:rPr>
          <w:i/>
          <w:iCs/>
          <w:sz w:val="16"/>
          <w:szCs w:val="16"/>
        </w:rPr>
        <w:t>,</w:t>
      </w:r>
      <w:r w:rsidRPr="003B73A0">
        <w:rPr>
          <w:sz w:val="16"/>
          <w:szCs w:val="16"/>
        </w:rPr>
        <w:t xml:space="preserve"> </w:t>
      </w:r>
      <w:r w:rsidR="00080716">
        <w:rPr>
          <w:sz w:val="16"/>
          <w:szCs w:val="16"/>
        </w:rPr>
        <w:t xml:space="preserve">2019/2020, </w:t>
      </w:r>
      <w:r w:rsidRPr="003B73A0">
        <w:rPr>
          <w:sz w:val="16"/>
          <w:szCs w:val="16"/>
        </w:rPr>
        <w:t xml:space="preserve">23432, nr. 475, </w:t>
      </w:r>
      <w:hyperlink r:id="rId3" w:history="1">
        <w:r w:rsidRPr="003B73A0">
          <w:rPr>
            <w:rStyle w:val="Hyperlink"/>
            <w:sz w:val="16"/>
            <w:szCs w:val="16"/>
          </w:rPr>
          <w:t>https://zoek.officielebekendmakingen.nl/kst-23432-475.html</w:t>
        </w:r>
      </w:hyperlink>
      <w:r w:rsidRPr="003B73A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37F1" w14:textId="77777777" w:rsidR="00572E10" w:rsidRDefault="00572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7D80" w14:textId="4C50E66F" w:rsidR="00B4549A" w:rsidRDefault="00765A10">
    <w:r>
      <w:rPr>
        <w:noProof/>
      </w:rPr>
      <mc:AlternateContent>
        <mc:Choice Requires="wps">
          <w:drawing>
            <wp:anchor distT="0" distB="0" distL="0" distR="0" simplePos="0" relativeHeight="251658240" behindDoc="0" locked="1" layoutInCell="1" allowOverlap="1" wp14:anchorId="20E07D84" wp14:editId="2E3BCE8F">
              <wp:simplePos x="0" y="0"/>
              <wp:positionH relativeFrom="page">
                <wp:posOffset>5918200</wp:posOffset>
              </wp:positionH>
              <wp:positionV relativeFrom="page">
                <wp:posOffset>1964055</wp:posOffset>
              </wp:positionV>
              <wp:extent cx="134620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46200" cy="8009890"/>
                      </a:xfrm>
                      <a:prstGeom prst="rect">
                        <a:avLst/>
                      </a:prstGeom>
                      <a:noFill/>
                    </wps:spPr>
                    <wps:txbx>
                      <w:txbxContent>
                        <w:p w14:paraId="20E07DB5" w14:textId="77777777" w:rsidR="00B4549A" w:rsidRDefault="00765A10">
                          <w:pPr>
                            <w:pStyle w:val="Referentiegegevensbold"/>
                          </w:pPr>
                          <w:r>
                            <w:t>Ministerie van Buitenlandse Zaken</w:t>
                          </w:r>
                        </w:p>
                        <w:p w14:paraId="20E07DB6" w14:textId="77777777" w:rsidR="00B4549A" w:rsidRDefault="00B4549A">
                          <w:pPr>
                            <w:pStyle w:val="WitregelW2"/>
                          </w:pPr>
                        </w:p>
                        <w:p w14:paraId="20E07DB7" w14:textId="77777777" w:rsidR="00B4549A" w:rsidRDefault="00765A10">
                          <w:pPr>
                            <w:pStyle w:val="Referentiegegevensbold"/>
                          </w:pPr>
                          <w:r>
                            <w:t>Onze referentie</w:t>
                          </w:r>
                        </w:p>
                        <w:p w14:paraId="20E07DB8" w14:textId="77777777" w:rsidR="00B4549A" w:rsidRDefault="00765A10">
                          <w:pPr>
                            <w:pStyle w:val="Referentiegegevens"/>
                          </w:pPr>
                          <w:r>
                            <w:t>BZ2403751</w:t>
                          </w:r>
                        </w:p>
                      </w:txbxContent>
                    </wps:txbx>
                    <wps:bodyPr vert="horz" wrap="square" lIns="0" tIns="0" rIns="0" bIns="0" anchor="t" anchorCtr="0"/>
                  </wps:wsp>
                </a:graphicData>
              </a:graphic>
              <wp14:sizeRelH relativeFrom="margin">
                <wp14:pctWidth>0</wp14:pctWidth>
              </wp14:sizeRelH>
            </wp:anchor>
          </w:drawing>
        </mc:Choice>
        <mc:Fallback>
          <w:pict>
            <v:shapetype w14:anchorId="20E07D84" id="_x0000_t202" coordsize="21600,21600" o:spt="202" path="m,l,21600r21600,l21600,xe">
              <v:stroke joinstyle="miter"/>
              <v:path gradientshapeok="t" o:connecttype="rect"/>
            </v:shapetype>
            <v:shape id="Text Box 1" o:spid="_x0000_s1026" type="#_x0000_t202" style="position:absolute;margin-left:466pt;margin-top:154.65pt;width:106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" filled="f" stroked="f">
              <v:textbox inset="0,0,0,0">
                <w:txbxContent>
                  <w:p w14:paraId="20E07DB5" w14:textId="77777777" w:rsidR="00B4549A" w:rsidRDefault="00765A10">
                    <w:pPr>
                      <w:pStyle w:val="Referentiegegevensbold"/>
                    </w:pPr>
                    <w:r>
                      <w:t>Ministerie van Buitenlandse Zaken</w:t>
                    </w:r>
                  </w:p>
                  <w:p w14:paraId="20E07DB6" w14:textId="77777777" w:rsidR="00B4549A" w:rsidRDefault="00B4549A">
                    <w:pPr>
                      <w:pStyle w:val="WitregelW2"/>
                    </w:pPr>
                  </w:p>
                  <w:p w14:paraId="20E07DB7" w14:textId="77777777" w:rsidR="00B4549A" w:rsidRDefault="00765A10">
                    <w:pPr>
                      <w:pStyle w:val="Referentiegegevensbold"/>
                    </w:pPr>
                    <w:r>
                      <w:t>Onze referentie</w:t>
                    </w:r>
                  </w:p>
                  <w:p w14:paraId="20E07DB8" w14:textId="77777777" w:rsidR="00B4549A" w:rsidRDefault="00765A10">
                    <w:pPr>
                      <w:pStyle w:val="Referentiegegevens"/>
                    </w:pPr>
                    <w:r>
                      <w:t>BZ2403751</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0E07D88" wp14:editId="56A506F1">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0E07DC7" w14:textId="77777777" w:rsidR="00765A10" w:rsidRDefault="00765A10"/>
                      </w:txbxContent>
                    </wps:txbx>
                    <wps:bodyPr vert="horz" wrap="square" lIns="0" tIns="0" rIns="0" bIns="0" anchor="t" anchorCtr="0"/>
                  </wps:wsp>
                </a:graphicData>
              </a:graphic>
            </wp:anchor>
          </w:drawing>
        </mc:Choice>
        <mc:Fallback>
          <w:pict>
            <v:shape w14:anchorId="20E07D88"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0E07DC7" w14:textId="77777777" w:rsidR="00765A10" w:rsidRDefault="00765A1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7D82" w14:textId="1AA2555B" w:rsidR="00B4549A" w:rsidRDefault="00765A10">
    <w:pPr>
      <w:spacing w:after="7131" w:line="14" w:lineRule="exact"/>
    </w:pPr>
    <w:r>
      <w:rPr>
        <w:noProof/>
      </w:rPr>
      <mc:AlternateContent>
        <mc:Choice Requires="wps">
          <w:drawing>
            <wp:anchor distT="0" distB="0" distL="0" distR="0" simplePos="0" relativeHeight="251658243" behindDoc="0" locked="1" layoutInCell="1" allowOverlap="1" wp14:anchorId="20E07D8A" wp14:editId="20E07D8B">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0E07DBA" w14:textId="77777777" w:rsidR="00765A10" w:rsidRDefault="00765A10"/>
                      </w:txbxContent>
                    </wps:txbx>
                    <wps:bodyPr vert="horz" wrap="square" lIns="0" tIns="0" rIns="0" bIns="0" anchor="t" anchorCtr="0"/>
                  </wps:wsp>
                </a:graphicData>
              </a:graphic>
            </wp:anchor>
          </w:drawing>
        </mc:Choice>
        <mc:Fallback>
          <w:pict>
            <v:shapetype w14:anchorId="20E07D8A"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0E07DBA" w14:textId="77777777" w:rsidR="00765A10" w:rsidRDefault="00765A10"/>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0E07D8C" wp14:editId="20E07D8D">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E07D9B" w14:textId="77777777" w:rsidR="00B4549A" w:rsidRDefault="00765A1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0E07D8C"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0E07D9B" w14:textId="77777777" w:rsidR="00B4549A" w:rsidRDefault="00765A1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0E07D8E" wp14:editId="20E07D8F">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B4549A" w14:paraId="20E07D9E" w14:textId="77777777">
                            <w:tc>
                              <w:tcPr>
                                <w:tcW w:w="678" w:type="dxa"/>
                              </w:tcPr>
                              <w:p w14:paraId="20E07D9C" w14:textId="77777777" w:rsidR="00B4549A" w:rsidRDefault="00765A10" w:rsidP="00F633FA">
                                <w:pPr>
                                  <w:spacing w:line="276" w:lineRule="auto"/>
                                </w:pPr>
                                <w:r>
                                  <w:t>Datum</w:t>
                                </w:r>
                              </w:p>
                            </w:tc>
                            <w:tc>
                              <w:tcPr>
                                <w:tcW w:w="6851" w:type="dxa"/>
                              </w:tcPr>
                              <w:p w14:paraId="20E07D9D" w14:textId="307B3A45" w:rsidR="00B4549A" w:rsidRDefault="002418FC" w:rsidP="00F633FA">
                                <w:pPr>
                                  <w:spacing w:line="276" w:lineRule="auto"/>
                                </w:pPr>
                                <w:r>
                                  <w:t>10 september</w:t>
                                </w:r>
                                <w:r w:rsidR="00022396">
                                  <w:t xml:space="preserve"> </w:t>
                                </w:r>
                                <w:r w:rsidR="00765A10">
                                  <w:t>2024</w:t>
                                </w:r>
                              </w:p>
                            </w:tc>
                          </w:tr>
                          <w:tr w:rsidR="00B4549A" w14:paraId="20E07DA3" w14:textId="77777777">
                            <w:tc>
                              <w:tcPr>
                                <w:tcW w:w="678" w:type="dxa"/>
                              </w:tcPr>
                              <w:p w14:paraId="20E07D9F" w14:textId="77777777" w:rsidR="00B4549A" w:rsidRDefault="00765A10" w:rsidP="00F633FA">
                                <w:pPr>
                                  <w:spacing w:line="276" w:lineRule="auto"/>
                                </w:pPr>
                                <w:r>
                                  <w:t>Betreft</w:t>
                                </w:r>
                              </w:p>
                              <w:p w14:paraId="20E07DA0" w14:textId="77777777" w:rsidR="00B4549A" w:rsidRDefault="00B4549A" w:rsidP="00F633FA">
                                <w:pPr>
                                  <w:spacing w:line="276" w:lineRule="auto"/>
                                </w:pPr>
                              </w:p>
                            </w:tc>
                            <w:tc>
                              <w:tcPr>
                                <w:tcW w:w="6851" w:type="dxa"/>
                              </w:tcPr>
                              <w:p w14:paraId="20E07DA1" w14:textId="246BF815" w:rsidR="00B4549A" w:rsidRDefault="00765A10" w:rsidP="00F633FA">
                                <w:pPr>
                                  <w:spacing w:line="276" w:lineRule="auto"/>
                                </w:pPr>
                                <w:r>
                                  <w:t xml:space="preserve">Advies Internationaal Gerechtshof </w:t>
                                </w:r>
                                <w:r w:rsidR="00647898">
                                  <w:t xml:space="preserve">optreden </w:t>
                                </w:r>
                                <w:r w:rsidR="009556FC">
                                  <w:t>Israël</w:t>
                                </w:r>
                                <w:r>
                                  <w:t xml:space="preserve"> in </w:t>
                                </w:r>
                                <w:r w:rsidR="000248AC">
                                  <w:t xml:space="preserve">de </w:t>
                                </w:r>
                                <w:r w:rsidR="00647898">
                                  <w:t xml:space="preserve">bezette </w:t>
                                </w:r>
                                <w:r>
                                  <w:t xml:space="preserve">Palestijnse </w:t>
                                </w:r>
                                <w:r w:rsidR="00365F1E">
                                  <w:t>G</w:t>
                                </w:r>
                                <w:r>
                                  <w:t>ebieden</w:t>
                                </w:r>
                              </w:p>
                              <w:p w14:paraId="20E07DA2" w14:textId="77777777" w:rsidR="00B4549A" w:rsidRDefault="00B4549A" w:rsidP="00F633FA">
                                <w:pPr>
                                  <w:spacing w:line="276" w:lineRule="auto"/>
                                </w:pPr>
                              </w:p>
                            </w:tc>
                          </w:tr>
                        </w:tbl>
                        <w:p w14:paraId="20E07DA4" w14:textId="77777777" w:rsidR="00B4549A" w:rsidRDefault="00B4549A"/>
                        <w:p w14:paraId="20E07DA5" w14:textId="77777777" w:rsidR="00B4549A" w:rsidRDefault="00B4549A"/>
                      </w:txbxContent>
                    </wps:txbx>
                    <wps:bodyPr vert="horz" wrap="square" lIns="0" tIns="0" rIns="0" bIns="0" anchor="t" anchorCtr="0"/>
                  </wps:wsp>
                </a:graphicData>
              </a:graphic>
            </wp:anchor>
          </w:drawing>
        </mc:Choice>
        <mc:Fallback>
          <w:pict>
            <v:shape w14:anchorId="20E07D8E" id="Text Box 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B4549A" w14:paraId="20E07D9E" w14:textId="77777777">
                      <w:tc>
                        <w:tcPr>
                          <w:tcW w:w="678" w:type="dxa"/>
                        </w:tcPr>
                        <w:p w14:paraId="20E07D9C" w14:textId="77777777" w:rsidR="00B4549A" w:rsidRDefault="00765A10" w:rsidP="00F633FA">
                          <w:pPr>
                            <w:spacing w:line="276" w:lineRule="auto"/>
                          </w:pPr>
                          <w:r>
                            <w:t>Datum</w:t>
                          </w:r>
                        </w:p>
                      </w:tc>
                      <w:tc>
                        <w:tcPr>
                          <w:tcW w:w="6851" w:type="dxa"/>
                        </w:tcPr>
                        <w:p w14:paraId="20E07D9D" w14:textId="307B3A45" w:rsidR="00B4549A" w:rsidRDefault="002418FC" w:rsidP="00F633FA">
                          <w:pPr>
                            <w:spacing w:line="276" w:lineRule="auto"/>
                          </w:pPr>
                          <w:r>
                            <w:t>10 september</w:t>
                          </w:r>
                          <w:r w:rsidR="00022396">
                            <w:t xml:space="preserve"> </w:t>
                          </w:r>
                          <w:r w:rsidR="00765A10">
                            <w:t>2024</w:t>
                          </w:r>
                        </w:p>
                      </w:tc>
                    </w:tr>
                    <w:tr w:rsidR="00B4549A" w14:paraId="20E07DA3" w14:textId="77777777">
                      <w:tc>
                        <w:tcPr>
                          <w:tcW w:w="678" w:type="dxa"/>
                        </w:tcPr>
                        <w:p w14:paraId="20E07D9F" w14:textId="77777777" w:rsidR="00B4549A" w:rsidRDefault="00765A10" w:rsidP="00F633FA">
                          <w:pPr>
                            <w:spacing w:line="276" w:lineRule="auto"/>
                          </w:pPr>
                          <w:r>
                            <w:t>Betreft</w:t>
                          </w:r>
                        </w:p>
                        <w:p w14:paraId="20E07DA0" w14:textId="77777777" w:rsidR="00B4549A" w:rsidRDefault="00B4549A" w:rsidP="00F633FA">
                          <w:pPr>
                            <w:spacing w:line="276" w:lineRule="auto"/>
                          </w:pPr>
                        </w:p>
                      </w:tc>
                      <w:tc>
                        <w:tcPr>
                          <w:tcW w:w="6851" w:type="dxa"/>
                        </w:tcPr>
                        <w:p w14:paraId="20E07DA1" w14:textId="246BF815" w:rsidR="00B4549A" w:rsidRDefault="00765A10" w:rsidP="00F633FA">
                          <w:pPr>
                            <w:spacing w:line="276" w:lineRule="auto"/>
                          </w:pPr>
                          <w:r>
                            <w:t xml:space="preserve">Advies Internationaal Gerechtshof </w:t>
                          </w:r>
                          <w:r w:rsidR="00647898">
                            <w:t xml:space="preserve">optreden </w:t>
                          </w:r>
                          <w:r w:rsidR="009556FC">
                            <w:t>Israël</w:t>
                          </w:r>
                          <w:r>
                            <w:t xml:space="preserve"> in </w:t>
                          </w:r>
                          <w:r w:rsidR="000248AC">
                            <w:t xml:space="preserve">de </w:t>
                          </w:r>
                          <w:r w:rsidR="00647898">
                            <w:t xml:space="preserve">bezette </w:t>
                          </w:r>
                          <w:r>
                            <w:t xml:space="preserve">Palestijnse </w:t>
                          </w:r>
                          <w:r w:rsidR="00365F1E">
                            <w:t>G</w:t>
                          </w:r>
                          <w:r>
                            <w:t>ebieden</w:t>
                          </w:r>
                        </w:p>
                        <w:p w14:paraId="20E07DA2" w14:textId="77777777" w:rsidR="00B4549A" w:rsidRDefault="00B4549A" w:rsidP="00F633FA">
                          <w:pPr>
                            <w:spacing w:line="276" w:lineRule="auto"/>
                          </w:pPr>
                        </w:p>
                      </w:tc>
                    </w:tr>
                  </w:tbl>
                  <w:p w14:paraId="20E07DA4" w14:textId="77777777" w:rsidR="00B4549A" w:rsidRDefault="00B4549A"/>
                  <w:p w14:paraId="20E07DA5" w14:textId="77777777" w:rsidR="00B4549A" w:rsidRDefault="00B4549A"/>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0E07D90" wp14:editId="06BB71FB">
              <wp:simplePos x="0" y="0"/>
              <wp:positionH relativeFrom="page">
                <wp:posOffset>5917565</wp:posOffset>
              </wp:positionH>
              <wp:positionV relativeFrom="page">
                <wp:posOffset>1964055</wp:posOffset>
              </wp:positionV>
              <wp:extent cx="141351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13510" cy="8009890"/>
                      </a:xfrm>
                      <a:prstGeom prst="rect">
                        <a:avLst/>
                      </a:prstGeom>
                      <a:noFill/>
                    </wps:spPr>
                    <wps:txbx>
                      <w:txbxContent>
                        <w:p w14:paraId="20E07DA6" w14:textId="77777777" w:rsidR="00B4549A" w:rsidRDefault="00765A10">
                          <w:pPr>
                            <w:pStyle w:val="Referentiegegevensbold"/>
                          </w:pPr>
                          <w:r>
                            <w:t>Ministerie van Buitenlandse Zaken</w:t>
                          </w:r>
                        </w:p>
                        <w:p w14:paraId="16B00A73" w14:textId="55C825FF" w:rsidR="00F633FA" w:rsidRDefault="00F633FA" w:rsidP="00F633FA">
                          <w:pPr>
                            <w:pStyle w:val="Referentiegegevens"/>
                          </w:pPr>
                          <w:r>
                            <w:t>Rijnstraat 8</w:t>
                          </w:r>
                        </w:p>
                        <w:p w14:paraId="7A8D89E8" w14:textId="77777777" w:rsidR="00F633FA" w:rsidRPr="00022396" w:rsidRDefault="00F633FA" w:rsidP="00F633FA">
                          <w:pPr>
                            <w:pStyle w:val="Referentiegegevens"/>
                            <w:rPr>
                              <w:lang w:val="de-DE"/>
                            </w:rPr>
                          </w:pPr>
                          <w:r w:rsidRPr="00022396">
                            <w:rPr>
                              <w:lang w:val="de-DE"/>
                            </w:rPr>
                            <w:t>2515 XP Den Haag</w:t>
                          </w:r>
                        </w:p>
                        <w:p w14:paraId="22F088F6" w14:textId="77777777" w:rsidR="00F633FA" w:rsidRPr="00022396" w:rsidRDefault="00F633FA" w:rsidP="00F633FA">
                          <w:pPr>
                            <w:pStyle w:val="Referentiegegevens"/>
                            <w:rPr>
                              <w:lang w:val="de-DE"/>
                            </w:rPr>
                          </w:pPr>
                          <w:r w:rsidRPr="00022396">
                            <w:rPr>
                              <w:lang w:val="de-DE"/>
                            </w:rPr>
                            <w:t>Postbus 20061</w:t>
                          </w:r>
                        </w:p>
                        <w:p w14:paraId="20E07DA8" w14:textId="00C30CA1" w:rsidR="00B4549A" w:rsidRPr="00022396" w:rsidRDefault="00F633FA" w:rsidP="00F633FA">
                          <w:pPr>
                            <w:pStyle w:val="Referentiegegevens"/>
                            <w:rPr>
                              <w:lang w:val="de-DE"/>
                            </w:rPr>
                          </w:pPr>
                          <w:r w:rsidRPr="00022396">
                            <w:rPr>
                              <w:lang w:val="de-DE"/>
                            </w:rPr>
                            <w:t>Nederland</w:t>
                          </w:r>
                        </w:p>
                        <w:p w14:paraId="20E07DA9" w14:textId="77777777" w:rsidR="00B4549A" w:rsidRPr="00022396" w:rsidRDefault="00765A10">
                          <w:pPr>
                            <w:pStyle w:val="Referentiegegevens"/>
                            <w:rPr>
                              <w:lang w:val="de-DE"/>
                            </w:rPr>
                          </w:pPr>
                          <w:r w:rsidRPr="00022396">
                            <w:rPr>
                              <w:lang w:val="de-DE"/>
                            </w:rPr>
                            <w:t>www.minbuza.nl</w:t>
                          </w:r>
                        </w:p>
                        <w:p w14:paraId="20E07DAA" w14:textId="77777777" w:rsidR="00B4549A" w:rsidRPr="00022396" w:rsidRDefault="00B4549A">
                          <w:pPr>
                            <w:pStyle w:val="WitregelW2"/>
                            <w:rPr>
                              <w:lang w:val="de-DE"/>
                            </w:rPr>
                          </w:pPr>
                        </w:p>
                        <w:p w14:paraId="20E07DAB" w14:textId="77777777" w:rsidR="00B4549A" w:rsidRPr="00022396" w:rsidRDefault="00765A10">
                          <w:pPr>
                            <w:pStyle w:val="Referentiegegevensbold"/>
                            <w:rPr>
                              <w:lang w:val="de-DE"/>
                            </w:rPr>
                          </w:pPr>
                          <w:r w:rsidRPr="00022396">
                            <w:rPr>
                              <w:lang w:val="de-DE"/>
                            </w:rPr>
                            <w:t>Onze referentie</w:t>
                          </w:r>
                        </w:p>
                        <w:p w14:paraId="20E07DAC" w14:textId="77777777" w:rsidR="00B4549A" w:rsidRDefault="00765A10">
                          <w:pPr>
                            <w:pStyle w:val="Referentiegegevens"/>
                          </w:pPr>
                          <w:r>
                            <w:t>BZ2403751</w:t>
                          </w:r>
                        </w:p>
                        <w:p w14:paraId="20E07DAD" w14:textId="77777777" w:rsidR="00B4549A" w:rsidRDefault="00B4549A">
                          <w:pPr>
                            <w:pStyle w:val="WitregelW1"/>
                          </w:pPr>
                        </w:p>
                        <w:p w14:paraId="20E07DAE" w14:textId="77777777" w:rsidR="00B4549A" w:rsidRDefault="00765A10">
                          <w:pPr>
                            <w:pStyle w:val="Referentiegegevensbold"/>
                          </w:pPr>
                          <w:r>
                            <w:t>Uw referentie</w:t>
                          </w:r>
                        </w:p>
                        <w:p w14:paraId="20E07DAF" w14:textId="77777777" w:rsidR="00B4549A" w:rsidRDefault="00765A10">
                          <w:pPr>
                            <w:pStyle w:val="Referentiegegevens"/>
                          </w:pPr>
                          <w:r>
                            <w:t>BZ2403751</w:t>
                          </w:r>
                        </w:p>
                        <w:p w14:paraId="20E07DB0" w14:textId="77777777" w:rsidR="00B4549A" w:rsidRDefault="00B4549A">
                          <w:pPr>
                            <w:pStyle w:val="WitregelW1"/>
                          </w:pPr>
                        </w:p>
                        <w:p w14:paraId="20E07DB1" w14:textId="77777777" w:rsidR="00B4549A" w:rsidRDefault="00765A10">
                          <w:pPr>
                            <w:pStyle w:val="Referentiegegevensbold"/>
                          </w:pPr>
                          <w:r>
                            <w:t>Bijlage(n)</w:t>
                          </w:r>
                        </w:p>
                        <w:p w14:paraId="20E07DB2" w14:textId="77777777" w:rsidR="00B4549A" w:rsidRDefault="00765A1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0E07D90" id="Text Box 7" o:spid="_x0000_s1031" type="#_x0000_t202" style="position:absolute;margin-left:465.95pt;margin-top:154.65pt;width:111.3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" filled="f" stroked="f">
              <v:textbox inset="0,0,0,0">
                <w:txbxContent>
                  <w:p w14:paraId="20E07DA6" w14:textId="77777777" w:rsidR="00B4549A" w:rsidRDefault="00765A10">
                    <w:pPr>
                      <w:pStyle w:val="Referentiegegevensbold"/>
                    </w:pPr>
                    <w:r>
                      <w:t>Ministerie van Buitenlandse Zaken</w:t>
                    </w:r>
                  </w:p>
                  <w:p w14:paraId="16B00A73" w14:textId="55C825FF" w:rsidR="00F633FA" w:rsidRDefault="00F633FA" w:rsidP="00F633FA">
                    <w:pPr>
                      <w:pStyle w:val="Referentiegegevens"/>
                    </w:pPr>
                    <w:r>
                      <w:t>Rijnstraat 8</w:t>
                    </w:r>
                  </w:p>
                  <w:p w14:paraId="7A8D89E8" w14:textId="77777777" w:rsidR="00F633FA" w:rsidRPr="00022396" w:rsidRDefault="00F633FA" w:rsidP="00F633FA">
                    <w:pPr>
                      <w:pStyle w:val="Referentiegegevens"/>
                      <w:rPr>
                        <w:lang w:val="de-DE"/>
                      </w:rPr>
                    </w:pPr>
                    <w:r w:rsidRPr="00022396">
                      <w:rPr>
                        <w:lang w:val="de-DE"/>
                      </w:rPr>
                      <w:t>2515 XP Den Haag</w:t>
                    </w:r>
                  </w:p>
                  <w:p w14:paraId="22F088F6" w14:textId="77777777" w:rsidR="00F633FA" w:rsidRPr="00022396" w:rsidRDefault="00F633FA" w:rsidP="00F633FA">
                    <w:pPr>
                      <w:pStyle w:val="Referentiegegevens"/>
                      <w:rPr>
                        <w:lang w:val="de-DE"/>
                      </w:rPr>
                    </w:pPr>
                    <w:r w:rsidRPr="00022396">
                      <w:rPr>
                        <w:lang w:val="de-DE"/>
                      </w:rPr>
                      <w:t>Postbus 20061</w:t>
                    </w:r>
                  </w:p>
                  <w:p w14:paraId="20E07DA8" w14:textId="00C30CA1" w:rsidR="00B4549A" w:rsidRPr="00022396" w:rsidRDefault="00F633FA" w:rsidP="00F633FA">
                    <w:pPr>
                      <w:pStyle w:val="Referentiegegevens"/>
                      <w:rPr>
                        <w:lang w:val="de-DE"/>
                      </w:rPr>
                    </w:pPr>
                    <w:r w:rsidRPr="00022396">
                      <w:rPr>
                        <w:lang w:val="de-DE"/>
                      </w:rPr>
                      <w:t>Nederland</w:t>
                    </w:r>
                  </w:p>
                  <w:p w14:paraId="20E07DA9" w14:textId="77777777" w:rsidR="00B4549A" w:rsidRPr="00022396" w:rsidRDefault="00765A10">
                    <w:pPr>
                      <w:pStyle w:val="Referentiegegevens"/>
                      <w:rPr>
                        <w:lang w:val="de-DE"/>
                      </w:rPr>
                    </w:pPr>
                    <w:r w:rsidRPr="00022396">
                      <w:rPr>
                        <w:lang w:val="de-DE"/>
                      </w:rPr>
                      <w:t>www.minbuza.nl</w:t>
                    </w:r>
                  </w:p>
                  <w:p w14:paraId="20E07DAA" w14:textId="77777777" w:rsidR="00B4549A" w:rsidRPr="00022396" w:rsidRDefault="00B4549A">
                    <w:pPr>
                      <w:pStyle w:val="WitregelW2"/>
                      <w:rPr>
                        <w:lang w:val="de-DE"/>
                      </w:rPr>
                    </w:pPr>
                  </w:p>
                  <w:p w14:paraId="20E07DAB" w14:textId="77777777" w:rsidR="00B4549A" w:rsidRPr="00022396" w:rsidRDefault="00765A10">
                    <w:pPr>
                      <w:pStyle w:val="Referentiegegevensbold"/>
                      <w:rPr>
                        <w:lang w:val="de-DE"/>
                      </w:rPr>
                    </w:pPr>
                    <w:r w:rsidRPr="00022396">
                      <w:rPr>
                        <w:lang w:val="de-DE"/>
                      </w:rPr>
                      <w:t>Onze referentie</w:t>
                    </w:r>
                  </w:p>
                  <w:p w14:paraId="20E07DAC" w14:textId="77777777" w:rsidR="00B4549A" w:rsidRDefault="00765A10">
                    <w:pPr>
                      <w:pStyle w:val="Referentiegegevens"/>
                    </w:pPr>
                    <w:r>
                      <w:t>BZ2403751</w:t>
                    </w:r>
                  </w:p>
                  <w:p w14:paraId="20E07DAD" w14:textId="77777777" w:rsidR="00B4549A" w:rsidRDefault="00B4549A">
                    <w:pPr>
                      <w:pStyle w:val="WitregelW1"/>
                    </w:pPr>
                  </w:p>
                  <w:p w14:paraId="20E07DAE" w14:textId="77777777" w:rsidR="00B4549A" w:rsidRDefault="00765A10">
                    <w:pPr>
                      <w:pStyle w:val="Referentiegegevensbold"/>
                    </w:pPr>
                    <w:r>
                      <w:t>Uw referentie</w:t>
                    </w:r>
                  </w:p>
                  <w:p w14:paraId="20E07DAF" w14:textId="77777777" w:rsidR="00B4549A" w:rsidRDefault="00765A10">
                    <w:pPr>
                      <w:pStyle w:val="Referentiegegevens"/>
                    </w:pPr>
                    <w:r>
                      <w:t>BZ2403751</w:t>
                    </w:r>
                  </w:p>
                  <w:p w14:paraId="20E07DB0" w14:textId="77777777" w:rsidR="00B4549A" w:rsidRDefault="00B4549A">
                    <w:pPr>
                      <w:pStyle w:val="WitregelW1"/>
                    </w:pPr>
                  </w:p>
                  <w:p w14:paraId="20E07DB1" w14:textId="77777777" w:rsidR="00B4549A" w:rsidRDefault="00765A10">
                    <w:pPr>
                      <w:pStyle w:val="Referentiegegevensbold"/>
                    </w:pPr>
                    <w:r>
                      <w:t>Bijlage(n)</w:t>
                    </w:r>
                  </w:p>
                  <w:p w14:paraId="20E07DB2" w14:textId="77777777" w:rsidR="00B4549A" w:rsidRDefault="00765A1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0E07D94" wp14:editId="60B138A8">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0E07DC0" w14:textId="77777777" w:rsidR="00765A10" w:rsidRDefault="00765A10"/>
                      </w:txbxContent>
                    </wps:txbx>
                    <wps:bodyPr vert="horz" wrap="square" lIns="0" tIns="0" rIns="0" bIns="0" anchor="t" anchorCtr="0"/>
                  </wps:wsp>
                </a:graphicData>
              </a:graphic>
            </wp:anchor>
          </w:drawing>
        </mc:Choice>
        <mc:Fallback>
          <w:pict>
            <v:shape w14:anchorId="20E07D94"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0E07DC0" w14:textId="77777777" w:rsidR="00765A10" w:rsidRDefault="00765A1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0E07D96" wp14:editId="20E07D97">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0E07DC2" w14:textId="77777777" w:rsidR="00765A10" w:rsidRDefault="00765A10"/>
                      </w:txbxContent>
                    </wps:txbx>
                    <wps:bodyPr vert="horz" wrap="square" lIns="0" tIns="0" rIns="0" bIns="0" anchor="t" anchorCtr="0"/>
                  </wps:wsp>
                </a:graphicData>
              </a:graphic>
            </wp:anchor>
          </w:drawing>
        </mc:Choice>
        <mc:Fallback>
          <w:pict>
            <v:shape w14:anchorId="20E07D96"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0E07DC2" w14:textId="77777777" w:rsidR="00765A10" w:rsidRDefault="00765A10"/>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0E07D98" wp14:editId="20E07D99">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E07DB4" w14:textId="612C4546" w:rsidR="00B4549A" w:rsidRDefault="00765A10">
                          <w:pPr>
                            <w:spacing w:line="240" w:lineRule="auto"/>
                          </w:pPr>
                          <w:r>
                            <w:rPr>
                              <w:noProof/>
                            </w:rPr>
                            <w:drawing>
                              <wp:inline distT="0" distB="0" distL="0" distR="0" wp14:anchorId="38AA2C42" wp14:editId="20E07DBB">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E07D98" id="Text Box 11"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0E07DB4" w14:textId="612C4546" w:rsidR="00B4549A" w:rsidRDefault="00765A10">
                    <w:pPr>
                      <w:spacing w:line="240" w:lineRule="auto"/>
                    </w:pPr>
                    <w:r>
                      <w:rPr>
                        <w:noProof/>
                      </w:rPr>
                      <w:drawing>
                        <wp:inline distT="0" distB="0" distL="0" distR="0" wp14:anchorId="38AA2C42" wp14:editId="20E07DBB">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10F75A"/>
    <w:multiLevelType w:val="multilevel"/>
    <w:tmpl w:val="DB76272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2EFAB8E"/>
    <w:multiLevelType w:val="multilevel"/>
    <w:tmpl w:val="24BBCC3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AAA5B3A"/>
    <w:multiLevelType w:val="hybridMultilevel"/>
    <w:tmpl w:val="5AE09AFA"/>
    <w:lvl w:ilvl="0" w:tplc="DB20191A">
      <w:start w:val="18"/>
      <w:numFmt w:val="bullet"/>
      <w:lvlText w:val=""/>
      <w:lvlJc w:val="left"/>
      <w:pPr>
        <w:ind w:left="360" w:hanging="360"/>
      </w:pPr>
      <w:rPr>
        <w:rFonts w:ascii="Symbol" w:eastAsia="Calibri"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0D4E95F9"/>
    <w:multiLevelType w:val="multilevel"/>
    <w:tmpl w:val="0208D1B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16B35FD6"/>
    <w:multiLevelType w:val="multilevel"/>
    <w:tmpl w:val="444599A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7FF229F"/>
    <w:multiLevelType w:val="multilevel"/>
    <w:tmpl w:val="08A72EB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1A21196F"/>
    <w:multiLevelType w:val="hybridMultilevel"/>
    <w:tmpl w:val="A8A07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4C14F2"/>
    <w:multiLevelType w:val="hybridMultilevel"/>
    <w:tmpl w:val="E74C0040"/>
    <w:lvl w:ilvl="0" w:tplc="41585B16">
      <w:start w:val="1"/>
      <w:numFmt w:val="lowerLetter"/>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F0F1F84"/>
    <w:multiLevelType w:val="hybridMultilevel"/>
    <w:tmpl w:val="9D3EF062"/>
    <w:lvl w:ilvl="0" w:tplc="DB20191A">
      <w:start w:val="18"/>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0F5E28"/>
    <w:multiLevelType w:val="hybridMultilevel"/>
    <w:tmpl w:val="DBD884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4C2C0C"/>
    <w:multiLevelType w:val="hybridMultilevel"/>
    <w:tmpl w:val="E21CE1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2ED3774"/>
    <w:multiLevelType w:val="hybridMultilevel"/>
    <w:tmpl w:val="BEA07B4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306545"/>
    <w:multiLevelType w:val="hybridMultilevel"/>
    <w:tmpl w:val="966090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0989">
    <w:abstractNumId w:val="3"/>
  </w:num>
  <w:num w:numId="2" w16cid:durableId="1987392220">
    <w:abstractNumId w:val="1"/>
  </w:num>
  <w:num w:numId="3" w16cid:durableId="2140952815">
    <w:abstractNumId w:val="5"/>
  </w:num>
  <w:num w:numId="4" w16cid:durableId="353506771">
    <w:abstractNumId w:val="4"/>
  </w:num>
  <w:num w:numId="5" w16cid:durableId="1104299102">
    <w:abstractNumId w:val="0"/>
  </w:num>
  <w:num w:numId="6" w16cid:durableId="1991790604">
    <w:abstractNumId w:val="2"/>
  </w:num>
  <w:num w:numId="7" w16cid:durableId="1262420380">
    <w:abstractNumId w:val="10"/>
  </w:num>
  <w:num w:numId="8" w16cid:durableId="1878078312">
    <w:abstractNumId w:val="11"/>
  </w:num>
  <w:num w:numId="9" w16cid:durableId="625740043">
    <w:abstractNumId w:val="7"/>
  </w:num>
  <w:num w:numId="10" w16cid:durableId="1409887747">
    <w:abstractNumId w:val="8"/>
  </w:num>
  <w:num w:numId="11" w16cid:durableId="1062676227">
    <w:abstractNumId w:val="9"/>
  </w:num>
  <w:num w:numId="12" w16cid:durableId="65956435">
    <w:abstractNumId w:val="12"/>
  </w:num>
  <w:num w:numId="13" w16cid:durableId="686717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9A"/>
    <w:rsid w:val="000000BB"/>
    <w:rsid w:val="00003B55"/>
    <w:rsid w:val="00003D8E"/>
    <w:rsid w:val="00006F0F"/>
    <w:rsid w:val="0000768B"/>
    <w:rsid w:val="000170AE"/>
    <w:rsid w:val="00022396"/>
    <w:rsid w:val="0002362E"/>
    <w:rsid w:val="000248AC"/>
    <w:rsid w:val="00025E5D"/>
    <w:rsid w:val="00042BE5"/>
    <w:rsid w:val="00044D5A"/>
    <w:rsid w:val="00046729"/>
    <w:rsid w:val="00055244"/>
    <w:rsid w:val="00057CE7"/>
    <w:rsid w:val="00071F9E"/>
    <w:rsid w:val="00080716"/>
    <w:rsid w:val="0008131E"/>
    <w:rsid w:val="00086684"/>
    <w:rsid w:val="000A29F1"/>
    <w:rsid w:val="000A4530"/>
    <w:rsid w:val="000A5032"/>
    <w:rsid w:val="000B4C78"/>
    <w:rsid w:val="000C35FB"/>
    <w:rsid w:val="000C5DAE"/>
    <w:rsid w:val="000D3145"/>
    <w:rsid w:val="000D3F9E"/>
    <w:rsid w:val="000F34E3"/>
    <w:rsid w:val="000F6B28"/>
    <w:rsid w:val="00100032"/>
    <w:rsid w:val="001040D1"/>
    <w:rsid w:val="00110EE0"/>
    <w:rsid w:val="001175F4"/>
    <w:rsid w:val="00121D58"/>
    <w:rsid w:val="00132B48"/>
    <w:rsid w:val="00137A26"/>
    <w:rsid w:val="00153940"/>
    <w:rsid w:val="00153E30"/>
    <w:rsid w:val="00160062"/>
    <w:rsid w:val="0016047C"/>
    <w:rsid w:val="001745FD"/>
    <w:rsid w:val="00182268"/>
    <w:rsid w:val="00190BE0"/>
    <w:rsid w:val="0019369A"/>
    <w:rsid w:val="001E4460"/>
    <w:rsid w:val="002068E0"/>
    <w:rsid w:val="00206DAB"/>
    <w:rsid w:val="00215437"/>
    <w:rsid w:val="00225E4C"/>
    <w:rsid w:val="0022742B"/>
    <w:rsid w:val="00227813"/>
    <w:rsid w:val="00231748"/>
    <w:rsid w:val="002332A7"/>
    <w:rsid w:val="0023359E"/>
    <w:rsid w:val="002336AD"/>
    <w:rsid w:val="00235420"/>
    <w:rsid w:val="00235E30"/>
    <w:rsid w:val="002413C7"/>
    <w:rsid w:val="002418FC"/>
    <w:rsid w:val="00243A15"/>
    <w:rsid w:val="002459D5"/>
    <w:rsid w:val="00250600"/>
    <w:rsid w:val="00255498"/>
    <w:rsid w:val="00261331"/>
    <w:rsid w:val="00286B83"/>
    <w:rsid w:val="00292746"/>
    <w:rsid w:val="002952D6"/>
    <w:rsid w:val="00295BDD"/>
    <w:rsid w:val="002A3190"/>
    <w:rsid w:val="002C0552"/>
    <w:rsid w:val="002C2075"/>
    <w:rsid w:val="002C532E"/>
    <w:rsid w:val="002D61CD"/>
    <w:rsid w:val="002F0869"/>
    <w:rsid w:val="002F28EA"/>
    <w:rsid w:val="00320FCB"/>
    <w:rsid w:val="00322126"/>
    <w:rsid w:val="00325331"/>
    <w:rsid w:val="00341D37"/>
    <w:rsid w:val="00351BAA"/>
    <w:rsid w:val="00363216"/>
    <w:rsid w:val="00365F1E"/>
    <w:rsid w:val="003720F6"/>
    <w:rsid w:val="00381D0E"/>
    <w:rsid w:val="00385808"/>
    <w:rsid w:val="00390644"/>
    <w:rsid w:val="00392305"/>
    <w:rsid w:val="003924B2"/>
    <w:rsid w:val="00393A53"/>
    <w:rsid w:val="003A208C"/>
    <w:rsid w:val="003A3EC3"/>
    <w:rsid w:val="003B6132"/>
    <w:rsid w:val="003B73A0"/>
    <w:rsid w:val="003D2E61"/>
    <w:rsid w:val="003D32EE"/>
    <w:rsid w:val="003D331C"/>
    <w:rsid w:val="003D7CE5"/>
    <w:rsid w:val="003E7597"/>
    <w:rsid w:val="00401628"/>
    <w:rsid w:val="00401928"/>
    <w:rsid w:val="00417253"/>
    <w:rsid w:val="004374E7"/>
    <w:rsid w:val="004516A2"/>
    <w:rsid w:val="004600C4"/>
    <w:rsid w:val="0049391D"/>
    <w:rsid w:val="00494BED"/>
    <w:rsid w:val="004B0011"/>
    <w:rsid w:val="004B015B"/>
    <w:rsid w:val="004B6B2E"/>
    <w:rsid w:val="004B6BDD"/>
    <w:rsid w:val="004C0E5D"/>
    <w:rsid w:val="004C2CC5"/>
    <w:rsid w:val="004C6657"/>
    <w:rsid w:val="004D1E0C"/>
    <w:rsid w:val="004E7CB0"/>
    <w:rsid w:val="004F30C6"/>
    <w:rsid w:val="005100B6"/>
    <w:rsid w:val="0051297B"/>
    <w:rsid w:val="005274C4"/>
    <w:rsid w:val="00527798"/>
    <w:rsid w:val="005472EA"/>
    <w:rsid w:val="005521EA"/>
    <w:rsid w:val="00562A42"/>
    <w:rsid w:val="005654AB"/>
    <w:rsid w:val="00565A31"/>
    <w:rsid w:val="00566F9B"/>
    <w:rsid w:val="00572E10"/>
    <w:rsid w:val="00573EEB"/>
    <w:rsid w:val="0057418D"/>
    <w:rsid w:val="00576B19"/>
    <w:rsid w:val="0057722F"/>
    <w:rsid w:val="00583CB0"/>
    <w:rsid w:val="0058762B"/>
    <w:rsid w:val="00592F6A"/>
    <w:rsid w:val="005A19B1"/>
    <w:rsid w:val="005A5C34"/>
    <w:rsid w:val="005A7B65"/>
    <w:rsid w:val="005B6DBD"/>
    <w:rsid w:val="005C6670"/>
    <w:rsid w:val="005C7736"/>
    <w:rsid w:val="005F100F"/>
    <w:rsid w:val="00605097"/>
    <w:rsid w:val="006062BA"/>
    <w:rsid w:val="00615223"/>
    <w:rsid w:val="00620493"/>
    <w:rsid w:val="00643B37"/>
    <w:rsid w:val="00647898"/>
    <w:rsid w:val="00651401"/>
    <w:rsid w:val="006529E2"/>
    <w:rsid w:val="00652AC6"/>
    <w:rsid w:val="00652B87"/>
    <w:rsid w:val="006643BC"/>
    <w:rsid w:val="00684EB7"/>
    <w:rsid w:val="00693CB7"/>
    <w:rsid w:val="00694280"/>
    <w:rsid w:val="00696EEB"/>
    <w:rsid w:val="006A7603"/>
    <w:rsid w:val="006A78DB"/>
    <w:rsid w:val="006B0A3E"/>
    <w:rsid w:val="006B0D5F"/>
    <w:rsid w:val="006C2545"/>
    <w:rsid w:val="006F394C"/>
    <w:rsid w:val="0070064C"/>
    <w:rsid w:val="00703275"/>
    <w:rsid w:val="00703CE3"/>
    <w:rsid w:val="00704353"/>
    <w:rsid w:val="00717981"/>
    <w:rsid w:val="007378E9"/>
    <w:rsid w:val="00765A10"/>
    <w:rsid w:val="007730CB"/>
    <w:rsid w:val="0077311D"/>
    <w:rsid w:val="007732F7"/>
    <w:rsid w:val="00773F48"/>
    <w:rsid w:val="00775902"/>
    <w:rsid w:val="00782A22"/>
    <w:rsid w:val="007A02AD"/>
    <w:rsid w:val="007A326A"/>
    <w:rsid w:val="007B1ACC"/>
    <w:rsid w:val="007B50AC"/>
    <w:rsid w:val="007C0F26"/>
    <w:rsid w:val="007C169A"/>
    <w:rsid w:val="007D06A7"/>
    <w:rsid w:val="007D315E"/>
    <w:rsid w:val="007D7267"/>
    <w:rsid w:val="007E01D4"/>
    <w:rsid w:val="007E22FA"/>
    <w:rsid w:val="007E516A"/>
    <w:rsid w:val="007F2DAC"/>
    <w:rsid w:val="007F65BE"/>
    <w:rsid w:val="0080688B"/>
    <w:rsid w:val="00807BE1"/>
    <w:rsid w:val="008142A2"/>
    <w:rsid w:val="00830DBB"/>
    <w:rsid w:val="008357C6"/>
    <w:rsid w:val="008450CC"/>
    <w:rsid w:val="008567A5"/>
    <w:rsid w:val="00870D71"/>
    <w:rsid w:val="008A4C9F"/>
    <w:rsid w:val="008C2FB7"/>
    <w:rsid w:val="008D7D4F"/>
    <w:rsid w:val="008E5831"/>
    <w:rsid w:val="00903A07"/>
    <w:rsid w:val="009044C6"/>
    <w:rsid w:val="00910BB8"/>
    <w:rsid w:val="009145F7"/>
    <w:rsid w:val="00933092"/>
    <w:rsid w:val="009403C1"/>
    <w:rsid w:val="009405E5"/>
    <w:rsid w:val="00943F66"/>
    <w:rsid w:val="00945F47"/>
    <w:rsid w:val="00946497"/>
    <w:rsid w:val="00951034"/>
    <w:rsid w:val="009556FC"/>
    <w:rsid w:val="00963093"/>
    <w:rsid w:val="00963833"/>
    <w:rsid w:val="0096529F"/>
    <w:rsid w:val="00966AE3"/>
    <w:rsid w:val="00974985"/>
    <w:rsid w:val="0098172E"/>
    <w:rsid w:val="009915EE"/>
    <w:rsid w:val="00993733"/>
    <w:rsid w:val="009A1C46"/>
    <w:rsid w:val="009B5021"/>
    <w:rsid w:val="009D43B6"/>
    <w:rsid w:val="009D4F82"/>
    <w:rsid w:val="009D52D4"/>
    <w:rsid w:val="009D78D8"/>
    <w:rsid w:val="009D79F2"/>
    <w:rsid w:val="009E1168"/>
    <w:rsid w:val="009E2DD1"/>
    <w:rsid w:val="009E454F"/>
    <w:rsid w:val="009E4AE5"/>
    <w:rsid w:val="009E680B"/>
    <w:rsid w:val="009F1457"/>
    <w:rsid w:val="009F599D"/>
    <w:rsid w:val="00A02903"/>
    <w:rsid w:val="00A11374"/>
    <w:rsid w:val="00A222AC"/>
    <w:rsid w:val="00A31172"/>
    <w:rsid w:val="00A32B1B"/>
    <w:rsid w:val="00A625ED"/>
    <w:rsid w:val="00A66878"/>
    <w:rsid w:val="00A66D55"/>
    <w:rsid w:val="00A74087"/>
    <w:rsid w:val="00A858B1"/>
    <w:rsid w:val="00A930F4"/>
    <w:rsid w:val="00A94E42"/>
    <w:rsid w:val="00AA529B"/>
    <w:rsid w:val="00AA7D79"/>
    <w:rsid w:val="00AC2916"/>
    <w:rsid w:val="00AC5C92"/>
    <w:rsid w:val="00AC7551"/>
    <w:rsid w:val="00AD36EF"/>
    <w:rsid w:val="00AD6895"/>
    <w:rsid w:val="00AE30EC"/>
    <w:rsid w:val="00AF1075"/>
    <w:rsid w:val="00AF4BF7"/>
    <w:rsid w:val="00AF50FA"/>
    <w:rsid w:val="00AF5F6A"/>
    <w:rsid w:val="00AF61A0"/>
    <w:rsid w:val="00B05267"/>
    <w:rsid w:val="00B206DB"/>
    <w:rsid w:val="00B22ECE"/>
    <w:rsid w:val="00B27E82"/>
    <w:rsid w:val="00B36791"/>
    <w:rsid w:val="00B40489"/>
    <w:rsid w:val="00B4549A"/>
    <w:rsid w:val="00B55E31"/>
    <w:rsid w:val="00B70C4B"/>
    <w:rsid w:val="00B77398"/>
    <w:rsid w:val="00B92B25"/>
    <w:rsid w:val="00BC5C16"/>
    <w:rsid w:val="00BF0D27"/>
    <w:rsid w:val="00BF4AF6"/>
    <w:rsid w:val="00BF6C89"/>
    <w:rsid w:val="00C05337"/>
    <w:rsid w:val="00C05406"/>
    <w:rsid w:val="00C119C3"/>
    <w:rsid w:val="00C12DA8"/>
    <w:rsid w:val="00C15576"/>
    <w:rsid w:val="00C17F45"/>
    <w:rsid w:val="00C20533"/>
    <w:rsid w:val="00C21689"/>
    <w:rsid w:val="00C21DA2"/>
    <w:rsid w:val="00C5038C"/>
    <w:rsid w:val="00C50C63"/>
    <w:rsid w:val="00C52AD6"/>
    <w:rsid w:val="00C67E00"/>
    <w:rsid w:val="00C80EE4"/>
    <w:rsid w:val="00C85491"/>
    <w:rsid w:val="00C92057"/>
    <w:rsid w:val="00CA3DBD"/>
    <w:rsid w:val="00CD4E97"/>
    <w:rsid w:val="00CD5D07"/>
    <w:rsid w:val="00CD7DF2"/>
    <w:rsid w:val="00D1149E"/>
    <w:rsid w:val="00D14B5E"/>
    <w:rsid w:val="00D30ABF"/>
    <w:rsid w:val="00D529BB"/>
    <w:rsid w:val="00D52F5E"/>
    <w:rsid w:val="00D70656"/>
    <w:rsid w:val="00D7356C"/>
    <w:rsid w:val="00D76A83"/>
    <w:rsid w:val="00D858B3"/>
    <w:rsid w:val="00D86D72"/>
    <w:rsid w:val="00D90ADE"/>
    <w:rsid w:val="00D927A3"/>
    <w:rsid w:val="00DA03FB"/>
    <w:rsid w:val="00DA181F"/>
    <w:rsid w:val="00DC2794"/>
    <w:rsid w:val="00DC6C2E"/>
    <w:rsid w:val="00DC7186"/>
    <w:rsid w:val="00DD155D"/>
    <w:rsid w:val="00DD2213"/>
    <w:rsid w:val="00DD6226"/>
    <w:rsid w:val="00DF4070"/>
    <w:rsid w:val="00DF5E52"/>
    <w:rsid w:val="00DF720F"/>
    <w:rsid w:val="00DF7DBD"/>
    <w:rsid w:val="00E072E3"/>
    <w:rsid w:val="00E15D7C"/>
    <w:rsid w:val="00E246E6"/>
    <w:rsid w:val="00E37427"/>
    <w:rsid w:val="00E415FF"/>
    <w:rsid w:val="00E449D5"/>
    <w:rsid w:val="00E54C66"/>
    <w:rsid w:val="00E6286F"/>
    <w:rsid w:val="00E772C1"/>
    <w:rsid w:val="00E904B6"/>
    <w:rsid w:val="00EA1C9B"/>
    <w:rsid w:val="00EA2E20"/>
    <w:rsid w:val="00EB251B"/>
    <w:rsid w:val="00EB4BDF"/>
    <w:rsid w:val="00EB79DB"/>
    <w:rsid w:val="00EC3F95"/>
    <w:rsid w:val="00EC661C"/>
    <w:rsid w:val="00F17BE6"/>
    <w:rsid w:val="00F20FF2"/>
    <w:rsid w:val="00F34604"/>
    <w:rsid w:val="00F44984"/>
    <w:rsid w:val="00F44B3C"/>
    <w:rsid w:val="00F505F3"/>
    <w:rsid w:val="00F55142"/>
    <w:rsid w:val="00F633FA"/>
    <w:rsid w:val="00F7407C"/>
    <w:rsid w:val="00F82DEA"/>
    <w:rsid w:val="00F87C52"/>
    <w:rsid w:val="00F94E44"/>
    <w:rsid w:val="00FA1529"/>
    <w:rsid w:val="00FB1099"/>
    <w:rsid w:val="00FB11D5"/>
    <w:rsid w:val="00FB4A86"/>
    <w:rsid w:val="00FC2903"/>
    <w:rsid w:val="00FC5C2C"/>
    <w:rsid w:val="00FC7359"/>
    <w:rsid w:val="00FE0F81"/>
    <w:rsid w:val="00FE7B37"/>
    <w:rsid w:val="00FF7D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07D78"/>
  <w15:docId w15:val="{4CE6A3ED-6D2D-4035-8D0A-703D3DA7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semiHidden/>
    <w:rsid w:val="009556FC"/>
    <w:pPr>
      <w:ind w:left="720"/>
      <w:contextualSpacing/>
    </w:pPr>
  </w:style>
  <w:style w:type="paragraph" w:styleId="Header">
    <w:name w:val="header"/>
    <w:basedOn w:val="Normal"/>
    <w:link w:val="HeaderChar"/>
    <w:uiPriority w:val="99"/>
    <w:unhideWhenUsed/>
    <w:rsid w:val="009556FC"/>
    <w:pPr>
      <w:tabs>
        <w:tab w:val="center" w:pos="4513"/>
        <w:tab w:val="right" w:pos="9026"/>
      </w:tabs>
      <w:spacing w:line="240" w:lineRule="auto"/>
    </w:pPr>
  </w:style>
  <w:style w:type="character" w:customStyle="1" w:styleId="HeaderChar">
    <w:name w:val="Header Char"/>
    <w:basedOn w:val="DefaultParagraphFont"/>
    <w:link w:val="Header"/>
    <w:uiPriority w:val="99"/>
    <w:rsid w:val="009556FC"/>
    <w:rPr>
      <w:rFonts w:ascii="Verdana" w:hAnsi="Verdana"/>
      <w:color w:val="000000"/>
      <w:sz w:val="18"/>
      <w:szCs w:val="18"/>
    </w:rPr>
  </w:style>
  <w:style w:type="paragraph" w:styleId="Footer">
    <w:name w:val="footer"/>
    <w:basedOn w:val="Normal"/>
    <w:link w:val="FooterChar"/>
    <w:uiPriority w:val="99"/>
    <w:unhideWhenUsed/>
    <w:rsid w:val="009556FC"/>
    <w:pPr>
      <w:tabs>
        <w:tab w:val="center" w:pos="4513"/>
        <w:tab w:val="right" w:pos="9026"/>
      </w:tabs>
      <w:spacing w:line="240" w:lineRule="auto"/>
    </w:pPr>
  </w:style>
  <w:style w:type="character" w:customStyle="1" w:styleId="FooterChar">
    <w:name w:val="Footer Char"/>
    <w:basedOn w:val="DefaultParagraphFont"/>
    <w:link w:val="Footer"/>
    <w:uiPriority w:val="99"/>
    <w:rsid w:val="009556FC"/>
    <w:rPr>
      <w:rFonts w:ascii="Verdana" w:hAnsi="Verdana"/>
      <w:color w:val="000000"/>
      <w:sz w:val="18"/>
      <w:szCs w:val="18"/>
    </w:rPr>
  </w:style>
  <w:style w:type="character" w:styleId="CommentReference">
    <w:name w:val="annotation reference"/>
    <w:basedOn w:val="DefaultParagraphFont"/>
    <w:uiPriority w:val="99"/>
    <w:semiHidden/>
    <w:unhideWhenUsed/>
    <w:rsid w:val="005C7736"/>
    <w:rPr>
      <w:sz w:val="16"/>
      <w:szCs w:val="16"/>
    </w:rPr>
  </w:style>
  <w:style w:type="paragraph" w:styleId="CommentText">
    <w:name w:val="annotation text"/>
    <w:basedOn w:val="Normal"/>
    <w:link w:val="CommentTextChar"/>
    <w:uiPriority w:val="99"/>
    <w:unhideWhenUsed/>
    <w:rsid w:val="005C7736"/>
    <w:pPr>
      <w:spacing w:line="240" w:lineRule="auto"/>
    </w:pPr>
    <w:rPr>
      <w:sz w:val="20"/>
      <w:szCs w:val="20"/>
    </w:rPr>
  </w:style>
  <w:style w:type="character" w:customStyle="1" w:styleId="CommentTextChar">
    <w:name w:val="Comment Text Char"/>
    <w:basedOn w:val="DefaultParagraphFont"/>
    <w:link w:val="CommentText"/>
    <w:uiPriority w:val="99"/>
    <w:rsid w:val="005C773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7736"/>
    <w:rPr>
      <w:b/>
      <w:bCs/>
    </w:rPr>
  </w:style>
  <w:style w:type="character" w:customStyle="1" w:styleId="CommentSubjectChar">
    <w:name w:val="Comment Subject Char"/>
    <w:basedOn w:val="CommentTextChar"/>
    <w:link w:val="CommentSubject"/>
    <w:uiPriority w:val="99"/>
    <w:semiHidden/>
    <w:rsid w:val="005C7736"/>
    <w:rPr>
      <w:rFonts w:ascii="Verdana" w:hAnsi="Verdana"/>
      <w:b/>
      <w:bCs/>
      <w:color w:val="000000"/>
    </w:rPr>
  </w:style>
  <w:style w:type="paragraph" w:styleId="FootnoteText">
    <w:name w:val="footnote text"/>
    <w:basedOn w:val="Normal"/>
    <w:link w:val="FootnoteTextChar"/>
    <w:uiPriority w:val="99"/>
    <w:semiHidden/>
    <w:unhideWhenUsed/>
    <w:rsid w:val="00EC661C"/>
    <w:pPr>
      <w:spacing w:line="240" w:lineRule="auto"/>
    </w:pPr>
    <w:rPr>
      <w:sz w:val="20"/>
      <w:szCs w:val="20"/>
    </w:rPr>
  </w:style>
  <w:style w:type="character" w:customStyle="1" w:styleId="FootnoteTextChar">
    <w:name w:val="Footnote Text Char"/>
    <w:basedOn w:val="DefaultParagraphFont"/>
    <w:link w:val="FootnoteText"/>
    <w:uiPriority w:val="99"/>
    <w:semiHidden/>
    <w:rsid w:val="00EC661C"/>
    <w:rPr>
      <w:rFonts w:ascii="Verdana" w:hAnsi="Verdana"/>
      <w:color w:val="000000"/>
    </w:rPr>
  </w:style>
  <w:style w:type="character" w:styleId="FootnoteReference">
    <w:name w:val="footnote reference"/>
    <w:basedOn w:val="DefaultParagraphFont"/>
    <w:uiPriority w:val="99"/>
    <w:semiHidden/>
    <w:unhideWhenUsed/>
    <w:rsid w:val="00EC661C"/>
    <w:rPr>
      <w:vertAlign w:val="superscript"/>
    </w:rPr>
  </w:style>
  <w:style w:type="paragraph" w:styleId="Revision">
    <w:name w:val="Revision"/>
    <w:hidden/>
    <w:uiPriority w:val="99"/>
    <w:semiHidden/>
    <w:rsid w:val="00EA2E20"/>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0D3F9E"/>
    <w:rPr>
      <w:color w:val="605E5C"/>
      <w:shd w:val="clear" w:color="auto" w:fill="E1DFDD"/>
    </w:rPr>
  </w:style>
  <w:style w:type="character" w:customStyle="1" w:styleId="cf01">
    <w:name w:val="cf01"/>
    <w:basedOn w:val="DefaultParagraphFont"/>
    <w:rsid w:val="002C0552"/>
    <w:rPr>
      <w:rFonts w:ascii="Segoe UI" w:hAnsi="Segoe UI" w:cs="Segoe UI" w:hint="default"/>
      <w:sz w:val="18"/>
      <w:szCs w:val="18"/>
    </w:rPr>
  </w:style>
  <w:style w:type="character" w:customStyle="1" w:styleId="cf11">
    <w:name w:val="cf11"/>
    <w:basedOn w:val="DefaultParagraphFont"/>
    <w:rsid w:val="002C0552"/>
    <w:rPr>
      <w:rFonts w:ascii="Segoe UI" w:hAnsi="Segoe UI" w:cs="Segoe UI" w:hint="default"/>
      <w:sz w:val="18"/>
      <w:szCs w:val="18"/>
    </w:rPr>
  </w:style>
  <w:style w:type="paragraph" w:customStyle="1" w:styleId="Citaat1">
    <w:name w:val="Citaat1"/>
    <w:basedOn w:val="Normal"/>
    <w:next w:val="Normal"/>
    <w:uiPriority w:val="98"/>
    <w:qFormat/>
    <w:rsid w:val="00C21DA2"/>
    <w:pPr>
      <w:spacing w:before="200" w:after="160"/>
      <w:ind w:left="861"/>
      <w:jc w:val="center"/>
    </w:pPr>
    <w:rPr>
      <w:i/>
      <w:color w:val="404040"/>
    </w:rPr>
  </w:style>
  <w:style w:type="paragraph" w:customStyle="1" w:styleId="Geenafstand1">
    <w:name w:val="Geen afstand1"/>
    <w:basedOn w:val="Normal"/>
    <w:next w:val="Normal"/>
    <w:uiPriority w:val="98"/>
    <w:qFormat/>
    <w:rsid w:val="00C21DA2"/>
    <w:pPr>
      <w:spacing w:line="180" w:lineRule="exact"/>
    </w:pPr>
  </w:style>
  <w:style w:type="paragraph" w:customStyle="1" w:styleId="Intensievebenadrukking1">
    <w:name w:val="Intensieve benadrukking1"/>
    <w:basedOn w:val="Normal"/>
    <w:next w:val="Normal"/>
    <w:uiPriority w:val="98"/>
    <w:qFormat/>
    <w:rsid w:val="00C21DA2"/>
    <w:rPr>
      <w:i/>
      <w:color w:val="4F81BD"/>
    </w:rPr>
  </w:style>
  <w:style w:type="paragraph" w:customStyle="1" w:styleId="Intensieveverwijzing1">
    <w:name w:val="Intensieve verwijzing1"/>
    <w:basedOn w:val="Normal"/>
    <w:next w:val="Normal"/>
    <w:uiPriority w:val="98"/>
    <w:qFormat/>
    <w:rsid w:val="00C21DA2"/>
    <w:rPr>
      <w:b/>
      <w:smallCaps/>
      <w:color w:val="4F81BD"/>
      <w:spacing w:val="5"/>
    </w:rPr>
  </w:style>
  <w:style w:type="paragraph" w:customStyle="1" w:styleId="Kop11">
    <w:name w:val="Kop 11"/>
    <w:basedOn w:val="Normal"/>
    <w:next w:val="Normal"/>
    <w:qFormat/>
    <w:rsid w:val="00C21DA2"/>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C21DA2"/>
    <w:pPr>
      <w:tabs>
        <w:tab w:val="left" w:pos="0"/>
      </w:tabs>
      <w:spacing w:before="240"/>
    </w:pPr>
    <w:rPr>
      <w:i/>
    </w:rPr>
  </w:style>
  <w:style w:type="paragraph" w:customStyle="1" w:styleId="Kop31">
    <w:name w:val="Kop 31"/>
    <w:basedOn w:val="Normal"/>
    <w:next w:val="Normal"/>
    <w:uiPriority w:val="2"/>
    <w:qFormat/>
    <w:rsid w:val="00C21DA2"/>
    <w:pPr>
      <w:tabs>
        <w:tab w:val="left" w:pos="0"/>
      </w:tabs>
      <w:spacing w:before="240"/>
      <w:ind w:left="-1120"/>
    </w:pPr>
  </w:style>
  <w:style w:type="paragraph" w:customStyle="1" w:styleId="Kop41">
    <w:name w:val="Kop 41"/>
    <w:basedOn w:val="Normal"/>
    <w:next w:val="Normal"/>
    <w:uiPriority w:val="3"/>
    <w:qFormat/>
    <w:rsid w:val="00C21DA2"/>
    <w:pPr>
      <w:tabs>
        <w:tab w:val="left" w:pos="0"/>
      </w:tabs>
      <w:spacing w:before="240"/>
      <w:ind w:left="-1120"/>
    </w:pPr>
  </w:style>
  <w:style w:type="paragraph" w:customStyle="1" w:styleId="Kop51">
    <w:name w:val="Kop 51"/>
    <w:basedOn w:val="Normal"/>
    <w:next w:val="Normal"/>
    <w:rsid w:val="00C21DA2"/>
    <w:pPr>
      <w:spacing w:line="320" w:lineRule="exact"/>
    </w:pPr>
    <w:rPr>
      <w:sz w:val="24"/>
      <w:szCs w:val="24"/>
    </w:rPr>
  </w:style>
  <w:style w:type="paragraph" w:customStyle="1" w:styleId="Ondertitel1">
    <w:name w:val="Ondertitel1"/>
    <w:basedOn w:val="Normal"/>
    <w:next w:val="Normal"/>
    <w:uiPriority w:val="8"/>
    <w:qFormat/>
    <w:rsid w:val="00C21DA2"/>
    <w:pPr>
      <w:spacing w:line="320" w:lineRule="atLeast"/>
    </w:pPr>
    <w:rPr>
      <w:sz w:val="24"/>
      <w:szCs w:val="24"/>
    </w:rPr>
  </w:style>
  <w:style w:type="paragraph" w:customStyle="1" w:styleId="Subtielebenadrukking1">
    <w:name w:val="Subtiele benadrukking1"/>
    <w:basedOn w:val="Normal"/>
    <w:next w:val="Normal"/>
    <w:uiPriority w:val="98"/>
    <w:qFormat/>
    <w:rsid w:val="00C21DA2"/>
    <w:rPr>
      <w:i/>
      <w:color w:val="404040"/>
    </w:rPr>
  </w:style>
  <w:style w:type="paragraph" w:customStyle="1" w:styleId="Subtieleverwijzing1">
    <w:name w:val="Subtiele verwijzing1"/>
    <w:basedOn w:val="Normal"/>
    <w:next w:val="Normal"/>
    <w:uiPriority w:val="98"/>
    <w:qFormat/>
    <w:rsid w:val="00C21DA2"/>
    <w:rPr>
      <w:smallCaps/>
      <w:color w:val="404040"/>
    </w:rPr>
  </w:style>
  <w:style w:type="table" w:customStyle="1" w:styleId="Tabelraster1">
    <w:name w:val="Tabelraster1"/>
    <w:rsid w:val="00C21DA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C21DA2"/>
    <w:pPr>
      <w:spacing w:line="320" w:lineRule="atLeast"/>
    </w:pPr>
    <w:rPr>
      <w:b/>
      <w:sz w:val="24"/>
      <w:szCs w:val="24"/>
    </w:rPr>
  </w:style>
  <w:style w:type="paragraph" w:customStyle="1" w:styleId="Titelvanboek1">
    <w:name w:val="Titel van boek1"/>
    <w:basedOn w:val="Normal"/>
    <w:next w:val="Normal"/>
    <w:uiPriority w:val="98"/>
    <w:qFormat/>
    <w:rsid w:val="00C21DA2"/>
    <w:rPr>
      <w:b/>
      <w:i/>
      <w:spacing w:val="5"/>
    </w:rPr>
  </w:style>
  <w:style w:type="character" w:styleId="FollowedHyperlink">
    <w:name w:val="FollowedHyperlink"/>
    <w:basedOn w:val="DefaultParagraphFont"/>
    <w:uiPriority w:val="99"/>
    <w:semiHidden/>
    <w:unhideWhenUsed/>
    <w:rsid w:val="00042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49702">
      <w:bodyDiv w:val="1"/>
      <w:marLeft w:val="0"/>
      <w:marRight w:val="0"/>
      <w:marTop w:val="0"/>
      <w:marBottom w:val="0"/>
      <w:divBdr>
        <w:top w:val="none" w:sz="0" w:space="0" w:color="auto"/>
        <w:left w:val="none" w:sz="0" w:space="0" w:color="auto"/>
        <w:bottom w:val="none" w:sz="0" w:space="0" w:color="auto"/>
        <w:right w:val="none" w:sz="0" w:space="0" w:color="auto"/>
      </w:divBdr>
    </w:div>
    <w:div w:id="2068021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3432-475.html" TargetMode="External"/><Relationship Id="rId2" Type="http://schemas.openxmlformats.org/officeDocument/2006/relationships/hyperlink" Target="https://zoek.officielebekendmakingen.nl/kst-23432-471.html" TargetMode="External"/><Relationship Id="rId1" Type="http://schemas.openxmlformats.org/officeDocument/2006/relationships/hyperlink" Target="https://zoek.officielebekendmakingen.nl/behandelddossier/kst-23432-489.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1934</ap:Words>
  <ap:Characters>10642</ap:Characters>
  <ap:DocSecurity>0</ap:DocSecurity>
  <ap:Lines>88</ap:Lines>
  <ap:Paragraphs>25</ap:Paragraphs>
  <ap:ScaleCrop>false</ap:ScaleCrop>
  <ap:HeadingPairs>
    <vt:vector baseType="variant" size="2">
      <vt:variant>
        <vt:lpstr>Title</vt:lpstr>
      </vt:variant>
      <vt:variant>
        <vt:i4>1</vt:i4>
      </vt:variant>
    </vt:vector>
  </ap:HeadingPairs>
  <ap:TitlesOfParts>
    <vt:vector baseType="lpstr" size="1">
      <vt:lpstr>Advies Internationaal Gerechtshof aanwezigheid Israel in Palestijnse gebieden</vt:lpstr>
    </vt:vector>
  </ap:TitlesOfParts>
  <ap:LinksUpToDate>false</ap:LinksUpToDate>
  <ap:CharactersWithSpaces>12551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2024-08-29T08:35:00.0000000Z</lastPrinted>
  <dcterms:created xsi:type="dcterms:W3CDTF">2024-09-10T06:48:00.0000000Z</dcterms:created>
  <dcterms:modified xsi:type="dcterms:W3CDTF">2024-09-10T06:48:00.0000000Z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BZCountryState">
    <vt:lpwstr>13;#Not applicable|ec01d90b-9d0f-4785-8785-e1ea615196bf</vt:lpwstr>
  </property>
  <property fmtid="{D5CDD505-2E9C-101B-9397-08002B2CF9AE}" pid="4" name="BZForumOrganisation">
    <vt:lpwstr>2;#Not applicable|0049e722-bfb1-4a3f-9d08-af7366a9af40</vt:lpwstr>
  </property>
  <property fmtid="{D5CDD505-2E9C-101B-9397-08002B2CF9AE}" pid="5" name="BZMarking">
    <vt:lpwstr>5;#X|0a4eb9ae-69eb-4d9e-b573-43ab99ef8592</vt:lpwstr>
  </property>
  <property fmtid="{D5CDD505-2E9C-101B-9397-08002B2CF9AE}" pid="6" name="BZTheme">
    <vt:lpwstr>9;#Not applicable|ec01d90b-9d0f-4785-8785-e1ea615196bf</vt:lpwstr>
  </property>
  <property fmtid="{D5CDD505-2E9C-101B-9397-08002B2CF9AE}" pid="7" name="BZClassification">
    <vt:lpwstr>4;#X|284e6a62-15ab-4017-be27-a1e965f4e940</vt:lpwstr>
  </property>
  <property fmtid="{D5CDD505-2E9C-101B-9397-08002B2CF9AE}" pid="8" name="_dlc_DocIdItemGuid">
    <vt:lpwstr>85ca5d0d-576e-43b0-ba47-edfc6e2aadef</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