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D25E0" w:rsidTr="00E604AA" w14:paraId="61ECA0E1" w14:textId="77777777">
        <w:trPr>
          <w:trHeight w:val="1514"/>
        </w:trPr>
        <w:tc>
          <w:tcPr>
            <w:tcW w:w="7522" w:type="dxa"/>
            <w:tcBorders>
              <w:top w:val="nil"/>
              <w:left w:val="nil"/>
              <w:bottom w:val="nil"/>
              <w:right w:val="nil"/>
            </w:tcBorders>
            <w:tcMar>
              <w:left w:w="0" w:type="dxa"/>
              <w:right w:w="0" w:type="dxa"/>
            </w:tcMar>
          </w:tcPr>
          <w:p w:rsidRPr="00E668FC" w:rsidR="00E96B71" w:rsidP="00E96B71" w:rsidRDefault="00E96B71" w14:paraId="35C83D0C" w14:textId="77777777">
            <w:r w:rsidRPr="00E668FC">
              <w:t>De voorzitter van de Tweede Kamer der Staten-Generaal</w:t>
            </w:r>
          </w:p>
          <w:p w:rsidR="00E96B71" w:rsidP="00E96B71" w:rsidRDefault="00E96B71" w14:paraId="5DDAD351" w14:textId="77777777">
            <w:r>
              <w:t>Postbus 20018</w:t>
            </w:r>
          </w:p>
          <w:p w:rsidR="00E96B71" w:rsidP="00E96B71" w:rsidRDefault="00E96B71" w14:paraId="2EE9C216" w14:textId="77777777">
            <w:r>
              <w:t>2500 EA  DEN HAAG</w:t>
            </w:r>
          </w:p>
          <w:p w:rsidR="00650C9D" w:rsidP="00650C9D" w:rsidRDefault="00650C9D" w14:paraId="1B10005C" w14:textId="77777777"/>
          <w:p w:rsidRPr="00650C9D" w:rsidR="001475E9" w:rsidP="00650C9D" w:rsidRDefault="007F7207" w14:paraId="4FEA9CD1" w14:textId="77777777">
            <w:r w:rsidRPr="007F7207">
              <w:t xml:space="preserve"> </w:t>
            </w:r>
          </w:p>
          <w:p w:rsidRPr="007F7207" w:rsidR="007F7207" w:rsidP="007F7207" w:rsidRDefault="003F573F" w14:paraId="768EDE21" w14:textId="77777777">
            <w:r>
              <w:t xml:space="preserve"> </w:t>
            </w:r>
            <w:r w:rsidR="005F4B74">
              <w:t xml:space="preserve"> </w:t>
            </w:r>
            <w:r w:rsidR="00BE15AC">
              <w:t xml:space="preserve"> </w:t>
            </w:r>
          </w:p>
        </w:tc>
      </w:tr>
    </w:tbl>
    <w:p w:rsidR="008D25E0" w:rsidRDefault="008D25E0" w14:paraId="4DE4D28C" w14:textId="77777777"/>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D25E0" w:rsidTr="00556757" w14:paraId="7E862CB4" w14:textId="77777777">
        <w:trPr>
          <w:trHeight w:val="284" w:hRule="exact"/>
        </w:trPr>
        <w:tc>
          <w:tcPr>
            <w:tcW w:w="929" w:type="dxa"/>
            <w:hideMark/>
          </w:tcPr>
          <w:p w:rsidR="00556757" w:rsidRDefault="005F4B74" w14:paraId="5E6E1388" w14:textId="77777777">
            <w:r>
              <w:t>Datum</w:t>
            </w:r>
          </w:p>
        </w:tc>
        <w:tc>
          <w:tcPr>
            <w:tcW w:w="6581" w:type="dxa"/>
            <w:hideMark/>
          </w:tcPr>
          <w:p w:rsidR="00556757" w:rsidRDefault="004907B4" w14:paraId="3FF03DF8" w14:textId="14944E44">
            <w:pPr>
              <w:tabs>
                <w:tab w:val="center" w:pos="3290"/>
              </w:tabs>
            </w:pPr>
            <w:r>
              <w:t>4 september 2024</w:t>
            </w:r>
            <w:r w:rsidR="005F4B74">
              <w:tab/>
            </w:r>
          </w:p>
        </w:tc>
      </w:tr>
      <w:tr w:rsidR="008D25E0" w:rsidTr="00556757" w14:paraId="5501C39B" w14:textId="77777777">
        <w:trPr>
          <w:trHeight w:val="369"/>
        </w:trPr>
        <w:tc>
          <w:tcPr>
            <w:tcW w:w="929" w:type="dxa"/>
            <w:hideMark/>
          </w:tcPr>
          <w:p w:rsidR="00556757" w:rsidRDefault="005F4B74" w14:paraId="7C6DFEE1" w14:textId="77777777">
            <w:r>
              <w:t>Betreft</w:t>
            </w:r>
          </w:p>
        </w:tc>
        <w:tc>
          <w:tcPr>
            <w:tcW w:w="6581" w:type="dxa"/>
            <w:hideMark/>
          </w:tcPr>
          <w:p w:rsidR="00556757" w:rsidP="007661C9" w:rsidRDefault="005F4B74" w14:paraId="22D809EE" w14:textId="77777777">
            <w:r>
              <w:t xml:space="preserve">Antwoord op schriftelijke vragen lid Ceder over instandhouding en herbestemming kerkgebouwen </w:t>
            </w:r>
          </w:p>
        </w:tc>
      </w:tr>
    </w:tbl>
    <w:p w:rsidR="008D25E0" w:rsidRDefault="0091200D" w14:paraId="3FB9EA79" w14:textId="77777777">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D25E0" w:rsidTr="00151402" w14:paraId="536EEFF6" w14:textId="77777777">
        <w:tc>
          <w:tcPr>
            <w:tcW w:w="2160" w:type="dxa"/>
          </w:tcPr>
          <w:p w:rsidR="00D57D9F" w:rsidP="0022432C" w:rsidRDefault="005F4B74" w14:paraId="5A6503A4" w14:textId="77777777">
            <w:pPr>
              <w:spacing w:line="180" w:lineRule="atLeast"/>
              <w:rPr>
                <w:b/>
                <w:sz w:val="13"/>
                <w:szCs w:val="13"/>
              </w:rPr>
            </w:pPr>
            <w:r>
              <w:rPr>
                <w:b/>
                <w:sz w:val="13"/>
                <w:szCs w:val="13"/>
              </w:rPr>
              <w:t>Erfgoed en Kunsten</w:t>
            </w:r>
          </w:p>
          <w:p w:rsidRPr="00151402" w:rsidR="00151402" w:rsidP="0022432C" w:rsidRDefault="005F4B74" w14:paraId="704982B1" w14:textId="77777777">
            <w:pPr>
              <w:pStyle w:val="Huisstijl-Gegeven"/>
              <w:spacing w:after="0"/>
            </w:pPr>
            <w:r>
              <w:t xml:space="preserve">Rijnstraat 50 </w:t>
            </w:r>
          </w:p>
          <w:p w:rsidR="004425A7" w:rsidP="00E972A2" w:rsidRDefault="005F4B74" w14:paraId="4F27B184" w14:textId="77777777">
            <w:pPr>
              <w:pStyle w:val="Huisstijl-Gegeven"/>
              <w:spacing w:after="0"/>
            </w:pPr>
            <w:r>
              <w:t>Den Haag</w:t>
            </w:r>
          </w:p>
          <w:p w:rsidR="004425A7" w:rsidP="00E972A2" w:rsidRDefault="005F4B74" w14:paraId="40D2007A" w14:textId="77777777">
            <w:pPr>
              <w:pStyle w:val="Huisstijl-Gegeven"/>
              <w:spacing w:after="0"/>
            </w:pPr>
            <w:r>
              <w:t>Postbus 16375</w:t>
            </w:r>
          </w:p>
          <w:p w:rsidR="004425A7" w:rsidP="00E972A2" w:rsidRDefault="005F4B74" w14:paraId="536914E5" w14:textId="77777777">
            <w:pPr>
              <w:pStyle w:val="Huisstijl-Gegeven"/>
              <w:spacing w:after="0"/>
            </w:pPr>
            <w:r>
              <w:t>2500 BJ Den Haag</w:t>
            </w:r>
          </w:p>
          <w:p w:rsidR="004425A7" w:rsidP="00E972A2" w:rsidRDefault="005F4B74" w14:paraId="01538776" w14:textId="77777777">
            <w:pPr>
              <w:pStyle w:val="Huisstijl-Gegeven"/>
              <w:spacing w:after="90"/>
            </w:pPr>
            <w:r>
              <w:t>www.rijksoverheid.nl</w:t>
            </w:r>
          </w:p>
          <w:p w:rsidRPr="00D86CC6" w:rsidR="00D57D9F" w:rsidP="00CC0BAE" w:rsidRDefault="005F4B74" w14:paraId="7C806D6A" w14:textId="77777777">
            <w:pPr>
              <w:rPr>
                <w:b/>
                <w:sz w:val="13"/>
                <w:szCs w:val="13"/>
              </w:rPr>
            </w:pPr>
            <w:r>
              <w:rPr>
                <w:b/>
                <w:sz w:val="13"/>
                <w:szCs w:val="13"/>
              </w:rPr>
              <w:t>Contactpersoon</w:t>
            </w:r>
          </w:p>
          <w:p w:rsidRPr="00A32073" w:rsidR="00D57D9F" w:rsidP="00D33E17" w:rsidRDefault="00D57D9F" w14:paraId="5EADFA79" w14:textId="6F8FE2A2">
            <w:pPr>
              <w:spacing w:line="180" w:lineRule="exact"/>
              <w:rPr>
                <w:sz w:val="13"/>
                <w:szCs w:val="13"/>
              </w:rPr>
            </w:pPr>
          </w:p>
        </w:tc>
      </w:tr>
      <w:tr w:rsidR="008D25E0" w:rsidTr="00151402" w14:paraId="17317D0C" w14:textId="77777777">
        <w:trPr>
          <w:trHeight w:val="450"/>
        </w:trPr>
        <w:tc>
          <w:tcPr>
            <w:tcW w:w="2160" w:type="dxa"/>
          </w:tcPr>
          <w:p w:rsidR="00D57D9F" w:rsidP="00CC0BAE" w:rsidRDefault="005F4B74" w14:paraId="61F8A1CF" w14:textId="77777777">
            <w:pPr>
              <w:rPr>
                <w:b/>
                <w:sz w:val="13"/>
                <w:szCs w:val="13"/>
              </w:rPr>
            </w:pPr>
            <w:r w:rsidRPr="00C54BBA">
              <w:rPr>
                <w:b/>
                <w:sz w:val="13"/>
                <w:szCs w:val="13"/>
              </w:rPr>
              <w:t>Onze referentie</w:t>
            </w:r>
          </w:p>
          <w:p w:rsidRPr="00D74F66" w:rsidR="00D57D9F" w:rsidP="00567339" w:rsidRDefault="00703CE5" w14:paraId="1A645C31" w14:textId="1430A77E">
            <w:pPr>
              <w:tabs>
                <w:tab w:val="center" w:pos="1080"/>
              </w:tabs>
              <w:spacing w:line="180" w:lineRule="exact"/>
              <w:rPr>
                <w:sz w:val="13"/>
                <w:szCs w:val="13"/>
              </w:rPr>
            </w:pPr>
            <w:r w:rsidRPr="00703CE5">
              <w:rPr>
                <w:sz w:val="13"/>
                <w:szCs w:val="13"/>
              </w:rPr>
              <w:t>47844252</w:t>
            </w:r>
          </w:p>
        </w:tc>
      </w:tr>
      <w:tr w:rsidR="005F4B74" w:rsidTr="00151402" w14:paraId="1CE17834" w14:textId="77777777">
        <w:trPr>
          <w:trHeight w:val="222"/>
        </w:trPr>
        <w:tc>
          <w:tcPr>
            <w:tcW w:w="2160" w:type="dxa"/>
          </w:tcPr>
          <w:p w:rsidR="005F4B74" w:rsidP="005F4B74" w:rsidRDefault="005F4B74" w14:paraId="35AEC1A5" w14:textId="77777777">
            <w:pPr>
              <w:tabs>
                <w:tab w:val="left" w:pos="1890"/>
              </w:tabs>
              <w:spacing w:line="180" w:lineRule="exact"/>
              <w:rPr>
                <w:b/>
                <w:sz w:val="13"/>
                <w:szCs w:val="13"/>
              </w:rPr>
            </w:pPr>
          </w:p>
          <w:p w:rsidRPr="005F4B74" w:rsidR="005F4B74" w:rsidP="005F4B74" w:rsidRDefault="005F4B74" w14:paraId="29CE0BA9" w14:textId="78CA17E2">
            <w:pPr>
              <w:tabs>
                <w:tab w:val="left" w:pos="1890"/>
              </w:tabs>
              <w:spacing w:line="180" w:lineRule="exact"/>
              <w:rPr>
                <w:b/>
                <w:sz w:val="13"/>
                <w:szCs w:val="13"/>
              </w:rPr>
            </w:pPr>
            <w:r w:rsidRPr="00003544">
              <w:rPr>
                <w:b/>
                <w:sz w:val="13"/>
                <w:szCs w:val="13"/>
              </w:rPr>
              <w:t>Uw brief</w:t>
            </w:r>
            <w:r>
              <w:rPr>
                <w:b/>
                <w:sz w:val="13"/>
                <w:szCs w:val="13"/>
              </w:rPr>
              <w:br/>
            </w:r>
            <w:r>
              <w:rPr>
                <w:sz w:val="13"/>
                <w:szCs w:val="13"/>
              </w:rPr>
              <w:t>11 juli 2024</w:t>
            </w:r>
          </w:p>
          <w:p w:rsidRPr="005F4B74" w:rsidR="005F4B74" w:rsidP="005F4B74" w:rsidRDefault="005F4B74" w14:paraId="60970681" w14:textId="737FD911">
            <w:pPr>
              <w:spacing w:before="90" w:line="180" w:lineRule="exact"/>
              <w:rPr>
                <w:iCs/>
                <w:sz w:val="13"/>
                <w:szCs w:val="13"/>
              </w:rPr>
            </w:pPr>
          </w:p>
        </w:tc>
      </w:tr>
      <w:tr w:rsidR="005F4B74" w:rsidTr="00151402" w14:paraId="00783485" w14:textId="77777777">
        <w:trPr>
          <w:trHeight w:val="222"/>
        </w:trPr>
        <w:tc>
          <w:tcPr>
            <w:tcW w:w="2160" w:type="dxa"/>
          </w:tcPr>
          <w:p w:rsidRPr="004A65A5" w:rsidR="005F4B74" w:rsidP="005F4B74" w:rsidRDefault="005F4B74" w14:paraId="1E838EA3" w14:textId="77777777">
            <w:pPr>
              <w:spacing w:line="180" w:lineRule="exact"/>
              <w:rPr>
                <w:b/>
                <w:sz w:val="13"/>
                <w:szCs w:val="13"/>
              </w:rPr>
            </w:pPr>
            <w:r>
              <w:rPr>
                <w:b/>
                <w:sz w:val="13"/>
                <w:szCs w:val="13"/>
              </w:rPr>
              <w:t>Uw referentie</w:t>
            </w:r>
          </w:p>
          <w:p w:rsidRPr="00003544" w:rsidR="005F4B74" w:rsidP="005F4B74" w:rsidRDefault="005F4B74" w14:paraId="3442C479" w14:textId="3803BF29">
            <w:pPr>
              <w:tabs>
                <w:tab w:val="left" w:pos="1890"/>
              </w:tabs>
              <w:spacing w:line="180" w:lineRule="exact"/>
              <w:rPr>
                <w:b/>
                <w:sz w:val="13"/>
                <w:szCs w:val="13"/>
              </w:rPr>
            </w:pPr>
            <w:r>
              <w:rPr>
                <w:sz w:val="13"/>
              </w:rPr>
              <w:t>2024Z11959</w:t>
            </w:r>
          </w:p>
        </w:tc>
      </w:tr>
    </w:tbl>
    <w:p w:rsidR="00B23742" w:rsidP="003A7160" w:rsidRDefault="005F4B74" w14:paraId="10CD279A" w14:textId="7C8521FF">
      <w:r>
        <w:t xml:space="preserve">Hierbij stuur ik u de antwoorden op de schriftelijke vragen van het lid Ceder (CU) over instandhouding en herbestemming van kerkgebouwen. </w:t>
      </w:r>
    </w:p>
    <w:p w:rsidR="005F4B74" w:rsidP="003A7160" w:rsidRDefault="005F4B74" w14:paraId="22C31D59" w14:textId="7572F4A1"/>
    <w:p w:rsidR="005F4B74" w:rsidP="003A7160" w:rsidRDefault="005F4B74" w14:paraId="62751ADD" w14:textId="31E7D9DF">
      <w:r>
        <w:t xml:space="preserve">De vragen werden ingezonden op 11 juli 2024. </w:t>
      </w:r>
    </w:p>
    <w:p w:rsidR="00D342F4" w:rsidP="003A7160" w:rsidRDefault="00D342F4" w14:paraId="29750814" w14:textId="77777777"/>
    <w:p w:rsidR="00184B30" w:rsidP="00A60B58" w:rsidRDefault="00184B30" w14:paraId="31B22A13" w14:textId="77777777"/>
    <w:p w:rsidR="00CA48EF" w:rsidP="00A60B58" w:rsidRDefault="00703CE5" w14:paraId="1B04E250" w14:textId="2EC3F821">
      <w:pPr>
        <w:rPr>
          <w:szCs w:val="20"/>
        </w:rPr>
      </w:pPr>
      <w:r>
        <w:rPr>
          <w:szCs w:val="20"/>
        </w:rPr>
        <w:t>D</w:t>
      </w:r>
      <w:r w:rsidRPr="004B4901" w:rsidR="005F4B74">
        <w:rPr>
          <w:szCs w:val="20"/>
        </w:rPr>
        <w:t>e minister van On</w:t>
      </w:r>
      <w:r w:rsidR="005F4B74">
        <w:rPr>
          <w:szCs w:val="20"/>
        </w:rPr>
        <w:t>derwijs, Cultuur en Wetenschap,</w:t>
      </w:r>
    </w:p>
    <w:p w:rsidR="00530470" w:rsidP="003A64ED" w:rsidRDefault="00530470" w14:paraId="256ACE83" w14:textId="77777777">
      <w:pPr>
        <w:rPr>
          <w:szCs w:val="20"/>
        </w:rPr>
      </w:pPr>
    </w:p>
    <w:p w:rsidR="00530470" w:rsidP="003A64ED" w:rsidRDefault="00530470" w14:paraId="0D813AF4" w14:textId="77777777">
      <w:pPr>
        <w:rPr>
          <w:szCs w:val="20"/>
        </w:rPr>
      </w:pPr>
    </w:p>
    <w:p w:rsidR="00530470" w:rsidP="003A64ED" w:rsidRDefault="00530470" w14:paraId="31BF616F" w14:textId="77777777">
      <w:pPr>
        <w:rPr>
          <w:szCs w:val="20"/>
        </w:rPr>
      </w:pPr>
    </w:p>
    <w:p w:rsidR="00703CE5" w:rsidP="003A64ED" w:rsidRDefault="00703CE5" w14:paraId="61C1C2CA" w14:textId="77777777">
      <w:pPr>
        <w:pStyle w:val="standaard-tekst"/>
        <w:rPr>
          <w:sz w:val="18"/>
          <w:szCs w:val="18"/>
          <w:lang w:val="nl-NL"/>
        </w:rPr>
      </w:pPr>
    </w:p>
    <w:p w:rsidR="00703CE5" w:rsidP="003A64ED" w:rsidRDefault="00703CE5" w14:paraId="0DE254B3" w14:textId="77777777">
      <w:pPr>
        <w:pStyle w:val="standaard-tekst"/>
        <w:rPr>
          <w:sz w:val="18"/>
          <w:szCs w:val="18"/>
          <w:lang w:val="nl-NL"/>
        </w:rPr>
      </w:pPr>
    </w:p>
    <w:p w:rsidR="00530470" w:rsidP="003A64ED" w:rsidRDefault="005F4B74" w14:paraId="16099B0C" w14:textId="7B7D3835">
      <w:pPr>
        <w:pStyle w:val="standaard-tekst"/>
        <w:rPr>
          <w:sz w:val="18"/>
          <w:szCs w:val="18"/>
          <w:lang w:val="nl-NL"/>
        </w:rPr>
      </w:pPr>
      <w:r>
        <w:rPr>
          <w:sz w:val="18"/>
          <w:szCs w:val="18"/>
          <w:lang w:val="nl-NL"/>
        </w:rPr>
        <w:t>Eppo Bruins</w:t>
      </w:r>
    </w:p>
    <w:p w:rsidR="005F4B74" w:rsidP="003A64ED" w:rsidRDefault="005F4B74" w14:paraId="15178BD7" w14:textId="60A499B8">
      <w:pPr>
        <w:pStyle w:val="standaard-tekst"/>
        <w:rPr>
          <w:sz w:val="18"/>
          <w:szCs w:val="18"/>
          <w:lang w:val="nl-NL"/>
        </w:rPr>
      </w:pPr>
      <w:r>
        <w:rPr>
          <w:sz w:val="18"/>
          <w:szCs w:val="18"/>
          <w:lang w:val="nl-NL"/>
        </w:rPr>
        <w:br/>
      </w:r>
    </w:p>
    <w:p w:rsidRPr="005F4B74" w:rsidR="005F4B74" w:rsidP="005F4B74" w:rsidRDefault="005F4B74" w14:paraId="28BBA821" w14:textId="70D645C7">
      <w:pPr>
        <w:spacing w:line="240" w:lineRule="auto"/>
        <w:rPr>
          <w:szCs w:val="18"/>
          <w:lang w:eastAsia="en-US"/>
        </w:rPr>
      </w:pPr>
      <w:r>
        <w:rPr>
          <w:szCs w:val="18"/>
        </w:rPr>
        <w:br w:type="page"/>
      </w:r>
    </w:p>
    <w:p w:rsidRPr="0042623B" w:rsidR="005F4B74" w:rsidP="005F4B74" w:rsidRDefault="005F4B74" w14:paraId="422DBC4D" w14:textId="7223A5AB">
      <w:r>
        <w:lastRenderedPageBreak/>
        <w:t>1</w:t>
      </w:r>
      <w:r>
        <w:br/>
        <w:t>Welke waarde hecht u aan de instandhouding van kerkelijk erfgoed en de herbestemming van kerken die hun oorspronkelijke functie verliezen?</w:t>
      </w:r>
      <w:r>
        <w:br/>
        <w:t> </w:t>
      </w:r>
      <w:r>
        <w:br/>
      </w:r>
      <w:r>
        <w:rPr>
          <w:i/>
          <w:iCs/>
        </w:rPr>
        <w:t>Ik hecht hier veel waarde aan</w:t>
      </w:r>
      <w:r w:rsidRPr="008C2241">
        <w:rPr>
          <w:i/>
          <w:iCs/>
        </w:rPr>
        <w:t xml:space="preserve">. </w:t>
      </w:r>
      <w:r w:rsidR="00C0601C">
        <w:rPr>
          <w:i/>
          <w:iCs/>
        </w:rPr>
        <w:t xml:space="preserve">Het Nederlands religieus erfgoed is ongekend rijk en divers. Kerkgebouwen zijn dragers van betekenis en zingeving. De herbestemming van kerken die hun oorspronkelijke functie verliezen heeft vaak ook een emotionele lading en gaat gepaard met herinneringen aan vervlogen tijden. </w:t>
      </w:r>
      <w:r w:rsidRPr="008C2241">
        <w:rPr>
          <w:i/>
          <w:iCs/>
        </w:rPr>
        <w:t xml:space="preserve">De opgave voor </w:t>
      </w:r>
      <w:r>
        <w:rPr>
          <w:i/>
          <w:iCs/>
        </w:rPr>
        <w:t xml:space="preserve">de instandhouding van </w:t>
      </w:r>
      <w:r w:rsidRPr="008C2241">
        <w:rPr>
          <w:i/>
          <w:iCs/>
        </w:rPr>
        <w:t>het religieus erfgoed is groot</w:t>
      </w:r>
      <w:r>
        <w:rPr>
          <w:i/>
          <w:iCs/>
        </w:rPr>
        <w:t xml:space="preserve">. Daarom ondersteun ik de instandhouding en herbestemming van dit erfgoed via onder meer het samenwerkingsverband Toekomst Religieus Erfgoed (TRE). Ook kunnen kerkeigenaren gebruikmaken van de herbestemmingsregeling. Een belangrijk deel van het budget van de Subsidieregeling Instandhouding Monumenten (Sim) komt ten goede aan kerkgebouwen. Tot slot worden talrijke monumentale  kerken ondersteund via de structurele en incidentele restauratieregelingen van rijk en provincies. </w:t>
      </w:r>
    </w:p>
    <w:p w:rsidR="005F4B74" w:rsidP="005F4B74" w:rsidRDefault="005F4B74" w14:paraId="6F9DA64B" w14:textId="77777777"/>
    <w:p w:rsidR="005F4B74" w:rsidP="005F4B74" w:rsidRDefault="005F4B74" w14:paraId="0E0180A9" w14:textId="77777777">
      <w:r>
        <w:t>2</w:t>
      </w:r>
      <w:r>
        <w:br/>
        <w:t>Op welke manier wilt u doorgaan met de uitvoering en doorontwikkeling van de nationale kerkenaanpak, zoals deze invulling krijgt in het programma Toekomst religieus erfgoed?</w:t>
      </w:r>
    </w:p>
    <w:p w:rsidR="005F4B74" w:rsidP="005F4B74" w:rsidRDefault="005F4B74" w14:paraId="71035BDF" w14:textId="77777777"/>
    <w:p w:rsidRPr="0042623B" w:rsidR="005F4B74" w:rsidP="005F4B74" w:rsidRDefault="005F4B74" w14:paraId="6AB19F25" w14:textId="5BA7F80F">
      <w:r>
        <w:rPr>
          <w:i/>
          <w:iCs/>
        </w:rPr>
        <w:t xml:space="preserve">Het samenwerkingsverband TRE bestaat uit overheden, gebedshuiseigenaren en vertegenwoordigers van erfgoedorganisaties. Samen zetten zij zich in voor de toekomst van het religieus erfgoed, onder meer door kennisdeling, het opstellen en uitwerken van kerkenvisies en het uitzetten van onderzoeken, bijvoorbeeld naar beheervormen en de implementatie van kerkenvisies. TRE loopt </w:t>
      </w:r>
      <w:r w:rsidR="00F24229">
        <w:rPr>
          <w:i/>
          <w:iCs/>
        </w:rPr>
        <w:t>tot en met 2025</w:t>
      </w:r>
      <w:r>
        <w:rPr>
          <w:i/>
          <w:iCs/>
        </w:rPr>
        <w:t xml:space="preserve"> door. De nadruk zal in deze periode liggen op een goede kennisborging en praktische uitwerking van alles wat het TRE in de afgelopen jaren heeft voortgebracht. </w:t>
      </w:r>
    </w:p>
    <w:p w:rsidR="005F4B74" w:rsidP="005F4B74" w:rsidRDefault="005F4B74" w14:paraId="3B3340C8" w14:textId="77777777"/>
    <w:p w:rsidRPr="00F24229" w:rsidR="00F24229" w:rsidP="00F24229" w:rsidRDefault="005F4B74" w14:paraId="1895605F" w14:textId="49D94830">
      <w:pPr>
        <w:rPr>
          <w:i/>
          <w:iCs/>
        </w:rPr>
      </w:pPr>
      <w:r>
        <w:t>3</w:t>
      </w:r>
      <w:r>
        <w:br/>
        <w:t>Bent u voornemens om het programma Toekomst religieus erfgoed voor de komende jaren te verlengen en met minimaal hetzelfde budget als in 2024 in de begroting op te nemen, zowel in 2025 als daarna? Zo nee, waarom niet?</w:t>
      </w:r>
      <w:r>
        <w:br/>
        <w:t> </w:t>
      </w:r>
      <w:r>
        <w:br/>
      </w:r>
      <w:r w:rsidR="003E7741">
        <w:rPr>
          <w:i/>
          <w:iCs/>
        </w:rPr>
        <w:t xml:space="preserve">Ik hecht waarde aan het programma Toekomst religieus erfgoed. </w:t>
      </w:r>
      <w:r w:rsidR="00F24229">
        <w:rPr>
          <w:i/>
          <w:iCs/>
        </w:rPr>
        <w:t>Het programma loopt door tot en met 2025. Over het vervolg zal ik uw Kamer voor de zomer van 2025 informeren.</w:t>
      </w:r>
    </w:p>
    <w:p w:rsidR="005F4B74" w:rsidP="005F4B74" w:rsidRDefault="005F4B74" w14:paraId="676597A6" w14:textId="77777777"/>
    <w:p w:rsidR="005F4B74" w:rsidP="005F4B74" w:rsidRDefault="005F4B74" w14:paraId="6EC04323" w14:textId="77777777"/>
    <w:p w:rsidRPr="0042623B" w:rsidR="005F4B74" w:rsidP="005F4B74" w:rsidRDefault="005F4B74" w14:paraId="60DC9611" w14:textId="25EEA144">
      <w:r>
        <w:t>4</w:t>
      </w:r>
      <w:r>
        <w:br/>
        <w:t>Op welke manier wilt u komende jaren gemeenten ondersteunen bij het uitvoeren van de kerkenvisies, zoals in Haarlem met het project ‘Buurtbakens’ gebeurt? Bent u bereid om in het kader van het programma Toekomst religieus erfgoed ook aandacht te geven aan de opvolging van de opgestelde kerkenvisies, waar het project ‘Buurtbakens’ een voorbeeld van is, deze opvolging te monitoren en hierover de Kamer te informeren?</w:t>
      </w:r>
      <w:r>
        <w:br/>
        <w:t> </w:t>
      </w:r>
      <w:r>
        <w:br/>
      </w:r>
      <w:r w:rsidR="00C0601C">
        <w:rPr>
          <w:i/>
          <w:iCs/>
        </w:rPr>
        <w:t xml:space="preserve">Ik draag de kerkenvisies en de daaruit voortkomende projecten een warm hart toe. </w:t>
      </w:r>
      <w:r>
        <w:rPr>
          <w:i/>
          <w:iCs/>
        </w:rPr>
        <w:t>Het ondersteunen en monitoren van het uitvoeren van de kerkenvisies is een belangrijke taak binnen het TRE. Of</w:t>
      </w:r>
      <w:r w:rsidR="00C0601C">
        <w:rPr>
          <w:i/>
          <w:iCs/>
        </w:rPr>
        <w:t xml:space="preserve"> en hoe</w:t>
      </w:r>
      <w:r>
        <w:rPr>
          <w:i/>
          <w:iCs/>
        </w:rPr>
        <w:t xml:space="preserve"> deze taak wordt voortgezet, is afhankelijk van het besluit dat wordt genomen over het vervolg van het programma. </w:t>
      </w:r>
      <w:r w:rsidR="00F24229">
        <w:rPr>
          <w:i/>
          <w:iCs/>
        </w:rPr>
        <w:t>Hierover zal ik de</w:t>
      </w:r>
      <w:r>
        <w:rPr>
          <w:i/>
          <w:iCs/>
        </w:rPr>
        <w:t xml:space="preserve"> Kamer voor de zomer van 2025 informeren. </w:t>
      </w:r>
    </w:p>
    <w:p w:rsidRPr="00145311" w:rsidR="005F4B74" w:rsidP="005F4B74" w:rsidRDefault="005F4B74" w14:paraId="0975E9DD" w14:textId="77777777">
      <w:pPr>
        <w:rPr>
          <w:i/>
          <w:iCs/>
        </w:rPr>
      </w:pPr>
    </w:p>
    <w:p w:rsidR="005F4B74" w:rsidP="005F4B74" w:rsidRDefault="005F4B74" w14:paraId="18338A0E" w14:textId="77777777"/>
    <w:p w:rsidR="005F4B74" w:rsidP="005F4B74" w:rsidRDefault="005F4B74" w14:paraId="0B99750B" w14:textId="34D63171">
      <w:r>
        <w:t>5</w:t>
      </w:r>
      <w:r>
        <w:br/>
        <w:t>Erkent u dat, naast inzetten op het behoud van het gebouw, de oorspronkelijke functie van een kerkgebouw van waarde is? Ziet u dat behoud van functie ervoor kan zorgen dat kerkgebouwen in stand worden gehouden en een goede bestemming hebben voor de toekomst?</w:t>
      </w:r>
    </w:p>
    <w:p w:rsidR="005F4B74" w:rsidP="005F4B74" w:rsidRDefault="005F4B74" w14:paraId="2CAC95BD" w14:textId="77777777"/>
    <w:p w:rsidRPr="00373BFC" w:rsidR="005F4B74" w:rsidP="005F4B74" w:rsidRDefault="00CB42E2" w14:paraId="192BCB7D" w14:textId="4345D370">
      <w:pPr>
        <w:rPr>
          <w:i/>
          <w:iCs/>
        </w:rPr>
      </w:pPr>
      <w:r>
        <w:rPr>
          <w:i/>
          <w:iCs/>
        </w:rPr>
        <w:t>De</w:t>
      </w:r>
      <w:r w:rsidR="005F4B74">
        <w:rPr>
          <w:i/>
          <w:iCs/>
        </w:rPr>
        <w:t xml:space="preserve"> oorspronkelijke functie van een kerkgebouw </w:t>
      </w:r>
      <w:r>
        <w:rPr>
          <w:i/>
          <w:iCs/>
        </w:rPr>
        <w:t xml:space="preserve">is </w:t>
      </w:r>
      <w:r w:rsidR="005F4B74">
        <w:rPr>
          <w:i/>
          <w:iCs/>
        </w:rPr>
        <w:t xml:space="preserve">van </w:t>
      </w:r>
      <w:r w:rsidR="00C0601C">
        <w:rPr>
          <w:i/>
          <w:iCs/>
        </w:rPr>
        <w:t xml:space="preserve">belangrijke emotionele en maatschappelijke </w:t>
      </w:r>
      <w:r w:rsidR="005F4B74">
        <w:rPr>
          <w:i/>
          <w:iCs/>
        </w:rPr>
        <w:t xml:space="preserve">waarde. Daar staat tegenover dat </w:t>
      </w:r>
      <w:r w:rsidR="00C0601C">
        <w:rPr>
          <w:i/>
          <w:iCs/>
        </w:rPr>
        <w:t>steeds minder Nederlanders met regelmaat een kerk of kerkdienst bezoeken. D</w:t>
      </w:r>
      <w:r w:rsidR="005F4B74">
        <w:rPr>
          <w:i/>
          <w:iCs/>
        </w:rPr>
        <w:t xml:space="preserve">e verwachting is </w:t>
      </w:r>
      <w:r w:rsidR="00C0601C">
        <w:rPr>
          <w:i/>
          <w:iCs/>
        </w:rPr>
        <w:t xml:space="preserve">daarom </w:t>
      </w:r>
      <w:r w:rsidR="005F4B74">
        <w:rPr>
          <w:i/>
          <w:iCs/>
        </w:rPr>
        <w:t xml:space="preserve">dat in de aankomende jaren honderden kerkgebouwen hun religieuze functie verliezen. Waar mogelijk wordt daarom ook ingezet op nevengebruik van het religieus erfgoed. </w:t>
      </w:r>
    </w:p>
    <w:p w:rsidR="005F4B74" w:rsidP="005F4B74" w:rsidRDefault="005F4B74" w14:paraId="6798F23F" w14:textId="77777777"/>
    <w:p w:rsidR="005F4B74" w:rsidP="005F4B74" w:rsidRDefault="005F4B74" w14:paraId="2FD2B0BF" w14:textId="3FFC5401">
      <w:r>
        <w:t>6</w:t>
      </w:r>
      <w:r>
        <w:br/>
        <w:t>Bent u bereid om de mogelijkheid tot het behoud van de oorspronkelijke functie van een kerkgebouw onderdeel te laten zijn het programma Toekomst religieus erfgoed, bijvoorbeeld door gemeenten te vragen de wensen en obstakels van (internationale) christelijke geloofsgemeenschappen die op zoek zijn naar een ruimte mee te nemen?</w:t>
      </w:r>
      <w:r>
        <w:br/>
      </w:r>
    </w:p>
    <w:p w:rsidRPr="00E03714" w:rsidR="005F4B74" w:rsidP="005F4B74" w:rsidRDefault="005F4B74" w14:paraId="40D35F69" w14:textId="6C309DF1">
      <w:pPr>
        <w:rPr>
          <w:i/>
          <w:iCs/>
        </w:rPr>
      </w:pPr>
      <w:r>
        <w:rPr>
          <w:i/>
          <w:iCs/>
        </w:rPr>
        <w:t>De toekomst van kerkgebouwen met behoud van de oorspronkelijke functie is al vanaf het begin onderdeel van het programma Toekomst religieus erfgoed. Graag kijk ik in overleg met de partijen binnen het TRE op welke wijze hier nog verder aandacht aan kan worden besteed, bijvoorbeeld als het gaat om de ruimtevraag van geloofsgemeenschappen</w:t>
      </w:r>
      <w:r w:rsidR="00C0601C">
        <w:rPr>
          <w:i/>
          <w:iCs/>
        </w:rPr>
        <w:t xml:space="preserve"> en hoe dit het beste onder de aandacht van gemeenten gebracht kan worden.</w:t>
      </w:r>
    </w:p>
    <w:p w:rsidR="005F4B74" w:rsidP="005F4B74" w:rsidRDefault="005F4B74" w14:paraId="50054B80" w14:textId="77777777"/>
    <w:p w:rsidRPr="005F4B74" w:rsidR="005F4B74" w:rsidP="005F4B74" w:rsidRDefault="005F4B74" w14:paraId="06BFCDBD" w14:textId="4DE824EE">
      <w:r>
        <w:t>7</w:t>
      </w:r>
      <w:r>
        <w:br/>
        <w:t>Bent u voornemens om de doelstelling van maximaal tien procent restauratieachterstand bij niet-woonhuis rijksmonumenten binnen tien jaar te halen? Zo ja, op welke manier wilt u deze doelstelling halen? Zo nee, waarom niet?</w:t>
      </w:r>
      <w:r>
        <w:br/>
        <w:t> </w:t>
      </w:r>
      <w:r>
        <w:br/>
      </w:r>
      <w:r w:rsidRPr="006B25CC">
        <w:rPr>
          <w:i/>
          <w:iCs/>
        </w:rPr>
        <w:t>Zoals aangegeven in de Kamerbrief over de uitkomsten van de verkenning naar het financieringsstelsel voor de monumentenzorg van 20 juni 2024</w:t>
      </w:r>
      <w:r w:rsidRPr="006B25CC">
        <w:rPr>
          <w:rStyle w:val="Voetnootmarkering"/>
          <w:i/>
          <w:iCs/>
        </w:rPr>
        <w:footnoteReference w:id="1"/>
      </w:r>
      <w:r w:rsidRPr="006B25CC">
        <w:rPr>
          <w:i/>
          <w:iCs/>
        </w:rPr>
        <w:t xml:space="preserve"> is er een aanvullende financieringsopgave van </w:t>
      </w:r>
      <w:r w:rsidRPr="006B25CC">
        <w:rPr>
          <w:rFonts w:cstheme="minorHAnsi"/>
          <w:i/>
          <w:iCs/>
        </w:rPr>
        <w:t>€770 miljoen om de restauratieachterstand onder niet-woonhuis rijksmonumenten binnen 10 jaar terug te brengen naar 10 procent.</w:t>
      </w:r>
      <w:r w:rsidRPr="006B25CC">
        <w:rPr>
          <w:i/>
          <w:iCs/>
        </w:rPr>
        <w:t xml:space="preserve"> Provincies, gemeenten en eigenaren van niet-woonhuisrijksmonumenten kunnen dit bedrag niet</w:t>
      </w:r>
      <w:r>
        <w:rPr>
          <w:i/>
          <w:iCs/>
        </w:rPr>
        <w:t xml:space="preserve"> geheel</w:t>
      </w:r>
      <w:r w:rsidRPr="006B25CC">
        <w:rPr>
          <w:i/>
          <w:iCs/>
        </w:rPr>
        <w:t xml:space="preserve"> zelf opbrengen. Binnen de huidige budgettaire kaders is het daarom niet mogelijk om invulling te kunnen geven aan deze doelstelling. </w:t>
      </w:r>
    </w:p>
    <w:p w:rsidR="005F4B74" w:rsidP="005F4B74" w:rsidRDefault="005F4B74" w14:paraId="23A1F1C0" w14:textId="77777777"/>
    <w:p w:rsidR="005F4B74" w:rsidP="005F4B74" w:rsidRDefault="005F4B74" w14:paraId="6C3557B5" w14:textId="2BC08929">
      <w:r>
        <w:t>8</w:t>
      </w:r>
      <w:r>
        <w:br/>
        <w:t>Hoe luidt uw reactie op het feit dat voor restauratieopgaven die de provinciale restauratieregelingen qua financiële omvang overstijgen, het huidige financieringsstelsel niet toereikend is, zoals geconcludeerd in het onderzoek uitgevoerd door onderzoeksbureaus Hylkema Erfgoed en Fenicks? 1)</w:t>
      </w:r>
      <w:r>
        <w:br/>
      </w:r>
    </w:p>
    <w:p w:rsidR="005F4B74" w:rsidP="005F4B74" w:rsidRDefault="005F4B74" w14:paraId="5572BAF5" w14:textId="77777777">
      <w:pPr>
        <w:rPr>
          <w:i/>
          <w:iCs/>
        </w:rPr>
      </w:pPr>
      <w:r w:rsidRPr="006B25CC">
        <w:rPr>
          <w:i/>
          <w:iCs/>
        </w:rPr>
        <w:t xml:space="preserve">Uit de verkenning naar het financieringsstelsel voor de monumentenzorg is gebleken dat de financiering van grote restauratieopgaven een belangrijk knelpunt vormt. Reden hiervoor is dat deze categorie opgaven vanwege hun financiële omvang niet in voldoende mate </w:t>
      </w:r>
      <w:r>
        <w:rPr>
          <w:i/>
          <w:iCs/>
        </w:rPr>
        <w:t>kan worden</w:t>
      </w:r>
      <w:r w:rsidRPr="006B25CC">
        <w:rPr>
          <w:i/>
          <w:iCs/>
        </w:rPr>
        <w:t xml:space="preserve"> bediend door de provinciale restauratieregelingen. Komende periode wil ik samen met provincies bekijken op welke wijze deze opgaven in de toekomst beter kunnen worden </w:t>
      </w:r>
      <w:r>
        <w:rPr>
          <w:i/>
          <w:iCs/>
        </w:rPr>
        <w:t>geadresseerd</w:t>
      </w:r>
      <w:r w:rsidRPr="006B25CC">
        <w:rPr>
          <w:i/>
          <w:iCs/>
        </w:rPr>
        <w:t>.  </w:t>
      </w:r>
    </w:p>
    <w:p w:rsidRPr="006B25CC" w:rsidR="005F4B74" w:rsidP="005F4B74" w:rsidRDefault="005F4B74" w14:paraId="2D7B1AC1" w14:textId="77777777">
      <w:pPr>
        <w:rPr>
          <w:i/>
          <w:iCs/>
        </w:rPr>
      </w:pPr>
    </w:p>
    <w:p w:rsidR="005F4B74" w:rsidP="005F4B74" w:rsidRDefault="005F4B74" w14:paraId="25AFB447" w14:textId="3A0F37C8">
      <w:r>
        <w:t>9</w:t>
      </w:r>
      <w:r>
        <w:br/>
        <w:t>Bent u bereid om te onderzoeken hoe instandhouding van monumenten (bijvoorbeeld kerkgebouwen) integraal kan worden ondersteund, waarbij restauratie waar nodig samengaat met herbestemming en verduurzaming, zoals geadviseerd in het rapport?</w:t>
      </w:r>
      <w:r>
        <w:br/>
      </w:r>
    </w:p>
    <w:p w:rsidRPr="006B25CC" w:rsidR="005F4B74" w:rsidP="005F4B74" w:rsidRDefault="005F4B74" w14:paraId="60A3D3EB" w14:textId="59869FEB">
      <w:pPr>
        <w:rPr>
          <w:i/>
          <w:iCs/>
        </w:rPr>
      </w:pPr>
      <w:r w:rsidRPr="006B25CC">
        <w:rPr>
          <w:i/>
          <w:iCs/>
        </w:rPr>
        <w:t xml:space="preserve">De verdeling van de restauratiemiddelen voor niet-woonhuis rijksmonumenten verloopt via de provincies. </w:t>
      </w:r>
      <w:r>
        <w:rPr>
          <w:i/>
          <w:iCs/>
        </w:rPr>
        <w:t>Hoe provinciale en landelijke regelingen op elkaar inwerken is onderdeel van het gesprek met de provincies dat ik in de komende periode aanga.</w:t>
      </w:r>
      <w:r w:rsidR="00C0601C">
        <w:rPr>
          <w:i/>
          <w:iCs/>
        </w:rPr>
        <w:t xml:space="preserve"> De bevindingen van het uitgevoerde onderzoek zal ik bij deze gesprekken betrekken. </w:t>
      </w:r>
    </w:p>
    <w:p w:rsidR="005F4B74" w:rsidP="005F4B74" w:rsidRDefault="005F4B74" w14:paraId="0805CD32" w14:textId="77777777">
      <w:r>
        <w:br/>
      </w:r>
    </w:p>
    <w:p w:rsidR="005F4B74" w:rsidP="005F4B74" w:rsidRDefault="005F4B74" w14:paraId="619D9D13" w14:textId="77777777">
      <w:r>
        <w:t>1) Bijlage bij Kamerstuk 32 156, nr. 128</w:t>
      </w:r>
      <w:r>
        <w:br/>
        <w:t xml:space="preserve">  </w:t>
      </w:r>
      <w:r>
        <w:br/>
      </w:r>
    </w:p>
    <w:p w:rsidRPr="00E03714" w:rsidR="005F4B74" w:rsidP="005F4B74" w:rsidRDefault="005F4B74" w14:paraId="769FDEA8" w14:textId="77777777">
      <w:pPr>
        <w:rPr>
          <w:sz w:val="20"/>
          <w:szCs w:val="20"/>
        </w:rPr>
      </w:pPr>
    </w:p>
    <w:p w:rsidRPr="004B4901" w:rsidR="005F4B74" w:rsidP="003A64ED" w:rsidRDefault="005F4B74" w14:paraId="65289337" w14:textId="77777777">
      <w:pPr>
        <w:pStyle w:val="standaard-tekst"/>
        <w:rPr>
          <w:sz w:val="18"/>
          <w:szCs w:val="18"/>
          <w:lang w:val="nl-NL"/>
        </w:rPr>
      </w:pPr>
    </w:p>
    <w:sectPr w:rsidRPr="004B4901" w:rsidR="005F4B74"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C99B" w14:textId="77777777" w:rsidR="00CB5863" w:rsidRDefault="00CB5863">
      <w:r>
        <w:separator/>
      </w:r>
    </w:p>
    <w:p w14:paraId="4BA5134E" w14:textId="77777777" w:rsidR="00CB5863" w:rsidRDefault="00CB5863"/>
  </w:endnote>
  <w:endnote w:type="continuationSeparator" w:id="0">
    <w:p w14:paraId="05EC163E" w14:textId="77777777" w:rsidR="00CB5863" w:rsidRDefault="00CB5863">
      <w:r>
        <w:continuationSeparator/>
      </w:r>
    </w:p>
    <w:p w14:paraId="4D1DF987" w14:textId="77777777" w:rsidR="00CB5863" w:rsidRDefault="00CB5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3A6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D25E0" w14:paraId="6313F5D5" w14:textId="77777777" w:rsidTr="004C7E1D">
      <w:trPr>
        <w:trHeight w:hRule="exact" w:val="357"/>
      </w:trPr>
      <w:tc>
        <w:tcPr>
          <w:tcW w:w="7603" w:type="dxa"/>
          <w:shd w:val="clear" w:color="auto" w:fill="auto"/>
        </w:tcPr>
        <w:p w14:paraId="33C55C88" w14:textId="77777777" w:rsidR="002F71BB" w:rsidRPr="004C7E1D" w:rsidRDefault="002F71BB" w:rsidP="004C7E1D">
          <w:pPr>
            <w:spacing w:line="180" w:lineRule="exact"/>
            <w:rPr>
              <w:sz w:val="13"/>
              <w:szCs w:val="13"/>
            </w:rPr>
          </w:pPr>
        </w:p>
      </w:tc>
      <w:tc>
        <w:tcPr>
          <w:tcW w:w="2172" w:type="dxa"/>
          <w:shd w:val="clear" w:color="auto" w:fill="auto"/>
        </w:tcPr>
        <w:p w14:paraId="357BA273" w14:textId="7A618EC9" w:rsidR="002F71BB" w:rsidRPr="004C7E1D" w:rsidRDefault="005F4B74"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907B4">
            <w:rPr>
              <w:szCs w:val="13"/>
            </w:rPr>
            <w:t>4</w:t>
          </w:r>
          <w:r w:rsidRPr="004C7E1D">
            <w:rPr>
              <w:szCs w:val="13"/>
            </w:rPr>
            <w:fldChar w:fldCharType="end"/>
          </w:r>
        </w:p>
      </w:tc>
    </w:tr>
  </w:tbl>
  <w:p w14:paraId="0FCAE75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D25E0" w14:paraId="020EF3BD" w14:textId="77777777" w:rsidTr="004C7E1D">
      <w:trPr>
        <w:trHeight w:hRule="exact" w:val="357"/>
      </w:trPr>
      <w:tc>
        <w:tcPr>
          <w:tcW w:w="7709" w:type="dxa"/>
          <w:shd w:val="clear" w:color="auto" w:fill="auto"/>
        </w:tcPr>
        <w:p w14:paraId="5AC4E51E" w14:textId="77777777" w:rsidR="00D17084" w:rsidRPr="004C7E1D" w:rsidRDefault="00D17084" w:rsidP="004C7E1D">
          <w:pPr>
            <w:spacing w:line="180" w:lineRule="exact"/>
            <w:rPr>
              <w:sz w:val="13"/>
              <w:szCs w:val="13"/>
            </w:rPr>
          </w:pPr>
        </w:p>
      </w:tc>
      <w:tc>
        <w:tcPr>
          <w:tcW w:w="2060" w:type="dxa"/>
          <w:shd w:val="clear" w:color="auto" w:fill="auto"/>
        </w:tcPr>
        <w:p w14:paraId="4E969640" w14:textId="7C782162" w:rsidR="00D17084" w:rsidRPr="004C7E1D" w:rsidRDefault="005F4B74"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907B4">
            <w:rPr>
              <w:szCs w:val="13"/>
            </w:rPr>
            <w:t>4</w:t>
          </w:r>
          <w:r w:rsidRPr="004C7E1D">
            <w:rPr>
              <w:szCs w:val="13"/>
            </w:rPr>
            <w:fldChar w:fldCharType="end"/>
          </w:r>
        </w:p>
      </w:tc>
    </w:tr>
  </w:tbl>
  <w:p w14:paraId="12A94F0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67D2" w14:textId="77777777" w:rsidR="00CB5863" w:rsidRDefault="00CB5863">
      <w:r>
        <w:separator/>
      </w:r>
    </w:p>
    <w:p w14:paraId="29719F75" w14:textId="77777777" w:rsidR="00CB5863" w:rsidRDefault="00CB5863"/>
  </w:footnote>
  <w:footnote w:type="continuationSeparator" w:id="0">
    <w:p w14:paraId="04769C16" w14:textId="77777777" w:rsidR="00CB5863" w:rsidRDefault="00CB5863">
      <w:r>
        <w:continuationSeparator/>
      </w:r>
    </w:p>
    <w:p w14:paraId="554EA4F3" w14:textId="77777777" w:rsidR="00CB5863" w:rsidRDefault="00CB5863"/>
  </w:footnote>
  <w:footnote w:id="1">
    <w:p w14:paraId="6E2DBD6D" w14:textId="77777777" w:rsidR="005F4B74" w:rsidRDefault="005F4B74" w:rsidP="005F4B74">
      <w:pPr>
        <w:pStyle w:val="Voetnoottekst"/>
      </w:pPr>
      <w:r>
        <w:rPr>
          <w:rStyle w:val="Voetnootmarkering"/>
        </w:rPr>
        <w:footnoteRef/>
      </w:r>
      <w:r>
        <w:t xml:space="preserve"> Kamerstuk 32156, nr. 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D25E0" w14:paraId="02F76817" w14:textId="77777777" w:rsidTr="006D2D53">
      <w:trPr>
        <w:trHeight w:hRule="exact" w:val="400"/>
      </w:trPr>
      <w:tc>
        <w:tcPr>
          <w:tcW w:w="7518" w:type="dxa"/>
          <w:shd w:val="clear" w:color="auto" w:fill="auto"/>
        </w:tcPr>
        <w:p w14:paraId="1840A49A" w14:textId="77777777" w:rsidR="00527BD4" w:rsidRPr="00275984" w:rsidRDefault="00527BD4" w:rsidP="00BF4427">
          <w:pPr>
            <w:pStyle w:val="Huisstijl-Rubricering"/>
          </w:pPr>
        </w:p>
      </w:tc>
    </w:tr>
  </w:tbl>
  <w:p w14:paraId="6860DA0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D25E0" w14:paraId="392F0B87" w14:textId="77777777" w:rsidTr="003B528D">
      <w:tc>
        <w:tcPr>
          <w:tcW w:w="2160" w:type="dxa"/>
          <w:shd w:val="clear" w:color="auto" w:fill="auto"/>
        </w:tcPr>
        <w:p w14:paraId="6699F831" w14:textId="77777777" w:rsidR="00FF7D29" w:rsidRPr="002F71BB" w:rsidRDefault="005F4B74" w:rsidP="006C2093">
          <w:pPr>
            <w:rPr>
              <w:b/>
              <w:sz w:val="13"/>
              <w:szCs w:val="13"/>
            </w:rPr>
          </w:pPr>
          <w:r w:rsidRPr="0052042A">
            <w:rPr>
              <w:b/>
              <w:sz w:val="13"/>
              <w:szCs w:val="13"/>
            </w:rPr>
            <w:t>Onze referentie</w:t>
          </w:r>
        </w:p>
        <w:p w14:paraId="3BD36DFB" w14:textId="3EC24549" w:rsidR="002F71BB" w:rsidRPr="000407BB" w:rsidRDefault="00703CE5" w:rsidP="008F6AD7">
          <w:pPr>
            <w:spacing w:after="90" w:line="180" w:lineRule="exact"/>
            <w:rPr>
              <w:sz w:val="13"/>
              <w:szCs w:val="13"/>
            </w:rPr>
          </w:pPr>
          <w:r w:rsidRPr="00703CE5">
            <w:rPr>
              <w:sz w:val="13"/>
              <w:szCs w:val="13"/>
            </w:rPr>
            <w:t>47844252</w:t>
          </w:r>
        </w:p>
      </w:tc>
    </w:tr>
    <w:tr w:rsidR="008D25E0" w14:paraId="3495BE25" w14:textId="77777777" w:rsidTr="002F71BB">
      <w:trPr>
        <w:trHeight w:val="259"/>
      </w:trPr>
      <w:tc>
        <w:tcPr>
          <w:tcW w:w="2160" w:type="dxa"/>
          <w:shd w:val="clear" w:color="auto" w:fill="auto"/>
        </w:tcPr>
        <w:p w14:paraId="5CDA0F9C" w14:textId="77777777" w:rsidR="00E35CF4" w:rsidRPr="002F71BB" w:rsidRDefault="00E35CF4" w:rsidP="0049501A">
          <w:pPr>
            <w:spacing w:line="180" w:lineRule="exact"/>
            <w:rPr>
              <w:i/>
              <w:sz w:val="13"/>
              <w:szCs w:val="13"/>
            </w:rPr>
          </w:pPr>
        </w:p>
      </w:tc>
    </w:tr>
  </w:tbl>
  <w:p w14:paraId="6FAC6F8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D25E0" w14:paraId="17E5F831" w14:textId="77777777" w:rsidTr="001377D4">
      <w:trPr>
        <w:trHeight w:val="2636"/>
      </w:trPr>
      <w:tc>
        <w:tcPr>
          <w:tcW w:w="737" w:type="dxa"/>
          <w:shd w:val="clear" w:color="auto" w:fill="auto"/>
        </w:tcPr>
        <w:p w14:paraId="51BC5A8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1E95464" w14:textId="77777777" w:rsidR="00704845" w:rsidRDefault="005F4B74" w:rsidP="0047126E">
          <w:pPr>
            <w:framePr w:w="3873" w:h="2625" w:hRule="exact" w:wrap="around" w:vAnchor="page" w:hAnchor="page" w:x="6323" w:y="1"/>
          </w:pPr>
          <w:r>
            <w:rPr>
              <w:noProof/>
              <w:lang w:val="en-US" w:eastAsia="en-US"/>
            </w:rPr>
            <w:drawing>
              <wp:inline distT="0" distB="0" distL="0" distR="0" wp14:anchorId="057E62A7" wp14:editId="5C9B61E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F576362" w14:textId="77777777" w:rsidR="00483ECA" w:rsidRDefault="00483ECA" w:rsidP="00D037A9"/>
        <w:p w14:paraId="468C8563" w14:textId="77777777" w:rsidR="005F2FA9" w:rsidRDefault="005F2FA9" w:rsidP="00082403"/>
      </w:tc>
    </w:tr>
  </w:tbl>
  <w:p w14:paraId="6C6F1F6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D25E0" w14:paraId="54CE2874" w14:textId="77777777" w:rsidTr="0008539E">
      <w:trPr>
        <w:trHeight w:hRule="exact" w:val="572"/>
      </w:trPr>
      <w:tc>
        <w:tcPr>
          <w:tcW w:w="7520" w:type="dxa"/>
          <w:shd w:val="clear" w:color="auto" w:fill="auto"/>
        </w:tcPr>
        <w:p w14:paraId="7E13B330" w14:textId="77777777" w:rsidR="00527BD4" w:rsidRPr="00963440" w:rsidRDefault="005F4B74" w:rsidP="003B6D32">
          <w:pPr>
            <w:pStyle w:val="Huisstijl-Adres"/>
            <w:spacing w:after="0"/>
          </w:pPr>
          <w:r w:rsidRPr="009E3B07">
            <w:t>&gt;Retouradres </w:t>
          </w:r>
          <w:r>
            <w:t>Postbus 16375 2500 BJ Den Haag</w:t>
          </w:r>
          <w:r w:rsidRPr="009E3B07">
            <w:t xml:space="preserve"> </w:t>
          </w:r>
        </w:p>
      </w:tc>
    </w:tr>
    <w:tr w:rsidR="008D25E0" w14:paraId="1685A121" w14:textId="77777777" w:rsidTr="00E776C6">
      <w:trPr>
        <w:cantSplit/>
        <w:trHeight w:hRule="exact" w:val="238"/>
      </w:trPr>
      <w:tc>
        <w:tcPr>
          <w:tcW w:w="7520" w:type="dxa"/>
          <w:shd w:val="clear" w:color="auto" w:fill="auto"/>
        </w:tcPr>
        <w:p w14:paraId="03F2D943" w14:textId="77777777" w:rsidR="00093ABC" w:rsidRPr="00963440" w:rsidRDefault="00093ABC" w:rsidP="00963440"/>
      </w:tc>
    </w:tr>
    <w:tr w:rsidR="008D25E0" w14:paraId="07912118" w14:textId="77777777" w:rsidTr="00E776C6">
      <w:trPr>
        <w:cantSplit/>
        <w:trHeight w:hRule="exact" w:val="1520"/>
      </w:trPr>
      <w:tc>
        <w:tcPr>
          <w:tcW w:w="7520" w:type="dxa"/>
          <w:shd w:val="clear" w:color="auto" w:fill="auto"/>
        </w:tcPr>
        <w:p w14:paraId="1F8334E6" w14:textId="77777777" w:rsidR="00A604D3" w:rsidRPr="00963440" w:rsidRDefault="00A604D3" w:rsidP="003B6D32"/>
      </w:tc>
    </w:tr>
    <w:tr w:rsidR="008D25E0" w14:paraId="0D388C29" w14:textId="77777777" w:rsidTr="00E776C6">
      <w:trPr>
        <w:trHeight w:hRule="exact" w:val="1077"/>
      </w:trPr>
      <w:tc>
        <w:tcPr>
          <w:tcW w:w="7520" w:type="dxa"/>
          <w:shd w:val="clear" w:color="auto" w:fill="auto"/>
        </w:tcPr>
        <w:p w14:paraId="65AF3869" w14:textId="77777777" w:rsidR="00596D5A" w:rsidRDefault="00596D5A" w:rsidP="00892BA5">
          <w:pPr>
            <w:tabs>
              <w:tab w:val="left" w:pos="740"/>
            </w:tabs>
            <w:autoSpaceDE w:val="0"/>
            <w:autoSpaceDN w:val="0"/>
            <w:adjustRightInd w:val="0"/>
            <w:rPr>
              <w:rFonts w:cs="Verdana"/>
              <w:szCs w:val="18"/>
            </w:rPr>
          </w:pPr>
        </w:p>
        <w:p w14:paraId="0E13F1CF" w14:textId="77777777" w:rsidR="00596D5A" w:rsidRDefault="00596D5A" w:rsidP="00596D5A">
          <w:pPr>
            <w:rPr>
              <w:rFonts w:cs="Verdana"/>
              <w:szCs w:val="18"/>
            </w:rPr>
          </w:pPr>
        </w:p>
        <w:p w14:paraId="2E3047A0" w14:textId="77777777" w:rsidR="00892BA5" w:rsidRPr="00596D5A" w:rsidRDefault="005F4B74" w:rsidP="00596D5A">
          <w:pPr>
            <w:tabs>
              <w:tab w:val="left" w:pos="4965"/>
            </w:tabs>
            <w:rPr>
              <w:rFonts w:cs="Verdana"/>
              <w:szCs w:val="18"/>
            </w:rPr>
          </w:pPr>
          <w:r>
            <w:rPr>
              <w:rFonts w:cs="Verdana"/>
              <w:szCs w:val="18"/>
            </w:rPr>
            <w:tab/>
          </w:r>
        </w:p>
      </w:tc>
    </w:tr>
  </w:tbl>
  <w:p w14:paraId="4D65BBDD" w14:textId="77777777" w:rsidR="006F273B" w:rsidRDefault="006F273B" w:rsidP="00BC4AE3">
    <w:pPr>
      <w:pStyle w:val="Koptekst"/>
    </w:pPr>
  </w:p>
  <w:p w14:paraId="52E4E540" w14:textId="77777777" w:rsidR="00153BD0" w:rsidRDefault="00153BD0" w:rsidP="00BC4AE3">
    <w:pPr>
      <w:pStyle w:val="Koptekst"/>
    </w:pPr>
  </w:p>
  <w:p w14:paraId="323BAB88" w14:textId="77777777" w:rsidR="0044605E" w:rsidRDefault="0044605E" w:rsidP="00BC4AE3">
    <w:pPr>
      <w:pStyle w:val="Koptekst"/>
    </w:pPr>
  </w:p>
  <w:p w14:paraId="36304DBC" w14:textId="77777777" w:rsidR="0044605E" w:rsidRDefault="0044605E" w:rsidP="00BC4AE3">
    <w:pPr>
      <w:pStyle w:val="Koptekst"/>
    </w:pPr>
  </w:p>
  <w:p w14:paraId="7622EA2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8380C26">
      <w:start w:val="1"/>
      <w:numFmt w:val="bullet"/>
      <w:pStyle w:val="Lijstopsomteken"/>
      <w:lvlText w:val="•"/>
      <w:lvlJc w:val="left"/>
      <w:pPr>
        <w:tabs>
          <w:tab w:val="num" w:pos="227"/>
        </w:tabs>
        <w:ind w:left="227" w:hanging="227"/>
      </w:pPr>
      <w:rPr>
        <w:rFonts w:ascii="Verdana" w:hAnsi="Verdana" w:hint="default"/>
        <w:sz w:val="18"/>
        <w:szCs w:val="18"/>
      </w:rPr>
    </w:lvl>
    <w:lvl w:ilvl="1" w:tplc="8884B23A" w:tentative="1">
      <w:start w:val="1"/>
      <w:numFmt w:val="bullet"/>
      <w:lvlText w:val="o"/>
      <w:lvlJc w:val="left"/>
      <w:pPr>
        <w:tabs>
          <w:tab w:val="num" w:pos="1440"/>
        </w:tabs>
        <w:ind w:left="1440" w:hanging="360"/>
      </w:pPr>
      <w:rPr>
        <w:rFonts w:ascii="Courier New" w:hAnsi="Courier New" w:cs="Courier New" w:hint="default"/>
      </w:rPr>
    </w:lvl>
    <w:lvl w:ilvl="2" w:tplc="010ED3D0" w:tentative="1">
      <w:start w:val="1"/>
      <w:numFmt w:val="bullet"/>
      <w:lvlText w:val=""/>
      <w:lvlJc w:val="left"/>
      <w:pPr>
        <w:tabs>
          <w:tab w:val="num" w:pos="2160"/>
        </w:tabs>
        <w:ind w:left="2160" w:hanging="360"/>
      </w:pPr>
      <w:rPr>
        <w:rFonts w:ascii="Wingdings" w:hAnsi="Wingdings" w:hint="default"/>
      </w:rPr>
    </w:lvl>
    <w:lvl w:ilvl="3" w:tplc="8E56FAB6" w:tentative="1">
      <w:start w:val="1"/>
      <w:numFmt w:val="bullet"/>
      <w:lvlText w:val=""/>
      <w:lvlJc w:val="left"/>
      <w:pPr>
        <w:tabs>
          <w:tab w:val="num" w:pos="2880"/>
        </w:tabs>
        <w:ind w:left="2880" w:hanging="360"/>
      </w:pPr>
      <w:rPr>
        <w:rFonts w:ascii="Symbol" w:hAnsi="Symbol" w:hint="default"/>
      </w:rPr>
    </w:lvl>
    <w:lvl w:ilvl="4" w:tplc="E272F38E" w:tentative="1">
      <w:start w:val="1"/>
      <w:numFmt w:val="bullet"/>
      <w:lvlText w:val="o"/>
      <w:lvlJc w:val="left"/>
      <w:pPr>
        <w:tabs>
          <w:tab w:val="num" w:pos="3600"/>
        </w:tabs>
        <w:ind w:left="3600" w:hanging="360"/>
      </w:pPr>
      <w:rPr>
        <w:rFonts w:ascii="Courier New" w:hAnsi="Courier New" w:cs="Courier New" w:hint="default"/>
      </w:rPr>
    </w:lvl>
    <w:lvl w:ilvl="5" w:tplc="10224C1A" w:tentative="1">
      <w:start w:val="1"/>
      <w:numFmt w:val="bullet"/>
      <w:lvlText w:val=""/>
      <w:lvlJc w:val="left"/>
      <w:pPr>
        <w:tabs>
          <w:tab w:val="num" w:pos="4320"/>
        </w:tabs>
        <w:ind w:left="4320" w:hanging="360"/>
      </w:pPr>
      <w:rPr>
        <w:rFonts w:ascii="Wingdings" w:hAnsi="Wingdings" w:hint="default"/>
      </w:rPr>
    </w:lvl>
    <w:lvl w:ilvl="6" w:tplc="0FBAB9A8" w:tentative="1">
      <w:start w:val="1"/>
      <w:numFmt w:val="bullet"/>
      <w:lvlText w:val=""/>
      <w:lvlJc w:val="left"/>
      <w:pPr>
        <w:tabs>
          <w:tab w:val="num" w:pos="5040"/>
        </w:tabs>
        <w:ind w:left="5040" w:hanging="360"/>
      </w:pPr>
      <w:rPr>
        <w:rFonts w:ascii="Symbol" w:hAnsi="Symbol" w:hint="default"/>
      </w:rPr>
    </w:lvl>
    <w:lvl w:ilvl="7" w:tplc="D78EE136" w:tentative="1">
      <w:start w:val="1"/>
      <w:numFmt w:val="bullet"/>
      <w:lvlText w:val="o"/>
      <w:lvlJc w:val="left"/>
      <w:pPr>
        <w:tabs>
          <w:tab w:val="num" w:pos="5760"/>
        </w:tabs>
        <w:ind w:left="5760" w:hanging="360"/>
      </w:pPr>
      <w:rPr>
        <w:rFonts w:ascii="Courier New" w:hAnsi="Courier New" w:cs="Courier New" w:hint="default"/>
      </w:rPr>
    </w:lvl>
    <w:lvl w:ilvl="8" w:tplc="8F285E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B50166E">
      <w:start w:val="1"/>
      <w:numFmt w:val="bullet"/>
      <w:pStyle w:val="Lijstopsomteken2"/>
      <w:lvlText w:val="–"/>
      <w:lvlJc w:val="left"/>
      <w:pPr>
        <w:tabs>
          <w:tab w:val="num" w:pos="227"/>
        </w:tabs>
        <w:ind w:left="227" w:firstLine="0"/>
      </w:pPr>
      <w:rPr>
        <w:rFonts w:ascii="Verdana" w:hAnsi="Verdana" w:hint="default"/>
      </w:rPr>
    </w:lvl>
    <w:lvl w:ilvl="1" w:tplc="DA8CD5E8" w:tentative="1">
      <w:start w:val="1"/>
      <w:numFmt w:val="bullet"/>
      <w:lvlText w:val="o"/>
      <w:lvlJc w:val="left"/>
      <w:pPr>
        <w:tabs>
          <w:tab w:val="num" w:pos="1440"/>
        </w:tabs>
        <w:ind w:left="1440" w:hanging="360"/>
      </w:pPr>
      <w:rPr>
        <w:rFonts w:ascii="Courier New" w:hAnsi="Courier New" w:cs="Courier New" w:hint="default"/>
      </w:rPr>
    </w:lvl>
    <w:lvl w:ilvl="2" w:tplc="C9D0B7F8" w:tentative="1">
      <w:start w:val="1"/>
      <w:numFmt w:val="bullet"/>
      <w:lvlText w:val=""/>
      <w:lvlJc w:val="left"/>
      <w:pPr>
        <w:tabs>
          <w:tab w:val="num" w:pos="2160"/>
        </w:tabs>
        <w:ind w:left="2160" w:hanging="360"/>
      </w:pPr>
      <w:rPr>
        <w:rFonts w:ascii="Wingdings" w:hAnsi="Wingdings" w:hint="default"/>
      </w:rPr>
    </w:lvl>
    <w:lvl w:ilvl="3" w:tplc="1BAA9072" w:tentative="1">
      <w:start w:val="1"/>
      <w:numFmt w:val="bullet"/>
      <w:lvlText w:val=""/>
      <w:lvlJc w:val="left"/>
      <w:pPr>
        <w:tabs>
          <w:tab w:val="num" w:pos="2880"/>
        </w:tabs>
        <w:ind w:left="2880" w:hanging="360"/>
      </w:pPr>
      <w:rPr>
        <w:rFonts w:ascii="Symbol" w:hAnsi="Symbol" w:hint="default"/>
      </w:rPr>
    </w:lvl>
    <w:lvl w:ilvl="4" w:tplc="0922A160" w:tentative="1">
      <w:start w:val="1"/>
      <w:numFmt w:val="bullet"/>
      <w:lvlText w:val="o"/>
      <w:lvlJc w:val="left"/>
      <w:pPr>
        <w:tabs>
          <w:tab w:val="num" w:pos="3600"/>
        </w:tabs>
        <w:ind w:left="3600" w:hanging="360"/>
      </w:pPr>
      <w:rPr>
        <w:rFonts w:ascii="Courier New" w:hAnsi="Courier New" w:cs="Courier New" w:hint="default"/>
      </w:rPr>
    </w:lvl>
    <w:lvl w:ilvl="5" w:tplc="4E50B8DE" w:tentative="1">
      <w:start w:val="1"/>
      <w:numFmt w:val="bullet"/>
      <w:lvlText w:val=""/>
      <w:lvlJc w:val="left"/>
      <w:pPr>
        <w:tabs>
          <w:tab w:val="num" w:pos="4320"/>
        </w:tabs>
        <w:ind w:left="4320" w:hanging="360"/>
      </w:pPr>
      <w:rPr>
        <w:rFonts w:ascii="Wingdings" w:hAnsi="Wingdings" w:hint="default"/>
      </w:rPr>
    </w:lvl>
    <w:lvl w:ilvl="6" w:tplc="A06CBA20" w:tentative="1">
      <w:start w:val="1"/>
      <w:numFmt w:val="bullet"/>
      <w:lvlText w:val=""/>
      <w:lvlJc w:val="left"/>
      <w:pPr>
        <w:tabs>
          <w:tab w:val="num" w:pos="5040"/>
        </w:tabs>
        <w:ind w:left="5040" w:hanging="360"/>
      </w:pPr>
      <w:rPr>
        <w:rFonts w:ascii="Symbol" w:hAnsi="Symbol" w:hint="default"/>
      </w:rPr>
    </w:lvl>
    <w:lvl w:ilvl="7" w:tplc="DCFADF16" w:tentative="1">
      <w:start w:val="1"/>
      <w:numFmt w:val="bullet"/>
      <w:lvlText w:val="o"/>
      <w:lvlJc w:val="left"/>
      <w:pPr>
        <w:tabs>
          <w:tab w:val="num" w:pos="5760"/>
        </w:tabs>
        <w:ind w:left="5760" w:hanging="360"/>
      </w:pPr>
      <w:rPr>
        <w:rFonts w:ascii="Courier New" w:hAnsi="Courier New" w:cs="Courier New" w:hint="default"/>
      </w:rPr>
    </w:lvl>
    <w:lvl w:ilvl="8" w:tplc="E33E70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7763108">
    <w:abstractNumId w:val="10"/>
  </w:num>
  <w:num w:numId="2" w16cid:durableId="1339693759">
    <w:abstractNumId w:val="7"/>
  </w:num>
  <w:num w:numId="3" w16cid:durableId="2100446333">
    <w:abstractNumId w:val="6"/>
  </w:num>
  <w:num w:numId="4" w16cid:durableId="108281150">
    <w:abstractNumId w:val="5"/>
  </w:num>
  <w:num w:numId="5" w16cid:durableId="1411387711">
    <w:abstractNumId w:val="4"/>
  </w:num>
  <w:num w:numId="6" w16cid:durableId="889150309">
    <w:abstractNumId w:val="8"/>
  </w:num>
  <w:num w:numId="7" w16cid:durableId="1264071865">
    <w:abstractNumId w:val="3"/>
  </w:num>
  <w:num w:numId="8" w16cid:durableId="2082167915">
    <w:abstractNumId w:val="2"/>
  </w:num>
  <w:num w:numId="9" w16cid:durableId="1922059914">
    <w:abstractNumId w:val="1"/>
  </w:num>
  <w:num w:numId="10" w16cid:durableId="1437139653">
    <w:abstractNumId w:val="0"/>
  </w:num>
  <w:num w:numId="11" w16cid:durableId="838153489">
    <w:abstractNumId w:val="9"/>
  </w:num>
  <w:num w:numId="12" w16cid:durableId="603391466">
    <w:abstractNumId w:val="11"/>
  </w:num>
  <w:num w:numId="13" w16cid:durableId="99571154">
    <w:abstractNumId w:val="13"/>
  </w:num>
  <w:num w:numId="14" w16cid:durableId="3912747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4FDE"/>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39EC"/>
    <w:rsid w:val="003D40EA"/>
    <w:rsid w:val="003E3DD5"/>
    <w:rsid w:val="003E7741"/>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07B4"/>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4B74"/>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3D93"/>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3CE5"/>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25E0"/>
    <w:rsid w:val="008E0B3F"/>
    <w:rsid w:val="008E1341"/>
    <w:rsid w:val="008E49AD"/>
    <w:rsid w:val="008E698E"/>
    <w:rsid w:val="008F123F"/>
    <w:rsid w:val="008F2584"/>
    <w:rsid w:val="008F3246"/>
    <w:rsid w:val="008F3C1B"/>
    <w:rsid w:val="008F508C"/>
    <w:rsid w:val="008F6AD7"/>
    <w:rsid w:val="0090271B"/>
    <w:rsid w:val="00910642"/>
    <w:rsid w:val="00910DDF"/>
    <w:rsid w:val="0091200D"/>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0601C"/>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14"/>
    <w:rsid w:val="00C736E8"/>
    <w:rsid w:val="00C73D5F"/>
    <w:rsid w:val="00C965EF"/>
    <w:rsid w:val="00C97C80"/>
    <w:rsid w:val="00CA1D00"/>
    <w:rsid w:val="00CA47D3"/>
    <w:rsid w:val="00CA48EF"/>
    <w:rsid w:val="00CA6533"/>
    <w:rsid w:val="00CA6A25"/>
    <w:rsid w:val="00CA6A3F"/>
    <w:rsid w:val="00CA7C99"/>
    <w:rsid w:val="00CB42E2"/>
    <w:rsid w:val="00CB5863"/>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1B7E"/>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6B71"/>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2ECA"/>
    <w:rsid w:val="00F13A4E"/>
    <w:rsid w:val="00F1454F"/>
    <w:rsid w:val="00F172BB"/>
    <w:rsid w:val="00F17B10"/>
    <w:rsid w:val="00F17BFE"/>
    <w:rsid w:val="00F20147"/>
    <w:rsid w:val="00F21BEF"/>
    <w:rsid w:val="00F2315B"/>
    <w:rsid w:val="00F24229"/>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200ACE"/>
  <w15:docId w15:val="{6429AC27-2A6C-4E7E-BEFB-CFBF6921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uiPriority w:val="99"/>
    <w:unhideWhenUsed/>
    <w:rsid w:val="005F4B74"/>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5F4B74"/>
    <w:rPr>
      <w:rFonts w:asciiTheme="minorHAnsi" w:eastAsiaTheme="minorHAnsi" w:hAnsiTheme="minorHAnsi" w:cstheme="minorBidi"/>
      <w:lang w:val="nl-NL"/>
    </w:rPr>
  </w:style>
  <w:style w:type="character" w:styleId="Voetnootmarkering">
    <w:name w:val="footnote reference"/>
    <w:basedOn w:val="Standaardalinea-lettertype"/>
    <w:uiPriority w:val="99"/>
    <w:unhideWhenUsed/>
    <w:rsid w:val="005F4B74"/>
    <w:rPr>
      <w:vertAlign w:val="superscript"/>
    </w:rPr>
  </w:style>
  <w:style w:type="paragraph" w:styleId="Revisie">
    <w:name w:val="Revision"/>
    <w:hidden/>
    <w:uiPriority w:val="99"/>
    <w:semiHidden/>
    <w:rsid w:val="00C7361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1041</ap:Words>
  <ap:Characters>6104</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2024-09-04T08:31:00.0000000Z</lastPrinted>
  <dcterms:created xsi:type="dcterms:W3CDTF">2024-09-04T15:36:00.0000000Z</dcterms:created>
  <dcterms:modified xsi:type="dcterms:W3CDTF">2024-09-04T15:36:00.0000000Z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O200ETT</vt:lpwstr>
  </property>
  <property fmtid="{D5CDD505-2E9C-101B-9397-08002B2CF9AE}" pid="3" name="Author">
    <vt:lpwstr>O200ETT</vt:lpwstr>
  </property>
  <property fmtid="{D5CDD505-2E9C-101B-9397-08002B2CF9AE}" pid="4" name="cs_objectid">
    <vt:lpwstr>47844252</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Antwoord op schriftelijke vragen lid Ceder over instandhouding en herbestemming kerkgebouwen</vt:lpwstr>
  </property>
  <property fmtid="{D5CDD505-2E9C-101B-9397-08002B2CF9AE}" pid="8" name="ocw_directie">
    <vt:lpwstr>EENK/SB</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O200ETT</vt:lpwstr>
  </property>
</Properties>
</file>