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53C" w:rsidP="009B353C" w:rsidRDefault="009B353C" w14:paraId="28A4285F" w14:textId="5CC000C0">
      <w:pPr>
        <w:spacing w:line="276" w:lineRule="auto"/>
      </w:pPr>
      <w:r>
        <w:t>AH 2450</w:t>
      </w:r>
    </w:p>
    <w:p w:rsidR="009B353C" w:rsidP="009B353C" w:rsidRDefault="009B353C" w14:paraId="3E11622F" w14:textId="7EB8E3FF">
      <w:pPr>
        <w:spacing w:line="276" w:lineRule="auto"/>
      </w:pPr>
      <w:r>
        <w:t>2024Z12171</w:t>
      </w:r>
    </w:p>
    <w:p w:rsidR="009B353C" w:rsidP="009B353C" w:rsidRDefault="009B353C" w14:paraId="74308FF8" w14:textId="4B1EE76A">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4 september 2024)</w:t>
      </w:r>
    </w:p>
    <w:p w:rsidRPr="009B353C" w:rsidR="009B353C" w:rsidP="009B353C" w:rsidRDefault="009B353C" w14:paraId="5CF056A0" w14:textId="77777777">
      <w:pPr>
        <w:rPr>
          <w:sz w:val="24"/>
          <w:szCs w:val="24"/>
        </w:rPr>
      </w:pPr>
    </w:p>
    <w:p w:rsidR="009B353C" w:rsidP="009B353C" w:rsidRDefault="009B353C" w14:paraId="3CAD8DCB" w14:textId="77777777">
      <w:pPr>
        <w:spacing w:line="276" w:lineRule="auto"/>
      </w:pPr>
      <w:r>
        <w:rPr>
          <w:b/>
        </w:rPr>
        <w:t>Vraag 1</w:t>
      </w:r>
    </w:p>
    <w:p w:rsidR="009B353C" w:rsidP="009B353C" w:rsidRDefault="009B353C" w14:paraId="692570F2" w14:textId="77777777">
      <w:pPr>
        <w:spacing w:line="276" w:lineRule="auto"/>
      </w:pPr>
      <w:r>
        <w:t xml:space="preserve">Bent u ermee bekend dat Litouwen zich terug heeft getrokken uit het verdrag inzake clustermunitie? </w:t>
      </w:r>
      <w:r>
        <w:rPr>
          <w:rStyle w:val="Voetnootmarkering"/>
        </w:rPr>
        <w:footnoteReference w:id="1"/>
      </w:r>
    </w:p>
    <w:p w:rsidR="009B353C" w:rsidP="009B353C" w:rsidRDefault="009B353C" w14:paraId="5C6AE9B3" w14:textId="77777777">
      <w:pPr>
        <w:spacing w:line="276" w:lineRule="auto"/>
      </w:pPr>
    </w:p>
    <w:p w:rsidR="009B353C" w:rsidP="009B353C" w:rsidRDefault="009B353C" w14:paraId="0C94668D" w14:textId="77777777">
      <w:pPr>
        <w:spacing w:line="276" w:lineRule="auto"/>
      </w:pPr>
      <w:r>
        <w:rPr>
          <w:b/>
        </w:rPr>
        <w:t>Antwoord</w:t>
      </w:r>
    </w:p>
    <w:p w:rsidR="009B353C" w:rsidP="009B353C" w:rsidRDefault="009B353C" w14:paraId="342EDFA1" w14:textId="77777777">
      <w:pPr>
        <w:spacing w:line="276" w:lineRule="auto"/>
      </w:pPr>
      <w:r>
        <w:t>Ja.</w:t>
      </w:r>
    </w:p>
    <w:p w:rsidR="009B353C" w:rsidP="009B353C" w:rsidRDefault="009B353C" w14:paraId="0545E401" w14:textId="77777777">
      <w:pPr>
        <w:spacing w:line="276" w:lineRule="auto"/>
      </w:pPr>
    </w:p>
    <w:p w:rsidR="009B353C" w:rsidP="009B353C" w:rsidRDefault="009B353C" w14:paraId="6548BCE6" w14:textId="77777777">
      <w:pPr>
        <w:spacing w:line="276" w:lineRule="auto"/>
      </w:pPr>
      <w:r>
        <w:rPr>
          <w:b/>
        </w:rPr>
        <w:t>Vraag 2</w:t>
      </w:r>
    </w:p>
    <w:p w:rsidR="009B353C" w:rsidP="009B353C" w:rsidRDefault="009B353C" w14:paraId="3283A8C9" w14:textId="77777777">
      <w:pPr>
        <w:spacing w:line="276" w:lineRule="auto"/>
      </w:pPr>
      <w:r w:rsidRPr="007B0F2A">
        <w:t>Heeft u de reactie hierop gezien van de internationale coalitie tegen clustermunitie?</w:t>
      </w:r>
      <w:r>
        <w:t xml:space="preserve"> </w:t>
      </w:r>
      <w:r w:rsidRPr="007B0F2A">
        <w:t xml:space="preserve">Deelt u de zorgen van deze coalitie?  </w:t>
      </w:r>
    </w:p>
    <w:p w:rsidR="009B353C" w:rsidP="009B353C" w:rsidRDefault="009B353C" w14:paraId="7FEEE9B4" w14:textId="77777777">
      <w:pPr>
        <w:spacing w:line="276" w:lineRule="auto"/>
      </w:pPr>
    </w:p>
    <w:p w:rsidR="009B353C" w:rsidP="009B353C" w:rsidRDefault="009B353C" w14:paraId="0B88918F" w14:textId="77777777">
      <w:pPr>
        <w:spacing w:line="276" w:lineRule="auto"/>
      </w:pPr>
      <w:r>
        <w:rPr>
          <w:b/>
        </w:rPr>
        <w:t>Antwoord</w:t>
      </w:r>
    </w:p>
    <w:p w:rsidRPr="000E05C8" w:rsidR="009B353C" w:rsidP="009B353C" w:rsidRDefault="009B353C" w14:paraId="1144D579" w14:textId="77777777">
      <w:pPr>
        <w:spacing w:line="276" w:lineRule="auto"/>
      </w:pPr>
      <w:r>
        <w:t xml:space="preserve">Ja, het kabinet heeft kennisgenomen van de reactie. Als actief partij bij het Verdrag inzake clustermunitie (CCM) deelt Nederland de zorgen van de coalitie en betreurt het kabinet de keuze van Litouwen om zich terug te trekken uit het verdrag. </w:t>
      </w:r>
    </w:p>
    <w:p w:rsidR="009B353C" w:rsidP="009B353C" w:rsidRDefault="009B353C" w14:paraId="18BE311E" w14:textId="77777777">
      <w:pPr>
        <w:spacing w:line="276" w:lineRule="auto"/>
      </w:pPr>
    </w:p>
    <w:p w:rsidR="009B353C" w:rsidP="009B353C" w:rsidRDefault="009B353C" w14:paraId="536EFB2D" w14:textId="77777777">
      <w:pPr>
        <w:spacing w:line="276" w:lineRule="auto"/>
      </w:pPr>
      <w:r>
        <w:rPr>
          <w:b/>
        </w:rPr>
        <w:t>Vraag 3</w:t>
      </w:r>
    </w:p>
    <w:p w:rsidR="009B353C" w:rsidP="009B353C" w:rsidRDefault="009B353C" w14:paraId="63A6DECA" w14:textId="77777777">
      <w:pPr>
        <w:spacing w:line="276" w:lineRule="auto"/>
      </w:pPr>
      <w:r>
        <w:t>Bent u bereid om, met spoed, contact op te nemen met Litouwen om erop aan te dringen dat het land het besluit zich terug te trekken herziet? Zo nee, waarom niet?</w:t>
      </w:r>
    </w:p>
    <w:p w:rsidR="009B353C" w:rsidP="009B353C" w:rsidRDefault="009B353C" w14:paraId="13BDC560" w14:textId="77777777">
      <w:pPr>
        <w:spacing w:line="276" w:lineRule="auto"/>
      </w:pPr>
    </w:p>
    <w:p w:rsidR="009B353C" w:rsidP="009B353C" w:rsidRDefault="009B353C" w14:paraId="7249AD1E" w14:textId="77777777">
      <w:pPr>
        <w:spacing w:line="276" w:lineRule="auto"/>
      </w:pPr>
      <w:r>
        <w:rPr>
          <w:b/>
        </w:rPr>
        <w:t>Antwoord</w:t>
      </w:r>
    </w:p>
    <w:p w:rsidR="009B353C" w:rsidP="009B353C" w:rsidRDefault="009B353C" w14:paraId="0F834F6A" w14:textId="77777777">
      <w:pPr>
        <w:spacing w:line="276" w:lineRule="auto"/>
      </w:pPr>
      <w:r>
        <w:lastRenderedPageBreak/>
        <w:t>Voorop staat dat volgens artikel 20 van het CCM e</w:t>
      </w:r>
      <w:r w:rsidRPr="006E4CB7">
        <w:t xml:space="preserve">lke </w:t>
      </w:r>
      <w:r>
        <w:t>verdragsp</w:t>
      </w:r>
      <w:r w:rsidRPr="006E4CB7">
        <w:t xml:space="preserve">artij bij de uitoefening van zijn nationale soevereiniteit het recht </w:t>
      </w:r>
      <w:r>
        <w:t xml:space="preserve">heeft het CCM </w:t>
      </w:r>
      <w:r w:rsidRPr="006E4CB7">
        <w:t>op te zeggen.</w:t>
      </w:r>
      <w:r>
        <w:t xml:space="preserve"> </w:t>
      </w:r>
      <w:r w:rsidRPr="00AF7FC7">
        <w:t>Op 18 juli</w:t>
      </w:r>
      <w:r>
        <w:t xml:space="preserve"> jl.</w:t>
      </w:r>
      <w:r w:rsidRPr="00AF7FC7">
        <w:t xml:space="preserve"> </w:t>
      </w:r>
      <w:r>
        <w:t xml:space="preserve">heeft </w:t>
      </w:r>
      <w:r w:rsidRPr="00AF7FC7">
        <w:t xml:space="preserve">het parlement van Litouwen </w:t>
      </w:r>
      <w:r>
        <w:t xml:space="preserve">hiertoe </w:t>
      </w:r>
      <w:r w:rsidRPr="00AF7FC7">
        <w:t>een wetsvoorstel aan</w:t>
      </w:r>
      <w:r>
        <w:t>genomen</w:t>
      </w:r>
      <w:r w:rsidRPr="00AF7FC7">
        <w:t>. De</w:t>
      </w:r>
      <w:r>
        <w:t>ze</w:t>
      </w:r>
      <w:r w:rsidRPr="00AF7FC7">
        <w:t xml:space="preserve"> wet trad in werking op 26 juli, één dag nadat </w:t>
      </w:r>
      <w:r>
        <w:t>de wet</w:t>
      </w:r>
      <w:r w:rsidRPr="00AF7FC7">
        <w:t xml:space="preserve"> </w:t>
      </w:r>
      <w:r>
        <w:t>w</w:t>
      </w:r>
      <w:r w:rsidRPr="00AF7FC7">
        <w:t xml:space="preserve">as ondertekend door president </w:t>
      </w:r>
      <w:proofErr w:type="spellStart"/>
      <w:r w:rsidRPr="00AF7FC7">
        <w:t>Gitanas</w:t>
      </w:r>
      <w:proofErr w:type="spellEnd"/>
      <w:r w:rsidRPr="00AF7FC7">
        <w:t xml:space="preserve"> </w:t>
      </w:r>
      <w:proofErr w:type="spellStart"/>
      <w:r w:rsidRPr="00AF7FC7">
        <w:t>Nausėda</w:t>
      </w:r>
      <w:proofErr w:type="spellEnd"/>
      <w:r w:rsidRPr="00AF7FC7">
        <w:t>.</w:t>
      </w:r>
      <w:r>
        <w:t xml:space="preserve"> Zodra de Secretaris-Generaal van de Verenigde Naties de akte van opzegging van Litouwen ontvangt, begint een bedenktijd van zes maanden, waarna de opzegging van kracht wordt.   </w:t>
      </w:r>
    </w:p>
    <w:p w:rsidR="009B353C" w:rsidP="009B353C" w:rsidRDefault="009B353C" w14:paraId="3B8A3E32" w14:textId="77777777">
      <w:pPr>
        <w:spacing w:line="276" w:lineRule="auto"/>
      </w:pPr>
    </w:p>
    <w:p w:rsidR="009B353C" w:rsidP="009B353C" w:rsidRDefault="009B353C" w14:paraId="4180CFD8" w14:textId="77777777">
      <w:pPr>
        <w:spacing w:line="276" w:lineRule="auto"/>
      </w:pPr>
      <w:r>
        <w:t xml:space="preserve">Het kabinet heeft reeds contact gehad met Litouwse autoriteiten over het opzeggen van het verdrag. Hierbij heeft Nederland zorgen geuit, Litouwen wijst van zijn kant op de toenemende dreiging en </w:t>
      </w:r>
      <w:r w:rsidRPr="00450A4A">
        <w:t>geopolitieke omgeving</w:t>
      </w:r>
      <w:r>
        <w:t xml:space="preserve"> waar Litouwen zich in bevindt. Deze is het directe gevolg van de Russische agressie in Oekraïne. De Russische dreiging is ook een zorg voor Nederland en het NAVO-bondgenootschap en is één van de redenen waarom het kabinet investeert in de veiligheid van de regio, onder andere middels deelname aan de </w:t>
      </w:r>
      <w:r>
        <w:rPr>
          <w:i/>
          <w:iCs/>
        </w:rPr>
        <w:t xml:space="preserve">NATO </w:t>
      </w:r>
      <w:proofErr w:type="spellStart"/>
      <w:r>
        <w:rPr>
          <w:i/>
          <w:iCs/>
        </w:rPr>
        <w:t>Enhanced</w:t>
      </w:r>
      <w:proofErr w:type="spellEnd"/>
      <w:r>
        <w:rPr>
          <w:i/>
          <w:iCs/>
        </w:rPr>
        <w:t xml:space="preserve"> Forward </w:t>
      </w:r>
      <w:proofErr w:type="spellStart"/>
      <w:r>
        <w:rPr>
          <w:i/>
          <w:iCs/>
        </w:rPr>
        <w:t>Presence</w:t>
      </w:r>
      <w:proofErr w:type="spellEnd"/>
      <w:r>
        <w:rPr>
          <w:i/>
          <w:iCs/>
        </w:rPr>
        <w:t xml:space="preserve"> </w:t>
      </w:r>
      <w:r>
        <w:t xml:space="preserve">missie in </w:t>
      </w:r>
      <w:r w:rsidRPr="001252E2">
        <w:t xml:space="preserve">Litouwen. </w:t>
      </w:r>
    </w:p>
    <w:p w:rsidR="009B353C" w:rsidP="009B353C" w:rsidRDefault="009B353C" w14:paraId="05B2567B" w14:textId="77777777">
      <w:pPr>
        <w:spacing w:line="276" w:lineRule="auto"/>
      </w:pPr>
    </w:p>
    <w:p w:rsidR="009B353C" w:rsidP="009B353C" w:rsidRDefault="009B353C" w14:paraId="25AC6B53" w14:textId="77777777">
      <w:pPr>
        <w:spacing w:line="276" w:lineRule="auto"/>
        <w:rPr>
          <w:rFonts w:ascii="Calibri" w:hAnsi="Calibri" w:eastAsia="Times New Roman"/>
        </w:rPr>
      </w:pPr>
      <w:r w:rsidRPr="001252E2">
        <w:t xml:space="preserve">Deze dreiging neemt echter niet weg dat </w:t>
      </w:r>
      <w:r>
        <w:t xml:space="preserve">de humanitaire overwegingen die ten grondslag liggen aan het tot stand komen van het Verdrag inzake clustermunitie ongewijzigd zijn en daarnaast dat een </w:t>
      </w:r>
      <w:r w:rsidRPr="001252E2">
        <w:t xml:space="preserve">verdrag alleen effectief is als </w:t>
      </w:r>
      <w:r>
        <w:t>de verdrags</w:t>
      </w:r>
      <w:r w:rsidRPr="001252E2">
        <w:t>partijen zich juist ten tijde van toenemende veiligheidsdreigingen</w:t>
      </w:r>
      <w:r>
        <w:t xml:space="preserve"> zich hier aan houden</w:t>
      </w:r>
      <w:r w:rsidRPr="001252E2">
        <w:t xml:space="preserve">. In dat kader </w:t>
      </w:r>
      <w:r>
        <w:t xml:space="preserve">is er met </w:t>
      </w:r>
      <w:r w:rsidRPr="001252E2">
        <w:t>Litouwen</w:t>
      </w:r>
      <w:r>
        <w:t xml:space="preserve"> in bilateraal en multilateraal verband</w:t>
      </w:r>
      <w:r w:rsidRPr="001252E2">
        <w:t xml:space="preserve"> </w:t>
      </w:r>
      <w:r>
        <w:t>gesproken over</w:t>
      </w:r>
      <w:r w:rsidRPr="001252E2">
        <w:t xml:space="preserve"> het </w:t>
      </w:r>
      <w:r w:rsidRPr="00772DD0">
        <w:rPr>
          <w:i/>
          <w:iCs/>
        </w:rPr>
        <w:t>Lausanne Action Plan</w:t>
      </w:r>
      <w:r w:rsidRPr="001252E2">
        <w:t xml:space="preserve"> van het verdrag dat elk mogelijk gebruik, ontwikkeling, productie, opslag en overdracht van clustermunitie ontmoedigt</w:t>
      </w:r>
      <w:r>
        <w:t xml:space="preserve">. Hierbij is er bij Litouwen </w:t>
      </w:r>
      <w:r w:rsidRPr="001252E2">
        <w:t xml:space="preserve">op aangedrongen alternatieve manieren te onderzoeken om de nationale veiligheid te waarborgen en </w:t>
      </w:r>
      <w:r>
        <w:t xml:space="preserve">af te zien van het opzeggen van </w:t>
      </w:r>
      <w:r w:rsidRPr="001252E2">
        <w:t>het verdrag</w:t>
      </w:r>
      <w:r>
        <w:t xml:space="preserve">. </w:t>
      </w:r>
      <w:r>
        <w:rPr>
          <w:rFonts w:eastAsia="Times New Roman"/>
        </w:rPr>
        <w:t>Nederland zal als verdragspartij het belang van het CCM blijven benadrukken, richting Litouwen en andere landen.</w:t>
      </w:r>
    </w:p>
    <w:p w:rsidRPr="000D3B63" w:rsidR="009B353C" w:rsidP="009B353C" w:rsidRDefault="009B353C" w14:paraId="629E234C" w14:textId="77777777">
      <w:pPr>
        <w:spacing w:line="276" w:lineRule="auto"/>
      </w:pPr>
      <w:r>
        <w:t xml:space="preserve"> </w:t>
      </w:r>
    </w:p>
    <w:p w:rsidR="009B353C" w:rsidP="009B353C" w:rsidRDefault="009B353C" w14:paraId="67BCF3C6" w14:textId="77777777">
      <w:pPr>
        <w:spacing w:line="276" w:lineRule="auto"/>
      </w:pPr>
    </w:p>
    <w:p w:rsidR="009B353C" w:rsidP="009B353C" w:rsidRDefault="009B353C" w14:paraId="56E0D29D" w14:textId="77777777">
      <w:pPr>
        <w:spacing w:line="276" w:lineRule="auto"/>
      </w:pPr>
    </w:p>
    <w:p w:rsidR="009B353C" w:rsidP="009B353C" w:rsidRDefault="009B353C" w14:paraId="09FCA928" w14:textId="77777777">
      <w:pPr>
        <w:spacing w:line="276" w:lineRule="auto"/>
      </w:pPr>
    </w:p>
    <w:p w:rsidR="009B353C" w:rsidP="009B353C" w:rsidRDefault="009B353C" w14:paraId="3CF20806" w14:textId="77777777">
      <w:pPr>
        <w:spacing w:line="276" w:lineRule="auto"/>
      </w:pPr>
    </w:p>
    <w:p w:rsidR="000612EC" w:rsidRDefault="000612EC" w14:paraId="2C2A9344" w14:textId="77777777"/>
    <w:sectPr w:rsidR="000612EC" w:rsidSect="009B353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208B" w14:textId="77777777" w:rsidR="009B353C" w:rsidRDefault="009B353C" w:rsidP="009B353C">
      <w:pPr>
        <w:spacing w:after="0" w:line="240" w:lineRule="auto"/>
      </w:pPr>
      <w:r>
        <w:separator/>
      </w:r>
    </w:p>
  </w:endnote>
  <w:endnote w:type="continuationSeparator" w:id="0">
    <w:p w14:paraId="6DB03792" w14:textId="77777777" w:rsidR="009B353C" w:rsidRDefault="009B353C" w:rsidP="009B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FDAC" w14:textId="77777777" w:rsidR="009B353C" w:rsidRPr="009B353C" w:rsidRDefault="009B353C" w:rsidP="009B35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3DB7" w14:textId="77777777" w:rsidR="009B353C" w:rsidRPr="009B353C" w:rsidRDefault="009B353C" w:rsidP="009B35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11C0" w14:textId="77777777" w:rsidR="009B353C" w:rsidRPr="009B353C" w:rsidRDefault="009B353C" w:rsidP="009B35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26C1" w14:textId="77777777" w:rsidR="009B353C" w:rsidRDefault="009B353C" w:rsidP="009B353C">
      <w:pPr>
        <w:spacing w:after="0" w:line="240" w:lineRule="auto"/>
      </w:pPr>
      <w:r>
        <w:separator/>
      </w:r>
    </w:p>
  </w:footnote>
  <w:footnote w:type="continuationSeparator" w:id="0">
    <w:p w14:paraId="6E6F85D6" w14:textId="77777777" w:rsidR="009B353C" w:rsidRDefault="009B353C" w:rsidP="009B353C">
      <w:pPr>
        <w:spacing w:after="0" w:line="240" w:lineRule="auto"/>
      </w:pPr>
      <w:r>
        <w:continuationSeparator/>
      </w:r>
    </w:p>
  </w:footnote>
  <w:footnote w:id="1">
    <w:p w14:paraId="19DD6083" w14:textId="77777777" w:rsidR="009B353C" w:rsidRPr="00655171" w:rsidRDefault="009B353C" w:rsidP="009B353C">
      <w:pPr>
        <w:pStyle w:val="Voetnoottekst"/>
        <w:rPr>
          <w:rFonts w:ascii="Verdana" w:hAnsi="Verdana"/>
          <w:sz w:val="16"/>
          <w:szCs w:val="16"/>
          <w:lang w:val="en-US"/>
        </w:rPr>
      </w:pPr>
      <w:r w:rsidRPr="00655171">
        <w:rPr>
          <w:rStyle w:val="Voetnootmarkering"/>
          <w:rFonts w:ascii="Verdana" w:hAnsi="Verdana"/>
          <w:sz w:val="16"/>
          <w:szCs w:val="16"/>
        </w:rPr>
        <w:footnoteRef/>
      </w:r>
      <w:r w:rsidRPr="00655171">
        <w:rPr>
          <w:rFonts w:ascii="Verdana" w:hAnsi="Verdana"/>
          <w:sz w:val="16"/>
          <w:szCs w:val="16"/>
          <w:lang w:val="en-US"/>
        </w:rPr>
        <w:t xml:space="preserve"> LRT, 18 </w:t>
      </w:r>
      <w:proofErr w:type="spellStart"/>
      <w:r w:rsidRPr="00655171">
        <w:rPr>
          <w:rFonts w:ascii="Verdana" w:hAnsi="Verdana"/>
          <w:sz w:val="16"/>
          <w:szCs w:val="16"/>
          <w:lang w:val="en-US"/>
        </w:rPr>
        <w:t>juli</w:t>
      </w:r>
      <w:proofErr w:type="spellEnd"/>
      <w:r w:rsidRPr="00655171">
        <w:rPr>
          <w:rFonts w:ascii="Verdana" w:hAnsi="Verdana"/>
          <w:sz w:val="16"/>
          <w:szCs w:val="16"/>
          <w:lang w:val="en-US"/>
        </w:rPr>
        <w:t xml:space="preserve"> 2024, 'Lithuania leaves convention banning cluster munitions' (</w:t>
      </w:r>
      <w:hyperlink r:id="rId1" w:history="1">
        <w:r w:rsidRPr="00655171">
          <w:rPr>
            <w:rStyle w:val="Hyperlink"/>
            <w:rFonts w:ascii="Verdana" w:hAnsi="Verdana"/>
            <w:sz w:val="16"/>
            <w:szCs w:val="16"/>
            <w:lang w:val="en-US"/>
          </w:rPr>
          <w:t>https://www.lrt.lt/en/news-in-english/19/2321829/lithuania-leaves-convention-banning-cluster-munitions</w:t>
        </w:r>
      </w:hyperlink>
      <w:r w:rsidRPr="00655171">
        <w:rPr>
          <w:rFonts w:ascii="Verdana" w:hAnsi="Verdana"/>
          <w:sz w:val="16"/>
          <w:szCs w:val="16"/>
          <w:lang w:val="en-US"/>
        </w:rPr>
        <w:t>)</w:t>
      </w:r>
    </w:p>
    <w:p w14:paraId="5CCC4267" w14:textId="77777777" w:rsidR="009B353C" w:rsidRPr="000C7629" w:rsidRDefault="009B353C" w:rsidP="009B353C">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53ED" w14:textId="77777777" w:rsidR="009B353C" w:rsidRPr="009B353C" w:rsidRDefault="009B353C" w:rsidP="009B35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3844" w14:textId="77777777" w:rsidR="009B353C" w:rsidRPr="009B353C" w:rsidRDefault="009B353C" w:rsidP="009B35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59CB" w14:textId="77777777" w:rsidR="009B353C" w:rsidRPr="009B353C" w:rsidRDefault="009B353C" w:rsidP="009B35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3C"/>
    <w:rsid w:val="000612EC"/>
    <w:rsid w:val="009B35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7983"/>
  <w15:chartTrackingRefBased/>
  <w15:docId w15:val="{CCDC1E89-19CD-4B5F-A83E-D81EFCC0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353C"/>
    <w:rPr>
      <w:color w:val="0563C1" w:themeColor="hyperlink"/>
      <w:u w:val="single"/>
    </w:rPr>
  </w:style>
  <w:style w:type="paragraph" w:customStyle="1" w:styleId="Referentiegegevens">
    <w:name w:val="Referentiegegevens"/>
    <w:basedOn w:val="Standaard"/>
    <w:next w:val="Standaard"/>
    <w:uiPriority w:val="9"/>
    <w:qFormat/>
    <w:rsid w:val="009B353C"/>
    <w:pPr>
      <w:autoSpaceDN w:val="0"/>
      <w:spacing w:after="0" w:line="180" w:lineRule="exact"/>
      <w:textAlignment w:val="baseline"/>
    </w:pPr>
    <w:rPr>
      <w:rFonts w:ascii="Verdana" w:eastAsia="DejaVu Sans" w:hAnsi="Verdana" w:cs="Lohit Hindi"/>
      <w:color w:val="000000"/>
      <w:kern w:val="0"/>
      <w:sz w:val="13"/>
      <w:szCs w:val="13"/>
      <w:lang w:eastAsia="en-GB"/>
      <w14:ligatures w14:val="none"/>
    </w:rPr>
  </w:style>
  <w:style w:type="paragraph" w:customStyle="1" w:styleId="Referentiegegevensbold">
    <w:name w:val="Referentiegegevens bold"/>
    <w:basedOn w:val="Standaard"/>
    <w:next w:val="Standaard"/>
    <w:uiPriority w:val="10"/>
    <w:qFormat/>
    <w:rsid w:val="009B353C"/>
    <w:pPr>
      <w:autoSpaceDN w:val="0"/>
      <w:spacing w:after="0" w:line="180" w:lineRule="exact"/>
      <w:textAlignment w:val="baseline"/>
    </w:pPr>
    <w:rPr>
      <w:rFonts w:ascii="Verdana" w:eastAsia="DejaVu Sans" w:hAnsi="Verdana" w:cs="Lohit Hindi"/>
      <w:b/>
      <w:color w:val="000000"/>
      <w:kern w:val="0"/>
      <w:sz w:val="13"/>
      <w:szCs w:val="13"/>
      <w:lang w:eastAsia="en-GB"/>
      <w14:ligatures w14:val="none"/>
    </w:rPr>
  </w:style>
  <w:style w:type="paragraph" w:customStyle="1" w:styleId="Standaardvet">
    <w:name w:val="Standaard vet"/>
    <w:basedOn w:val="Standaard"/>
    <w:next w:val="Standaard"/>
    <w:uiPriority w:val="6"/>
    <w:qFormat/>
    <w:rsid w:val="009B353C"/>
    <w:pPr>
      <w:autoSpaceDN w:val="0"/>
      <w:spacing w:after="0" w:line="240" w:lineRule="exact"/>
      <w:textAlignment w:val="baseline"/>
    </w:pPr>
    <w:rPr>
      <w:rFonts w:ascii="Verdana" w:eastAsia="DejaVu Sans" w:hAnsi="Verdana" w:cs="Lohit Hindi"/>
      <w:b/>
      <w:color w:val="000000"/>
      <w:kern w:val="0"/>
      <w:sz w:val="18"/>
      <w:szCs w:val="18"/>
      <w:lang w:eastAsia="en-GB"/>
      <w14:ligatures w14:val="none"/>
    </w:rPr>
  </w:style>
  <w:style w:type="paragraph" w:customStyle="1" w:styleId="WitregelW1">
    <w:name w:val="Witregel W1"/>
    <w:basedOn w:val="Standaard"/>
    <w:next w:val="Standaard"/>
    <w:rsid w:val="009B353C"/>
    <w:pPr>
      <w:autoSpaceDN w:val="0"/>
      <w:spacing w:after="0" w:line="90" w:lineRule="exact"/>
      <w:textAlignment w:val="baseline"/>
    </w:pPr>
    <w:rPr>
      <w:rFonts w:ascii="Verdana" w:eastAsia="DejaVu Sans" w:hAnsi="Verdana" w:cs="Lohit Hindi"/>
      <w:color w:val="000000"/>
      <w:kern w:val="0"/>
      <w:sz w:val="9"/>
      <w:szCs w:val="9"/>
      <w:lang w:eastAsia="en-GB"/>
      <w14:ligatures w14:val="none"/>
    </w:rPr>
  </w:style>
  <w:style w:type="paragraph" w:customStyle="1" w:styleId="WitregelW2">
    <w:name w:val="Witregel W2"/>
    <w:basedOn w:val="Standaard"/>
    <w:next w:val="Standaard"/>
    <w:rsid w:val="009B353C"/>
    <w:pPr>
      <w:autoSpaceDN w:val="0"/>
      <w:spacing w:after="0" w:line="270" w:lineRule="exact"/>
      <w:textAlignment w:val="baseline"/>
    </w:pPr>
    <w:rPr>
      <w:rFonts w:ascii="Verdana" w:eastAsia="DejaVu Sans" w:hAnsi="Verdana" w:cs="Lohit Hindi"/>
      <w:color w:val="000000"/>
      <w:kern w:val="0"/>
      <w:sz w:val="27"/>
      <w:szCs w:val="27"/>
      <w:lang w:eastAsia="en-GB"/>
      <w14:ligatures w14:val="none"/>
    </w:rPr>
  </w:style>
  <w:style w:type="paragraph" w:styleId="Koptekst">
    <w:name w:val="header"/>
    <w:basedOn w:val="Standaard"/>
    <w:link w:val="KoptekstChar"/>
    <w:uiPriority w:val="99"/>
    <w:unhideWhenUsed/>
    <w:rsid w:val="009B353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en-GB"/>
      <w14:ligatures w14:val="none"/>
    </w:rPr>
  </w:style>
  <w:style w:type="character" w:customStyle="1" w:styleId="KoptekstChar">
    <w:name w:val="Koptekst Char"/>
    <w:basedOn w:val="Standaardalinea-lettertype"/>
    <w:link w:val="Koptekst"/>
    <w:uiPriority w:val="99"/>
    <w:rsid w:val="009B353C"/>
    <w:rPr>
      <w:rFonts w:ascii="Verdana" w:eastAsia="DejaVu Sans" w:hAnsi="Verdana" w:cs="Lohit Hindi"/>
      <w:color w:val="000000"/>
      <w:kern w:val="0"/>
      <w:sz w:val="18"/>
      <w:szCs w:val="18"/>
      <w:lang w:eastAsia="en-GB"/>
      <w14:ligatures w14:val="none"/>
    </w:rPr>
  </w:style>
  <w:style w:type="paragraph" w:styleId="Voettekst">
    <w:name w:val="footer"/>
    <w:basedOn w:val="Standaard"/>
    <w:link w:val="VoettekstChar"/>
    <w:uiPriority w:val="99"/>
    <w:unhideWhenUsed/>
    <w:rsid w:val="009B353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en-GB"/>
      <w14:ligatures w14:val="none"/>
    </w:rPr>
  </w:style>
  <w:style w:type="character" w:customStyle="1" w:styleId="VoettekstChar">
    <w:name w:val="Voettekst Char"/>
    <w:basedOn w:val="Standaardalinea-lettertype"/>
    <w:link w:val="Voettekst"/>
    <w:uiPriority w:val="99"/>
    <w:rsid w:val="009B353C"/>
    <w:rPr>
      <w:rFonts w:ascii="Verdana" w:eastAsia="DejaVu Sans" w:hAnsi="Verdana" w:cs="Lohit Hindi"/>
      <w:color w:val="000000"/>
      <w:kern w:val="0"/>
      <w:sz w:val="18"/>
      <w:szCs w:val="18"/>
      <w:lang w:eastAsia="en-GB"/>
      <w14:ligatures w14:val="none"/>
    </w:rPr>
  </w:style>
  <w:style w:type="paragraph" w:styleId="Voetnoottekst">
    <w:name w:val="footnote text"/>
    <w:basedOn w:val="Standaard"/>
    <w:link w:val="VoetnoottekstChar"/>
    <w:uiPriority w:val="99"/>
    <w:semiHidden/>
    <w:unhideWhenUsed/>
    <w:rsid w:val="009B353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B353C"/>
    <w:rPr>
      <w:kern w:val="0"/>
      <w:sz w:val="20"/>
      <w:szCs w:val="20"/>
      <w14:ligatures w14:val="none"/>
    </w:rPr>
  </w:style>
  <w:style w:type="character" w:styleId="Voetnootmarkering">
    <w:name w:val="footnote reference"/>
    <w:basedOn w:val="Standaardalinea-lettertype"/>
    <w:uiPriority w:val="99"/>
    <w:semiHidden/>
    <w:unhideWhenUsed/>
    <w:rsid w:val="009B3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rt.lt/en/news-in-english/19/2321829/lithuania-leaves-convention-banning-cluster-muni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421</ap:Words>
  <ap:Characters>2317</ap:Characters>
  <ap:DocSecurity>0</ap:DocSecurity>
  <ap:Lines>19</ap:Lines>
  <ap:Paragraphs>5</ap:Paragraphs>
  <ap:ScaleCrop>false</ap:ScaleCrop>
  <ap:LinksUpToDate>false</ap:LinksUpToDate>
  <ap:CharactersWithSpaces>2733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2024-09-04T13:47:00.0000000Z</dcterms:created>
  <dcterms:modified xsi:type="dcterms:W3CDTF">2024-09-04T13:48:00.0000000Z</dcterms:modified>
  <version/>
  <category/>
</coreProperties>
</file>