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2024Z12911</w:t>
        <w:br/>
      </w:r>
      <w:proofErr w:type="spellEnd"/>
    </w:p>
    <w:p>
      <w:pPr>
        <w:pStyle w:val="Normal"/>
        <w:rPr>
          <w:b w:val="1"/>
          <w:bCs w:val="1"/>
        </w:rPr>
      </w:pPr>
      <w:r w:rsidR="250AE766">
        <w:rPr>
          <w:b w:val="0"/>
          <w:bCs w:val="0"/>
        </w:rPr>
        <w:t>(ingezonden 4 september 2024)</w:t>
        <w:br/>
      </w:r>
    </w:p>
    <w:p>
      <w:r>
        <w:t xml:space="preserve">Vragen van het lid Paternotte (D66) aan de minister van Onderwijs, Cultuur en Wetenschap over de gang van zaken bij omroep Ongehoord Nederland, naar aanleiding van antwoorden op eerdere vragen</w:t>
      </w:r>
      <w:r>
        <w:br/>
      </w:r>
    </w:p>
    <w:p>
      <w:r>
        <w:t xml:space="preserve">Vraag 1</w:t>
      </w:r>
      <w:r>
        <w:br/>
      </w:r>
    </w:p>
    <w:p>
      <w:r>
        <w:t xml:space="preserve">Wanneer bent u geïnformeerd door het Commissariaat voor de Media (hierna: commissariaat) dat de gang van zaken bij Ongehoord Nederland de volle aandacht heeft van het commissariaat? Kunt u dit toelichten? 1) </w:t>
      </w:r>
      <w:r>
        <w:br/>
      </w:r>
    </w:p>
    <w:p>
      <w:r>
        <w:t xml:space="preserve">Vraag 2</w:t>
      </w:r>
      <w:r>
        <w:br/>
      </w:r>
    </w:p>
    <w:p>
      <w:r>
        <w:t xml:space="preserve">Kunt u specificeren welk element of welke elementen van deze zaak precies de volle aandacht heeft of hebben van het commissariaat?</w:t>
      </w:r>
      <w:r>
        <w:br/>
      </w:r>
    </w:p>
    <w:p>
      <w:r>
        <w:t xml:space="preserve">Vraag 3</w:t>
      </w:r>
      <w:r>
        <w:br/>
      </w:r>
    </w:p>
    <w:p>
      <w:r>
        <w:t xml:space="preserve">Kunt u aangeven wanneer in uw ogen het commissariaat kan of moet ingrijpen in het geval dat een Raad van Toezicht weigert zijn taken uit te voeren?</w:t>
      </w:r>
      <w:r>
        <w:br/>
      </w:r>
    </w:p>
    <w:p>
      <w:r>
        <w:t xml:space="preserve">Vraag 4</w:t>
      </w:r>
      <w:r>
        <w:br/>
      </w:r>
    </w:p>
    <w:p>
      <w:r>
        <w:t xml:space="preserve">Kunt u, mede gelet op het inlichtingenrecht van Kamerleden zoals verankerd in artikel 68 van de Grondwet, alsnog ingaan op de feitelijke vraag of het klopt dat na het vertrek van zakelijk directeur Klever jongstleden juli haar dochter haar takenpakket (deels) heeft overgenomen? Zo nee, kunt u aangeven waarom het verstrekken van deze informatie strijdig zou zijn met het ‘belang van de staat’?</w:t>
      </w:r>
      <w:r>
        <w:br/>
      </w:r>
    </w:p>
    <w:p>
      <w:r>
        <w:t xml:space="preserve">Vraag 5</w:t>
      </w:r>
      <w:r>
        <w:br/>
      </w:r>
    </w:p>
    <w:p>
      <w:r>
        <w:t xml:space="preserve">Vindt u dat de Kamer het recht heeft op informatie in deze kwestie waar u stelselverantwoordelijke voor bent, mede gelet op het feit dat dit de integriteit van een bewindspersoon aangaat?</w:t>
      </w:r>
      <w:r>
        <w:br/>
      </w:r>
    </w:p>
    <w:p>
      <w:r>
        <w:t xml:space="preserve">Vraag 6</w:t>
      </w:r>
      <w:r>
        <w:br/>
      </w:r>
    </w:p>
    <w:p>
      <w:r>
        <w:t xml:space="preserve">Kunt u deze vragen elk afzonderlijk beantwoorden?</w:t>
      </w:r>
      <w:r>
        <w:br/>
      </w:r>
    </w:p>
    <w:p>
      <w:r>
        <w:t xml:space="preserve">1) Aanhangsel Handelingen II, vergaderjaar 2023-2024, nr. 2381</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