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4FB" w:rsidRDefault="00456FB3" w14:paraId="616B39F9" w14:textId="77777777">
      <w:pPr>
        <w:pStyle w:val="StandaardAanhef"/>
      </w:pPr>
      <w:r>
        <w:t>Geachte voorzitter,</w:t>
      </w:r>
    </w:p>
    <w:p w:rsidR="004A666B" w:rsidRDefault="004A666B" w14:paraId="699BF2A0" w14:textId="77777777">
      <w:r>
        <w:t>Via deze brief informeer ik uw Kamer over het voorstel voor de vierde aanvullende Europese begroting 202</w:t>
      </w:r>
      <w:r w:rsidR="00AF10E1">
        <w:t>4</w:t>
      </w:r>
      <w:r>
        <w:t xml:space="preserve"> (</w:t>
      </w:r>
      <w:r w:rsidRPr="004A666B">
        <w:rPr>
          <w:i/>
          <w:iCs/>
        </w:rPr>
        <w:t>Draft Amending Budget 4</w:t>
      </w:r>
      <w:r w:rsidR="00E17C9A">
        <w:t>;</w:t>
      </w:r>
      <w:r>
        <w:t xml:space="preserve"> DAB4) waarin de meest recente economische ramingen voor de eigen middelen verwerkt worden in de Europese begroting. DAB4 bevat daarnaast een actualisatie van de verwachte overige ontvangsten van de Europese Unie (EU) voor 2024, inclusief de bijdrage van het Verenigd Koninkrijk uit hoofde van het</w:t>
      </w:r>
      <w:r w:rsidR="006A3B43">
        <w:t xml:space="preserve"> </w:t>
      </w:r>
      <w:r>
        <w:t xml:space="preserve">terugtrekkingsakkoord. </w:t>
      </w:r>
      <w:r w:rsidR="008B1111">
        <w:t xml:space="preserve">Bovendien bevat DAB4 aanpassingen in </w:t>
      </w:r>
      <w:r w:rsidR="00CA354C">
        <w:t xml:space="preserve">de </w:t>
      </w:r>
      <w:r w:rsidR="008B1111">
        <w:t xml:space="preserve">uitgaven voor enkele gedecentraliseerde agentschappen. </w:t>
      </w:r>
    </w:p>
    <w:p w:rsidR="004A666B" w:rsidRDefault="004A666B" w14:paraId="1EB7D6EB" w14:textId="77777777"/>
    <w:p w:rsidR="009F24FB" w:rsidRDefault="004A666B" w14:paraId="0DBCB357" w14:textId="77777777">
      <w:r>
        <w:t>In deze brief informeer ik u ook over de overeengekomen positie van de Raad van de Europese Unie (de Raad) ten aanzien van het voorstel van de Europese Commissie (de Commissie) voor de Europese begroting voor 202</w:t>
      </w:r>
      <w:r w:rsidR="008B1111">
        <w:t>5</w:t>
      </w:r>
      <w:r>
        <w:t>.</w:t>
      </w:r>
      <w:r w:rsidR="00DC31C9">
        <w:t xml:space="preserve"> Over de Nederlandse inzet bent u op 28 juni jl. geïnformeerd.</w:t>
      </w:r>
      <w:r w:rsidR="00DC31C9">
        <w:rPr>
          <w:rStyle w:val="Voetnootmarkering"/>
        </w:rPr>
        <w:footnoteReference w:id="1"/>
      </w:r>
      <w:r>
        <w:t xml:space="preserve"> Op 1</w:t>
      </w:r>
      <w:r w:rsidR="008B1111">
        <w:t>7</w:t>
      </w:r>
      <w:r>
        <w:t xml:space="preserve"> juli jl. hebben de lidstaten in </w:t>
      </w:r>
      <w:proofErr w:type="spellStart"/>
      <w:r>
        <w:t>Coreper</w:t>
      </w:r>
      <w:proofErr w:type="spellEnd"/>
      <w:r w:rsidR="00586093">
        <w:rPr>
          <w:rStyle w:val="Voetnootmarkering"/>
        </w:rPr>
        <w:footnoteReference w:id="2"/>
      </w:r>
      <w:r>
        <w:t xml:space="preserve"> hierover overeenstemming bereikt. Deze Raadspositie vormt het uitgangspunt van de Raad voor de onderhandelingen met het Europees Parlement (EP) en de Commissie. Het kabinet is van mening dat de Raadspositie voldoende in lijn is</w:t>
      </w:r>
      <w:r w:rsidR="00DC31C9">
        <w:t xml:space="preserve"> </w:t>
      </w:r>
      <w:r>
        <w:t>met de Nederlandse uitgangspunten voor de onderhandelingen over de begroting van 202</w:t>
      </w:r>
      <w:r w:rsidR="008B1111">
        <w:t>5</w:t>
      </w:r>
      <w:r>
        <w:t xml:space="preserve"> </w:t>
      </w:r>
      <w:r w:rsidR="00DC31C9">
        <w:t>om in te kunnen stemmen</w:t>
      </w:r>
      <w:r>
        <w:t>.</w:t>
      </w:r>
    </w:p>
    <w:p w:rsidR="00586093" w:rsidP="00B555DA" w:rsidRDefault="00586093" w14:paraId="1B38CC67" w14:textId="77777777"/>
    <w:p w:rsidRPr="00586093" w:rsidR="00586093" w:rsidP="00B555DA" w:rsidRDefault="00586093" w14:paraId="6D063CF1" w14:textId="77777777">
      <w:pPr>
        <w:rPr>
          <w:b/>
          <w:bCs/>
        </w:rPr>
      </w:pPr>
      <w:r w:rsidRPr="00586093">
        <w:rPr>
          <w:b/>
          <w:bCs/>
        </w:rPr>
        <w:t xml:space="preserve">Voorstel </w:t>
      </w:r>
      <w:r>
        <w:rPr>
          <w:b/>
          <w:bCs/>
        </w:rPr>
        <w:t xml:space="preserve">vierde </w:t>
      </w:r>
      <w:r w:rsidRPr="00586093">
        <w:rPr>
          <w:b/>
          <w:bCs/>
        </w:rPr>
        <w:t>aanvullende Europese begroting 202</w:t>
      </w:r>
      <w:r>
        <w:rPr>
          <w:b/>
          <w:bCs/>
        </w:rPr>
        <w:t>4</w:t>
      </w:r>
      <w:r w:rsidRPr="00586093">
        <w:rPr>
          <w:b/>
          <w:bCs/>
        </w:rPr>
        <w:t xml:space="preserve"> </w:t>
      </w:r>
    </w:p>
    <w:p w:rsidR="00416E80" w:rsidP="00B555DA" w:rsidRDefault="00586093" w14:paraId="235CEC3A" w14:textId="77777777">
      <w:r>
        <w:t xml:space="preserve">Op </w:t>
      </w:r>
      <w:r w:rsidR="00416E80">
        <w:t>19</w:t>
      </w:r>
      <w:r>
        <w:t xml:space="preserve"> juli jl. publiceerde de Commissie de </w:t>
      </w:r>
      <w:r w:rsidR="00416E80">
        <w:t>vierde</w:t>
      </w:r>
      <w:r>
        <w:t xml:space="preserve"> aanvullende Europese begroting van 202</w:t>
      </w:r>
      <w:r w:rsidR="00416E80">
        <w:t>4</w:t>
      </w:r>
      <w:r>
        <w:t xml:space="preserve"> (DAB</w:t>
      </w:r>
      <w:r w:rsidR="00416E80">
        <w:t>4</w:t>
      </w:r>
      <w:r>
        <w:t>). In DAB</w:t>
      </w:r>
      <w:r w:rsidR="00416E80">
        <w:t>4</w:t>
      </w:r>
      <w:r>
        <w:t xml:space="preserve"> wijzigt de Commissie de Europese begroting voor 202</w:t>
      </w:r>
      <w:r w:rsidR="00416E80">
        <w:t>4</w:t>
      </w:r>
      <w:r>
        <w:t xml:space="preserve"> op een aantal punten. Ten eerste actualiseert de Commissie, conform het Financieel Reglement, de Europese begroting voor de meest recente economische ramingen voor de eigen middelen. Dit gebeurt op basis van de Lenteraming van de Commissie en de cijfers die zijn vastgesteld in het Raadgevend Comité voor de eigen middelen (</w:t>
      </w:r>
      <w:proofErr w:type="spellStart"/>
      <w:r w:rsidRPr="002675E6">
        <w:rPr>
          <w:i/>
          <w:iCs/>
        </w:rPr>
        <w:t>Advisory</w:t>
      </w:r>
      <w:proofErr w:type="spellEnd"/>
      <w:r w:rsidRPr="002675E6">
        <w:rPr>
          <w:i/>
          <w:iCs/>
        </w:rPr>
        <w:t xml:space="preserve"> </w:t>
      </w:r>
      <w:proofErr w:type="spellStart"/>
      <w:r w:rsidRPr="002675E6">
        <w:rPr>
          <w:i/>
          <w:iCs/>
        </w:rPr>
        <w:t>Committee</w:t>
      </w:r>
      <w:proofErr w:type="spellEnd"/>
      <w:r w:rsidRPr="002675E6">
        <w:rPr>
          <w:i/>
          <w:iCs/>
        </w:rPr>
        <w:t xml:space="preserve"> on </w:t>
      </w:r>
      <w:proofErr w:type="spellStart"/>
      <w:r w:rsidRPr="002675E6">
        <w:rPr>
          <w:i/>
          <w:iCs/>
        </w:rPr>
        <w:t>Own</w:t>
      </w:r>
      <w:proofErr w:type="spellEnd"/>
      <w:r w:rsidRPr="002675E6">
        <w:rPr>
          <w:i/>
          <w:iCs/>
        </w:rPr>
        <w:t xml:space="preserve"> Resources</w:t>
      </w:r>
      <w:r>
        <w:t xml:space="preserve">; ACOR). Deze actualisatie heeft een effect op de raming van de Nederlandse plastic-, btw- en </w:t>
      </w:r>
      <w:proofErr w:type="spellStart"/>
      <w:r>
        <w:t>bni</w:t>
      </w:r>
      <w:proofErr w:type="spellEnd"/>
      <w:r>
        <w:t>-afdracht.</w:t>
      </w:r>
      <w:r w:rsidR="00416E80">
        <w:rPr>
          <w:rStyle w:val="Voetnootmarkering"/>
        </w:rPr>
        <w:footnoteReference w:id="3"/>
      </w:r>
      <w:r>
        <w:t xml:space="preserve"> </w:t>
      </w:r>
    </w:p>
    <w:p w:rsidR="002D06FD" w:rsidP="00B555DA" w:rsidRDefault="002D06FD" w14:paraId="3EDF3E85" w14:textId="77777777"/>
    <w:p w:rsidR="002D06FD" w:rsidP="00B555DA" w:rsidRDefault="002D06FD" w14:paraId="156E38CE" w14:textId="77777777">
      <w:pPr>
        <w:rPr>
          <w:rFonts w:cstheme="minorHAnsi"/>
        </w:rPr>
      </w:pPr>
      <w:r w:rsidRPr="007030F6">
        <w:t xml:space="preserve">Als gevolg van de actualisatie van de economische ramingen stijgt de </w:t>
      </w:r>
      <w:r w:rsidRPr="007030F6">
        <w:rPr>
          <w:rFonts w:cstheme="minorHAnsi"/>
        </w:rPr>
        <w:t xml:space="preserve">raming van de </w:t>
      </w:r>
      <w:r w:rsidR="00DC31C9">
        <w:rPr>
          <w:rFonts w:cstheme="minorHAnsi"/>
        </w:rPr>
        <w:t xml:space="preserve">Nederlandse </w:t>
      </w:r>
      <w:proofErr w:type="spellStart"/>
      <w:r w:rsidRPr="007030F6">
        <w:rPr>
          <w:rFonts w:cstheme="minorHAnsi"/>
        </w:rPr>
        <w:t>bni</w:t>
      </w:r>
      <w:proofErr w:type="spellEnd"/>
      <w:r w:rsidRPr="007030F6">
        <w:rPr>
          <w:rFonts w:cstheme="minorHAnsi"/>
        </w:rPr>
        <w:t>-afdracht met 4</w:t>
      </w:r>
      <w:r w:rsidR="001F7E38">
        <w:rPr>
          <w:rFonts w:cstheme="minorHAnsi"/>
        </w:rPr>
        <w:t>53</w:t>
      </w:r>
      <w:r w:rsidRPr="007030F6">
        <w:rPr>
          <w:rFonts w:cstheme="minorHAnsi"/>
        </w:rPr>
        <w:t xml:space="preserve"> miljoen </w:t>
      </w:r>
      <w:r w:rsidRPr="007030F6" w:rsidR="00DA65B4">
        <w:rPr>
          <w:rFonts w:cstheme="minorHAnsi"/>
        </w:rPr>
        <w:t xml:space="preserve">euro </w:t>
      </w:r>
      <w:r w:rsidRPr="007030F6">
        <w:rPr>
          <w:rFonts w:cstheme="minorHAnsi"/>
        </w:rPr>
        <w:t>in 2024 en 480 miljoen</w:t>
      </w:r>
      <w:r w:rsidRPr="007030F6" w:rsidR="00DA65B4">
        <w:rPr>
          <w:rFonts w:cstheme="minorHAnsi"/>
        </w:rPr>
        <w:t xml:space="preserve"> euro</w:t>
      </w:r>
      <w:r w:rsidRPr="007030F6">
        <w:rPr>
          <w:rFonts w:cstheme="minorHAnsi"/>
        </w:rPr>
        <w:t xml:space="preserve"> in 2025. Dit wordt met name veroorzaakt doordat de Commissie de invoerrechten op EU-niveau in 2024 en 2025 fors lager raamt dan eerder verwacht</w:t>
      </w:r>
      <w:r>
        <w:rPr>
          <w:rFonts w:cstheme="minorHAnsi"/>
        </w:rPr>
        <w:t>. Dit</w:t>
      </w:r>
      <w:r w:rsidRPr="007030F6">
        <w:rPr>
          <w:rFonts w:cstheme="minorHAnsi"/>
        </w:rPr>
        <w:t xml:space="preserve"> </w:t>
      </w:r>
      <w:r w:rsidR="00632677">
        <w:rPr>
          <w:rFonts w:cstheme="minorHAnsi"/>
        </w:rPr>
        <w:t>is het</w:t>
      </w:r>
      <w:r w:rsidRPr="007030F6" w:rsidR="00632677">
        <w:rPr>
          <w:rFonts w:cstheme="minorHAnsi"/>
        </w:rPr>
        <w:t xml:space="preserve"> </w:t>
      </w:r>
      <w:r w:rsidRPr="007030F6">
        <w:rPr>
          <w:rFonts w:cstheme="minorHAnsi"/>
        </w:rPr>
        <w:t>gevolg van ontwikkelingen in de wereldhandel.</w:t>
      </w:r>
      <w:r w:rsidR="00DA6A77">
        <w:rPr>
          <w:rFonts w:cstheme="minorHAnsi"/>
        </w:rPr>
        <w:t xml:space="preserve"> </w:t>
      </w:r>
      <w:r w:rsidRPr="00DA6A77" w:rsidR="00DA6A77">
        <w:rPr>
          <w:rFonts w:cstheme="minorHAnsi"/>
        </w:rPr>
        <w:t xml:space="preserve">De invoerrechten zijn zeer product- en </w:t>
      </w:r>
      <w:proofErr w:type="spellStart"/>
      <w:r w:rsidRPr="00DA6A77" w:rsidR="00DA6A77">
        <w:rPr>
          <w:rFonts w:cstheme="minorHAnsi"/>
        </w:rPr>
        <w:t>landspecifiek</w:t>
      </w:r>
      <w:proofErr w:type="spellEnd"/>
      <w:r w:rsidRPr="00DA6A77" w:rsidR="00DA6A77">
        <w:rPr>
          <w:rFonts w:cstheme="minorHAnsi"/>
        </w:rPr>
        <w:t xml:space="preserve">, maar in algemene zin is een afname van de omzet in de industrie zichtbaar en specifiek bij olieraffinaderijen en de chemische industrie. De lagere raming van de invoerrechten volgt overigens op een aanzienlijke toename van de </w:t>
      </w:r>
      <w:r w:rsidR="00DA6A77">
        <w:rPr>
          <w:rFonts w:cstheme="minorHAnsi"/>
        </w:rPr>
        <w:t>invoerrechten</w:t>
      </w:r>
      <w:r w:rsidRPr="00DA6A77" w:rsidR="00DA6A77">
        <w:rPr>
          <w:rFonts w:cstheme="minorHAnsi"/>
        </w:rPr>
        <w:t xml:space="preserve"> in voorgaande jaren.</w:t>
      </w:r>
      <w:r w:rsidRPr="007030F6">
        <w:rPr>
          <w:rFonts w:cstheme="minorHAnsi"/>
        </w:rPr>
        <w:t xml:space="preserve"> </w:t>
      </w:r>
      <w:r w:rsidR="0001609D">
        <w:t>D</w:t>
      </w:r>
      <w:r>
        <w:t xml:space="preserve">e </w:t>
      </w:r>
      <w:proofErr w:type="spellStart"/>
      <w:r>
        <w:t>bni</w:t>
      </w:r>
      <w:proofErr w:type="spellEnd"/>
      <w:r>
        <w:t xml:space="preserve">-afdracht </w:t>
      </w:r>
      <w:r w:rsidR="0001609D">
        <w:t xml:space="preserve">is </w:t>
      </w:r>
      <w:r>
        <w:t>het sluitstuk van de Europese begroting</w:t>
      </w:r>
      <w:r w:rsidR="0001609D">
        <w:t>. Daarom</w:t>
      </w:r>
      <w:r>
        <w:t xml:space="preserve"> hebben (bij de gelijkblijvende EU-uitgaven) de lager dan verwachte inkomsten van de invoerrechten een opwaarts effect op de raming de </w:t>
      </w:r>
      <w:proofErr w:type="spellStart"/>
      <w:r>
        <w:t>bni</w:t>
      </w:r>
      <w:proofErr w:type="spellEnd"/>
      <w:r>
        <w:t>-afdracht</w:t>
      </w:r>
      <w:r w:rsidR="001B2F3D">
        <w:t xml:space="preserve"> van de lidstaten</w:t>
      </w:r>
      <w:r>
        <w:t>.</w:t>
      </w:r>
      <w:r w:rsidR="00632677">
        <w:rPr>
          <w:rFonts w:cstheme="minorHAnsi"/>
        </w:rPr>
        <w:t xml:space="preserve"> </w:t>
      </w:r>
      <w:r w:rsidRPr="007030F6">
        <w:rPr>
          <w:rFonts w:cstheme="minorHAnsi"/>
        </w:rPr>
        <w:t xml:space="preserve">Daarnaast ligt het Nederlandse </w:t>
      </w:r>
      <w:proofErr w:type="spellStart"/>
      <w:r w:rsidRPr="007030F6">
        <w:rPr>
          <w:rFonts w:cstheme="minorHAnsi"/>
        </w:rPr>
        <w:t>bni</w:t>
      </w:r>
      <w:proofErr w:type="spellEnd"/>
      <w:r w:rsidRPr="007030F6">
        <w:rPr>
          <w:rFonts w:cstheme="minorHAnsi"/>
        </w:rPr>
        <w:t xml:space="preserve"> de komende jaren relatief </w:t>
      </w:r>
      <w:r w:rsidRPr="007030F6" w:rsidR="0001609D">
        <w:rPr>
          <w:rFonts w:cstheme="minorHAnsi"/>
        </w:rPr>
        <w:t xml:space="preserve">hoger </w:t>
      </w:r>
      <w:r w:rsidRPr="007030F6">
        <w:rPr>
          <w:rFonts w:cstheme="minorHAnsi"/>
        </w:rPr>
        <w:t>t</w:t>
      </w:r>
      <w:r w:rsidR="00632677">
        <w:rPr>
          <w:rFonts w:cstheme="minorHAnsi"/>
        </w:rPr>
        <w:t>en opzichte van</w:t>
      </w:r>
      <w:r w:rsidRPr="007030F6">
        <w:rPr>
          <w:rFonts w:cstheme="minorHAnsi"/>
        </w:rPr>
        <w:t xml:space="preserve"> de EU als totaal dan eerder verwacht. </w:t>
      </w:r>
      <w:r w:rsidR="00F235A2">
        <w:rPr>
          <w:rFonts w:cstheme="minorHAnsi"/>
        </w:rPr>
        <w:t>De actualisatie van de economische ramingen heeft ook een effect op h</w:t>
      </w:r>
      <w:r w:rsidRPr="007030F6">
        <w:rPr>
          <w:rFonts w:cstheme="minorHAnsi"/>
        </w:rPr>
        <w:t xml:space="preserve">et Nederlandse </w:t>
      </w:r>
      <w:proofErr w:type="spellStart"/>
      <w:r w:rsidRPr="007030F6">
        <w:rPr>
          <w:rFonts w:cstheme="minorHAnsi"/>
        </w:rPr>
        <w:t>bni</w:t>
      </w:r>
      <w:proofErr w:type="spellEnd"/>
      <w:r w:rsidRPr="007030F6">
        <w:rPr>
          <w:rFonts w:cstheme="minorHAnsi"/>
        </w:rPr>
        <w:t xml:space="preserve">-aandeel </w:t>
      </w:r>
      <w:r w:rsidR="00F235A2">
        <w:rPr>
          <w:rFonts w:cstheme="minorHAnsi"/>
        </w:rPr>
        <w:t>en dit neemt toe van</w:t>
      </w:r>
      <w:r w:rsidRPr="007030F6">
        <w:rPr>
          <w:rFonts w:cstheme="minorHAnsi"/>
        </w:rPr>
        <w:t xml:space="preserve"> 5,9% naar 6,1%. Dit leidt tot een stijging van de Nederlandse </w:t>
      </w:r>
      <w:proofErr w:type="spellStart"/>
      <w:r w:rsidRPr="007030F6">
        <w:rPr>
          <w:rFonts w:cstheme="minorHAnsi"/>
        </w:rPr>
        <w:t>bni</w:t>
      </w:r>
      <w:proofErr w:type="spellEnd"/>
      <w:r w:rsidRPr="007030F6">
        <w:rPr>
          <w:rFonts w:cstheme="minorHAnsi"/>
        </w:rPr>
        <w:t>-afdracht. C</w:t>
      </w:r>
      <w:r w:rsidR="00F235A2">
        <w:rPr>
          <w:rFonts w:cstheme="minorHAnsi"/>
        </w:rPr>
        <w:t>irca</w:t>
      </w:r>
      <w:r w:rsidRPr="007030F6">
        <w:rPr>
          <w:rFonts w:cstheme="minorHAnsi"/>
        </w:rPr>
        <w:t xml:space="preserve"> 50% van de stijging van de raming </w:t>
      </w:r>
      <w:r w:rsidR="00FA3C94">
        <w:rPr>
          <w:rFonts w:cstheme="minorHAnsi"/>
        </w:rPr>
        <w:t xml:space="preserve">van de Nederlandse </w:t>
      </w:r>
      <w:proofErr w:type="spellStart"/>
      <w:r w:rsidR="00FA3C94">
        <w:rPr>
          <w:rFonts w:cstheme="minorHAnsi"/>
        </w:rPr>
        <w:t>bni</w:t>
      </w:r>
      <w:proofErr w:type="spellEnd"/>
      <w:r w:rsidR="00FA3C94">
        <w:rPr>
          <w:rFonts w:cstheme="minorHAnsi"/>
        </w:rPr>
        <w:t xml:space="preserve">-afdracht </w:t>
      </w:r>
      <w:r w:rsidRPr="007030F6">
        <w:rPr>
          <w:rFonts w:cstheme="minorHAnsi"/>
        </w:rPr>
        <w:t xml:space="preserve">komt door de relatieve stijging van het Nederlandse </w:t>
      </w:r>
      <w:proofErr w:type="spellStart"/>
      <w:r w:rsidRPr="007030F6">
        <w:rPr>
          <w:rFonts w:cstheme="minorHAnsi"/>
        </w:rPr>
        <w:t>bni</w:t>
      </w:r>
      <w:proofErr w:type="spellEnd"/>
      <w:r w:rsidRPr="007030F6">
        <w:rPr>
          <w:rFonts w:cstheme="minorHAnsi"/>
        </w:rPr>
        <w:t xml:space="preserve">, de andere 50% door lager dan verwachte invoerrechten. </w:t>
      </w:r>
    </w:p>
    <w:p w:rsidR="002D06FD" w:rsidP="00B555DA" w:rsidRDefault="002D06FD" w14:paraId="4085EB10" w14:textId="77777777">
      <w:pPr>
        <w:rPr>
          <w:rFonts w:cstheme="minorHAnsi"/>
        </w:rPr>
      </w:pPr>
    </w:p>
    <w:p w:rsidR="00FA3C94" w:rsidP="00B555DA" w:rsidRDefault="14771559" w14:paraId="6C978F70" w14:textId="77777777">
      <w:r w:rsidRPr="14771559">
        <w:rPr>
          <w:rFonts w:cstheme="minorBidi"/>
        </w:rPr>
        <w:t xml:space="preserve">Als gevolg van de actualisatie van de economische ramingen stijgt de raming van de Nederlandse btw-afdracht met circa 6 miljoen euro in 2024 en 24 miljoen euro in 2025, als gevolg van de economische groei. De </w:t>
      </w:r>
      <w:r>
        <w:t xml:space="preserve">verwachte Nederlandse plastic-afdracht blijft in 2024 nagenoeg gelijk (-0,3 miljoen euro) en daalt vanaf 2025 met circa 6 miljoen euro </w:t>
      </w:r>
      <w:r w:rsidRPr="14771559">
        <w:rPr>
          <w:rFonts w:cstheme="minorBidi"/>
        </w:rPr>
        <w:t xml:space="preserve">per jaar. </w:t>
      </w:r>
    </w:p>
    <w:p w:rsidR="00711C55" w:rsidP="00B555DA" w:rsidRDefault="00711C55" w14:paraId="0D66B899" w14:textId="77777777"/>
    <w:p w:rsidR="00416E80" w:rsidP="00B555DA" w:rsidRDefault="00416E80" w14:paraId="38C47144" w14:textId="77777777">
      <w:r w:rsidRPr="00620733">
        <w:t xml:space="preserve">De Commissie geeft </w:t>
      </w:r>
      <w:r>
        <w:t>verder aan te verwachten dat de overige ontvangsten in 202</w:t>
      </w:r>
      <w:r w:rsidR="006E7FF9">
        <w:t>4</w:t>
      </w:r>
      <w:r>
        <w:t xml:space="preserve"> op EU-niveau </w:t>
      </w:r>
      <w:r w:rsidR="00267BA4">
        <w:t>stijgen, deze worden met 760 m</w:t>
      </w:r>
      <w:r w:rsidR="006A3B43">
        <w:t>iljoen</w:t>
      </w:r>
      <w:r w:rsidR="00267BA4">
        <w:t xml:space="preserve"> </w:t>
      </w:r>
      <w:r w:rsidR="001B2F3D">
        <w:t>euro n</w:t>
      </w:r>
      <w:r w:rsidR="00267BA4">
        <w:t>aar boven bijgesteld</w:t>
      </w:r>
      <w:r w:rsidRPr="008E4F08">
        <w:t>.</w:t>
      </w:r>
      <w:r>
        <w:t xml:space="preserve"> De Commissie stelt de verwachte bijdrage van het Verenigd Koninkrijk aan de Europese begroting uit hoofde van het terugtrekkingsakkoord naar beneden bij met </w:t>
      </w:r>
      <w:r w:rsidR="00FD4087">
        <w:t>1,5</w:t>
      </w:r>
      <w:r w:rsidR="00632677">
        <w:t xml:space="preserve"> miljard</w:t>
      </w:r>
      <w:r>
        <w:t xml:space="preserve"> euro</w:t>
      </w:r>
      <w:r w:rsidR="00EE39BD">
        <w:t xml:space="preserve"> in 2024</w:t>
      </w:r>
      <w:r>
        <w:t>.</w:t>
      </w:r>
      <w:r w:rsidR="00FD4087">
        <w:t xml:space="preserve"> </w:t>
      </w:r>
      <w:r w:rsidR="00267BA4">
        <w:t xml:space="preserve">Dit wordt grotendeels veroorzaakt </w:t>
      </w:r>
      <w:r w:rsidR="00E87586">
        <w:t>door</w:t>
      </w:r>
      <w:r w:rsidR="00267BA4">
        <w:t xml:space="preserve"> vertraging in betalingen van programma’s op de EU-begroting waaraan het V</w:t>
      </w:r>
      <w:r w:rsidR="00DD4B9C">
        <w:t>erenigd Koninkrijk</w:t>
      </w:r>
      <w:r w:rsidR="00267BA4">
        <w:t xml:space="preserve"> nog gecommitteerd is. </w:t>
      </w:r>
      <w:r>
        <w:t xml:space="preserve">Deze </w:t>
      </w:r>
      <w:r w:rsidR="00267BA4">
        <w:t xml:space="preserve">beide bijstellingen leiden cumulatief </w:t>
      </w:r>
      <w:r>
        <w:t xml:space="preserve">tot een </w:t>
      </w:r>
      <w:r w:rsidRPr="007030F6">
        <w:t xml:space="preserve">stijging van </w:t>
      </w:r>
      <w:r w:rsidR="00267BA4">
        <w:t>4</w:t>
      </w:r>
      <w:r w:rsidR="0043049B">
        <w:t>2</w:t>
      </w:r>
      <w:r w:rsidRPr="007030F6">
        <w:t xml:space="preserve"> miljoen euro op de raming van de Nederlandse afdracht voor 202</w:t>
      </w:r>
      <w:r w:rsidRPr="007030F6" w:rsidR="00620733">
        <w:t>4</w:t>
      </w:r>
      <w:r w:rsidRPr="007030F6">
        <w:t>.</w:t>
      </w:r>
      <w:r>
        <w:t xml:space="preserve"> </w:t>
      </w:r>
    </w:p>
    <w:p w:rsidR="00416E80" w:rsidP="00B555DA" w:rsidRDefault="00416E80" w14:paraId="633A1392" w14:textId="77777777"/>
    <w:p w:rsidRPr="0047199D" w:rsidR="0047199D" w:rsidP="00B555DA" w:rsidRDefault="0047199D" w14:paraId="460DA806" w14:textId="77777777">
      <w:pPr>
        <w:rPr>
          <w:i/>
          <w:iCs/>
        </w:rPr>
      </w:pPr>
      <w:r w:rsidRPr="0047199D">
        <w:rPr>
          <w:i/>
          <w:iCs/>
        </w:rPr>
        <w:t xml:space="preserve">Gevolgen voor de Nederlandse afdrachten </w:t>
      </w:r>
    </w:p>
    <w:p w:rsidR="00A23C2F" w:rsidP="00B555DA" w:rsidRDefault="0047199D" w14:paraId="14F3BBCF" w14:textId="77777777">
      <w:pPr>
        <w:rPr>
          <w:i/>
          <w:iCs/>
        </w:rPr>
      </w:pPr>
      <w:r>
        <w:t>De budgettaire verwerking van het effect op de raming van de Nederlandse afdrachten vindt plaats bij de Ontwerpbegroting 2025 van het Ministerie van Buitenlandse Zaken.</w:t>
      </w:r>
      <w:r w:rsidRPr="008E4F08" w:rsidR="008E4F08">
        <w:t xml:space="preserve"> </w:t>
      </w:r>
      <w:r w:rsidR="00FA3C94">
        <w:t>Onderstaande tabel geeft een overzicht van het effect van DAB4 op de raming van de Nederlandse EU-afdrachten (in m</w:t>
      </w:r>
      <w:r w:rsidR="006A3B43">
        <w:t xml:space="preserve">iljoen </w:t>
      </w:r>
      <w:r w:rsidR="00FA3C94">
        <w:t>euro</w:t>
      </w:r>
      <w:r w:rsidR="006A3B43">
        <w:t>’s</w:t>
      </w:r>
      <w:r w:rsidR="00FA3C94">
        <w:t xml:space="preserve"> in lopende prijzen).</w:t>
      </w:r>
      <w:r w:rsidRPr="00FA3C94" w:rsidR="00FA3C94">
        <w:t xml:space="preserve"> </w:t>
      </w:r>
      <w:r w:rsidR="00FA3C94">
        <w:t xml:space="preserve">Het </w:t>
      </w:r>
      <w:r w:rsidR="001B2F3D">
        <w:t xml:space="preserve">cumulatieve </w:t>
      </w:r>
      <w:r w:rsidR="00FA3C94">
        <w:t xml:space="preserve">effect van de bijstellingen op de raming van de Nederlandse afdracht is een stijging van </w:t>
      </w:r>
      <w:r w:rsidR="0052772A">
        <w:t>501</w:t>
      </w:r>
      <w:r w:rsidR="00FA3C94">
        <w:t xml:space="preserve"> miljoen euro in 2024 en </w:t>
      </w:r>
      <w:r w:rsidR="00FA3C94">
        <w:rPr>
          <w:rFonts w:ascii="Calibri" w:hAnsi="Calibri" w:cs="Calibri"/>
          <w:sz w:val="22"/>
          <w:szCs w:val="22"/>
        </w:rPr>
        <w:t>498</w:t>
      </w:r>
      <w:r w:rsidR="00FA3C94">
        <w:t xml:space="preserve"> miljoen euro in 2025.</w:t>
      </w:r>
      <w:r w:rsidR="00FA3C94">
        <w:rPr>
          <w:rFonts w:cstheme="minorHAnsi"/>
        </w:rPr>
        <w:t xml:space="preserve"> </w:t>
      </w:r>
      <w:r w:rsidR="008E4F08">
        <w:t xml:space="preserve">Dit effect werkt meerjarig door tot en met 2029. De verwachting op basis van huidige cijfers is een stijging van de raming van de </w:t>
      </w:r>
      <w:r w:rsidR="00F235A2">
        <w:t>Nederlandse EU-</w:t>
      </w:r>
      <w:r w:rsidR="008E4F08">
        <w:t>afdracht met 78</w:t>
      </w:r>
      <w:r w:rsidR="0052772A">
        <w:t>8</w:t>
      </w:r>
      <w:r w:rsidR="008E4F08">
        <w:t xml:space="preserve"> miljoen in 2029. </w:t>
      </w:r>
      <w:r w:rsidRPr="002D06FD" w:rsidR="00F946CB">
        <w:rPr>
          <w:rFonts w:cstheme="minorHAnsi"/>
        </w:rPr>
        <w:t xml:space="preserve">In de bestaande ramingssystematiek </w:t>
      </w:r>
      <w:r w:rsidR="00E87586">
        <w:rPr>
          <w:rFonts w:cstheme="minorHAnsi"/>
        </w:rPr>
        <w:t xml:space="preserve">voor de Nederlandse EU-afdrachten </w:t>
      </w:r>
      <w:r w:rsidRPr="002D06FD" w:rsidR="00F946CB">
        <w:rPr>
          <w:rFonts w:cstheme="minorHAnsi"/>
        </w:rPr>
        <w:t>zijn voor de periode na het huidige MFK (vanaf 2028) aannames gedaan over de omvang van het MFK als percentage van het EU-</w:t>
      </w:r>
      <w:proofErr w:type="spellStart"/>
      <w:r w:rsidRPr="002D06FD" w:rsidR="00F946CB">
        <w:rPr>
          <w:rFonts w:cstheme="minorHAnsi"/>
        </w:rPr>
        <w:t>bni</w:t>
      </w:r>
      <w:proofErr w:type="spellEnd"/>
      <w:r w:rsidR="00F946CB">
        <w:rPr>
          <w:rFonts w:cstheme="minorHAnsi"/>
        </w:rPr>
        <w:t xml:space="preserve">. </w:t>
      </w:r>
      <w:r w:rsidRPr="002D06FD" w:rsidR="00F946CB">
        <w:rPr>
          <w:rFonts w:cstheme="minorHAnsi"/>
        </w:rPr>
        <w:t>Om die reden werken de economische bijstellingen ook na het huidig MFK door in de raming</w:t>
      </w:r>
      <w:r w:rsidR="00F946CB">
        <w:rPr>
          <w:rFonts w:cstheme="minorHAnsi"/>
        </w:rPr>
        <w:t xml:space="preserve">. </w:t>
      </w:r>
      <w:r w:rsidR="00E87586">
        <w:rPr>
          <w:rFonts w:cstheme="minorHAnsi"/>
        </w:rPr>
        <w:t>Omdat in de</w:t>
      </w:r>
      <w:r w:rsidRPr="00AF40F2" w:rsidR="00AF40F2">
        <w:rPr>
          <w:rFonts w:cstheme="minorHAnsi"/>
        </w:rPr>
        <w:t xml:space="preserve"> raming </w:t>
      </w:r>
      <w:r w:rsidR="00E87586">
        <w:rPr>
          <w:rFonts w:cstheme="minorHAnsi"/>
        </w:rPr>
        <w:t xml:space="preserve">vanaf 2028 een koppeling is gemaakt tussen de </w:t>
      </w:r>
      <w:r w:rsidR="00E87586">
        <w:rPr>
          <w:rFonts w:cstheme="minorHAnsi"/>
        </w:rPr>
        <w:lastRenderedPageBreak/>
        <w:t xml:space="preserve">verwachte omvang van het volgende MFK en de omvang van de Europese economie is </w:t>
      </w:r>
      <w:r w:rsidRPr="00AF40F2" w:rsidR="00AF40F2">
        <w:rPr>
          <w:rFonts w:cstheme="minorHAnsi"/>
        </w:rPr>
        <w:t>het effect in 2028 en 2029 groter dan in de huidige MFK-periode.</w:t>
      </w:r>
    </w:p>
    <w:p w:rsidRPr="00D50D6A" w:rsidR="004E18AB" w:rsidP="00B555DA" w:rsidRDefault="004E18AB" w14:paraId="6578AE91" w14:textId="77777777">
      <w:pPr>
        <w:rPr>
          <w:rFonts w:cstheme="minorHAnsi"/>
        </w:rPr>
      </w:pPr>
    </w:p>
    <w:p w:rsidRPr="0056525C" w:rsidR="00FA3C94" w:rsidP="00B555DA" w:rsidRDefault="00FA3C94" w14:paraId="61CDDD9F" w14:textId="77777777">
      <w:pPr>
        <w:rPr>
          <w:i/>
          <w:iCs/>
          <w:sz w:val="16"/>
          <w:szCs w:val="16"/>
        </w:rPr>
      </w:pPr>
      <w:r w:rsidRPr="0056525C">
        <w:rPr>
          <w:i/>
          <w:iCs/>
          <w:sz w:val="16"/>
          <w:szCs w:val="16"/>
        </w:rPr>
        <w:t xml:space="preserve">Tabel 1: Effect DAB4 op raming NL nationale afdrachten (in </w:t>
      </w:r>
      <w:r w:rsidR="00570146">
        <w:rPr>
          <w:i/>
          <w:iCs/>
          <w:sz w:val="16"/>
          <w:szCs w:val="16"/>
        </w:rPr>
        <w:t>mln.</w:t>
      </w:r>
      <w:r w:rsidRPr="0056525C">
        <w:rPr>
          <w:i/>
          <w:iCs/>
          <w:sz w:val="16"/>
          <w:szCs w:val="16"/>
        </w:rPr>
        <w:t xml:space="preserve"> euro’s, lopende prijzen)</w:t>
      </w:r>
    </w:p>
    <w:tbl>
      <w:tblPr>
        <w:tblW w:w="7307"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678"/>
        <w:gridCol w:w="806"/>
        <w:gridCol w:w="806"/>
        <w:gridCol w:w="806"/>
        <w:gridCol w:w="807"/>
        <w:gridCol w:w="809"/>
        <w:gridCol w:w="595"/>
      </w:tblGrid>
      <w:tr w:rsidRPr="0056525C" w:rsidR="00570146" w:rsidTr="00570146" w14:paraId="3BC367F6" w14:textId="77777777">
        <w:trPr>
          <w:trHeight w:val="249"/>
        </w:trPr>
        <w:tc>
          <w:tcPr>
            <w:tcW w:w="2678" w:type="dxa"/>
            <w:vMerge w:val="restart"/>
            <w:tcBorders>
              <w:top w:val="single" w:color="5B9BD5" w:themeColor="accent5" w:sz="4" w:space="0"/>
              <w:left w:val="single" w:color="5B9BD5" w:themeColor="accent5" w:sz="4" w:space="0"/>
              <w:bottom w:val="nil"/>
              <w:right w:val="single" w:color="5B9BD5" w:themeColor="accent5" w:sz="4" w:space="0"/>
            </w:tcBorders>
            <w:shd w:val="clear" w:color="000000" w:fill="1F4E79"/>
            <w:noWrap/>
            <w:vAlign w:val="center"/>
            <w:hideMark/>
          </w:tcPr>
          <w:p w:rsidRPr="0056525C" w:rsidR="00FA3C94" w:rsidP="00B555DA" w:rsidRDefault="00FA3C94" w14:paraId="31BBFAA6" w14:textId="77777777">
            <w:pPr>
              <w:autoSpaceDN/>
              <w:textAlignment w:val="auto"/>
              <w:rPr>
                <w:rFonts w:eastAsia="Times New Roman" w:cs="Calibri"/>
                <w:b/>
                <w:bCs/>
                <w:color w:val="FFFFFF"/>
                <w:sz w:val="16"/>
                <w:szCs w:val="16"/>
              </w:rPr>
            </w:pPr>
            <w:r w:rsidRPr="0056525C">
              <w:rPr>
                <w:rFonts w:eastAsia="Times New Roman" w:cs="Calibri"/>
                <w:b/>
                <w:bCs/>
                <w:color w:val="FFFFFF"/>
                <w:sz w:val="16"/>
                <w:szCs w:val="16"/>
              </w:rPr>
              <w:t>Effect DAB4 op raming NL EU-afdrachten</w:t>
            </w:r>
          </w:p>
        </w:tc>
        <w:tc>
          <w:tcPr>
            <w:tcW w:w="806" w:type="dxa"/>
            <w:tcBorders>
              <w:top w:val="single" w:color="5B9BD5" w:themeColor="accent5" w:sz="4" w:space="0"/>
              <w:left w:val="single" w:color="5B9BD5" w:themeColor="accent5" w:sz="4" w:space="0"/>
              <w:bottom w:val="single" w:color="5B9BD5" w:themeColor="accent5" w:sz="4" w:space="0"/>
              <w:right w:val="nil"/>
            </w:tcBorders>
            <w:shd w:val="clear" w:color="000000" w:fill="1F4E79"/>
            <w:noWrap/>
            <w:vAlign w:val="center"/>
            <w:hideMark/>
          </w:tcPr>
          <w:p w:rsidRPr="0056525C" w:rsidR="00FA3C94" w:rsidP="00B555DA" w:rsidRDefault="00FA3C94" w14:paraId="138B7CA3" w14:textId="77777777">
            <w:pPr>
              <w:autoSpaceDN/>
              <w:textAlignment w:val="auto"/>
              <w:rPr>
                <w:rFonts w:eastAsia="Times New Roman" w:cs="Calibri"/>
                <w:b/>
                <w:bCs/>
                <w:color w:val="FFFFFF"/>
                <w:sz w:val="16"/>
                <w:szCs w:val="16"/>
              </w:rPr>
            </w:pPr>
            <w:r w:rsidRPr="0056525C">
              <w:rPr>
                <w:rFonts w:eastAsia="Times New Roman" w:cs="Calibri"/>
                <w:b/>
                <w:bCs/>
                <w:color w:val="FFFFFF"/>
                <w:sz w:val="16"/>
                <w:szCs w:val="16"/>
                <w:lang w:val="en-US"/>
              </w:rPr>
              <w:t>2024</w:t>
            </w:r>
          </w:p>
        </w:tc>
        <w:tc>
          <w:tcPr>
            <w:tcW w:w="806" w:type="dxa"/>
            <w:tcBorders>
              <w:top w:val="single" w:color="5B9BD5" w:themeColor="accent5" w:sz="4" w:space="0"/>
              <w:left w:val="nil"/>
              <w:bottom w:val="single" w:color="5B9BD5" w:themeColor="accent5" w:sz="4" w:space="0"/>
            </w:tcBorders>
            <w:shd w:val="clear" w:color="000000" w:fill="1F4E79"/>
            <w:noWrap/>
            <w:vAlign w:val="center"/>
            <w:hideMark/>
          </w:tcPr>
          <w:p w:rsidRPr="0056525C" w:rsidR="00FA3C94" w:rsidP="00B555DA" w:rsidRDefault="00FA3C94" w14:paraId="693933E2" w14:textId="77777777">
            <w:pPr>
              <w:autoSpaceDN/>
              <w:textAlignment w:val="auto"/>
              <w:rPr>
                <w:rFonts w:eastAsia="Times New Roman" w:cs="Calibri"/>
                <w:b/>
                <w:bCs/>
                <w:color w:val="FFFFFF"/>
                <w:sz w:val="16"/>
                <w:szCs w:val="16"/>
              </w:rPr>
            </w:pPr>
            <w:r w:rsidRPr="0056525C">
              <w:rPr>
                <w:rFonts w:eastAsia="Times New Roman" w:cs="Calibri"/>
                <w:b/>
                <w:bCs/>
                <w:color w:val="FFFFFF"/>
                <w:sz w:val="16"/>
                <w:szCs w:val="16"/>
                <w:lang w:val="en-US"/>
              </w:rPr>
              <w:t>2025</w:t>
            </w:r>
          </w:p>
        </w:tc>
        <w:tc>
          <w:tcPr>
            <w:tcW w:w="806" w:type="dxa"/>
            <w:tcBorders>
              <w:top w:val="single" w:color="5B9BD5" w:themeColor="accent5" w:sz="4" w:space="0"/>
              <w:bottom w:val="single" w:color="5B9BD5" w:themeColor="accent5" w:sz="4" w:space="0"/>
            </w:tcBorders>
            <w:shd w:val="clear" w:color="000000" w:fill="1F4E79"/>
            <w:noWrap/>
            <w:vAlign w:val="center"/>
            <w:hideMark/>
          </w:tcPr>
          <w:p w:rsidRPr="0056525C" w:rsidR="00FA3C94" w:rsidP="00B555DA" w:rsidRDefault="00FA3C94" w14:paraId="5288478E" w14:textId="77777777">
            <w:pPr>
              <w:autoSpaceDN/>
              <w:textAlignment w:val="auto"/>
              <w:rPr>
                <w:rFonts w:eastAsia="Times New Roman" w:cs="Calibri"/>
                <w:b/>
                <w:bCs/>
                <w:color w:val="FFFFFF"/>
                <w:sz w:val="16"/>
                <w:szCs w:val="16"/>
              </w:rPr>
            </w:pPr>
            <w:r w:rsidRPr="0056525C">
              <w:rPr>
                <w:rFonts w:eastAsia="Times New Roman" w:cs="Calibri"/>
                <w:b/>
                <w:bCs/>
                <w:color w:val="FFFFFF"/>
                <w:sz w:val="16"/>
                <w:szCs w:val="16"/>
                <w:lang w:val="en-US"/>
              </w:rPr>
              <w:t>2026</w:t>
            </w:r>
          </w:p>
        </w:tc>
        <w:tc>
          <w:tcPr>
            <w:tcW w:w="807" w:type="dxa"/>
            <w:tcBorders>
              <w:top w:val="single" w:color="5B9BD5" w:themeColor="accent5" w:sz="4" w:space="0"/>
              <w:bottom w:val="single" w:color="5B9BD5" w:themeColor="accent5" w:sz="4" w:space="0"/>
              <w:right w:val="single" w:color="5B9BD5" w:themeColor="accent5" w:sz="4" w:space="0"/>
            </w:tcBorders>
            <w:shd w:val="clear" w:color="000000" w:fill="1F4E79"/>
            <w:noWrap/>
            <w:vAlign w:val="center"/>
            <w:hideMark/>
          </w:tcPr>
          <w:p w:rsidRPr="0056525C" w:rsidR="00FA3C94" w:rsidP="00B555DA" w:rsidRDefault="00FA3C94" w14:paraId="512E0659" w14:textId="77777777">
            <w:pPr>
              <w:autoSpaceDN/>
              <w:textAlignment w:val="auto"/>
              <w:rPr>
                <w:rFonts w:eastAsia="Times New Roman" w:cs="Calibri"/>
                <w:b/>
                <w:bCs/>
                <w:color w:val="FFFFFF"/>
                <w:sz w:val="16"/>
                <w:szCs w:val="16"/>
              </w:rPr>
            </w:pPr>
            <w:r w:rsidRPr="0056525C">
              <w:rPr>
                <w:rFonts w:eastAsia="Times New Roman" w:cs="Calibri"/>
                <w:b/>
                <w:bCs/>
                <w:color w:val="FFFFFF"/>
                <w:sz w:val="16"/>
                <w:szCs w:val="16"/>
                <w:lang w:val="en-US"/>
              </w:rPr>
              <w:t>2027</w:t>
            </w:r>
          </w:p>
        </w:tc>
        <w:tc>
          <w:tcPr>
            <w:tcW w:w="809" w:type="dxa"/>
            <w:tcBorders>
              <w:top w:val="single" w:color="5B9BD5" w:themeColor="accent5" w:sz="4" w:space="0"/>
              <w:left w:val="single" w:color="5B9BD5" w:themeColor="accent5" w:sz="4" w:space="0"/>
              <w:bottom w:val="single" w:color="5B9BD5" w:themeColor="accent5" w:sz="4" w:space="0"/>
              <w:right w:val="nil"/>
            </w:tcBorders>
            <w:shd w:val="clear" w:color="000000" w:fill="1F4E79"/>
            <w:noWrap/>
            <w:vAlign w:val="center"/>
            <w:hideMark/>
          </w:tcPr>
          <w:p w:rsidRPr="0056525C" w:rsidR="00FA3C94" w:rsidP="00B555DA" w:rsidRDefault="00FA3C94" w14:paraId="6DB67685" w14:textId="77777777">
            <w:pPr>
              <w:autoSpaceDN/>
              <w:textAlignment w:val="auto"/>
              <w:rPr>
                <w:rFonts w:eastAsia="Times New Roman" w:cs="Calibri"/>
                <w:b/>
                <w:bCs/>
                <w:color w:val="FFFFFF"/>
                <w:sz w:val="16"/>
                <w:szCs w:val="16"/>
              </w:rPr>
            </w:pPr>
            <w:r w:rsidRPr="0056525C">
              <w:rPr>
                <w:rFonts w:eastAsia="Times New Roman" w:cs="Calibri"/>
                <w:b/>
                <w:bCs/>
                <w:color w:val="FFFFFF"/>
                <w:sz w:val="16"/>
                <w:szCs w:val="16"/>
                <w:lang w:val="en-US"/>
              </w:rPr>
              <w:t>2028</w:t>
            </w:r>
          </w:p>
        </w:tc>
        <w:tc>
          <w:tcPr>
            <w:tcW w:w="595" w:type="dxa"/>
            <w:tcBorders>
              <w:top w:val="single" w:color="5B9BD5" w:themeColor="accent5" w:sz="4" w:space="0"/>
              <w:left w:val="nil"/>
              <w:bottom w:val="single" w:color="5B9BD5" w:themeColor="accent5" w:sz="4" w:space="0"/>
              <w:right w:val="single" w:color="5B9BD5" w:themeColor="accent5" w:sz="4" w:space="0"/>
            </w:tcBorders>
            <w:shd w:val="clear" w:color="000000" w:fill="1F4E79"/>
            <w:noWrap/>
            <w:vAlign w:val="center"/>
            <w:hideMark/>
          </w:tcPr>
          <w:p w:rsidRPr="0056525C" w:rsidR="00FA3C94" w:rsidP="00B555DA" w:rsidRDefault="00FA3C94" w14:paraId="0BEDC5A1" w14:textId="77777777">
            <w:pPr>
              <w:autoSpaceDN/>
              <w:textAlignment w:val="auto"/>
              <w:rPr>
                <w:rFonts w:eastAsia="Times New Roman" w:cs="Calibri"/>
                <w:b/>
                <w:bCs/>
                <w:color w:val="FFFFFF"/>
                <w:sz w:val="16"/>
                <w:szCs w:val="16"/>
              </w:rPr>
            </w:pPr>
            <w:r w:rsidRPr="0056525C">
              <w:rPr>
                <w:rFonts w:eastAsia="Times New Roman" w:cs="Calibri"/>
                <w:b/>
                <w:bCs/>
                <w:color w:val="FFFFFF"/>
                <w:sz w:val="16"/>
                <w:szCs w:val="16"/>
                <w:lang w:val="en-US"/>
              </w:rPr>
              <w:t>2029</w:t>
            </w:r>
          </w:p>
        </w:tc>
      </w:tr>
      <w:tr w:rsidRPr="0056525C" w:rsidR="00570146" w:rsidTr="00570146" w14:paraId="53FAC41C" w14:textId="77777777">
        <w:trPr>
          <w:trHeight w:val="55"/>
        </w:trPr>
        <w:tc>
          <w:tcPr>
            <w:tcW w:w="2678" w:type="dxa"/>
            <w:vMerge/>
            <w:tcBorders>
              <w:top w:val="nil"/>
              <w:left w:val="single" w:color="5B9BD5" w:themeColor="accent5" w:sz="4" w:space="0"/>
              <w:bottom w:val="single" w:color="5B9BD5" w:themeColor="accent5" w:sz="4" w:space="0"/>
              <w:right w:val="single" w:color="5B9BD5" w:themeColor="accent5" w:sz="4" w:space="0"/>
            </w:tcBorders>
            <w:vAlign w:val="center"/>
            <w:hideMark/>
          </w:tcPr>
          <w:p w:rsidRPr="0056525C" w:rsidR="00570146" w:rsidP="00B555DA" w:rsidRDefault="00570146" w14:paraId="5278243A" w14:textId="77777777">
            <w:pPr>
              <w:autoSpaceDN/>
              <w:textAlignment w:val="auto"/>
              <w:rPr>
                <w:rFonts w:eastAsia="Times New Roman" w:cs="Calibri"/>
                <w:b/>
                <w:bCs/>
                <w:color w:val="FFFFFF"/>
                <w:sz w:val="16"/>
                <w:szCs w:val="16"/>
              </w:rPr>
            </w:pPr>
          </w:p>
        </w:tc>
        <w:tc>
          <w:tcPr>
            <w:tcW w:w="3225" w:type="dxa"/>
            <w:gridSpan w:val="4"/>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000000" w:fill="1F4E79"/>
            <w:noWrap/>
            <w:vAlign w:val="center"/>
            <w:hideMark/>
          </w:tcPr>
          <w:p w:rsidRPr="0056525C" w:rsidR="00570146" w:rsidP="007207BC" w:rsidRDefault="00570146" w14:paraId="6612B96F" w14:textId="77777777">
            <w:pPr>
              <w:autoSpaceDN/>
              <w:jc w:val="center"/>
              <w:textAlignment w:val="auto"/>
              <w:rPr>
                <w:rFonts w:eastAsia="Times New Roman" w:cs="Calibri"/>
                <w:i/>
                <w:iCs/>
                <w:color w:val="FFFFFF"/>
                <w:sz w:val="16"/>
                <w:szCs w:val="16"/>
              </w:rPr>
            </w:pPr>
            <w:r w:rsidRPr="0056525C">
              <w:rPr>
                <w:rFonts w:eastAsia="Times New Roman" w:cs="Calibri"/>
                <w:i/>
                <w:iCs/>
                <w:color w:val="FFFFFF"/>
                <w:sz w:val="16"/>
                <w:szCs w:val="16"/>
                <w:lang w:val="en-US"/>
              </w:rPr>
              <w:t>MFK 2021-2027</w:t>
            </w:r>
          </w:p>
        </w:tc>
        <w:tc>
          <w:tcPr>
            <w:tcW w:w="1404" w:type="dxa"/>
            <w:gridSpan w:val="2"/>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000000" w:fill="1F4E79"/>
            <w:vAlign w:val="center"/>
          </w:tcPr>
          <w:p w:rsidRPr="0056525C" w:rsidR="00570146" w:rsidP="00B555DA" w:rsidRDefault="00570146" w14:paraId="7760B488" w14:textId="77777777">
            <w:pPr>
              <w:autoSpaceDN/>
              <w:textAlignment w:val="auto"/>
              <w:rPr>
                <w:rFonts w:eastAsia="Times New Roman" w:cs="Calibri"/>
                <w:b/>
                <w:bCs/>
                <w:color w:val="auto"/>
                <w:sz w:val="16"/>
                <w:szCs w:val="16"/>
              </w:rPr>
            </w:pPr>
            <w:r w:rsidRPr="0056525C">
              <w:rPr>
                <w:rFonts w:eastAsia="Times New Roman" w:cs="Calibri"/>
                <w:b/>
                <w:bCs/>
                <w:color w:val="auto"/>
                <w:sz w:val="16"/>
                <w:szCs w:val="16"/>
                <w:lang w:val="en-US"/>
              </w:rPr>
              <w:t> </w:t>
            </w:r>
          </w:p>
        </w:tc>
      </w:tr>
      <w:tr w:rsidRPr="0056525C" w:rsidR="00FA3C94" w:rsidTr="00570146" w14:paraId="50866480" w14:textId="77777777">
        <w:trPr>
          <w:trHeight w:val="249"/>
        </w:trPr>
        <w:tc>
          <w:tcPr>
            <w:tcW w:w="2678" w:type="dxa"/>
            <w:tcBorders>
              <w:top w:val="single" w:color="5B9BD5" w:themeColor="accent5" w:sz="4" w:space="0"/>
              <w:left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56424601" w14:textId="77777777">
            <w:pPr>
              <w:autoSpaceDN/>
              <w:textAlignment w:val="auto"/>
              <w:rPr>
                <w:rFonts w:eastAsia="Times New Roman" w:cs="Calibri"/>
                <w:sz w:val="16"/>
                <w:szCs w:val="16"/>
              </w:rPr>
            </w:pPr>
            <w:proofErr w:type="spellStart"/>
            <w:r w:rsidRPr="0056525C">
              <w:rPr>
                <w:rFonts w:eastAsia="Times New Roman" w:cs="Calibri"/>
                <w:sz w:val="16"/>
                <w:szCs w:val="16"/>
                <w:lang w:val="en-US"/>
              </w:rPr>
              <w:t>Lenteraming</w:t>
            </w:r>
            <w:proofErr w:type="spellEnd"/>
            <w:r w:rsidRPr="0056525C">
              <w:rPr>
                <w:rFonts w:eastAsia="Times New Roman" w:cs="Calibri"/>
                <w:sz w:val="16"/>
                <w:szCs w:val="16"/>
                <w:lang w:val="en-US"/>
              </w:rPr>
              <w:t xml:space="preserve"> </w:t>
            </w:r>
            <w:proofErr w:type="spellStart"/>
            <w:r w:rsidRPr="0056525C">
              <w:rPr>
                <w:rFonts w:eastAsia="Times New Roman" w:cs="Calibri"/>
                <w:sz w:val="16"/>
                <w:szCs w:val="16"/>
                <w:lang w:val="en-US"/>
              </w:rPr>
              <w:t>bni-afdracht</w:t>
            </w:r>
            <w:proofErr w:type="spellEnd"/>
          </w:p>
        </w:tc>
        <w:tc>
          <w:tcPr>
            <w:tcW w:w="806" w:type="dxa"/>
            <w:tcBorders>
              <w:top w:val="single" w:color="5B9BD5" w:themeColor="accent5" w:sz="4" w:space="0"/>
              <w:left w:val="single" w:color="5B9BD5" w:themeColor="accent5" w:sz="4" w:space="0"/>
            </w:tcBorders>
            <w:shd w:val="clear" w:color="auto" w:fill="auto"/>
            <w:noWrap/>
            <w:vAlign w:val="center"/>
            <w:hideMark/>
          </w:tcPr>
          <w:p w:rsidRPr="0056525C" w:rsidR="00FA3C94" w:rsidP="00B555DA" w:rsidRDefault="00FA3C94" w14:paraId="47847A6A" w14:textId="77777777">
            <w:pPr>
              <w:autoSpaceDN/>
              <w:textAlignment w:val="auto"/>
              <w:rPr>
                <w:rFonts w:eastAsia="Times New Roman" w:cs="Calibri"/>
                <w:sz w:val="16"/>
                <w:szCs w:val="16"/>
              </w:rPr>
            </w:pPr>
            <w:r w:rsidRPr="0056525C">
              <w:rPr>
                <w:rFonts w:eastAsia="Times New Roman" w:cs="Calibri"/>
                <w:sz w:val="16"/>
                <w:szCs w:val="16"/>
              </w:rPr>
              <w:t>45</w:t>
            </w:r>
            <w:r w:rsidRPr="0056525C" w:rsidR="001F7E38">
              <w:rPr>
                <w:rFonts w:eastAsia="Times New Roman" w:cs="Calibri"/>
                <w:sz w:val="16"/>
                <w:szCs w:val="16"/>
              </w:rPr>
              <w:t>3</w:t>
            </w:r>
          </w:p>
        </w:tc>
        <w:tc>
          <w:tcPr>
            <w:tcW w:w="806" w:type="dxa"/>
            <w:tcBorders>
              <w:top w:val="single" w:color="5B9BD5" w:themeColor="accent5" w:sz="4" w:space="0"/>
            </w:tcBorders>
            <w:shd w:val="clear" w:color="auto" w:fill="auto"/>
            <w:noWrap/>
            <w:vAlign w:val="center"/>
            <w:hideMark/>
          </w:tcPr>
          <w:p w:rsidRPr="0056525C" w:rsidR="00FA3C94" w:rsidP="00B555DA" w:rsidRDefault="00FA3C94" w14:paraId="40591D7C" w14:textId="77777777">
            <w:pPr>
              <w:autoSpaceDN/>
              <w:textAlignment w:val="auto"/>
              <w:rPr>
                <w:rFonts w:eastAsia="Times New Roman" w:cs="Calibri"/>
                <w:sz w:val="16"/>
                <w:szCs w:val="16"/>
              </w:rPr>
            </w:pPr>
            <w:r w:rsidRPr="0056525C">
              <w:rPr>
                <w:rFonts w:eastAsia="Times New Roman" w:cs="Calibri"/>
                <w:sz w:val="16"/>
                <w:szCs w:val="16"/>
              </w:rPr>
              <w:t>480</w:t>
            </w:r>
          </w:p>
        </w:tc>
        <w:tc>
          <w:tcPr>
            <w:tcW w:w="806" w:type="dxa"/>
            <w:tcBorders>
              <w:top w:val="single" w:color="5B9BD5" w:themeColor="accent5" w:sz="4" w:space="0"/>
            </w:tcBorders>
            <w:shd w:val="clear" w:color="auto" w:fill="auto"/>
            <w:noWrap/>
            <w:vAlign w:val="center"/>
            <w:hideMark/>
          </w:tcPr>
          <w:p w:rsidRPr="0056525C" w:rsidR="00FA3C94" w:rsidP="00B555DA" w:rsidRDefault="00FA3C94" w14:paraId="35CCE3E2" w14:textId="77777777">
            <w:pPr>
              <w:autoSpaceDN/>
              <w:textAlignment w:val="auto"/>
              <w:rPr>
                <w:rFonts w:eastAsia="Times New Roman" w:cs="Calibri"/>
                <w:sz w:val="16"/>
                <w:szCs w:val="16"/>
              </w:rPr>
            </w:pPr>
            <w:r w:rsidRPr="0056525C">
              <w:rPr>
                <w:rFonts w:eastAsia="Times New Roman" w:cs="Calibri"/>
                <w:sz w:val="16"/>
                <w:szCs w:val="16"/>
              </w:rPr>
              <w:t>534</w:t>
            </w:r>
          </w:p>
        </w:tc>
        <w:tc>
          <w:tcPr>
            <w:tcW w:w="807" w:type="dxa"/>
            <w:tcBorders>
              <w:top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104F13AC" w14:textId="77777777">
            <w:pPr>
              <w:autoSpaceDN/>
              <w:textAlignment w:val="auto"/>
              <w:rPr>
                <w:rFonts w:eastAsia="Times New Roman" w:cs="Calibri"/>
                <w:sz w:val="16"/>
                <w:szCs w:val="16"/>
              </w:rPr>
            </w:pPr>
            <w:r w:rsidRPr="0056525C">
              <w:rPr>
                <w:rFonts w:eastAsia="Times New Roman" w:cs="Calibri"/>
                <w:sz w:val="16"/>
                <w:szCs w:val="16"/>
              </w:rPr>
              <w:t>528</w:t>
            </w:r>
          </w:p>
        </w:tc>
        <w:tc>
          <w:tcPr>
            <w:tcW w:w="809" w:type="dxa"/>
            <w:tcBorders>
              <w:top w:val="single" w:color="5B9BD5" w:themeColor="accent5" w:sz="4" w:space="0"/>
              <w:left w:val="single" w:color="5B9BD5" w:themeColor="accent5" w:sz="4" w:space="0"/>
            </w:tcBorders>
            <w:shd w:val="clear" w:color="auto" w:fill="auto"/>
            <w:noWrap/>
            <w:vAlign w:val="center"/>
            <w:hideMark/>
          </w:tcPr>
          <w:p w:rsidRPr="0056525C" w:rsidR="00FA3C94" w:rsidP="00B555DA" w:rsidRDefault="00FA3C94" w14:paraId="44B2544C" w14:textId="77777777">
            <w:pPr>
              <w:autoSpaceDN/>
              <w:textAlignment w:val="auto"/>
              <w:rPr>
                <w:rFonts w:eastAsia="Times New Roman" w:cs="Calibri"/>
                <w:sz w:val="16"/>
                <w:szCs w:val="16"/>
              </w:rPr>
            </w:pPr>
            <w:r w:rsidRPr="0056525C">
              <w:rPr>
                <w:rFonts w:eastAsia="Times New Roman" w:cs="Calibri"/>
                <w:sz w:val="16"/>
                <w:szCs w:val="16"/>
              </w:rPr>
              <w:t>751</w:t>
            </w:r>
          </w:p>
        </w:tc>
        <w:tc>
          <w:tcPr>
            <w:tcW w:w="595" w:type="dxa"/>
            <w:tcBorders>
              <w:top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0858C4E6" w14:textId="77777777">
            <w:pPr>
              <w:autoSpaceDN/>
              <w:textAlignment w:val="auto"/>
              <w:rPr>
                <w:rFonts w:eastAsia="Times New Roman" w:cs="Calibri"/>
                <w:sz w:val="16"/>
                <w:szCs w:val="16"/>
              </w:rPr>
            </w:pPr>
            <w:r w:rsidRPr="0056525C">
              <w:rPr>
                <w:rFonts w:eastAsia="Times New Roman" w:cs="Calibri"/>
                <w:sz w:val="16"/>
                <w:szCs w:val="16"/>
              </w:rPr>
              <w:t>768</w:t>
            </w:r>
          </w:p>
        </w:tc>
      </w:tr>
      <w:tr w:rsidRPr="0056525C" w:rsidR="00FA3C94" w:rsidTr="00570146" w14:paraId="55473996" w14:textId="77777777">
        <w:trPr>
          <w:trHeight w:val="249"/>
        </w:trPr>
        <w:tc>
          <w:tcPr>
            <w:tcW w:w="2678" w:type="dxa"/>
            <w:tcBorders>
              <w:left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4ECA5E23" w14:textId="77777777">
            <w:pPr>
              <w:autoSpaceDN/>
              <w:textAlignment w:val="auto"/>
              <w:rPr>
                <w:rFonts w:eastAsia="Times New Roman" w:cs="Calibri"/>
                <w:sz w:val="16"/>
                <w:szCs w:val="16"/>
              </w:rPr>
            </w:pPr>
            <w:proofErr w:type="spellStart"/>
            <w:r w:rsidRPr="0056525C">
              <w:rPr>
                <w:rFonts w:eastAsia="Times New Roman" w:cs="Calibri"/>
                <w:sz w:val="16"/>
                <w:szCs w:val="16"/>
                <w:lang w:val="en-US"/>
              </w:rPr>
              <w:t>Lenteraming</w:t>
            </w:r>
            <w:proofErr w:type="spellEnd"/>
            <w:r w:rsidRPr="0056525C">
              <w:rPr>
                <w:rFonts w:eastAsia="Times New Roman" w:cs="Calibri"/>
                <w:sz w:val="16"/>
                <w:szCs w:val="16"/>
                <w:lang w:val="en-US"/>
              </w:rPr>
              <w:t xml:space="preserve"> btw-</w:t>
            </w:r>
            <w:proofErr w:type="spellStart"/>
            <w:r w:rsidRPr="0056525C">
              <w:rPr>
                <w:rFonts w:eastAsia="Times New Roman" w:cs="Calibri"/>
                <w:sz w:val="16"/>
                <w:szCs w:val="16"/>
                <w:lang w:val="en-US"/>
              </w:rPr>
              <w:t>afdracht</w:t>
            </w:r>
            <w:proofErr w:type="spellEnd"/>
          </w:p>
        </w:tc>
        <w:tc>
          <w:tcPr>
            <w:tcW w:w="806" w:type="dxa"/>
            <w:tcBorders>
              <w:left w:val="single" w:color="5B9BD5" w:themeColor="accent5" w:sz="4" w:space="0"/>
            </w:tcBorders>
            <w:shd w:val="clear" w:color="auto" w:fill="auto"/>
            <w:noWrap/>
            <w:vAlign w:val="center"/>
            <w:hideMark/>
          </w:tcPr>
          <w:p w:rsidRPr="0056525C" w:rsidR="00FA3C94" w:rsidP="00B555DA" w:rsidRDefault="00FA3C94" w14:paraId="448A442C" w14:textId="77777777">
            <w:pPr>
              <w:autoSpaceDN/>
              <w:textAlignment w:val="auto"/>
              <w:rPr>
                <w:rFonts w:eastAsia="Times New Roman" w:cs="Calibri"/>
                <w:sz w:val="16"/>
                <w:szCs w:val="16"/>
              </w:rPr>
            </w:pPr>
            <w:r w:rsidRPr="0056525C">
              <w:rPr>
                <w:rFonts w:eastAsia="Times New Roman" w:cs="Calibri"/>
                <w:sz w:val="16"/>
                <w:szCs w:val="16"/>
              </w:rPr>
              <w:t>6</w:t>
            </w:r>
          </w:p>
        </w:tc>
        <w:tc>
          <w:tcPr>
            <w:tcW w:w="806" w:type="dxa"/>
            <w:shd w:val="clear" w:color="auto" w:fill="auto"/>
            <w:noWrap/>
            <w:vAlign w:val="center"/>
            <w:hideMark/>
          </w:tcPr>
          <w:p w:rsidRPr="0056525C" w:rsidR="00FA3C94" w:rsidP="00B555DA" w:rsidRDefault="00FA3C94" w14:paraId="07663590" w14:textId="77777777">
            <w:pPr>
              <w:autoSpaceDN/>
              <w:textAlignment w:val="auto"/>
              <w:rPr>
                <w:rFonts w:eastAsia="Times New Roman" w:cs="Calibri"/>
                <w:sz w:val="16"/>
                <w:szCs w:val="16"/>
              </w:rPr>
            </w:pPr>
            <w:r w:rsidRPr="0056525C">
              <w:rPr>
                <w:rFonts w:eastAsia="Times New Roman" w:cs="Calibri"/>
                <w:sz w:val="16"/>
                <w:szCs w:val="16"/>
              </w:rPr>
              <w:t>24</w:t>
            </w:r>
          </w:p>
        </w:tc>
        <w:tc>
          <w:tcPr>
            <w:tcW w:w="806" w:type="dxa"/>
            <w:shd w:val="clear" w:color="auto" w:fill="auto"/>
            <w:noWrap/>
            <w:vAlign w:val="center"/>
            <w:hideMark/>
          </w:tcPr>
          <w:p w:rsidRPr="0056525C" w:rsidR="00FA3C94" w:rsidP="00B555DA" w:rsidRDefault="00FA3C94" w14:paraId="7721862A" w14:textId="77777777">
            <w:pPr>
              <w:autoSpaceDN/>
              <w:textAlignment w:val="auto"/>
              <w:rPr>
                <w:rFonts w:eastAsia="Times New Roman" w:cs="Calibri"/>
                <w:sz w:val="16"/>
                <w:szCs w:val="16"/>
              </w:rPr>
            </w:pPr>
            <w:r w:rsidRPr="0056525C">
              <w:rPr>
                <w:rFonts w:eastAsia="Times New Roman" w:cs="Calibri"/>
                <w:sz w:val="16"/>
                <w:szCs w:val="16"/>
              </w:rPr>
              <w:t>24</w:t>
            </w:r>
          </w:p>
        </w:tc>
        <w:tc>
          <w:tcPr>
            <w:tcW w:w="807" w:type="dxa"/>
            <w:tcBorders>
              <w:right w:val="single" w:color="5B9BD5" w:themeColor="accent5" w:sz="4" w:space="0"/>
            </w:tcBorders>
            <w:shd w:val="clear" w:color="auto" w:fill="auto"/>
            <w:noWrap/>
            <w:vAlign w:val="center"/>
            <w:hideMark/>
          </w:tcPr>
          <w:p w:rsidRPr="0056525C" w:rsidR="00FA3C94" w:rsidP="00B555DA" w:rsidRDefault="00FA3C94" w14:paraId="5C24E394" w14:textId="77777777">
            <w:pPr>
              <w:autoSpaceDN/>
              <w:textAlignment w:val="auto"/>
              <w:rPr>
                <w:rFonts w:eastAsia="Times New Roman" w:cs="Calibri"/>
                <w:sz w:val="16"/>
                <w:szCs w:val="16"/>
              </w:rPr>
            </w:pPr>
            <w:r w:rsidRPr="0056525C">
              <w:rPr>
                <w:rFonts w:eastAsia="Times New Roman" w:cs="Calibri"/>
                <w:sz w:val="16"/>
                <w:szCs w:val="16"/>
              </w:rPr>
              <w:t>25</w:t>
            </w:r>
          </w:p>
        </w:tc>
        <w:tc>
          <w:tcPr>
            <w:tcW w:w="809" w:type="dxa"/>
            <w:tcBorders>
              <w:left w:val="single" w:color="5B9BD5" w:themeColor="accent5" w:sz="4" w:space="0"/>
            </w:tcBorders>
            <w:shd w:val="clear" w:color="auto" w:fill="auto"/>
            <w:noWrap/>
            <w:vAlign w:val="center"/>
            <w:hideMark/>
          </w:tcPr>
          <w:p w:rsidRPr="0056525C" w:rsidR="00FA3C94" w:rsidP="00B555DA" w:rsidRDefault="00FA3C94" w14:paraId="0E3B9B61" w14:textId="77777777">
            <w:pPr>
              <w:autoSpaceDN/>
              <w:textAlignment w:val="auto"/>
              <w:rPr>
                <w:rFonts w:eastAsia="Times New Roman" w:cs="Calibri"/>
                <w:sz w:val="16"/>
                <w:szCs w:val="16"/>
              </w:rPr>
            </w:pPr>
            <w:r w:rsidRPr="0056525C">
              <w:rPr>
                <w:rFonts w:eastAsia="Times New Roman" w:cs="Calibri"/>
                <w:sz w:val="16"/>
                <w:szCs w:val="16"/>
              </w:rPr>
              <w:t>26</w:t>
            </w:r>
          </w:p>
        </w:tc>
        <w:tc>
          <w:tcPr>
            <w:tcW w:w="595" w:type="dxa"/>
            <w:tcBorders>
              <w:right w:val="single" w:color="5B9BD5" w:themeColor="accent5" w:sz="4" w:space="0"/>
            </w:tcBorders>
            <w:shd w:val="clear" w:color="auto" w:fill="auto"/>
            <w:noWrap/>
            <w:vAlign w:val="center"/>
            <w:hideMark/>
          </w:tcPr>
          <w:p w:rsidRPr="0056525C" w:rsidR="00FA3C94" w:rsidP="00B555DA" w:rsidRDefault="00FA3C94" w14:paraId="1FC4A052" w14:textId="77777777">
            <w:pPr>
              <w:autoSpaceDN/>
              <w:textAlignment w:val="auto"/>
              <w:rPr>
                <w:rFonts w:eastAsia="Times New Roman" w:cs="Calibri"/>
                <w:sz w:val="16"/>
                <w:szCs w:val="16"/>
              </w:rPr>
            </w:pPr>
            <w:r w:rsidRPr="0056525C">
              <w:rPr>
                <w:rFonts w:eastAsia="Times New Roman" w:cs="Calibri"/>
                <w:sz w:val="16"/>
                <w:szCs w:val="16"/>
              </w:rPr>
              <w:t>26</w:t>
            </w:r>
          </w:p>
        </w:tc>
      </w:tr>
      <w:tr w:rsidRPr="0056525C" w:rsidR="00FA3C94" w:rsidTr="00570146" w14:paraId="7244DBC4" w14:textId="77777777">
        <w:trPr>
          <w:trHeight w:val="249"/>
        </w:trPr>
        <w:tc>
          <w:tcPr>
            <w:tcW w:w="2678" w:type="dxa"/>
            <w:tcBorders>
              <w:left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28791A7E" w14:textId="77777777">
            <w:pPr>
              <w:autoSpaceDN/>
              <w:textAlignment w:val="auto"/>
              <w:rPr>
                <w:rFonts w:eastAsia="Times New Roman" w:cs="Calibri"/>
                <w:sz w:val="16"/>
                <w:szCs w:val="16"/>
              </w:rPr>
            </w:pPr>
            <w:proofErr w:type="spellStart"/>
            <w:r w:rsidRPr="0056525C">
              <w:rPr>
                <w:rFonts w:eastAsia="Times New Roman" w:cs="Calibri"/>
                <w:sz w:val="16"/>
                <w:szCs w:val="16"/>
                <w:lang w:val="en-US"/>
              </w:rPr>
              <w:t>Lenteraming</w:t>
            </w:r>
            <w:proofErr w:type="spellEnd"/>
            <w:r w:rsidRPr="0056525C">
              <w:rPr>
                <w:rFonts w:eastAsia="Times New Roman" w:cs="Calibri"/>
                <w:sz w:val="16"/>
                <w:szCs w:val="16"/>
                <w:lang w:val="en-US"/>
              </w:rPr>
              <w:t xml:space="preserve"> plastic-</w:t>
            </w:r>
            <w:proofErr w:type="spellStart"/>
            <w:r w:rsidRPr="0056525C">
              <w:rPr>
                <w:rFonts w:eastAsia="Times New Roman" w:cs="Calibri"/>
                <w:sz w:val="16"/>
                <w:szCs w:val="16"/>
                <w:lang w:val="en-US"/>
              </w:rPr>
              <w:t>afdracht</w:t>
            </w:r>
            <w:proofErr w:type="spellEnd"/>
          </w:p>
        </w:tc>
        <w:tc>
          <w:tcPr>
            <w:tcW w:w="806" w:type="dxa"/>
            <w:tcBorders>
              <w:left w:val="single" w:color="5B9BD5" w:themeColor="accent5" w:sz="4" w:space="0"/>
            </w:tcBorders>
            <w:shd w:val="clear" w:color="auto" w:fill="auto"/>
            <w:noWrap/>
            <w:vAlign w:val="center"/>
            <w:hideMark/>
          </w:tcPr>
          <w:p w:rsidRPr="0056525C" w:rsidR="00FA3C94" w:rsidP="00B555DA" w:rsidRDefault="00FA3C94" w14:paraId="48FA15EF" w14:textId="77777777">
            <w:pPr>
              <w:autoSpaceDN/>
              <w:textAlignment w:val="auto"/>
              <w:rPr>
                <w:rFonts w:eastAsia="Times New Roman" w:cs="Calibri"/>
                <w:sz w:val="16"/>
                <w:szCs w:val="16"/>
              </w:rPr>
            </w:pPr>
            <w:r w:rsidRPr="0056525C">
              <w:rPr>
                <w:rFonts w:eastAsia="Times New Roman" w:cs="Calibri"/>
                <w:sz w:val="16"/>
                <w:szCs w:val="16"/>
              </w:rPr>
              <w:t>0</w:t>
            </w:r>
          </w:p>
        </w:tc>
        <w:tc>
          <w:tcPr>
            <w:tcW w:w="806" w:type="dxa"/>
            <w:shd w:val="clear" w:color="auto" w:fill="auto"/>
            <w:noWrap/>
            <w:vAlign w:val="center"/>
            <w:hideMark/>
          </w:tcPr>
          <w:p w:rsidRPr="0056525C" w:rsidR="00FA3C94" w:rsidP="00B555DA" w:rsidRDefault="00FA3C94" w14:paraId="3D285A93" w14:textId="77777777">
            <w:pPr>
              <w:autoSpaceDN/>
              <w:textAlignment w:val="auto"/>
              <w:rPr>
                <w:rFonts w:eastAsia="Times New Roman" w:cs="Calibri"/>
                <w:sz w:val="16"/>
                <w:szCs w:val="16"/>
              </w:rPr>
            </w:pPr>
            <w:r w:rsidRPr="0056525C">
              <w:rPr>
                <w:rFonts w:eastAsia="Times New Roman" w:cs="Calibri"/>
                <w:sz w:val="16"/>
                <w:szCs w:val="16"/>
              </w:rPr>
              <w:t>-6</w:t>
            </w:r>
          </w:p>
        </w:tc>
        <w:tc>
          <w:tcPr>
            <w:tcW w:w="806" w:type="dxa"/>
            <w:shd w:val="clear" w:color="auto" w:fill="auto"/>
            <w:noWrap/>
            <w:vAlign w:val="center"/>
            <w:hideMark/>
          </w:tcPr>
          <w:p w:rsidRPr="0056525C" w:rsidR="00FA3C94" w:rsidP="00B555DA" w:rsidRDefault="00FA3C94" w14:paraId="502790B1" w14:textId="77777777">
            <w:pPr>
              <w:autoSpaceDN/>
              <w:textAlignment w:val="auto"/>
              <w:rPr>
                <w:rFonts w:eastAsia="Times New Roman" w:cs="Calibri"/>
                <w:sz w:val="16"/>
                <w:szCs w:val="16"/>
              </w:rPr>
            </w:pPr>
            <w:r w:rsidRPr="0056525C">
              <w:rPr>
                <w:rFonts w:eastAsia="Times New Roman" w:cs="Calibri"/>
                <w:sz w:val="16"/>
                <w:szCs w:val="16"/>
              </w:rPr>
              <w:t>-6</w:t>
            </w:r>
          </w:p>
        </w:tc>
        <w:tc>
          <w:tcPr>
            <w:tcW w:w="807" w:type="dxa"/>
            <w:tcBorders>
              <w:right w:val="single" w:color="5B9BD5" w:themeColor="accent5" w:sz="4" w:space="0"/>
            </w:tcBorders>
            <w:shd w:val="clear" w:color="auto" w:fill="auto"/>
            <w:noWrap/>
            <w:vAlign w:val="center"/>
            <w:hideMark/>
          </w:tcPr>
          <w:p w:rsidRPr="0056525C" w:rsidR="00FA3C94" w:rsidP="00B555DA" w:rsidRDefault="00FA3C94" w14:paraId="18E6C798" w14:textId="77777777">
            <w:pPr>
              <w:autoSpaceDN/>
              <w:textAlignment w:val="auto"/>
              <w:rPr>
                <w:rFonts w:eastAsia="Times New Roman" w:cs="Calibri"/>
                <w:sz w:val="16"/>
                <w:szCs w:val="16"/>
              </w:rPr>
            </w:pPr>
            <w:r w:rsidRPr="0056525C">
              <w:rPr>
                <w:rFonts w:eastAsia="Times New Roman" w:cs="Calibri"/>
                <w:sz w:val="16"/>
                <w:szCs w:val="16"/>
              </w:rPr>
              <w:t>-6</w:t>
            </w:r>
          </w:p>
        </w:tc>
        <w:tc>
          <w:tcPr>
            <w:tcW w:w="809" w:type="dxa"/>
            <w:tcBorders>
              <w:left w:val="single" w:color="5B9BD5" w:themeColor="accent5" w:sz="4" w:space="0"/>
            </w:tcBorders>
            <w:shd w:val="clear" w:color="auto" w:fill="auto"/>
            <w:noWrap/>
            <w:vAlign w:val="center"/>
            <w:hideMark/>
          </w:tcPr>
          <w:p w:rsidRPr="0056525C" w:rsidR="00FA3C94" w:rsidP="00B555DA" w:rsidRDefault="00FA3C94" w14:paraId="6883DE45" w14:textId="77777777">
            <w:pPr>
              <w:autoSpaceDN/>
              <w:textAlignment w:val="auto"/>
              <w:rPr>
                <w:rFonts w:eastAsia="Times New Roman" w:cs="Calibri"/>
                <w:sz w:val="16"/>
                <w:szCs w:val="16"/>
              </w:rPr>
            </w:pPr>
            <w:r w:rsidRPr="0056525C">
              <w:rPr>
                <w:rFonts w:eastAsia="Times New Roman" w:cs="Calibri"/>
                <w:sz w:val="16"/>
                <w:szCs w:val="16"/>
              </w:rPr>
              <w:t>-6</w:t>
            </w:r>
          </w:p>
        </w:tc>
        <w:tc>
          <w:tcPr>
            <w:tcW w:w="595" w:type="dxa"/>
            <w:tcBorders>
              <w:right w:val="single" w:color="5B9BD5" w:themeColor="accent5" w:sz="4" w:space="0"/>
            </w:tcBorders>
            <w:shd w:val="clear" w:color="auto" w:fill="auto"/>
            <w:noWrap/>
            <w:vAlign w:val="center"/>
            <w:hideMark/>
          </w:tcPr>
          <w:p w:rsidRPr="0056525C" w:rsidR="00FA3C94" w:rsidP="00B555DA" w:rsidRDefault="00FA3C94" w14:paraId="25F2E4EB" w14:textId="77777777">
            <w:pPr>
              <w:autoSpaceDN/>
              <w:textAlignment w:val="auto"/>
              <w:rPr>
                <w:rFonts w:eastAsia="Times New Roman" w:cs="Calibri"/>
                <w:sz w:val="16"/>
                <w:szCs w:val="16"/>
              </w:rPr>
            </w:pPr>
            <w:r w:rsidRPr="0056525C">
              <w:rPr>
                <w:rFonts w:eastAsia="Times New Roman" w:cs="Calibri"/>
                <w:sz w:val="16"/>
                <w:szCs w:val="16"/>
              </w:rPr>
              <w:t>-6</w:t>
            </w:r>
          </w:p>
        </w:tc>
      </w:tr>
      <w:tr w:rsidRPr="0056525C" w:rsidR="00FA3C94" w:rsidTr="00570146" w14:paraId="28D160DC" w14:textId="77777777">
        <w:trPr>
          <w:trHeight w:val="249"/>
        </w:trPr>
        <w:tc>
          <w:tcPr>
            <w:tcW w:w="2678" w:type="dxa"/>
            <w:tcBorders>
              <w:left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56AFEA95" w14:textId="77777777">
            <w:pPr>
              <w:autoSpaceDN/>
              <w:textAlignment w:val="auto"/>
              <w:rPr>
                <w:rFonts w:eastAsia="Times New Roman" w:cs="Calibri"/>
                <w:sz w:val="16"/>
                <w:szCs w:val="16"/>
              </w:rPr>
            </w:pPr>
            <w:r w:rsidRPr="0056525C">
              <w:rPr>
                <w:rFonts w:eastAsia="Times New Roman" w:cs="Calibri"/>
                <w:sz w:val="16"/>
                <w:szCs w:val="16"/>
              </w:rPr>
              <w:t xml:space="preserve">Overige ontvangsten + VK bijdrage (via </w:t>
            </w:r>
            <w:proofErr w:type="spellStart"/>
            <w:r w:rsidRPr="0056525C">
              <w:rPr>
                <w:rFonts w:eastAsia="Times New Roman" w:cs="Calibri"/>
                <w:sz w:val="16"/>
                <w:szCs w:val="16"/>
              </w:rPr>
              <w:t>bni</w:t>
            </w:r>
            <w:proofErr w:type="spellEnd"/>
            <w:r w:rsidRPr="0056525C">
              <w:rPr>
                <w:rFonts w:eastAsia="Times New Roman" w:cs="Calibri"/>
                <w:sz w:val="16"/>
                <w:szCs w:val="16"/>
              </w:rPr>
              <w:t>-afdracht)</w:t>
            </w:r>
          </w:p>
        </w:tc>
        <w:tc>
          <w:tcPr>
            <w:tcW w:w="806" w:type="dxa"/>
            <w:tcBorders>
              <w:left w:val="single" w:color="5B9BD5" w:themeColor="accent5" w:sz="4" w:space="0"/>
            </w:tcBorders>
            <w:shd w:val="clear" w:color="auto" w:fill="auto"/>
            <w:noWrap/>
            <w:vAlign w:val="center"/>
            <w:hideMark/>
          </w:tcPr>
          <w:p w:rsidRPr="0056525C" w:rsidR="00FA3C94" w:rsidP="00B555DA" w:rsidRDefault="001F7E38" w14:paraId="35C7440D" w14:textId="77777777">
            <w:pPr>
              <w:autoSpaceDN/>
              <w:textAlignment w:val="auto"/>
              <w:rPr>
                <w:rFonts w:eastAsia="Times New Roman" w:cs="Calibri"/>
                <w:sz w:val="16"/>
                <w:szCs w:val="16"/>
              </w:rPr>
            </w:pPr>
            <w:r w:rsidRPr="0056525C">
              <w:rPr>
                <w:rFonts w:eastAsia="Times New Roman" w:cs="Calibri"/>
                <w:sz w:val="16"/>
                <w:szCs w:val="16"/>
              </w:rPr>
              <w:t>42</w:t>
            </w:r>
          </w:p>
        </w:tc>
        <w:tc>
          <w:tcPr>
            <w:tcW w:w="806" w:type="dxa"/>
            <w:shd w:val="clear" w:color="auto" w:fill="auto"/>
            <w:noWrap/>
            <w:hideMark/>
          </w:tcPr>
          <w:p w:rsidRPr="0056525C" w:rsidR="00FA3C94" w:rsidP="00B555DA" w:rsidRDefault="00FA3C94" w14:paraId="388A6C1B" w14:textId="77777777">
            <w:pPr>
              <w:autoSpaceDN/>
              <w:textAlignment w:val="auto"/>
              <w:rPr>
                <w:rFonts w:eastAsia="Times New Roman" w:cs="Calibri"/>
                <w:sz w:val="16"/>
                <w:szCs w:val="16"/>
              </w:rPr>
            </w:pPr>
            <w:r w:rsidRPr="0056525C">
              <w:rPr>
                <w:rFonts w:eastAsia="Times New Roman" w:cs="Calibri"/>
                <w:sz w:val="16"/>
                <w:szCs w:val="16"/>
              </w:rPr>
              <w:t> </w:t>
            </w:r>
          </w:p>
        </w:tc>
        <w:tc>
          <w:tcPr>
            <w:tcW w:w="806" w:type="dxa"/>
            <w:shd w:val="clear" w:color="auto" w:fill="auto"/>
            <w:noWrap/>
            <w:hideMark/>
          </w:tcPr>
          <w:p w:rsidRPr="0056525C" w:rsidR="00FA3C94" w:rsidP="00B555DA" w:rsidRDefault="00FA3C94" w14:paraId="3162294B" w14:textId="77777777">
            <w:pPr>
              <w:autoSpaceDN/>
              <w:textAlignment w:val="auto"/>
              <w:rPr>
                <w:rFonts w:eastAsia="Times New Roman" w:cs="Calibri"/>
                <w:sz w:val="16"/>
                <w:szCs w:val="16"/>
              </w:rPr>
            </w:pPr>
            <w:r w:rsidRPr="0056525C">
              <w:rPr>
                <w:rFonts w:eastAsia="Times New Roman" w:cs="Calibri"/>
                <w:sz w:val="16"/>
                <w:szCs w:val="16"/>
              </w:rPr>
              <w:t> </w:t>
            </w:r>
          </w:p>
        </w:tc>
        <w:tc>
          <w:tcPr>
            <w:tcW w:w="807" w:type="dxa"/>
            <w:tcBorders>
              <w:right w:val="single" w:color="5B9BD5" w:themeColor="accent5" w:sz="4" w:space="0"/>
            </w:tcBorders>
            <w:shd w:val="clear" w:color="auto" w:fill="auto"/>
            <w:noWrap/>
            <w:hideMark/>
          </w:tcPr>
          <w:p w:rsidRPr="0056525C" w:rsidR="00FA3C94" w:rsidP="00B555DA" w:rsidRDefault="00FA3C94" w14:paraId="1DD6E1CA" w14:textId="77777777">
            <w:pPr>
              <w:autoSpaceDN/>
              <w:textAlignment w:val="auto"/>
              <w:rPr>
                <w:rFonts w:eastAsia="Times New Roman" w:cs="Calibri"/>
                <w:sz w:val="16"/>
                <w:szCs w:val="16"/>
              </w:rPr>
            </w:pPr>
            <w:r w:rsidRPr="0056525C">
              <w:rPr>
                <w:rFonts w:eastAsia="Times New Roman" w:cs="Calibri"/>
                <w:sz w:val="16"/>
                <w:szCs w:val="16"/>
              </w:rPr>
              <w:t> </w:t>
            </w:r>
          </w:p>
        </w:tc>
        <w:tc>
          <w:tcPr>
            <w:tcW w:w="809" w:type="dxa"/>
            <w:tcBorders>
              <w:left w:val="single" w:color="5B9BD5" w:themeColor="accent5" w:sz="4" w:space="0"/>
            </w:tcBorders>
            <w:shd w:val="clear" w:color="auto" w:fill="auto"/>
            <w:noWrap/>
            <w:hideMark/>
          </w:tcPr>
          <w:p w:rsidRPr="0056525C" w:rsidR="00FA3C94" w:rsidP="00B555DA" w:rsidRDefault="00FA3C94" w14:paraId="57A0B70E" w14:textId="77777777">
            <w:pPr>
              <w:autoSpaceDN/>
              <w:textAlignment w:val="auto"/>
              <w:rPr>
                <w:rFonts w:eastAsia="Times New Roman" w:cs="Calibri"/>
                <w:sz w:val="16"/>
                <w:szCs w:val="16"/>
              </w:rPr>
            </w:pPr>
            <w:r w:rsidRPr="0056525C">
              <w:rPr>
                <w:rFonts w:eastAsia="Times New Roman" w:cs="Calibri"/>
                <w:sz w:val="16"/>
                <w:szCs w:val="16"/>
              </w:rPr>
              <w:t> </w:t>
            </w:r>
          </w:p>
        </w:tc>
        <w:tc>
          <w:tcPr>
            <w:tcW w:w="595" w:type="dxa"/>
            <w:tcBorders>
              <w:right w:val="single" w:color="5B9BD5" w:themeColor="accent5" w:sz="4" w:space="0"/>
            </w:tcBorders>
            <w:shd w:val="clear" w:color="auto" w:fill="auto"/>
            <w:noWrap/>
            <w:hideMark/>
          </w:tcPr>
          <w:p w:rsidRPr="0056525C" w:rsidR="00FA3C94" w:rsidP="00B555DA" w:rsidRDefault="00FA3C94" w14:paraId="4B9B8886" w14:textId="77777777">
            <w:pPr>
              <w:autoSpaceDN/>
              <w:textAlignment w:val="auto"/>
              <w:rPr>
                <w:rFonts w:eastAsia="Times New Roman" w:cs="Calibri"/>
                <w:sz w:val="16"/>
                <w:szCs w:val="16"/>
              </w:rPr>
            </w:pPr>
            <w:r w:rsidRPr="0056525C">
              <w:rPr>
                <w:rFonts w:eastAsia="Times New Roman" w:cs="Calibri"/>
                <w:sz w:val="16"/>
                <w:szCs w:val="16"/>
              </w:rPr>
              <w:t> </w:t>
            </w:r>
          </w:p>
        </w:tc>
      </w:tr>
      <w:tr w:rsidRPr="0056525C" w:rsidR="00FA3C94" w:rsidTr="00570146" w14:paraId="74188F70" w14:textId="77777777">
        <w:trPr>
          <w:trHeight w:val="249"/>
        </w:trPr>
        <w:tc>
          <w:tcPr>
            <w:tcW w:w="2678" w:type="dxa"/>
            <w:tcBorders>
              <w:left w:val="single" w:color="5B9BD5" w:themeColor="accent5" w:sz="4" w:space="0"/>
              <w:bottom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037DAC25" w14:textId="77777777">
            <w:pPr>
              <w:autoSpaceDN/>
              <w:textAlignment w:val="auto"/>
              <w:rPr>
                <w:rFonts w:eastAsia="Times New Roman" w:cs="Calibri"/>
                <w:b/>
                <w:bCs/>
                <w:i/>
                <w:iCs/>
                <w:sz w:val="16"/>
                <w:szCs w:val="16"/>
              </w:rPr>
            </w:pPr>
            <w:proofErr w:type="spellStart"/>
            <w:r w:rsidRPr="0056525C">
              <w:rPr>
                <w:rFonts w:eastAsia="Times New Roman" w:cs="Calibri"/>
                <w:b/>
                <w:bCs/>
                <w:i/>
                <w:iCs/>
                <w:sz w:val="16"/>
                <w:szCs w:val="16"/>
                <w:lang w:val="en-US"/>
              </w:rPr>
              <w:t>Netto</w:t>
            </w:r>
            <w:proofErr w:type="spellEnd"/>
            <w:r w:rsidRPr="0056525C">
              <w:rPr>
                <w:rFonts w:eastAsia="Times New Roman" w:cs="Calibri"/>
                <w:b/>
                <w:bCs/>
                <w:i/>
                <w:iCs/>
                <w:sz w:val="16"/>
                <w:szCs w:val="16"/>
                <w:lang w:val="en-US"/>
              </w:rPr>
              <w:t>-effect DAB4</w:t>
            </w:r>
          </w:p>
        </w:tc>
        <w:tc>
          <w:tcPr>
            <w:tcW w:w="806" w:type="dxa"/>
            <w:tcBorders>
              <w:left w:val="single" w:color="5B9BD5" w:themeColor="accent5" w:sz="4" w:space="0"/>
              <w:bottom w:val="single" w:color="5B9BD5" w:themeColor="accent5" w:sz="4" w:space="0"/>
            </w:tcBorders>
            <w:shd w:val="clear" w:color="auto" w:fill="auto"/>
            <w:noWrap/>
            <w:vAlign w:val="center"/>
            <w:hideMark/>
          </w:tcPr>
          <w:p w:rsidRPr="0056525C" w:rsidR="00FA3C94" w:rsidP="00B555DA" w:rsidRDefault="008C72BF" w14:paraId="0741C137" w14:textId="77777777">
            <w:pPr>
              <w:autoSpaceDN/>
              <w:textAlignment w:val="auto"/>
              <w:rPr>
                <w:rFonts w:eastAsia="Times New Roman" w:cs="Calibri"/>
                <w:i/>
                <w:iCs/>
                <w:sz w:val="16"/>
                <w:szCs w:val="16"/>
              </w:rPr>
            </w:pPr>
            <w:r w:rsidRPr="0056525C">
              <w:rPr>
                <w:rFonts w:eastAsia="Times New Roman" w:cs="Calibri"/>
                <w:i/>
                <w:iCs/>
                <w:sz w:val="16"/>
                <w:szCs w:val="16"/>
              </w:rPr>
              <w:t>501</w:t>
            </w:r>
          </w:p>
        </w:tc>
        <w:tc>
          <w:tcPr>
            <w:tcW w:w="806" w:type="dxa"/>
            <w:tcBorders>
              <w:bottom w:val="single" w:color="5B9BD5" w:themeColor="accent5" w:sz="4" w:space="0"/>
            </w:tcBorders>
            <w:shd w:val="clear" w:color="auto" w:fill="auto"/>
            <w:noWrap/>
            <w:vAlign w:val="center"/>
            <w:hideMark/>
          </w:tcPr>
          <w:p w:rsidRPr="0056525C" w:rsidR="00FA3C94" w:rsidP="00B555DA" w:rsidRDefault="00FA3C94" w14:paraId="009E102F" w14:textId="77777777">
            <w:pPr>
              <w:autoSpaceDN/>
              <w:textAlignment w:val="auto"/>
              <w:rPr>
                <w:rFonts w:eastAsia="Times New Roman" w:cs="Calibri"/>
                <w:i/>
                <w:iCs/>
                <w:sz w:val="16"/>
                <w:szCs w:val="16"/>
              </w:rPr>
            </w:pPr>
            <w:r w:rsidRPr="0056525C">
              <w:rPr>
                <w:rFonts w:eastAsia="Times New Roman" w:cs="Calibri"/>
                <w:i/>
                <w:iCs/>
                <w:sz w:val="16"/>
                <w:szCs w:val="16"/>
                <w:lang w:val="en-US"/>
              </w:rPr>
              <w:t>498</w:t>
            </w:r>
          </w:p>
        </w:tc>
        <w:tc>
          <w:tcPr>
            <w:tcW w:w="806" w:type="dxa"/>
            <w:tcBorders>
              <w:bottom w:val="single" w:color="5B9BD5" w:themeColor="accent5" w:sz="4" w:space="0"/>
            </w:tcBorders>
            <w:shd w:val="clear" w:color="auto" w:fill="auto"/>
            <w:noWrap/>
            <w:vAlign w:val="center"/>
            <w:hideMark/>
          </w:tcPr>
          <w:p w:rsidRPr="0056525C" w:rsidR="00FA3C94" w:rsidP="00B555DA" w:rsidRDefault="00FA3C94" w14:paraId="4ADF8D33" w14:textId="77777777">
            <w:pPr>
              <w:autoSpaceDN/>
              <w:textAlignment w:val="auto"/>
              <w:rPr>
                <w:rFonts w:eastAsia="Times New Roman" w:cs="Calibri"/>
                <w:i/>
                <w:iCs/>
                <w:sz w:val="16"/>
                <w:szCs w:val="16"/>
              </w:rPr>
            </w:pPr>
            <w:r w:rsidRPr="0056525C">
              <w:rPr>
                <w:rFonts w:eastAsia="Times New Roman" w:cs="Calibri"/>
                <w:i/>
                <w:iCs/>
                <w:sz w:val="16"/>
                <w:szCs w:val="16"/>
                <w:lang w:val="en-US"/>
              </w:rPr>
              <w:t>552</w:t>
            </w:r>
          </w:p>
        </w:tc>
        <w:tc>
          <w:tcPr>
            <w:tcW w:w="807" w:type="dxa"/>
            <w:tcBorders>
              <w:bottom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7D38CB38" w14:textId="77777777">
            <w:pPr>
              <w:autoSpaceDN/>
              <w:textAlignment w:val="auto"/>
              <w:rPr>
                <w:rFonts w:eastAsia="Times New Roman" w:cs="Calibri"/>
                <w:i/>
                <w:iCs/>
                <w:sz w:val="16"/>
                <w:szCs w:val="16"/>
              </w:rPr>
            </w:pPr>
            <w:r w:rsidRPr="0056525C">
              <w:rPr>
                <w:rFonts w:eastAsia="Times New Roman" w:cs="Calibri"/>
                <w:i/>
                <w:iCs/>
                <w:sz w:val="16"/>
                <w:szCs w:val="16"/>
                <w:lang w:val="en-US"/>
              </w:rPr>
              <w:t>547</w:t>
            </w:r>
          </w:p>
        </w:tc>
        <w:tc>
          <w:tcPr>
            <w:tcW w:w="809" w:type="dxa"/>
            <w:tcBorders>
              <w:left w:val="single" w:color="5B9BD5" w:themeColor="accent5" w:sz="4" w:space="0"/>
              <w:bottom w:val="single" w:color="5B9BD5" w:themeColor="accent5" w:sz="4" w:space="0"/>
            </w:tcBorders>
            <w:shd w:val="clear" w:color="auto" w:fill="auto"/>
            <w:noWrap/>
            <w:vAlign w:val="center"/>
            <w:hideMark/>
          </w:tcPr>
          <w:p w:rsidRPr="0056525C" w:rsidR="00FA3C94" w:rsidP="00B555DA" w:rsidRDefault="00FA3C94" w14:paraId="06D92C04" w14:textId="77777777">
            <w:pPr>
              <w:autoSpaceDN/>
              <w:textAlignment w:val="auto"/>
              <w:rPr>
                <w:rFonts w:eastAsia="Times New Roman" w:cs="Calibri"/>
                <w:i/>
                <w:iCs/>
                <w:sz w:val="16"/>
                <w:szCs w:val="16"/>
              </w:rPr>
            </w:pPr>
            <w:r w:rsidRPr="0056525C">
              <w:rPr>
                <w:rFonts w:eastAsia="Times New Roman" w:cs="Calibri"/>
                <w:i/>
                <w:iCs/>
                <w:sz w:val="16"/>
                <w:szCs w:val="16"/>
                <w:lang w:val="en-US"/>
              </w:rPr>
              <w:t>771</w:t>
            </w:r>
          </w:p>
        </w:tc>
        <w:tc>
          <w:tcPr>
            <w:tcW w:w="595" w:type="dxa"/>
            <w:tcBorders>
              <w:bottom w:val="single" w:color="5B9BD5" w:themeColor="accent5" w:sz="4" w:space="0"/>
              <w:right w:val="single" w:color="5B9BD5" w:themeColor="accent5" w:sz="4" w:space="0"/>
            </w:tcBorders>
            <w:shd w:val="clear" w:color="auto" w:fill="auto"/>
            <w:noWrap/>
            <w:vAlign w:val="center"/>
            <w:hideMark/>
          </w:tcPr>
          <w:p w:rsidRPr="0056525C" w:rsidR="00FA3C94" w:rsidP="00B555DA" w:rsidRDefault="00FA3C94" w14:paraId="547A54EB" w14:textId="77777777">
            <w:pPr>
              <w:autoSpaceDN/>
              <w:textAlignment w:val="auto"/>
              <w:rPr>
                <w:rFonts w:eastAsia="Times New Roman" w:cs="Calibri"/>
                <w:i/>
                <w:iCs/>
                <w:sz w:val="16"/>
                <w:szCs w:val="16"/>
              </w:rPr>
            </w:pPr>
            <w:r w:rsidRPr="0056525C">
              <w:rPr>
                <w:rFonts w:eastAsia="Times New Roman" w:cs="Calibri"/>
                <w:i/>
                <w:iCs/>
                <w:sz w:val="16"/>
                <w:szCs w:val="16"/>
                <w:lang w:val="en-US"/>
              </w:rPr>
              <w:t>78</w:t>
            </w:r>
            <w:r w:rsidRPr="0056525C" w:rsidR="008C72BF">
              <w:rPr>
                <w:rFonts w:eastAsia="Times New Roman" w:cs="Calibri"/>
                <w:i/>
                <w:iCs/>
                <w:sz w:val="16"/>
                <w:szCs w:val="16"/>
                <w:lang w:val="en-US"/>
              </w:rPr>
              <w:t>8</w:t>
            </w:r>
          </w:p>
        </w:tc>
      </w:tr>
    </w:tbl>
    <w:p w:rsidRPr="00230F6C" w:rsidR="00FA3C94" w:rsidP="00B555DA" w:rsidRDefault="00FA3C94" w14:paraId="6D43B43F" w14:textId="77777777">
      <w:pPr>
        <w:rPr>
          <w:i/>
          <w:iCs/>
        </w:rPr>
      </w:pPr>
    </w:p>
    <w:p w:rsidR="0047199D" w:rsidP="00B555DA" w:rsidRDefault="0047199D" w14:paraId="5966B8C4" w14:textId="77777777">
      <w:r>
        <w:t xml:space="preserve">In </w:t>
      </w:r>
      <w:r w:rsidR="00EE1756">
        <w:t>t</w:t>
      </w:r>
      <w:r>
        <w:t xml:space="preserve">abel </w:t>
      </w:r>
      <w:r w:rsidR="00155793">
        <w:t>4</w:t>
      </w:r>
      <w:r>
        <w:t xml:space="preserve"> in de bijlage vindt u een overzicht en de budgettaire gevolgen van alle tot nu toe gepubliceerde </w:t>
      </w:r>
      <w:proofErr w:type="spellStart"/>
      <w:r>
        <w:t>DABs</w:t>
      </w:r>
      <w:proofErr w:type="spellEnd"/>
      <w:r w:rsidR="008E4F08">
        <w:t xml:space="preserve"> in 2024</w:t>
      </w:r>
      <w:r>
        <w:t xml:space="preserve">. </w:t>
      </w:r>
    </w:p>
    <w:p w:rsidR="0047199D" w:rsidP="00B555DA" w:rsidRDefault="0047199D" w14:paraId="54CB15FD" w14:textId="77777777"/>
    <w:p w:rsidRPr="0047199D" w:rsidR="0047199D" w:rsidP="00B555DA" w:rsidRDefault="0047199D" w14:paraId="0E175C23" w14:textId="77777777">
      <w:pPr>
        <w:rPr>
          <w:i/>
          <w:iCs/>
        </w:rPr>
      </w:pPr>
      <w:r w:rsidRPr="000E0C9B">
        <w:rPr>
          <w:i/>
          <w:iCs/>
        </w:rPr>
        <w:t>Proces en krachtenveld</w:t>
      </w:r>
      <w:r w:rsidRPr="0047199D">
        <w:rPr>
          <w:i/>
          <w:iCs/>
        </w:rPr>
        <w:t xml:space="preserve"> </w:t>
      </w:r>
    </w:p>
    <w:p w:rsidR="0047199D" w:rsidP="00B555DA" w:rsidRDefault="0047199D" w14:paraId="31365A4C" w14:textId="77777777">
      <w:r>
        <w:t xml:space="preserve">De aanname van DAB4 in de Raad is uitgesteld tot na het zomerreces vanwege een studievoorbehoud van enkele lidstaten. De behandeling van DAB4 in </w:t>
      </w:r>
      <w:proofErr w:type="spellStart"/>
      <w:r>
        <w:t>Coreper</w:t>
      </w:r>
      <w:proofErr w:type="spellEnd"/>
      <w:r>
        <w:t xml:space="preserve"> vindt naar verwachting plaatst op </w:t>
      </w:r>
      <w:r w:rsidR="000E0C9B">
        <w:t>18</w:t>
      </w:r>
      <w:r>
        <w:t xml:space="preserve"> september a.s. De Raad besluit met een gekwalificeerde meerderheid. </w:t>
      </w:r>
      <w:r w:rsidR="00D50D6A">
        <w:t xml:space="preserve">DAB4 betreft reguliere bijstellingen op basis van de laatste economische verwachtingen. </w:t>
      </w:r>
      <w:r>
        <w:t xml:space="preserve">Het kabinet is </w:t>
      </w:r>
      <w:r w:rsidR="00D50D6A">
        <w:t xml:space="preserve">daarom </w:t>
      </w:r>
      <w:r>
        <w:t xml:space="preserve">voornemens om in te stemmen met deze aanvullende begroting. De verwachting is dat alle lidstaten zullen instemmen. Na behandeling in de Raad wordt de begroting behandeld in het Europees Parlement, de stemprocedure hierbij is gewone meerderheid. </w:t>
      </w:r>
    </w:p>
    <w:p w:rsidR="0047199D" w:rsidP="00B555DA" w:rsidRDefault="0047199D" w14:paraId="0D32D633" w14:textId="77777777"/>
    <w:p w:rsidRPr="00EF5441" w:rsidR="001246C6" w:rsidP="00B555DA" w:rsidRDefault="0047199D" w14:paraId="72502C07" w14:textId="77777777">
      <w:pPr>
        <w:rPr>
          <w:b/>
          <w:bCs/>
        </w:rPr>
      </w:pPr>
      <w:r w:rsidRPr="00EF5441">
        <w:rPr>
          <w:b/>
          <w:bCs/>
        </w:rPr>
        <w:t xml:space="preserve">Raadspositie Europese </w:t>
      </w:r>
      <w:r w:rsidRPr="00EF5441" w:rsidR="001246C6">
        <w:rPr>
          <w:b/>
          <w:bCs/>
        </w:rPr>
        <w:t>jaar</w:t>
      </w:r>
      <w:r w:rsidRPr="00EF5441">
        <w:rPr>
          <w:b/>
          <w:bCs/>
        </w:rPr>
        <w:t>begroting 2025</w:t>
      </w:r>
    </w:p>
    <w:p w:rsidR="001246C6" w:rsidP="00B555DA" w:rsidRDefault="009061A2" w14:paraId="08B61004" w14:textId="77777777">
      <w:r>
        <w:t xml:space="preserve">Daarnaast informeer ik u over de overeengekomen positie van de Raad ten aanzien van het voorstel van de Commissie voor de Europese </w:t>
      </w:r>
      <w:r w:rsidR="00B555DA">
        <w:t>jaar</w:t>
      </w:r>
      <w:r>
        <w:t xml:space="preserve">begroting voor 2025. </w:t>
      </w:r>
      <w:r w:rsidRPr="00EF5441" w:rsidR="001246C6">
        <w:t>U bent eerder geïnformeerd over de Nederlandse uitgangspunten</w:t>
      </w:r>
      <w:r w:rsidR="001246C6">
        <w:t xml:space="preserve"> voor de onderhandelingen over de Europese jaarbegroting 2025.</w:t>
      </w:r>
      <w:r w:rsidR="001246C6">
        <w:rPr>
          <w:rStyle w:val="Voetnootmarkering"/>
        </w:rPr>
        <w:footnoteReference w:id="4"/>
      </w:r>
      <w:r w:rsidR="001246C6">
        <w:t xml:space="preserve"> Het kabinet is van mening dat de Raadspositie voldoende in lijn is</w:t>
      </w:r>
      <w:r w:rsidR="004E18AB">
        <w:t xml:space="preserve"> </w:t>
      </w:r>
      <w:r w:rsidR="001246C6">
        <w:t>met de Nederlandse uitgangspunten voor de onderhandelingen om in te</w:t>
      </w:r>
      <w:r w:rsidR="004E18AB">
        <w:t xml:space="preserve"> kunnen</w:t>
      </w:r>
      <w:r w:rsidR="001246C6">
        <w:t xml:space="preserve"> stemmen. </w:t>
      </w:r>
    </w:p>
    <w:p w:rsidR="001246C6" w:rsidP="00B555DA" w:rsidRDefault="001246C6" w14:paraId="4B912C83" w14:textId="77777777"/>
    <w:p w:rsidRPr="001246C6" w:rsidR="001246C6" w:rsidP="00B555DA" w:rsidRDefault="001246C6" w14:paraId="1B658D3C" w14:textId="77777777">
      <w:pPr>
        <w:rPr>
          <w:i/>
          <w:iCs/>
        </w:rPr>
      </w:pPr>
      <w:r w:rsidRPr="001246C6">
        <w:rPr>
          <w:i/>
          <w:iCs/>
        </w:rPr>
        <w:t xml:space="preserve">Inhoud Raadspositie </w:t>
      </w:r>
    </w:p>
    <w:p w:rsidR="0079541D" w:rsidP="00B555DA" w:rsidRDefault="001246C6" w14:paraId="21E80300" w14:textId="77777777">
      <w:r>
        <w:t>De totale omvang van de begroting (inclusief speciale instrumenten die boven het plafond worden gefinancierd) is in de Raadspositie 1</w:t>
      </w:r>
      <w:r w:rsidR="00A33E2F">
        <w:t>9</w:t>
      </w:r>
      <w:r w:rsidR="00550102">
        <w:t>8,2</w:t>
      </w:r>
      <w:r>
        <w:t xml:space="preserve"> miljard euro in vastleggingen en 1</w:t>
      </w:r>
      <w:r w:rsidR="00550102">
        <w:t>51,8</w:t>
      </w:r>
      <w:r w:rsidR="0079541D">
        <w:t xml:space="preserve"> </w:t>
      </w:r>
      <w:r>
        <w:t>miljard euro in betalingen.</w:t>
      </w:r>
      <w:r>
        <w:rPr>
          <w:rStyle w:val="Voetnootmarkering"/>
        </w:rPr>
        <w:footnoteReference w:id="5"/>
      </w:r>
      <w:r>
        <w:t xml:space="preserve"> Dit is respectievelijk </w:t>
      </w:r>
      <w:r w:rsidR="00550102">
        <w:t>1</w:t>
      </w:r>
      <w:r w:rsidR="00EE1756">
        <w:t xml:space="preserve">,5 miljard </w:t>
      </w:r>
      <w:r w:rsidR="00D572AE">
        <w:t>euro</w:t>
      </w:r>
      <w:r w:rsidR="009A55A4">
        <w:t xml:space="preserve"> </w:t>
      </w:r>
      <w:r>
        <w:t xml:space="preserve">en </w:t>
      </w:r>
      <w:r w:rsidR="00EE1756">
        <w:t xml:space="preserve">0,9 miljard </w:t>
      </w:r>
      <w:r>
        <w:t>euro lager dan het Commissievoorstel</w:t>
      </w:r>
      <w:r w:rsidRPr="00A33E2F">
        <w:t xml:space="preserve">. In tabel </w:t>
      </w:r>
      <w:r w:rsidR="00B555DA">
        <w:t>3</w:t>
      </w:r>
      <w:r w:rsidRPr="00A33E2F">
        <w:t xml:space="preserve"> in de bijlage is een vergelijking tussen het Commissievoorstel en de R</w:t>
      </w:r>
      <w:r>
        <w:t xml:space="preserve">aadspositie op hoofdlijnen opgenomen. </w:t>
      </w:r>
    </w:p>
    <w:p w:rsidR="001246C6" w:rsidP="00B555DA" w:rsidRDefault="001246C6" w14:paraId="5CC7E66C" w14:textId="77777777"/>
    <w:p w:rsidR="00EF5441" w:rsidP="00B555DA" w:rsidRDefault="001246C6" w14:paraId="7BDFABC0" w14:textId="77777777">
      <w:r>
        <w:t xml:space="preserve">Nederland </w:t>
      </w:r>
      <w:r w:rsidR="00EF5441">
        <w:t xml:space="preserve">en een brede groep gelijkgestemde lidstaten </w:t>
      </w:r>
      <w:r>
        <w:t xml:space="preserve">zette bij </w:t>
      </w:r>
      <w:r w:rsidR="009061A2">
        <w:t xml:space="preserve">de </w:t>
      </w:r>
      <w:r>
        <w:t xml:space="preserve">onderhandelingen over de jaarbegroting in de Raad </w:t>
      </w:r>
      <w:r w:rsidR="00EF5441">
        <w:t>in</w:t>
      </w:r>
      <w:r>
        <w:t xml:space="preserve"> het verleden doorgaans in op voldoende marges om te kunnen reageren op onvoorziene omstandigheden gedurende het jaar. Dit jaar </w:t>
      </w:r>
      <w:r w:rsidR="00EF5441">
        <w:t xml:space="preserve">heeft Nederland prioriteit gegeven aan het dekken van de gestegen rentekosten voor </w:t>
      </w:r>
      <w:r w:rsidR="00FA3C94">
        <w:t xml:space="preserve">het coronaherstelfonds </w:t>
      </w:r>
      <w:proofErr w:type="spellStart"/>
      <w:r w:rsidR="00FA3C94">
        <w:rPr>
          <w:i/>
          <w:iCs/>
        </w:rPr>
        <w:t>NextGenerationEU</w:t>
      </w:r>
      <w:proofErr w:type="spellEnd"/>
      <w:r w:rsidR="00FA3C94">
        <w:rPr>
          <w:i/>
          <w:iCs/>
        </w:rPr>
        <w:t xml:space="preserve"> </w:t>
      </w:r>
      <w:r w:rsidR="00FA3C94">
        <w:t>(</w:t>
      </w:r>
      <w:r w:rsidR="00EF5441">
        <w:t>NGEU</w:t>
      </w:r>
      <w:r w:rsidR="00FA3C94">
        <w:t>)</w:t>
      </w:r>
      <w:r w:rsidR="00EF5441">
        <w:t xml:space="preserve"> in de context van de afspraken over het </w:t>
      </w:r>
      <w:r w:rsidR="00DA6A77">
        <w:rPr>
          <w:i/>
          <w:iCs/>
        </w:rPr>
        <w:t xml:space="preserve">European Union Recovery </w:t>
      </w:r>
      <w:r w:rsidRPr="00E62504" w:rsidR="00DA6A77">
        <w:rPr>
          <w:i/>
          <w:iCs/>
        </w:rPr>
        <w:t>Instrument</w:t>
      </w:r>
      <w:r w:rsidRPr="001B2F3D" w:rsidR="00DA6A77">
        <w:t xml:space="preserve"> </w:t>
      </w:r>
      <w:r w:rsidR="00DA6A77">
        <w:rPr>
          <w:u w:val="single"/>
        </w:rPr>
        <w:t>(</w:t>
      </w:r>
      <w:r w:rsidR="00EF5441">
        <w:t>EURI-</w:t>
      </w:r>
      <w:r w:rsidR="00DA6A77">
        <w:t>)</w:t>
      </w:r>
      <w:r w:rsidR="00EF5441">
        <w:t>instrument</w:t>
      </w:r>
      <w:r w:rsidR="00FA3C94">
        <w:t xml:space="preserve">, die zijn gemaakt bij de tussentijdse herziening </w:t>
      </w:r>
      <w:r w:rsidR="00FA3C94">
        <w:lastRenderedPageBreak/>
        <w:t>van het MFK</w:t>
      </w:r>
      <w:r w:rsidR="00EF5441">
        <w:t>.</w:t>
      </w:r>
      <w:r w:rsidR="00FA3C94">
        <w:rPr>
          <w:rStyle w:val="Voetnootmarkering"/>
        </w:rPr>
        <w:footnoteReference w:id="6"/>
      </w:r>
      <w:r w:rsidR="00EF5441">
        <w:t xml:space="preserve"> </w:t>
      </w:r>
      <w:r w:rsidR="004E18AB">
        <w:t>Nederland heeft hierbij samengewerkt met een groep gelijkgestemde lidstaten.</w:t>
      </w:r>
    </w:p>
    <w:p w:rsidR="006063CA" w:rsidP="00B555DA" w:rsidRDefault="001246C6" w14:paraId="4ECCE1E1" w14:textId="77777777">
      <w:r>
        <w:br/>
        <w:t>De prioriteiten uit het Commissievoorstel voor de</w:t>
      </w:r>
      <w:r w:rsidR="00EF5441">
        <w:t xml:space="preserve"> Europese</w:t>
      </w:r>
      <w:r>
        <w:t xml:space="preserve"> </w:t>
      </w:r>
      <w:r w:rsidR="00EF5441">
        <w:t>jaar</w:t>
      </w:r>
      <w:r>
        <w:t>begroting van 202</w:t>
      </w:r>
      <w:r w:rsidR="00EF5441">
        <w:t>5</w:t>
      </w:r>
      <w:r>
        <w:t xml:space="preserve"> kwamen grotendeels overeen met de inhoudelijke beleidsdoelstellingen van het kabinet.</w:t>
      </w:r>
      <w:r w:rsidR="00581F56">
        <w:rPr>
          <w:rStyle w:val="Voetnootmarkering"/>
        </w:rPr>
        <w:footnoteReference w:id="7"/>
      </w:r>
      <w:r>
        <w:t xml:space="preserve"> </w:t>
      </w:r>
      <w:r w:rsidR="00A420C9">
        <w:t>Het voorstel van de Commissie vold</w:t>
      </w:r>
      <w:r w:rsidR="00C45DBF">
        <w:t>oet</w:t>
      </w:r>
      <w:r w:rsidR="00A420C9">
        <w:t xml:space="preserve"> technisch aan de vereisten uit de aangepaste MFK-verordening, waarbij</w:t>
      </w:r>
      <w:r w:rsidR="00434AD2">
        <w:t xml:space="preserve"> is afgesproken dat</w:t>
      </w:r>
      <w:r w:rsidR="00F27158">
        <w:t xml:space="preserve"> </w:t>
      </w:r>
      <w:r w:rsidR="00A420C9">
        <w:t>ci</w:t>
      </w:r>
      <w:r w:rsidR="00C45DBF">
        <w:t>r</w:t>
      </w:r>
      <w:r w:rsidR="00A420C9">
        <w:t xml:space="preserve">ca 50% van de kostenoverschrijding moet worden gedekt uit </w:t>
      </w:r>
      <w:proofErr w:type="spellStart"/>
      <w:r w:rsidR="00A420C9">
        <w:t>herprioriteringen</w:t>
      </w:r>
      <w:proofErr w:type="spellEnd"/>
      <w:r w:rsidR="00A420C9">
        <w:t xml:space="preserve"> en/of</w:t>
      </w:r>
      <w:r w:rsidR="00EE1756">
        <w:t xml:space="preserve"> de</w:t>
      </w:r>
      <w:r w:rsidR="00A420C9">
        <w:t xml:space="preserve"> inzet </w:t>
      </w:r>
      <w:r w:rsidR="00EE1756">
        <w:t xml:space="preserve">van de </w:t>
      </w:r>
      <w:r w:rsidR="00A420C9">
        <w:t>speciale instrumente</w:t>
      </w:r>
      <w:r w:rsidR="00F27158">
        <w:t>n</w:t>
      </w:r>
      <w:r w:rsidR="00434AD2">
        <w:t xml:space="preserve"> bij het MFK</w:t>
      </w:r>
      <w:r w:rsidR="00F27158">
        <w:t xml:space="preserve">. </w:t>
      </w:r>
      <w:r w:rsidR="00A420C9">
        <w:t xml:space="preserve">Het </w:t>
      </w:r>
      <w:r w:rsidR="00C45DBF">
        <w:t>Commissie</w:t>
      </w:r>
      <w:r w:rsidR="00A420C9">
        <w:t xml:space="preserve">voorstel bevat echter geen </w:t>
      </w:r>
      <w:proofErr w:type="spellStart"/>
      <w:r w:rsidR="00A420C9">
        <w:t>herprioritering</w:t>
      </w:r>
      <w:r w:rsidR="00434AD2">
        <w:t>en</w:t>
      </w:r>
      <w:proofErr w:type="spellEnd"/>
      <w:r w:rsidR="00434AD2">
        <w:t>.</w:t>
      </w:r>
      <w:r w:rsidR="00F46798">
        <w:t xml:space="preserve"> </w:t>
      </w:r>
      <w:r w:rsidR="002930C1">
        <w:t xml:space="preserve">Nederland heeft zich in de Raad, samen met gelijkgestemde lidstaten, daarom kritisch geuit over het ontbreken van </w:t>
      </w:r>
      <w:proofErr w:type="spellStart"/>
      <w:r w:rsidR="002930C1">
        <w:t>herprioriteringen</w:t>
      </w:r>
      <w:proofErr w:type="spellEnd"/>
      <w:r w:rsidR="002930C1">
        <w:t xml:space="preserve"> ter dekking van de gestegen rentekosten van NGEU en te hoge administratieve uitgaven. </w:t>
      </w:r>
      <w:r w:rsidR="00535C8A">
        <w:t>Het kabinet is van mening dat dit niet</w:t>
      </w:r>
      <w:r w:rsidR="00A420C9">
        <w:t xml:space="preserve"> volledig in de geest </w:t>
      </w:r>
      <w:r w:rsidR="00535C8A">
        <w:t xml:space="preserve">is </w:t>
      </w:r>
      <w:r w:rsidR="00A420C9">
        <w:t>van de conclusies van de Europese Raad van 1 februari jl.</w:t>
      </w:r>
      <w:r w:rsidR="00716007">
        <w:rPr>
          <w:rStyle w:val="Voetnootmarkering"/>
        </w:rPr>
        <w:footnoteReference w:id="8"/>
      </w:r>
      <w:r w:rsidR="00A420C9">
        <w:t xml:space="preserve"> </w:t>
      </w:r>
      <w:r w:rsidR="00A9051E">
        <w:t xml:space="preserve">In lijn met </w:t>
      </w:r>
      <w:r w:rsidR="00F46798">
        <w:t xml:space="preserve">de </w:t>
      </w:r>
      <w:r w:rsidR="00C45DBF">
        <w:t>Nederlandse</w:t>
      </w:r>
      <w:r w:rsidR="00A420C9">
        <w:t xml:space="preserve"> inzet</w:t>
      </w:r>
      <w:r w:rsidR="00F46798">
        <w:t xml:space="preserve"> zijn in de Raadspositie </w:t>
      </w:r>
      <w:r w:rsidR="00E2136C">
        <w:t xml:space="preserve">wel </w:t>
      </w:r>
      <w:proofErr w:type="spellStart"/>
      <w:r w:rsidR="00A420C9">
        <w:t>herprioriteringen</w:t>
      </w:r>
      <w:proofErr w:type="spellEnd"/>
      <w:r w:rsidR="00F46798">
        <w:t xml:space="preserve"> opgenomen</w:t>
      </w:r>
      <w:r w:rsidR="00535C8A">
        <w:t>, waarbij Nederlandse prioriteiten in de EU-begroting worden gewaarborgd</w:t>
      </w:r>
      <w:r w:rsidR="00EE1756">
        <w:t xml:space="preserve">. </w:t>
      </w:r>
    </w:p>
    <w:p w:rsidR="006063CA" w:rsidP="00B555DA" w:rsidRDefault="006063CA" w14:paraId="25025BC4" w14:textId="77777777"/>
    <w:p w:rsidR="00E2089B" w:rsidP="00B555DA" w:rsidRDefault="00EE1756" w14:paraId="66873EAD" w14:textId="77777777">
      <w:r>
        <w:t>D</w:t>
      </w:r>
      <w:r w:rsidR="00C45DBF">
        <w:t xml:space="preserve">e Raad stelt in totaal </w:t>
      </w:r>
      <w:r>
        <w:t xml:space="preserve">1,5 miljard euro </w:t>
      </w:r>
      <w:r w:rsidR="00C45DBF">
        <w:t xml:space="preserve">aan </w:t>
      </w:r>
      <w:proofErr w:type="spellStart"/>
      <w:r w:rsidR="00C45DBF">
        <w:t>herprioriteringen</w:t>
      </w:r>
      <w:proofErr w:type="spellEnd"/>
      <w:r w:rsidR="00C45DBF">
        <w:t xml:space="preserve"> voor </w:t>
      </w:r>
      <w:r>
        <w:t xml:space="preserve">ten opzichte van </w:t>
      </w:r>
      <w:r w:rsidR="00C45DBF">
        <w:t>het Commissievoorstel.</w:t>
      </w:r>
      <w:r w:rsidR="00A420C9">
        <w:t xml:space="preserve"> </w:t>
      </w:r>
      <w:r w:rsidR="001246C6">
        <w:t>De Raad roept op tot een meer prudente inzet van bestaande middelen, met beperkt gebruik van speciale instrumenten</w:t>
      </w:r>
      <w:r w:rsidR="00204733">
        <w:t xml:space="preserve">. </w:t>
      </w:r>
      <w:r w:rsidRPr="00EF5441" w:rsidR="00204733">
        <w:t xml:space="preserve">Het grootste verschil </w:t>
      </w:r>
      <w:r w:rsidR="002930C1">
        <w:t xml:space="preserve">van </w:t>
      </w:r>
      <w:r w:rsidR="00204733">
        <w:t xml:space="preserve">de Raadspositie </w:t>
      </w:r>
      <w:r w:rsidR="00E2089B">
        <w:t xml:space="preserve">ten opzichte van het Commissievoorstel </w:t>
      </w:r>
      <w:r w:rsidRPr="00EF5441" w:rsidR="00204733">
        <w:t>zit in een</w:t>
      </w:r>
      <w:r w:rsidR="00204733">
        <w:t xml:space="preserve"> voorstel tot verlaging van 809 miljoen euro van het vastleggingsbudget voor </w:t>
      </w:r>
      <w:r w:rsidR="00414F0E">
        <w:t xml:space="preserve">begrotingscategorie </w:t>
      </w:r>
      <w:r w:rsidR="00434AD2">
        <w:t>2b (</w:t>
      </w:r>
      <w:r w:rsidR="00414F0E">
        <w:t>veerkracht en waarden</w:t>
      </w:r>
      <w:r w:rsidR="00434AD2">
        <w:t>)</w:t>
      </w:r>
      <w:r w:rsidR="00E2089B">
        <w:t xml:space="preserve">. Dit bevat </w:t>
      </w:r>
      <w:r w:rsidR="00414F0E">
        <w:t xml:space="preserve">een verlaging van de rentekosten van NGEU van 456 miljoen euro door </w:t>
      </w:r>
      <w:r w:rsidR="006532B6">
        <w:t xml:space="preserve">het gebruik van </w:t>
      </w:r>
      <w:r w:rsidR="00414F0E">
        <w:t>een</w:t>
      </w:r>
      <w:r w:rsidR="00434AD2">
        <w:t xml:space="preserve">, in de ogen van de Raad, </w:t>
      </w:r>
      <w:r w:rsidR="00E2089B">
        <w:t>realistischere raming</w:t>
      </w:r>
      <w:r w:rsidR="00414F0E">
        <w:t xml:space="preserve">. </w:t>
      </w:r>
      <w:r w:rsidR="00E2089B">
        <w:t xml:space="preserve">Hierdoor </w:t>
      </w:r>
      <w:r w:rsidR="006532B6">
        <w:t>wordt de</w:t>
      </w:r>
      <w:r w:rsidR="00E2089B">
        <w:t xml:space="preserve"> overschrijding </w:t>
      </w:r>
      <w:r w:rsidR="00434AD2">
        <w:t xml:space="preserve">voor het begrote budget voor de rentekosten </w:t>
      </w:r>
      <w:r w:rsidR="00E2089B">
        <w:t xml:space="preserve">verlaagd van 2,5 miljard euro naar 2,0 miljard euro. Daarnaast stelt de Raad </w:t>
      </w:r>
      <w:r w:rsidR="00414F0E">
        <w:t>een verlaging voor in het gebruik van het</w:t>
      </w:r>
      <w:r w:rsidR="00E2089B">
        <w:t xml:space="preserve"> Flexibiliteitsinst</w:t>
      </w:r>
      <w:r w:rsidR="00414F0E">
        <w:t xml:space="preserve">rument van 277 miljoen euro. Hiermee wordt er beperkter gebruik gemaakt van dit speciale instrument ter dekking van de rentekosten, conform de Nederlandse inzet. </w:t>
      </w:r>
    </w:p>
    <w:p w:rsidR="00204733" w:rsidP="00B555DA" w:rsidRDefault="00204733" w14:paraId="6D7C4FD5" w14:textId="77777777"/>
    <w:p w:rsidR="00F27158" w:rsidP="00B555DA" w:rsidRDefault="00204733" w14:paraId="550F882D" w14:textId="77777777">
      <w:r>
        <w:t xml:space="preserve">Een andere wijziging ten opzichte van het Commissievoorstel is </w:t>
      </w:r>
      <w:r w:rsidR="006532B6">
        <w:t xml:space="preserve">een </w:t>
      </w:r>
      <w:r>
        <w:t xml:space="preserve">verlaging van het vastleggingsbudget voor begrotingscategorie </w:t>
      </w:r>
      <w:r w:rsidR="00434AD2">
        <w:t>1 (i</w:t>
      </w:r>
      <w:r>
        <w:t>nterne markt, innovatie en digitaal</w:t>
      </w:r>
      <w:r w:rsidR="00434AD2">
        <w:t>)</w:t>
      </w:r>
      <w:r>
        <w:t xml:space="preserve"> met 643 miljoen euro</w:t>
      </w:r>
      <w:r w:rsidR="00434AD2">
        <w:t xml:space="preserve">, onder andere door een </w:t>
      </w:r>
      <w:proofErr w:type="spellStart"/>
      <w:r w:rsidR="00434AD2">
        <w:t>herprioritering</w:t>
      </w:r>
      <w:proofErr w:type="spellEnd"/>
      <w:r w:rsidR="00434AD2">
        <w:t xml:space="preserve"> op </w:t>
      </w:r>
      <w:r>
        <w:t>Horizon Europe.</w:t>
      </w:r>
      <w:r w:rsidR="006532B6">
        <w:t xml:space="preserve"> Dit is nodig om de gestegen rentekosten voor NGEU te kunnen dekken. Tijdens de onderhandelingen voor de Raadspositie is de </w:t>
      </w:r>
      <w:proofErr w:type="spellStart"/>
      <w:r w:rsidR="006532B6">
        <w:t>herprioritering</w:t>
      </w:r>
      <w:proofErr w:type="spellEnd"/>
      <w:r w:rsidR="006532B6">
        <w:t xml:space="preserve"> op Horizon Europe, </w:t>
      </w:r>
      <w:r w:rsidR="00434AD2">
        <w:t xml:space="preserve">onder andere door de inzet van Nederland, </w:t>
      </w:r>
      <w:r w:rsidR="006532B6">
        <w:t>verlaagd van 540 miljoen euro naar 400 miljoen euro.</w:t>
      </w:r>
      <w:r w:rsidR="00434AD2">
        <w:t xml:space="preserve"> </w:t>
      </w:r>
      <w:r w:rsidR="00C430BB">
        <w:t>Tot slot is ten opzichte van het Commissievoorstel een verlaging onder begrotingscategorie 4 (migratie</w:t>
      </w:r>
      <w:r w:rsidR="00E07030">
        <w:t xml:space="preserve"> en grensmanagement</w:t>
      </w:r>
      <w:r w:rsidR="00C430BB">
        <w:t>) van 66 miljoen doorgevoerd</w:t>
      </w:r>
      <w:r w:rsidR="00DA6A77">
        <w:t>.</w:t>
      </w:r>
      <w:r w:rsidR="00C430BB">
        <w:t xml:space="preserve"> Het kabinet heeft benadrukt dat dit niet ten koste mag gaan van de grens- en terugkeeroperaties die het agentschap uitvoert. </w:t>
      </w:r>
      <w:r w:rsidR="00434AD2">
        <w:t>Alles overziend heeft het kabinet besloten in de stemmen met dit voorstel</w:t>
      </w:r>
      <w:r w:rsidR="006532B6">
        <w:t xml:space="preserve">.  </w:t>
      </w:r>
    </w:p>
    <w:p w:rsidR="000D52F2" w:rsidP="00E96688" w:rsidRDefault="001246C6" w14:paraId="4FE81278" w14:textId="77777777">
      <w:r>
        <w:br/>
        <w:t xml:space="preserve">Nederland heeft er in de Raad samen met andere lidstaten op gewezen dat </w:t>
      </w:r>
      <w:proofErr w:type="spellStart"/>
      <w:r w:rsidR="00204733">
        <w:t>herprioriteringen</w:t>
      </w:r>
      <w:proofErr w:type="spellEnd"/>
      <w:r>
        <w:t xml:space="preserve"> moeten worden doorgevoerd bij de administratieve uitgaven (begrotingscategorie 7) om de kosten onder controle te houden</w:t>
      </w:r>
      <w:r w:rsidR="00456FB3">
        <w:t xml:space="preserve"> conform motie-Van Wijngaarden.</w:t>
      </w:r>
      <w:r w:rsidR="00456FB3">
        <w:rPr>
          <w:rStyle w:val="Voetnootmarkering"/>
        </w:rPr>
        <w:footnoteReference w:id="9"/>
      </w:r>
      <w:r w:rsidR="00456FB3">
        <w:t xml:space="preserve"> </w:t>
      </w:r>
      <w:r>
        <w:t xml:space="preserve">Uiteindelijk is er op deze begrotingscategorie in de </w:t>
      </w:r>
      <w:r>
        <w:lastRenderedPageBreak/>
        <w:t xml:space="preserve">Raadspositie </w:t>
      </w:r>
      <w:r w:rsidR="00A420C9">
        <w:t>een</w:t>
      </w:r>
      <w:r>
        <w:t xml:space="preserve"> verlaging </w:t>
      </w:r>
      <w:r w:rsidR="00A420C9">
        <w:t xml:space="preserve">van 15 miljoen euro </w:t>
      </w:r>
      <w:r>
        <w:t>doorgevoer</w:t>
      </w:r>
      <w:r w:rsidR="00A420C9">
        <w:t xml:space="preserve">d. De </w:t>
      </w:r>
      <w:r>
        <w:t xml:space="preserve">verwachting is dat in de </w:t>
      </w:r>
      <w:r w:rsidRPr="002675E6">
        <w:rPr>
          <w:i/>
          <w:iCs/>
        </w:rPr>
        <w:t>Amending Letter</w:t>
      </w:r>
      <w:r>
        <w:t xml:space="preserve"> bij de </w:t>
      </w:r>
      <w:r w:rsidR="00A420C9">
        <w:t>jaar</w:t>
      </w:r>
      <w:r>
        <w:t>begroting</w:t>
      </w:r>
      <w:r w:rsidR="00A420C9">
        <w:t>,</w:t>
      </w:r>
      <w:r>
        <w:t xml:space="preserve"> die doorgaans in oktober wordt gepubliceerd, een actualisatie van de administratieve uitgaven zal volgen. Wel is er onder andere op verzoek van Nederland een verklaring opgenomen </w:t>
      </w:r>
      <w:r w:rsidR="004968B8">
        <w:t xml:space="preserve">met de oproep aan </w:t>
      </w:r>
      <w:r w:rsidR="00C720D0">
        <w:t xml:space="preserve">de </w:t>
      </w:r>
      <w:r w:rsidR="004968B8">
        <w:t xml:space="preserve">instituties </w:t>
      </w:r>
      <w:r w:rsidR="00456FB3">
        <w:t>voor</w:t>
      </w:r>
      <w:r w:rsidR="004968B8">
        <w:t xml:space="preserve"> een efficiëntieslag om de administratieve uitgaven te reduceren.</w:t>
      </w:r>
      <w:r>
        <w:t xml:space="preserve"> </w:t>
      </w:r>
      <w:r>
        <w:br/>
      </w:r>
      <w:r>
        <w:br/>
        <w:t xml:space="preserve">De Commissie heeft aangegeven dat </w:t>
      </w:r>
      <w:r w:rsidR="004968B8">
        <w:t xml:space="preserve">de </w:t>
      </w:r>
      <w:r w:rsidRPr="002675E6" w:rsidR="004968B8">
        <w:rPr>
          <w:i/>
          <w:iCs/>
        </w:rPr>
        <w:t>Amending Letter</w:t>
      </w:r>
      <w:r>
        <w:t xml:space="preserve"> </w:t>
      </w:r>
      <w:r w:rsidR="00456FB3">
        <w:t xml:space="preserve">ook </w:t>
      </w:r>
      <w:r>
        <w:t>eventueel benodigde actualisatie van de rentebetalingen voor NGEU</w:t>
      </w:r>
      <w:r w:rsidR="004968B8">
        <w:t xml:space="preserve"> bevat</w:t>
      </w:r>
      <w:r>
        <w:t xml:space="preserve">. Mogelijke veranderingen in de positie van de Commissie kunnen dan ook leiden tot een herziening van de positie van de Raad. Ik zal u daarover </w:t>
      </w:r>
      <w:r w:rsidR="00C65248">
        <w:t xml:space="preserve">zoals gebruikelijk </w:t>
      </w:r>
      <w:r>
        <w:t xml:space="preserve">te zijner tijd informeren. </w:t>
      </w:r>
      <w:r>
        <w:br/>
      </w:r>
      <w:r>
        <w:br/>
      </w:r>
      <w:r w:rsidRPr="001246C6">
        <w:rPr>
          <w:i/>
          <w:iCs/>
        </w:rPr>
        <w:t>Gevolgen voor de Nederlandse afdrachten</w:t>
      </w:r>
      <w:r>
        <w:t xml:space="preserve"> </w:t>
      </w:r>
      <w:r>
        <w:br/>
      </w:r>
      <w:r w:rsidR="000D52F2">
        <w:t xml:space="preserve">De Raadspositie heeft op zichzelf geen invloed op de raming van de Nederlandse afdracht. </w:t>
      </w:r>
      <w:r w:rsidR="00E96688">
        <w:t xml:space="preserve">Zoals toegelicht in de begroting van het ministerie Buitenlandse Zaken, artikel 3.1, is de raming van de Nederlandse afdrachten aan de Europese begroting gebaseerd op de omvang van het jaarlijkse betalingenplafond uit het MFK plus de maximale inzet van speciale instrumenten die boven dit plafond worden gefinancierd. </w:t>
      </w:r>
      <w:r w:rsidRPr="000D52F2" w:rsidR="000D52F2">
        <w:t>De Raadspositie blijft binnen dit plafond en derhalve hoeft de raming</w:t>
      </w:r>
      <w:r w:rsidR="000D52F2">
        <w:t xml:space="preserve"> in principe</w:t>
      </w:r>
      <w:r w:rsidRPr="000D52F2" w:rsidR="000D52F2">
        <w:t xml:space="preserve"> niet te worden aangepast.</w:t>
      </w:r>
    </w:p>
    <w:p w:rsidR="000D52F2" w:rsidP="00E96688" w:rsidRDefault="000D52F2" w14:paraId="1519638F" w14:textId="77777777"/>
    <w:p w:rsidR="00276885" w:rsidP="00E96688" w:rsidRDefault="000D52F2" w14:paraId="0A0D0FE3" w14:textId="77777777">
      <w:r>
        <w:t>Echter, h</w:t>
      </w:r>
      <w:r w:rsidR="00E96688">
        <w:t xml:space="preserve">et betalingenniveau ligt in het Commissievoorstel voor de jaarbegroting van 2025 aanzienlijk (ca. 29 mld. euro) onder het maximale jaarlijkse betalingenplafond, zoals vastgelegd in het MFK. </w:t>
      </w:r>
      <w:r w:rsidR="00276885">
        <w:t>Dit lage betalingenniveau wordt veroorzaakt door vertraging in betalingen bij de cohesie- en landbouwfondsen. Vanwege dit lage</w:t>
      </w:r>
      <w:r w:rsidR="00E96688">
        <w:t xml:space="preserve"> betalingenniveau is gekozen om af te wijken van de gebruikelijke </w:t>
      </w:r>
      <w:r w:rsidR="00276885">
        <w:t>ramings</w:t>
      </w:r>
      <w:r w:rsidR="00E96688">
        <w:t>systematiek.</w:t>
      </w:r>
      <w:r w:rsidR="00276885">
        <w:t xml:space="preserve"> Dit leidt vooruitlopend op het uiteindelijke akkoord over de EU-begroting voor 2025 (in november dit jaar) tot een lagere afdracht van 1,3 mld. in 2025. </w:t>
      </w:r>
    </w:p>
    <w:p w:rsidR="00276885" w:rsidP="00E96688" w:rsidRDefault="00276885" w14:paraId="32272E04" w14:textId="77777777"/>
    <w:p w:rsidR="00276885" w:rsidP="00E96688" w:rsidRDefault="00E96688" w14:paraId="241D0BEC" w14:textId="77777777">
      <w:r>
        <w:t>Het is echter niet zo dat dit tot lagere EU-afdrachten leidt voor het MFK als geheel. De Commissie kan de niet benutte middelen onder het plafond namelijk via het enkelvoudige marge-instrument (</w:t>
      </w:r>
      <w:r>
        <w:rPr>
          <w:i/>
          <w:iCs/>
        </w:rPr>
        <w:t xml:space="preserve">Single </w:t>
      </w:r>
      <w:proofErr w:type="spellStart"/>
      <w:r>
        <w:rPr>
          <w:i/>
          <w:iCs/>
        </w:rPr>
        <w:t>Margin</w:t>
      </w:r>
      <w:proofErr w:type="spellEnd"/>
      <w:r>
        <w:rPr>
          <w:i/>
          <w:iCs/>
        </w:rPr>
        <w:t xml:space="preserve"> </w:t>
      </w:r>
      <w:r w:rsidRPr="00E96688">
        <w:rPr>
          <w:i/>
          <w:iCs/>
        </w:rPr>
        <w:t>Instrument</w:t>
      </w:r>
      <w:r>
        <w:t xml:space="preserve">; SMI) </w:t>
      </w:r>
      <w:r w:rsidR="00276885">
        <w:t xml:space="preserve">(in bepaalde mate) </w:t>
      </w:r>
      <w:r w:rsidRPr="00E96688">
        <w:t>doorschuiven</w:t>
      </w:r>
      <w:r>
        <w:t xml:space="preserve"> naar latere jaren van het MFK. De raming wordt daarom voor 2025 verlaagd, terwijl de raming voor 2026 en 2027 wordt verhoogd. </w:t>
      </w:r>
      <w:r w:rsidR="00621E2D">
        <w:t xml:space="preserve">Tabel 2 geeft het effect op de raming van de Nederlandse afdracht weer. </w:t>
      </w:r>
      <w:r w:rsidR="00276885">
        <w:t>Een deel van de inzet van het SMI in 2026 en 2027 was</w:t>
      </w:r>
      <w:r w:rsidR="00621E2D">
        <w:t xml:space="preserve"> (na het bereiken van het akkoord over de MFK-herziening)</w:t>
      </w:r>
      <w:r w:rsidR="00276885">
        <w:t xml:space="preserve"> al verwerkt in de raming. Om die reden tellen de bedragen uit 2026 en 2027 niet op tot 1,4 miljard.</w:t>
      </w:r>
      <w:r w:rsidR="00621E2D">
        <w:t xml:space="preserve"> </w:t>
      </w:r>
      <w:r w:rsidR="00276885">
        <w:t xml:space="preserve">De mutaties worden verwerkt in de </w:t>
      </w:r>
      <w:r w:rsidR="006C5474">
        <w:t>begroting</w:t>
      </w:r>
      <w:r w:rsidR="00094689">
        <w:t xml:space="preserve"> 2025</w:t>
      </w:r>
      <w:r w:rsidR="00276885">
        <w:t xml:space="preserve">. </w:t>
      </w:r>
    </w:p>
    <w:p w:rsidR="00276885" w:rsidP="00E96688" w:rsidRDefault="00276885" w14:paraId="095F269E" w14:textId="77777777"/>
    <w:p w:rsidR="00276885" w:rsidP="00276885" w:rsidRDefault="00276885" w14:paraId="2259329F" w14:textId="77777777">
      <w:pPr>
        <w:rPr>
          <w:i/>
          <w:iCs/>
        </w:rPr>
      </w:pPr>
      <w:r w:rsidRPr="00416E80">
        <w:rPr>
          <w:i/>
          <w:iCs/>
        </w:rPr>
        <w:t xml:space="preserve">Tabel </w:t>
      </w:r>
      <w:r w:rsidR="00621E2D">
        <w:rPr>
          <w:i/>
          <w:iCs/>
        </w:rPr>
        <w:t>2</w:t>
      </w:r>
      <w:r>
        <w:rPr>
          <w:i/>
          <w:iCs/>
        </w:rPr>
        <w:t xml:space="preserve">: aanpassing raming </w:t>
      </w:r>
      <w:r w:rsidR="005F3D24">
        <w:rPr>
          <w:i/>
          <w:iCs/>
        </w:rPr>
        <w:t>als gevolg van</w:t>
      </w:r>
      <w:r w:rsidR="002A6732">
        <w:rPr>
          <w:i/>
          <w:iCs/>
        </w:rPr>
        <w:t xml:space="preserve"> voorstel</w:t>
      </w:r>
      <w:r>
        <w:rPr>
          <w:i/>
          <w:iCs/>
        </w:rPr>
        <w:t xml:space="preserve"> </w:t>
      </w:r>
      <w:r w:rsidRPr="00276885">
        <w:rPr>
          <w:i/>
          <w:iCs/>
        </w:rPr>
        <w:t>EU-begroting 2025</w:t>
      </w:r>
      <w:r>
        <w:rPr>
          <w:i/>
          <w:iCs/>
        </w:rPr>
        <w:t xml:space="preserve"> (</w:t>
      </w:r>
      <w:r w:rsidRPr="00416E80">
        <w:rPr>
          <w:i/>
          <w:iCs/>
        </w:rPr>
        <w:t>in m</w:t>
      </w:r>
      <w:r>
        <w:rPr>
          <w:i/>
          <w:iCs/>
        </w:rPr>
        <w:t>iljoenen</w:t>
      </w:r>
      <w:r w:rsidRPr="00416E80">
        <w:rPr>
          <w:i/>
          <w:iCs/>
        </w:rPr>
        <w:t xml:space="preserve"> euro’s, lopen</w:t>
      </w:r>
      <w:r>
        <w:rPr>
          <w:i/>
          <w:iCs/>
        </w:rPr>
        <w:t>de prijzen)</w:t>
      </w:r>
    </w:p>
    <w:tbl>
      <w:tblPr>
        <w:tblW w:w="7307"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678"/>
        <w:gridCol w:w="806"/>
        <w:gridCol w:w="806"/>
        <w:gridCol w:w="806"/>
        <w:gridCol w:w="807"/>
        <w:gridCol w:w="809"/>
        <w:gridCol w:w="595"/>
      </w:tblGrid>
      <w:tr w:rsidRPr="0056525C" w:rsidR="000857F0" w:rsidTr="000857F0" w14:paraId="78FF7164" w14:textId="77777777">
        <w:trPr>
          <w:trHeight w:val="249"/>
        </w:trPr>
        <w:tc>
          <w:tcPr>
            <w:tcW w:w="2678" w:type="dxa"/>
            <w:vMerge w:val="restart"/>
            <w:tcBorders>
              <w:top w:val="single" w:color="5B9BD5" w:themeColor="accent5" w:sz="4" w:space="0"/>
              <w:left w:val="single" w:color="5B9BD5" w:themeColor="accent5" w:sz="4" w:space="0"/>
              <w:bottom w:val="nil"/>
              <w:right w:val="single" w:color="5B9BD5" w:themeColor="accent5" w:sz="4" w:space="0"/>
            </w:tcBorders>
            <w:shd w:val="clear" w:color="000000" w:fill="1F4E79"/>
            <w:noWrap/>
            <w:vAlign w:val="center"/>
          </w:tcPr>
          <w:p w:rsidRPr="0056525C" w:rsidR="000857F0" w:rsidP="000857F0" w:rsidRDefault="000857F0" w14:paraId="52F7D294" w14:textId="77777777">
            <w:pPr>
              <w:autoSpaceDN/>
              <w:textAlignment w:val="auto"/>
              <w:rPr>
                <w:rFonts w:eastAsia="Times New Roman" w:cs="Calibri"/>
                <w:b/>
                <w:bCs/>
                <w:color w:val="FFFFFF"/>
                <w:sz w:val="16"/>
                <w:szCs w:val="16"/>
              </w:rPr>
            </w:pPr>
            <w:r w:rsidRPr="004D4D5A">
              <w:rPr>
                <w:rFonts w:eastAsia="Times New Roman" w:cs="Calibri"/>
                <w:b/>
                <w:bCs/>
                <w:color w:val="FFFFFF"/>
                <w:sz w:val="16"/>
                <w:szCs w:val="16"/>
              </w:rPr>
              <w:t>Aanpassing raming EU-begroting 2025</w:t>
            </w:r>
          </w:p>
        </w:tc>
        <w:tc>
          <w:tcPr>
            <w:tcW w:w="806" w:type="dxa"/>
            <w:tcBorders>
              <w:top w:val="single" w:color="5B9BD5" w:themeColor="accent5" w:sz="4" w:space="0"/>
              <w:left w:val="single" w:color="5B9BD5" w:themeColor="accent5" w:sz="4" w:space="0"/>
              <w:bottom w:val="single" w:color="5B9BD5" w:themeColor="accent5" w:sz="4" w:space="0"/>
              <w:right w:val="nil"/>
            </w:tcBorders>
            <w:shd w:val="clear" w:color="000000" w:fill="1F4E79"/>
            <w:noWrap/>
            <w:vAlign w:val="center"/>
          </w:tcPr>
          <w:p w:rsidRPr="0056525C" w:rsidR="000857F0" w:rsidP="000857F0" w:rsidRDefault="000857F0" w14:paraId="08566949" w14:textId="77777777">
            <w:pPr>
              <w:autoSpaceDN/>
              <w:textAlignment w:val="auto"/>
              <w:rPr>
                <w:rFonts w:eastAsia="Times New Roman" w:cs="Calibri"/>
                <w:b/>
                <w:bCs/>
                <w:color w:val="FFFFFF"/>
                <w:sz w:val="16"/>
                <w:szCs w:val="16"/>
              </w:rPr>
            </w:pPr>
            <w:r w:rsidRPr="004D4D5A">
              <w:rPr>
                <w:rFonts w:eastAsia="Times New Roman" w:cs="Calibri"/>
                <w:b/>
                <w:bCs/>
                <w:color w:val="FFFFFF"/>
                <w:sz w:val="16"/>
                <w:szCs w:val="16"/>
                <w:lang w:val="en-US"/>
              </w:rPr>
              <w:t>2024</w:t>
            </w:r>
          </w:p>
        </w:tc>
        <w:tc>
          <w:tcPr>
            <w:tcW w:w="806" w:type="dxa"/>
            <w:tcBorders>
              <w:top w:val="single" w:color="5B9BD5" w:themeColor="accent5" w:sz="4" w:space="0"/>
              <w:left w:val="nil"/>
              <w:bottom w:val="single" w:color="5B9BD5" w:themeColor="accent5" w:sz="4" w:space="0"/>
            </w:tcBorders>
            <w:shd w:val="clear" w:color="000000" w:fill="1F4E79"/>
            <w:noWrap/>
            <w:vAlign w:val="center"/>
          </w:tcPr>
          <w:p w:rsidRPr="0056525C" w:rsidR="000857F0" w:rsidP="000857F0" w:rsidRDefault="000857F0" w14:paraId="7611D01C" w14:textId="77777777">
            <w:pPr>
              <w:autoSpaceDN/>
              <w:textAlignment w:val="auto"/>
              <w:rPr>
                <w:rFonts w:eastAsia="Times New Roman" w:cs="Calibri"/>
                <w:b/>
                <w:bCs/>
                <w:color w:val="FFFFFF"/>
                <w:sz w:val="16"/>
                <w:szCs w:val="16"/>
              </w:rPr>
            </w:pPr>
            <w:r w:rsidRPr="004D4D5A">
              <w:rPr>
                <w:rFonts w:eastAsia="Times New Roman" w:cs="Calibri"/>
                <w:b/>
                <w:bCs/>
                <w:color w:val="FFFFFF"/>
                <w:sz w:val="16"/>
                <w:szCs w:val="16"/>
                <w:lang w:val="en-US"/>
              </w:rPr>
              <w:t>2025</w:t>
            </w:r>
          </w:p>
        </w:tc>
        <w:tc>
          <w:tcPr>
            <w:tcW w:w="806" w:type="dxa"/>
            <w:tcBorders>
              <w:top w:val="single" w:color="5B9BD5" w:themeColor="accent5" w:sz="4" w:space="0"/>
              <w:bottom w:val="single" w:color="5B9BD5" w:themeColor="accent5" w:sz="4" w:space="0"/>
            </w:tcBorders>
            <w:shd w:val="clear" w:color="000000" w:fill="1F4E79"/>
            <w:noWrap/>
            <w:vAlign w:val="center"/>
          </w:tcPr>
          <w:p w:rsidRPr="0056525C" w:rsidR="000857F0" w:rsidP="000857F0" w:rsidRDefault="000857F0" w14:paraId="2469C406" w14:textId="77777777">
            <w:pPr>
              <w:autoSpaceDN/>
              <w:textAlignment w:val="auto"/>
              <w:rPr>
                <w:rFonts w:eastAsia="Times New Roman" w:cs="Calibri"/>
                <w:b/>
                <w:bCs/>
                <w:color w:val="FFFFFF"/>
                <w:sz w:val="16"/>
                <w:szCs w:val="16"/>
              </w:rPr>
            </w:pPr>
            <w:r w:rsidRPr="004D4D5A">
              <w:rPr>
                <w:rFonts w:eastAsia="Times New Roman" w:cs="Calibri"/>
                <w:b/>
                <w:bCs/>
                <w:color w:val="FFFFFF"/>
                <w:sz w:val="16"/>
                <w:szCs w:val="16"/>
                <w:lang w:val="en-US"/>
              </w:rPr>
              <w:t>2026</w:t>
            </w:r>
          </w:p>
        </w:tc>
        <w:tc>
          <w:tcPr>
            <w:tcW w:w="807" w:type="dxa"/>
            <w:tcBorders>
              <w:top w:val="single" w:color="5B9BD5" w:themeColor="accent5" w:sz="4" w:space="0"/>
              <w:bottom w:val="single" w:color="5B9BD5" w:themeColor="accent5" w:sz="4" w:space="0"/>
              <w:right w:val="single" w:color="5B9BD5" w:themeColor="accent5" w:sz="4" w:space="0"/>
            </w:tcBorders>
            <w:shd w:val="clear" w:color="000000" w:fill="1F4E79"/>
            <w:noWrap/>
            <w:vAlign w:val="center"/>
          </w:tcPr>
          <w:p w:rsidRPr="0056525C" w:rsidR="000857F0" w:rsidP="000857F0" w:rsidRDefault="000857F0" w14:paraId="0891EBC8" w14:textId="77777777">
            <w:pPr>
              <w:autoSpaceDN/>
              <w:textAlignment w:val="auto"/>
              <w:rPr>
                <w:rFonts w:eastAsia="Times New Roman" w:cs="Calibri"/>
                <w:b/>
                <w:bCs/>
                <w:color w:val="FFFFFF"/>
                <w:sz w:val="16"/>
                <w:szCs w:val="16"/>
              </w:rPr>
            </w:pPr>
            <w:r w:rsidRPr="004D4D5A">
              <w:rPr>
                <w:rFonts w:eastAsia="Times New Roman" w:cs="Calibri"/>
                <w:b/>
                <w:bCs/>
                <w:color w:val="FFFFFF"/>
                <w:sz w:val="16"/>
                <w:szCs w:val="16"/>
                <w:lang w:val="en-US"/>
              </w:rPr>
              <w:t>2027</w:t>
            </w:r>
          </w:p>
        </w:tc>
        <w:tc>
          <w:tcPr>
            <w:tcW w:w="809" w:type="dxa"/>
            <w:tcBorders>
              <w:top w:val="single" w:color="5B9BD5" w:themeColor="accent5" w:sz="4" w:space="0"/>
              <w:left w:val="single" w:color="5B9BD5" w:themeColor="accent5" w:sz="4" w:space="0"/>
              <w:bottom w:val="single" w:color="5B9BD5" w:themeColor="accent5" w:sz="4" w:space="0"/>
              <w:right w:val="nil"/>
            </w:tcBorders>
            <w:shd w:val="clear" w:color="000000" w:fill="1F4E79"/>
            <w:noWrap/>
            <w:vAlign w:val="center"/>
          </w:tcPr>
          <w:p w:rsidRPr="0056525C" w:rsidR="000857F0" w:rsidP="000857F0" w:rsidRDefault="000857F0" w14:paraId="610F03B6" w14:textId="77777777">
            <w:pPr>
              <w:autoSpaceDN/>
              <w:textAlignment w:val="auto"/>
              <w:rPr>
                <w:rFonts w:eastAsia="Times New Roman" w:cs="Calibri"/>
                <w:b/>
                <w:bCs/>
                <w:color w:val="FFFFFF"/>
                <w:sz w:val="16"/>
                <w:szCs w:val="16"/>
              </w:rPr>
            </w:pPr>
            <w:r w:rsidRPr="004D4D5A">
              <w:rPr>
                <w:rFonts w:eastAsia="Times New Roman" w:cs="Calibri"/>
                <w:b/>
                <w:bCs/>
                <w:color w:val="FFFFFF"/>
                <w:sz w:val="16"/>
                <w:szCs w:val="16"/>
                <w:lang w:val="en-US"/>
              </w:rPr>
              <w:t>2028</w:t>
            </w:r>
          </w:p>
        </w:tc>
        <w:tc>
          <w:tcPr>
            <w:tcW w:w="595" w:type="dxa"/>
            <w:tcBorders>
              <w:top w:val="single" w:color="5B9BD5" w:themeColor="accent5" w:sz="4" w:space="0"/>
              <w:left w:val="nil"/>
              <w:bottom w:val="single" w:color="5B9BD5" w:themeColor="accent5" w:sz="4" w:space="0"/>
              <w:right w:val="single" w:color="5B9BD5" w:themeColor="accent5" w:sz="4" w:space="0"/>
            </w:tcBorders>
            <w:shd w:val="clear" w:color="000000" w:fill="1F4E79"/>
            <w:noWrap/>
            <w:vAlign w:val="center"/>
          </w:tcPr>
          <w:p w:rsidRPr="0056525C" w:rsidR="000857F0" w:rsidP="000857F0" w:rsidRDefault="000857F0" w14:paraId="180E55D4" w14:textId="77777777">
            <w:pPr>
              <w:autoSpaceDN/>
              <w:textAlignment w:val="auto"/>
              <w:rPr>
                <w:rFonts w:eastAsia="Times New Roman" w:cs="Calibri"/>
                <w:b/>
                <w:bCs/>
                <w:color w:val="FFFFFF"/>
                <w:sz w:val="16"/>
                <w:szCs w:val="16"/>
              </w:rPr>
            </w:pPr>
            <w:r w:rsidRPr="004D4D5A">
              <w:rPr>
                <w:rFonts w:eastAsia="Times New Roman" w:cs="Calibri"/>
                <w:b/>
                <w:bCs/>
                <w:color w:val="FFFFFF"/>
                <w:sz w:val="16"/>
                <w:szCs w:val="16"/>
                <w:lang w:val="en-US"/>
              </w:rPr>
              <w:t>2029</w:t>
            </w:r>
          </w:p>
        </w:tc>
      </w:tr>
      <w:tr w:rsidRPr="0056525C" w:rsidR="000857F0" w:rsidTr="000857F0" w14:paraId="1543B90A" w14:textId="77777777">
        <w:trPr>
          <w:trHeight w:val="55"/>
        </w:trPr>
        <w:tc>
          <w:tcPr>
            <w:tcW w:w="2678" w:type="dxa"/>
            <w:vMerge/>
            <w:tcBorders>
              <w:top w:val="nil"/>
              <w:left w:val="single" w:color="5B9BD5" w:themeColor="accent5" w:sz="4" w:space="0"/>
              <w:bottom w:val="single" w:color="5B9BD5" w:themeColor="accent5" w:sz="4" w:space="0"/>
              <w:right w:val="single" w:color="5B9BD5" w:themeColor="accent5" w:sz="4" w:space="0"/>
            </w:tcBorders>
            <w:vAlign w:val="center"/>
          </w:tcPr>
          <w:p w:rsidRPr="0056525C" w:rsidR="000857F0" w:rsidP="000857F0" w:rsidRDefault="000857F0" w14:paraId="7AADFF30" w14:textId="77777777">
            <w:pPr>
              <w:autoSpaceDN/>
              <w:textAlignment w:val="auto"/>
              <w:rPr>
                <w:rFonts w:eastAsia="Times New Roman" w:cs="Calibri"/>
                <w:b/>
                <w:bCs/>
                <w:color w:val="FFFFFF"/>
                <w:sz w:val="16"/>
                <w:szCs w:val="16"/>
              </w:rPr>
            </w:pPr>
          </w:p>
        </w:tc>
        <w:tc>
          <w:tcPr>
            <w:tcW w:w="3225" w:type="dxa"/>
            <w:gridSpan w:val="4"/>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000000" w:fill="1F4E79"/>
            <w:noWrap/>
            <w:vAlign w:val="center"/>
          </w:tcPr>
          <w:p w:rsidRPr="0056525C" w:rsidR="000857F0" w:rsidP="009C7D77" w:rsidRDefault="000857F0" w14:paraId="0023CA01" w14:textId="77777777">
            <w:pPr>
              <w:autoSpaceDN/>
              <w:jc w:val="center"/>
              <w:textAlignment w:val="auto"/>
              <w:rPr>
                <w:rFonts w:eastAsia="Times New Roman" w:cs="Calibri"/>
                <w:i/>
                <w:iCs/>
                <w:color w:val="FFFFFF"/>
                <w:sz w:val="16"/>
                <w:szCs w:val="16"/>
              </w:rPr>
            </w:pPr>
            <w:r w:rsidRPr="004D4D5A">
              <w:rPr>
                <w:rFonts w:eastAsia="Times New Roman" w:cs="Calibri"/>
                <w:i/>
                <w:iCs/>
                <w:color w:val="FFFFFF"/>
                <w:sz w:val="16"/>
                <w:szCs w:val="16"/>
                <w:lang w:val="en-US"/>
              </w:rPr>
              <w:t>MFK 2021-2027</w:t>
            </w:r>
          </w:p>
        </w:tc>
        <w:tc>
          <w:tcPr>
            <w:tcW w:w="1404" w:type="dxa"/>
            <w:gridSpan w:val="2"/>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000000" w:fill="1F4E79"/>
            <w:vAlign w:val="center"/>
          </w:tcPr>
          <w:p w:rsidRPr="0056525C" w:rsidR="000857F0" w:rsidP="000857F0" w:rsidRDefault="000857F0" w14:paraId="78093BB0" w14:textId="77777777">
            <w:pPr>
              <w:autoSpaceDN/>
              <w:textAlignment w:val="auto"/>
              <w:rPr>
                <w:rFonts w:eastAsia="Times New Roman" w:cs="Calibri"/>
                <w:b/>
                <w:bCs/>
                <w:color w:val="auto"/>
                <w:sz w:val="16"/>
                <w:szCs w:val="16"/>
              </w:rPr>
            </w:pPr>
            <w:r w:rsidRPr="004D4D5A">
              <w:rPr>
                <w:rFonts w:eastAsia="Times New Roman" w:cs="Calibri"/>
                <w:b/>
                <w:bCs/>
                <w:color w:val="auto"/>
                <w:sz w:val="16"/>
                <w:szCs w:val="16"/>
                <w:lang w:val="en-US"/>
              </w:rPr>
              <w:t> </w:t>
            </w:r>
          </w:p>
        </w:tc>
      </w:tr>
      <w:tr w:rsidRPr="0056525C" w:rsidR="000857F0" w:rsidTr="009C7D77" w14:paraId="0AF5B6D6" w14:textId="77777777">
        <w:trPr>
          <w:trHeight w:val="249"/>
        </w:trPr>
        <w:tc>
          <w:tcPr>
            <w:tcW w:w="2678"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auto"/>
            <w:noWrap/>
            <w:vAlign w:val="center"/>
          </w:tcPr>
          <w:p w:rsidRPr="0056525C" w:rsidR="000857F0" w:rsidP="000857F0" w:rsidRDefault="000857F0" w14:paraId="621E7E49" w14:textId="77777777">
            <w:pPr>
              <w:autoSpaceDN/>
              <w:textAlignment w:val="auto"/>
              <w:rPr>
                <w:rFonts w:eastAsia="Times New Roman" w:cs="Calibri"/>
                <w:sz w:val="16"/>
                <w:szCs w:val="16"/>
              </w:rPr>
            </w:pPr>
            <w:r>
              <w:rPr>
                <w:rFonts w:eastAsia="Times New Roman" w:cs="Calibri"/>
                <w:i/>
                <w:iCs/>
                <w:sz w:val="16"/>
                <w:szCs w:val="16"/>
                <w:lang w:val="en-US"/>
              </w:rPr>
              <w:t>E</w:t>
            </w:r>
            <w:r w:rsidRPr="004D4D5A">
              <w:rPr>
                <w:rFonts w:eastAsia="Times New Roman" w:cs="Calibri"/>
                <w:i/>
                <w:iCs/>
                <w:sz w:val="16"/>
                <w:szCs w:val="16"/>
                <w:lang w:val="en-US"/>
              </w:rPr>
              <w:t xml:space="preserve">ffect </w:t>
            </w:r>
            <w:proofErr w:type="spellStart"/>
            <w:r w:rsidRPr="004D4D5A">
              <w:rPr>
                <w:rFonts w:eastAsia="Times New Roman" w:cs="Calibri"/>
                <w:i/>
                <w:iCs/>
                <w:sz w:val="16"/>
                <w:szCs w:val="16"/>
                <w:lang w:val="en-US"/>
              </w:rPr>
              <w:t>bni-afdracht</w:t>
            </w:r>
            <w:proofErr w:type="spellEnd"/>
          </w:p>
        </w:tc>
        <w:tc>
          <w:tcPr>
            <w:tcW w:w="806" w:type="dxa"/>
            <w:tcBorders>
              <w:top w:val="single" w:color="5B9BD5" w:themeColor="accent5" w:sz="4" w:space="0"/>
              <w:left w:val="single" w:color="5B9BD5" w:themeColor="accent5" w:sz="4" w:space="0"/>
              <w:bottom w:val="single" w:color="5B9BD5" w:themeColor="accent5" w:sz="4" w:space="0"/>
            </w:tcBorders>
            <w:shd w:val="clear" w:color="auto" w:fill="auto"/>
            <w:noWrap/>
            <w:vAlign w:val="center"/>
          </w:tcPr>
          <w:p w:rsidRPr="0056525C" w:rsidR="000857F0" w:rsidP="000857F0" w:rsidRDefault="000857F0" w14:paraId="46DFA590" w14:textId="77777777">
            <w:pPr>
              <w:autoSpaceDN/>
              <w:textAlignment w:val="auto"/>
              <w:rPr>
                <w:rFonts w:eastAsia="Times New Roman" w:cs="Calibri"/>
                <w:sz w:val="16"/>
                <w:szCs w:val="16"/>
              </w:rPr>
            </w:pPr>
            <w:r>
              <w:rPr>
                <w:rFonts w:eastAsia="Times New Roman" w:cs="Calibri"/>
                <w:sz w:val="16"/>
                <w:szCs w:val="16"/>
              </w:rPr>
              <w:t>0</w:t>
            </w:r>
          </w:p>
        </w:tc>
        <w:tc>
          <w:tcPr>
            <w:tcW w:w="806" w:type="dxa"/>
            <w:tcBorders>
              <w:top w:val="single" w:color="5B9BD5" w:themeColor="accent5" w:sz="4" w:space="0"/>
              <w:bottom w:val="single" w:color="5B9BD5" w:themeColor="accent5" w:sz="4" w:space="0"/>
            </w:tcBorders>
            <w:shd w:val="clear" w:color="auto" w:fill="auto"/>
            <w:noWrap/>
            <w:vAlign w:val="center"/>
          </w:tcPr>
          <w:p w:rsidRPr="0056525C" w:rsidR="000857F0" w:rsidP="000857F0" w:rsidRDefault="000857F0" w14:paraId="0CDF667F" w14:textId="77777777">
            <w:pPr>
              <w:autoSpaceDN/>
              <w:textAlignment w:val="auto"/>
              <w:rPr>
                <w:rFonts w:eastAsia="Times New Roman" w:cs="Calibri"/>
                <w:sz w:val="16"/>
                <w:szCs w:val="16"/>
              </w:rPr>
            </w:pPr>
            <w:r>
              <w:rPr>
                <w:rFonts w:eastAsia="Times New Roman" w:cs="Calibri"/>
                <w:sz w:val="16"/>
                <w:szCs w:val="16"/>
              </w:rPr>
              <w:t>-1</w:t>
            </w:r>
            <w:r w:rsidR="004945E8">
              <w:rPr>
                <w:rFonts w:eastAsia="Times New Roman" w:cs="Calibri"/>
                <w:sz w:val="16"/>
                <w:szCs w:val="16"/>
              </w:rPr>
              <w:t>.</w:t>
            </w:r>
            <w:r>
              <w:rPr>
                <w:rFonts w:eastAsia="Times New Roman" w:cs="Calibri"/>
                <w:sz w:val="16"/>
                <w:szCs w:val="16"/>
              </w:rPr>
              <w:t>4</w:t>
            </w:r>
            <w:r w:rsidR="004945E8">
              <w:rPr>
                <w:rFonts w:eastAsia="Times New Roman" w:cs="Calibri"/>
                <w:sz w:val="16"/>
                <w:szCs w:val="16"/>
              </w:rPr>
              <w:t>00</w:t>
            </w:r>
          </w:p>
        </w:tc>
        <w:tc>
          <w:tcPr>
            <w:tcW w:w="806" w:type="dxa"/>
            <w:tcBorders>
              <w:top w:val="single" w:color="5B9BD5" w:themeColor="accent5" w:sz="4" w:space="0"/>
              <w:bottom w:val="single" w:color="5B9BD5" w:themeColor="accent5" w:sz="4" w:space="0"/>
            </w:tcBorders>
            <w:shd w:val="clear" w:color="auto" w:fill="auto"/>
            <w:noWrap/>
            <w:vAlign w:val="center"/>
          </w:tcPr>
          <w:p w:rsidRPr="0056525C" w:rsidR="000857F0" w:rsidP="000857F0" w:rsidRDefault="004945E8" w14:paraId="716BE02A" w14:textId="77777777">
            <w:pPr>
              <w:autoSpaceDN/>
              <w:textAlignment w:val="auto"/>
              <w:rPr>
                <w:rFonts w:eastAsia="Times New Roman" w:cs="Calibri"/>
                <w:sz w:val="16"/>
                <w:szCs w:val="16"/>
              </w:rPr>
            </w:pPr>
            <w:r>
              <w:rPr>
                <w:rFonts w:eastAsia="Times New Roman" w:cs="Calibri"/>
                <w:sz w:val="16"/>
                <w:szCs w:val="16"/>
              </w:rPr>
              <w:t>600</w:t>
            </w:r>
          </w:p>
        </w:tc>
        <w:tc>
          <w:tcPr>
            <w:tcW w:w="807" w:type="dxa"/>
            <w:tcBorders>
              <w:top w:val="single" w:color="5B9BD5" w:themeColor="accent5" w:sz="4" w:space="0"/>
              <w:bottom w:val="single" w:color="5B9BD5" w:themeColor="accent5" w:sz="4" w:space="0"/>
              <w:right w:val="single" w:color="5B9BD5" w:themeColor="accent5" w:sz="4" w:space="0"/>
            </w:tcBorders>
            <w:shd w:val="clear" w:color="auto" w:fill="auto"/>
            <w:noWrap/>
            <w:vAlign w:val="center"/>
          </w:tcPr>
          <w:p w:rsidRPr="0056525C" w:rsidR="000857F0" w:rsidP="000857F0" w:rsidRDefault="004945E8" w14:paraId="528396C7" w14:textId="77777777">
            <w:pPr>
              <w:autoSpaceDN/>
              <w:textAlignment w:val="auto"/>
              <w:rPr>
                <w:rFonts w:eastAsia="Times New Roman" w:cs="Calibri"/>
                <w:sz w:val="16"/>
                <w:szCs w:val="16"/>
              </w:rPr>
            </w:pPr>
            <w:r>
              <w:rPr>
                <w:rFonts w:eastAsia="Times New Roman" w:cs="Calibri"/>
                <w:sz w:val="16"/>
                <w:szCs w:val="16"/>
              </w:rPr>
              <w:t>400</w:t>
            </w:r>
          </w:p>
        </w:tc>
        <w:tc>
          <w:tcPr>
            <w:tcW w:w="809" w:type="dxa"/>
            <w:tcBorders>
              <w:top w:val="single" w:color="5B9BD5" w:themeColor="accent5" w:sz="4" w:space="0"/>
              <w:left w:val="single" w:color="5B9BD5" w:themeColor="accent5" w:sz="4" w:space="0"/>
              <w:bottom w:val="single" w:color="5B9BD5" w:themeColor="accent5" w:sz="4" w:space="0"/>
            </w:tcBorders>
            <w:shd w:val="clear" w:color="auto" w:fill="auto"/>
            <w:noWrap/>
            <w:vAlign w:val="center"/>
          </w:tcPr>
          <w:p w:rsidRPr="0056525C" w:rsidR="000857F0" w:rsidP="000857F0" w:rsidRDefault="000857F0" w14:paraId="1D3C434F" w14:textId="77777777">
            <w:pPr>
              <w:autoSpaceDN/>
              <w:textAlignment w:val="auto"/>
              <w:rPr>
                <w:rFonts w:eastAsia="Times New Roman" w:cs="Calibri"/>
                <w:sz w:val="16"/>
                <w:szCs w:val="16"/>
              </w:rPr>
            </w:pPr>
            <w:r>
              <w:rPr>
                <w:rFonts w:eastAsia="Times New Roman" w:cs="Calibri"/>
                <w:sz w:val="16"/>
                <w:szCs w:val="16"/>
              </w:rPr>
              <w:t>0</w:t>
            </w:r>
          </w:p>
        </w:tc>
        <w:tc>
          <w:tcPr>
            <w:tcW w:w="595" w:type="dxa"/>
            <w:tcBorders>
              <w:top w:val="single" w:color="5B9BD5" w:themeColor="accent5" w:sz="4" w:space="0"/>
              <w:bottom w:val="single" w:color="5B9BD5" w:themeColor="accent5" w:sz="4" w:space="0"/>
              <w:right w:val="single" w:color="5B9BD5" w:themeColor="accent5" w:sz="4" w:space="0"/>
            </w:tcBorders>
            <w:shd w:val="clear" w:color="auto" w:fill="auto"/>
            <w:noWrap/>
            <w:vAlign w:val="center"/>
          </w:tcPr>
          <w:p w:rsidRPr="0056525C" w:rsidR="000857F0" w:rsidP="000857F0" w:rsidRDefault="000857F0" w14:paraId="2BEF0092" w14:textId="77777777">
            <w:pPr>
              <w:autoSpaceDN/>
              <w:textAlignment w:val="auto"/>
              <w:rPr>
                <w:rFonts w:eastAsia="Times New Roman" w:cs="Calibri"/>
                <w:sz w:val="16"/>
                <w:szCs w:val="16"/>
              </w:rPr>
            </w:pPr>
            <w:r>
              <w:rPr>
                <w:rFonts w:eastAsia="Times New Roman" w:cs="Calibri"/>
                <w:sz w:val="16"/>
                <w:szCs w:val="16"/>
              </w:rPr>
              <w:t>0</w:t>
            </w:r>
          </w:p>
        </w:tc>
      </w:tr>
    </w:tbl>
    <w:p w:rsidR="001246C6" w:rsidP="00E96688" w:rsidRDefault="001246C6" w14:paraId="0F73E266" w14:textId="77777777">
      <w:r>
        <w:br/>
      </w:r>
      <w:r w:rsidRPr="001246C6">
        <w:rPr>
          <w:i/>
          <w:iCs/>
        </w:rPr>
        <w:t xml:space="preserve">Proces en krachtenveld </w:t>
      </w:r>
      <w:r w:rsidRPr="001246C6">
        <w:rPr>
          <w:i/>
          <w:iCs/>
        </w:rPr>
        <w:br/>
      </w:r>
      <w:r>
        <w:t xml:space="preserve">De Raadspositie zal formeel worden vastgesteld via een schriftelijke procedure, die afloopt op </w:t>
      </w:r>
      <w:r w:rsidR="00B878A4">
        <w:t xml:space="preserve">13 </w:t>
      </w:r>
      <w:r>
        <w:t xml:space="preserve">september a.s. De verwachting is dat alle lidstaten zullen instemmen. Na het vaststellen van de Raadspositie heeft het Europees Parlement (EP) 42 dagen de tijd om amendementen in te dienen. Indien deze </w:t>
      </w:r>
      <w:r>
        <w:lastRenderedPageBreak/>
        <w:t xml:space="preserve">amendementen binnen tien dagen door de Raad worden geaccepteerd, is er sprake van een begrotingsakkoord. Doorgaans is dit niet het geval en start dan de zogenoemde conciliatieperiode. Deze duurt 21 dagen en loopt van </w:t>
      </w:r>
      <w:r w:rsidR="00551349">
        <w:t>29</w:t>
      </w:r>
      <w:r>
        <w:t xml:space="preserve"> oktober</w:t>
      </w:r>
    </w:p>
    <w:p w:rsidRPr="001246C6" w:rsidR="001246C6" w:rsidP="00B555DA" w:rsidRDefault="001246C6" w14:paraId="6BC10E70" w14:textId="77777777">
      <w:pPr>
        <w:rPr>
          <w:b/>
          <w:bCs/>
        </w:rPr>
      </w:pPr>
      <w:r>
        <w:t xml:space="preserve">tot en met </w:t>
      </w:r>
      <w:r w:rsidR="00C077FC">
        <w:t>1</w:t>
      </w:r>
      <w:r w:rsidR="00551349">
        <w:t>8</w:t>
      </w:r>
      <w:r>
        <w:t xml:space="preserve"> november. Om tijdig tot een akkoord tussen de Raad en het EP te komen vindt op 1</w:t>
      </w:r>
      <w:r w:rsidR="00581F56">
        <w:t>5</w:t>
      </w:r>
      <w:r>
        <w:t xml:space="preserve"> november een </w:t>
      </w:r>
      <w:proofErr w:type="spellStart"/>
      <w:r>
        <w:t>Ecofin-begrotingsraad</w:t>
      </w:r>
      <w:proofErr w:type="spellEnd"/>
      <w:r>
        <w:t xml:space="preserve"> plaats. Uw Kamer wordt voorafgaand aan deze vergadering geïnformeerd over de Nederlandse inzet. Indien de Raad en het EP geen akkoord bereiken, zal de Commissie een nieuw voorstel voor </w:t>
      </w:r>
      <w:r w:rsidR="00581F56">
        <w:t>de Europese jaarbegroting</w:t>
      </w:r>
      <w:r>
        <w:t xml:space="preserve"> voor 202</w:t>
      </w:r>
      <w:r w:rsidR="00581F56">
        <w:t>5</w:t>
      </w:r>
      <w:r>
        <w:t xml:space="preserve"> moeten indienen.</w:t>
      </w:r>
    </w:p>
    <w:p w:rsidRPr="006B251A" w:rsidR="00C45DBF" w:rsidRDefault="00C45DBF" w14:paraId="6853BF0B" w14:textId="77777777">
      <w:pPr>
        <w:pStyle w:val="StandaardSlotzin"/>
      </w:pPr>
    </w:p>
    <w:p w:rsidRPr="001246C6" w:rsidR="009F24FB" w:rsidRDefault="00456FB3" w14:paraId="6FD4F99C" w14:textId="77777777">
      <w:pPr>
        <w:pStyle w:val="StandaardSlotzin"/>
      </w:pPr>
      <w:proofErr w:type="spellStart"/>
      <w:r w:rsidRPr="00416E80">
        <w:rPr>
          <w:lang w:val="de-DE"/>
        </w:rPr>
        <w:t>Hoogachtend</w:t>
      </w:r>
      <w:proofErr w:type="spellEnd"/>
      <w:r w:rsidRPr="00416E80">
        <w:rPr>
          <w:lang w:val="de-DE"/>
        </w:rPr>
        <w:t>,</w:t>
      </w:r>
    </w:p>
    <w:p w:rsidRPr="00416E80" w:rsidR="009F24FB" w:rsidRDefault="009F24FB" w14:paraId="5878D619" w14:textId="77777777">
      <w:pPr>
        <w:rPr>
          <w:lang w:val="de-DE"/>
        </w:rPr>
      </w:pPr>
    </w:p>
    <w:tbl>
      <w:tblPr>
        <w:tblStyle w:val="Tabelzonderranden"/>
        <w:tblW w:w="7484" w:type="dxa"/>
        <w:tblInd w:w="0" w:type="dxa"/>
        <w:tblLayout w:type="fixed"/>
        <w:tblLook w:val="07E0" w:firstRow="1" w:lastRow="1" w:firstColumn="1" w:lastColumn="1" w:noHBand="1" w:noVBand="1"/>
      </w:tblPr>
      <w:tblGrid>
        <w:gridCol w:w="3592"/>
        <w:gridCol w:w="3892"/>
      </w:tblGrid>
      <w:tr w:rsidR="009F24FB" w14:paraId="25B22D5E" w14:textId="77777777">
        <w:tc>
          <w:tcPr>
            <w:tcW w:w="3592" w:type="dxa"/>
          </w:tcPr>
          <w:p w:rsidR="009F24FB" w:rsidRDefault="00456FB3" w14:paraId="2EBA63CF" w14:textId="77777777">
            <w:r>
              <w:t>de minister van Financiën,</w:t>
            </w:r>
            <w:r>
              <w:br/>
            </w:r>
            <w:r>
              <w:br/>
            </w:r>
            <w:r>
              <w:br/>
            </w:r>
            <w:r>
              <w:br/>
            </w:r>
            <w:r>
              <w:br/>
            </w:r>
            <w:r>
              <w:br/>
            </w:r>
            <w:r>
              <w:br/>
              <w:t xml:space="preserve"> E. Heinen</w:t>
            </w:r>
          </w:p>
        </w:tc>
        <w:tc>
          <w:tcPr>
            <w:tcW w:w="3892" w:type="dxa"/>
          </w:tcPr>
          <w:p w:rsidR="009F24FB" w:rsidRDefault="009F24FB" w14:paraId="3F93D72A" w14:textId="77777777"/>
        </w:tc>
      </w:tr>
      <w:tr w:rsidR="009F24FB" w14:paraId="1CD0B166" w14:textId="77777777">
        <w:tc>
          <w:tcPr>
            <w:tcW w:w="3592" w:type="dxa"/>
          </w:tcPr>
          <w:p w:rsidR="009F24FB" w:rsidRDefault="009F24FB" w14:paraId="3F833116" w14:textId="77777777"/>
        </w:tc>
        <w:tc>
          <w:tcPr>
            <w:tcW w:w="3892" w:type="dxa"/>
          </w:tcPr>
          <w:p w:rsidR="009F24FB" w:rsidRDefault="009F24FB" w14:paraId="26FEECD7" w14:textId="77777777"/>
        </w:tc>
      </w:tr>
      <w:tr w:rsidR="009F24FB" w14:paraId="3508F413" w14:textId="77777777">
        <w:tc>
          <w:tcPr>
            <w:tcW w:w="3592" w:type="dxa"/>
          </w:tcPr>
          <w:p w:rsidR="009F24FB" w:rsidRDefault="009F24FB" w14:paraId="0D325FDD" w14:textId="77777777"/>
        </w:tc>
        <w:tc>
          <w:tcPr>
            <w:tcW w:w="3892" w:type="dxa"/>
          </w:tcPr>
          <w:p w:rsidR="009F24FB" w:rsidRDefault="009F24FB" w14:paraId="6094518A" w14:textId="77777777"/>
        </w:tc>
      </w:tr>
      <w:tr w:rsidR="009F24FB" w14:paraId="4C63CA08" w14:textId="77777777">
        <w:tc>
          <w:tcPr>
            <w:tcW w:w="3592" w:type="dxa"/>
          </w:tcPr>
          <w:p w:rsidR="009F24FB" w:rsidRDefault="009F24FB" w14:paraId="338847AF" w14:textId="77777777"/>
        </w:tc>
        <w:tc>
          <w:tcPr>
            <w:tcW w:w="3892" w:type="dxa"/>
          </w:tcPr>
          <w:p w:rsidR="009F24FB" w:rsidRDefault="009F24FB" w14:paraId="0E32C2B1" w14:textId="77777777"/>
        </w:tc>
      </w:tr>
      <w:tr w:rsidR="009F24FB" w14:paraId="0D2142B6" w14:textId="77777777">
        <w:tc>
          <w:tcPr>
            <w:tcW w:w="3592" w:type="dxa"/>
          </w:tcPr>
          <w:p w:rsidR="009F24FB" w:rsidRDefault="009F24FB" w14:paraId="2B4A648E" w14:textId="77777777"/>
        </w:tc>
        <w:tc>
          <w:tcPr>
            <w:tcW w:w="3892" w:type="dxa"/>
          </w:tcPr>
          <w:p w:rsidR="009F24FB" w:rsidRDefault="009F24FB" w14:paraId="600078A5" w14:textId="77777777"/>
        </w:tc>
      </w:tr>
    </w:tbl>
    <w:p w:rsidR="00276885" w:rsidRDefault="00276885" w14:paraId="500901C1" w14:textId="77777777">
      <w:pPr>
        <w:spacing w:line="240" w:lineRule="auto"/>
        <w:rPr>
          <w:b/>
          <w:bCs/>
        </w:rPr>
      </w:pPr>
    </w:p>
    <w:p w:rsidR="004D4D5A" w:rsidRDefault="004D4D5A" w14:paraId="04952774" w14:textId="77777777">
      <w:pPr>
        <w:spacing w:line="240" w:lineRule="auto"/>
        <w:rPr>
          <w:b/>
          <w:bCs/>
        </w:rPr>
      </w:pPr>
      <w:r>
        <w:rPr>
          <w:b/>
          <w:bCs/>
        </w:rPr>
        <w:br w:type="page"/>
      </w:r>
    </w:p>
    <w:p w:rsidR="009F24FB" w:rsidRDefault="00A33E2F" w14:paraId="6917348D" w14:textId="77777777">
      <w:pPr>
        <w:pStyle w:val="Verdana7"/>
        <w:rPr>
          <w:b/>
          <w:bCs/>
          <w:sz w:val="18"/>
          <w:szCs w:val="18"/>
        </w:rPr>
      </w:pPr>
      <w:r w:rsidRPr="00A33E2F">
        <w:rPr>
          <w:b/>
          <w:bCs/>
          <w:sz w:val="18"/>
          <w:szCs w:val="18"/>
        </w:rPr>
        <w:lastRenderedPageBreak/>
        <w:t>Bijlagen</w:t>
      </w:r>
    </w:p>
    <w:p w:rsidR="00B555DA" w:rsidP="00B555DA" w:rsidRDefault="00B555DA" w14:paraId="3A47F3E4" w14:textId="77777777"/>
    <w:tbl>
      <w:tblPr>
        <w:tblStyle w:val="Onopgemaaktetabel2"/>
        <w:tblW w:w="0" w:type="auto"/>
        <w:tblInd w:w="-142" w:type="dxa"/>
        <w:tblLook w:val="04A0" w:firstRow="1" w:lastRow="0" w:firstColumn="1" w:lastColumn="0" w:noHBand="0" w:noVBand="1"/>
      </w:tblPr>
      <w:tblGrid>
        <w:gridCol w:w="284"/>
        <w:gridCol w:w="990"/>
        <w:gridCol w:w="3837"/>
        <w:gridCol w:w="1371"/>
        <w:gridCol w:w="1078"/>
      </w:tblGrid>
      <w:tr w:rsidR="00B555DA" w:rsidTr="00EC66C8" w14:paraId="25587E0B" w14:textId="77777777">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7276" w:type="dxa"/>
            <w:gridSpan w:val="5"/>
            <w:tcBorders>
              <w:top w:val="single" w:color="7F7F7F" w:themeColor="text1" w:themeTint="80" w:sz="4" w:space="0"/>
              <w:left w:val="nil"/>
              <w:right w:val="nil"/>
            </w:tcBorders>
            <w:shd w:val="clear" w:color="auto" w:fill="1F3864" w:themeFill="accent1" w:themeFillShade="80"/>
            <w:vAlign w:val="center"/>
            <w:hideMark/>
          </w:tcPr>
          <w:p w:rsidRPr="00E549A2" w:rsidR="00B555DA" w:rsidP="004207D8" w:rsidRDefault="00B555DA" w14:paraId="75645687" w14:textId="77777777">
            <w:pPr>
              <w:spacing w:line="276" w:lineRule="auto"/>
              <w:rPr>
                <w:rFonts w:eastAsiaTheme="minorHAnsi" w:cstheme="minorBidi"/>
                <w:sz w:val="16"/>
                <w:szCs w:val="16"/>
                <w:lang w:eastAsia="en-US"/>
              </w:rPr>
            </w:pPr>
            <w:r w:rsidRPr="00E549A2">
              <w:rPr>
                <w:color w:val="FFFFFF" w:themeColor="background1"/>
                <w:sz w:val="16"/>
                <w:szCs w:val="16"/>
                <w:lang w:eastAsia="en-US"/>
              </w:rPr>
              <w:t xml:space="preserve">Tabel </w:t>
            </w:r>
            <w:r w:rsidR="00276885">
              <w:rPr>
                <w:color w:val="FFFFFF" w:themeColor="background1"/>
                <w:sz w:val="16"/>
                <w:szCs w:val="16"/>
                <w:lang w:eastAsia="en-US"/>
              </w:rPr>
              <w:t>3</w:t>
            </w:r>
            <w:r w:rsidRPr="00E549A2">
              <w:rPr>
                <w:color w:val="FFFFFF" w:themeColor="background1"/>
                <w:sz w:val="16"/>
                <w:szCs w:val="16"/>
                <w:lang w:eastAsia="en-US"/>
              </w:rPr>
              <w:t>: Overzicht van aanvullende Europese begrotingen in 202</w:t>
            </w:r>
            <w:r>
              <w:rPr>
                <w:color w:val="FFFFFF" w:themeColor="background1"/>
                <w:sz w:val="16"/>
                <w:szCs w:val="16"/>
                <w:lang w:eastAsia="en-US"/>
              </w:rPr>
              <w:t>4</w:t>
            </w:r>
            <w:r w:rsidRPr="00E549A2">
              <w:rPr>
                <w:color w:val="FFFFFF" w:themeColor="background1"/>
                <w:sz w:val="16"/>
                <w:szCs w:val="16"/>
                <w:lang w:eastAsia="en-US"/>
              </w:rPr>
              <w:t xml:space="preserve"> (in miljoenen euro’s, lopende prijzen)</w:t>
            </w:r>
          </w:p>
        </w:tc>
      </w:tr>
      <w:tr w:rsidR="00B555DA" w:rsidTr="00EC66C8" w14:paraId="1139CBF4" w14:textId="77777777">
        <w:trPr>
          <w:gridBefore w:val="1"/>
          <w:cnfStyle w:val="000000100000" w:firstRow="0" w:lastRow="0" w:firstColumn="0" w:lastColumn="0" w:oddVBand="0" w:evenVBand="0" w:oddHBand="1" w:evenHBand="0" w:firstRowFirstColumn="0" w:firstRowLastColumn="0" w:lastRowFirstColumn="0" w:lastRowLastColumn="0"/>
          <w:wBefore w:w="284" w:type="dxa"/>
        </w:trPr>
        <w:tc>
          <w:tcPr>
            <w:cnfStyle w:val="001000000000" w:firstRow="0" w:lastRow="0" w:firstColumn="1" w:lastColumn="0" w:oddVBand="0" w:evenVBand="0" w:oddHBand="0" w:evenHBand="0" w:firstRowFirstColumn="0" w:firstRowLastColumn="0" w:lastRowFirstColumn="0" w:lastRowLastColumn="0"/>
            <w:tcW w:w="706" w:type="dxa"/>
            <w:tcBorders>
              <w:left w:val="nil"/>
              <w:right w:val="nil"/>
            </w:tcBorders>
            <w:vAlign w:val="center"/>
            <w:hideMark/>
          </w:tcPr>
          <w:p w:rsidRPr="00E549A2" w:rsidR="00B555DA" w:rsidP="004207D8" w:rsidRDefault="00B555DA" w14:paraId="4EE82F5B" w14:textId="77777777">
            <w:pPr>
              <w:spacing w:line="276" w:lineRule="auto"/>
              <w:rPr>
                <w:sz w:val="16"/>
                <w:szCs w:val="16"/>
                <w:lang w:val="en-US" w:eastAsia="en-US"/>
              </w:rPr>
            </w:pPr>
            <w:r w:rsidRPr="00E549A2">
              <w:rPr>
                <w:sz w:val="16"/>
                <w:szCs w:val="16"/>
                <w:lang w:val="en-US" w:eastAsia="en-US"/>
              </w:rPr>
              <w:t>Nummer</w:t>
            </w:r>
          </w:p>
        </w:tc>
        <w:tc>
          <w:tcPr>
            <w:tcW w:w="3837" w:type="dxa"/>
            <w:tcBorders>
              <w:left w:val="nil"/>
              <w:right w:val="nil"/>
            </w:tcBorders>
            <w:vAlign w:val="center"/>
            <w:hideMark/>
          </w:tcPr>
          <w:p w:rsidRPr="00E549A2" w:rsidR="00B555DA" w:rsidP="004207D8" w:rsidRDefault="00B555DA" w14:paraId="3C6D9B36" w14:textId="77777777">
            <w:pPr>
              <w:spacing w:line="276" w:lineRule="auto"/>
              <w:cnfStyle w:val="000000100000" w:firstRow="0" w:lastRow="0" w:firstColumn="0" w:lastColumn="0" w:oddVBand="0" w:evenVBand="0" w:oddHBand="1" w:evenHBand="0" w:firstRowFirstColumn="0" w:firstRowLastColumn="0" w:lastRowFirstColumn="0" w:lastRowLastColumn="0"/>
              <w:rPr>
                <w:b/>
                <w:bCs/>
                <w:sz w:val="16"/>
                <w:szCs w:val="16"/>
                <w:lang w:val="en-US" w:eastAsia="en-US"/>
              </w:rPr>
            </w:pPr>
            <w:proofErr w:type="spellStart"/>
            <w:r w:rsidRPr="00E549A2">
              <w:rPr>
                <w:b/>
                <w:bCs/>
                <w:sz w:val="16"/>
                <w:szCs w:val="16"/>
                <w:lang w:val="en-US" w:eastAsia="en-US"/>
              </w:rPr>
              <w:t>Toelichting</w:t>
            </w:r>
            <w:proofErr w:type="spellEnd"/>
          </w:p>
        </w:tc>
        <w:tc>
          <w:tcPr>
            <w:tcW w:w="2449" w:type="dxa"/>
            <w:gridSpan w:val="2"/>
            <w:tcBorders>
              <w:left w:val="nil"/>
              <w:right w:val="nil"/>
            </w:tcBorders>
            <w:vAlign w:val="center"/>
            <w:hideMark/>
          </w:tcPr>
          <w:p w:rsidRPr="00E549A2" w:rsidR="00B555DA" w:rsidP="004207D8" w:rsidRDefault="00B555DA" w14:paraId="53E848B3" w14:textId="77777777">
            <w:pPr>
              <w:spacing w:line="276" w:lineRule="auto"/>
              <w:cnfStyle w:val="000000100000" w:firstRow="0" w:lastRow="0" w:firstColumn="0" w:lastColumn="0" w:oddVBand="0" w:evenVBand="0" w:oddHBand="1" w:evenHBand="0" w:firstRowFirstColumn="0" w:firstRowLastColumn="0" w:lastRowFirstColumn="0" w:lastRowLastColumn="0"/>
              <w:rPr>
                <w:b/>
                <w:bCs/>
                <w:sz w:val="16"/>
                <w:szCs w:val="16"/>
                <w:lang w:eastAsia="en-US"/>
              </w:rPr>
            </w:pPr>
            <w:r w:rsidRPr="00E549A2">
              <w:rPr>
                <w:b/>
                <w:bCs/>
                <w:sz w:val="16"/>
                <w:szCs w:val="16"/>
                <w:lang w:eastAsia="en-US"/>
              </w:rPr>
              <w:t>Netto effect raming NL-afdrachten 202</w:t>
            </w:r>
            <w:r>
              <w:rPr>
                <w:b/>
                <w:bCs/>
                <w:sz w:val="16"/>
                <w:szCs w:val="16"/>
                <w:lang w:eastAsia="en-US"/>
              </w:rPr>
              <w:t>4</w:t>
            </w:r>
          </w:p>
        </w:tc>
      </w:tr>
      <w:tr w:rsidR="00B555DA" w:rsidTr="00EC66C8" w14:paraId="0A23A851" w14:textId="77777777">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vAlign w:val="center"/>
            <w:hideMark/>
          </w:tcPr>
          <w:p w:rsidRPr="00E549A2" w:rsidR="00B555DA" w:rsidP="004207D8" w:rsidRDefault="00B555DA" w14:paraId="715209B5" w14:textId="77777777">
            <w:pPr>
              <w:spacing w:line="276" w:lineRule="auto"/>
              <w:rPr>
                <w:b w:val="0"/>
                <w:bCs w:val="0"/>
                <w:sz w:val="16"/>
                <w:szCs w:val="16"/>
                <w:lang w:val="en-US" w:eastAsia="en-US"/>
              </w:rPr>
            </w:pPr>
            <w:r w:rsidRPr="00E549A2">
              <w:rPr>
                <w:b w:val="0"/>
                <w:bCs w:val="0"/>
                <w:sz w:val="16"/>
                <w:szCs w:val="16"/>
                <w:lang w:val="en-US" w:eastAsia="en-US"/>
              </w:rPr>
              <w:t>DAB1</w:t>
            </w:r>
          </w:p>
        </w:tc>
        <w:tc>
          <w:tcPr>
            <w:tcW w:w="3837" w:type="dxa"/>
            <w:tcBorders>
              <w:top w:val="nil"/>
              <w:left w:val="nil"/>
              <w:bottom w:val="nil"/>
              <w:right w:val="nil"/>
            </w:tcBorders>
            <w:vAlign w:val="center"/>
            <w:hideMark/>
          </w:tcPr>
          <w:p w:rsidRPr="00874001" w:rsidR="00B555DA" w:rsidP="004207D8" w:rsidRDefault="00B555DA" w14:paraId="734B5C30"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eastAsia="en-US"/>
              </w:rPr>
            </w:pPr>
            <w:r w:rsidRPr="00874001">
              <w:rPr>
                <w:sz w:val="16"/>
                <w:szCs w:val="16"/>
                <w:lang w:eastAsia="en-US"/>
              </w:rPr>
              <w:t xml:space="preserve">Verwerking van akkoord op </w:t>
            </w:r>
            <w:proofErr w:type="spellStart"/>
            <w:r w:rsidRPr="00874001">
              <w:rPr>
                <w:sz w:val="16"/>
                <w:szCs w:val="16"/>
                <w:lang w:eastAsia="en-US"/>
              </w:rPr>
              <w:t>M</w:t>
            </w:r>
            <w:r>
              <w:rPr>
                <w:sz w:val="16"/>
                <w:szCs w:val="16"/>
                <w:lang w:eastAsia="en-US"/>
              </w:rPr>
              <w:t>id</w:t>
            </w:r>
            <w:proofErr w:type="spellEnd"/>
            <w:r>
              <w:rPr>
                <w:sz w:val="16"/>
                <w:szCs w:val="16"/>
                <w:lang w:eastAsia="en-US"/>
              </w:rPr>
              <w:t xml:space="preserve">-term Review van het Meerjarig Financieel Kader. </w:t>
            </w:r>
          </w:p>
        </w:tc>
        <w:tc>
          <w:tcPr>
            <w:tcW w:w="1371" w:type="dxa"/>
            <w:tcBorders>
              <w:top w:val="nil"/>
              <w:left w:val="nil"/>
              <w:bottom w:val="nil"/>
              <w:right w:val="nil"/>
            </w:tcBorders>
            <w:vAlign w:val="center"/>
            <w:hideMark/>
          </w:tcPr>
          <w:p w:rsidRPr="00E549A2" w:rsidR="00B555DA" w:rsidP="004207D8" w:rsidRDefault="00B555DA" w14:paraId="2D1C8BF5"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val="en-US" w:eastAsia="en-US"/>
              </w:rPr>
            </w:pPr>
            <w:proofErr w:type="spellStart"/>
            <w:r w:rsidRPr="00E549A2">
              <w:rPr>
                <w:sz w:val="16"/>
                <w:szCs w:val="16"/>
                <w:lang w:val="en-US" w:eastAsia="en-US"/>
              </w:rPr>
              <w:t>Geen</w:t>
            </w:r>
            <w:proofErr w:type="spellEnd"/>
          </w:p>
        </w:tc>
        <w:tc>
          <w:tcPr>
            <w:tcW w:w="1078" w:type="dxa"/>
            <w:tcBorders>
              <w:top w:val="nil"/>
              <w:left w:val="nil"/>
              <w:bottom w:val="nil"/>
              <w:right w:val="nil"/>
            </w:tcBorders>
            <w:vAlign w:val="center"/>
          </w:tcPr>
          <w:p w:rsidRPr="00E549A2" w:rsidR="00B555DA" w:rsidP="004207D8" w:rsidRDefault="00B555DA" w14:paraId="3B320CD9"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val="en-US" w:eastAsia="en-US"/>
              </w:rPr>
            </w:pPr>
          </w:p>
        </w:tc>
      </w:tr>
      <w:tr w:rsidR="00B555DA" w:rsidTr="00EC66C8" w14:paraId="717C1D33"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90" w:type="dxa"/>
            <w:gridSpan w:val="2"/>
            <w:tcBorders>
              <w:left w:val="nil"/>
              <w:right w:val="nil"/>
            </w:tcBorders>
            <w:vAlign w:val="center"/>
            <w:hideMark/>
          </w:tcPr>
          <w:p w:rsidRPr="00E549A2" w:rsidR="00B555DA" w:rsidP="004207D8" w:rsidRDefault="00B555DA" w14:paraId="14FCE9D8" w14:textId="77777777">
            <w:pPr>
              <w:spacing w:line="276" w:lineRule="auto"/>
              <w:rPr>
                <w:b w:val="0"/>
                <w:bCs w:val="0"/>
                <w:sz w:val="16"/>
                <w:szCs w:val="16"/>
                <w:lang w:val="en-US" w:eastAsia="en-US"/>
              </w:rPr>
            </w:pPr>
            <w:r w:rsidRPr="00E549A2">
              <w:rPr>
                <w:b w:val="0"/>
                <w:bCs w:val="0"/>
                <w:sz w:val="16"/>
                <w:szCs w:val="16"/>
                <w:lang w:val="en-US" w:eastAsia="en-US"/>
              </w:rPr>
              <w:t>DAB2</w:t>
            </w:r>
          </w:p>
        </w:tc>
        <w:tc>
          <w:tcPr>
            <w:tcW w:w="3837" w:type="dxa"/>
            <w:tcBorders>
              <w:left w:val="nil"/>
              <w:right w:val="nil"/>
            </w:tcBorders>
            <w:vAlign w:val="center"/>
            <w:hideMark/>
          </w:tcPr>
          <w:p w:rsidRPr="00E549A2" w:rsidR="00B555DA" w:rsidP="004207D8" w:rsidRDefault="00B555DA" w14:paraId="45A3C2B5"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eastAsia="en-US"/>
              </w:rPr>
            </w:pPr>
            <w:r w:rsidRPr="00E352AA">
              <w:rPr>
                <w:sz w:val="16"/>
                <w:szCs w:val="16"/>
                <w:lang w:eastAsia="en-US"/>
              </w:rPr>
              <w:t xml:space="preserve">Verwerking van het surplus van de EU-begroting van 2023 in de EU-begroting voor 2024. </w:t>
            </w:r>
          </w:p>
        </w:tc>
        <w:tc>
          <w:tcPr>
            <w:tcW w:w="1371" w:type="dxa"/>
            <w:tcBorders>
              <w:left w:val="nil"/>
              <w:right w:val="nil"/>
            </w:tcBorders>
            <w:vAlign w:val="center"/>
            <w:hideMark/>
          </w:tcPr>
          <w:p w:rsidR="00B555DA" w:rsidP="004207D8" w:rsidRDefault="00B555DA" w14:paraId="36717F48"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US" w:eastAsia="en-US"/>
              </w:rPr>
            </w:pPr>
            <w:r>
              <w:rPr>
                <w:sz w:val="16"/>
                <w:szCs w:val="16"/>
                <w:lang w:val="en-US" w:eastAsia="en-US"/>
              </w:rPr>
              <w:t>-37,2</w:t>
            </w:r>
          </w:p>
          <w:p w:rsidRPr="00E549A2" w:rsidR="00B555DA" w:rsidP="004207D8" w:rsidRDefault="00B555DA" w14:paraId="3B2CCBB7"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US" w:eastAsia="en-US"/>
              </w:rPr>
            </w:pPr>
          </w:p>
        </w:tc>
        <w:tc>
          <w:tcPr>
            <w:tcW w:w="1078" w:type="dxa"/>
            <w:tcBorders>
              <w:left w:val="nil"/>
              <w:right w:val="nil"/>
            </w:tcBorders>
            <w:vAlign w:val="center"/>
          </w:tcPr>
          <w:p w:rsidRPr="00E549A2" w:rsidR="00B555DA" w:rsidP="004207D8" w:rsidRDefault="00B555DA" w14:paraId="40900E29"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US" w:eastAsia="en-US"/>
              </w:rPr>
            </w:pPr>
          </w:p>
        </w:tc>
      </w:tr>
      <w:tr w:rsidR="00B555DA" w:rsidTr="00EC66C8" w14:paraId="023F776F" w14:textId="77777777">
        <w:trPr>
          <w:trHeight w:val="430"/>
        </w:trPr>
        <w:tc>
          <w:tcPr>
            <w:cnfStyle w:val="001000000000" w:firstRow="0" w:lastRow="0" w:firstColumn="1" w:lastColumn="0" w:oddVBand="0" w:evenVBand="0" w:oddHBand="0" w:evenHBand="0" w:firstRowFirstColumn="0" w:firstRowLastColumn="0" w:lastRowFirstColumn="0" w:lastRowLastColumn="0"/>
            <w:tcW w:w="990" w:type="dxa"/>
            <w:gridSpan w:val="2"/>
            <w:tcBorders>
              <w:top w:val="single" w:color="7F7F7F" w:themeColor="text1" w:themeTint="80" w:sz="4" w:space="0"/>
              <w:left w:val="nil"/>
              <w:bottom w:val="single" w:color="auto" w:sz="4" w:space="0"/>
              <w:right w:val="nil"/>
            </w:tcBorders>
            <w:vAlign w:val="center"/>
          </w:tcPr>
          <w:p w:rsidRPr="006733D1" w:rsidR="00B555DA" w:rsidP="004207D8" w:rsidRDefault="00B555DA" w14:paraId="4179135B" w14:textId="77777777">
            <w:pPr>
              <w:spacing w:line="276" w:lineRule="auto"/>
              <w:rPr>
                <w:b w:val="0"/>
                <w:bCs w:val="0"/>
                <w:sz w:val="16"/>
                <w:szCs w:val="16"/>
                <w:lang w:val="en-US" w:eastAsia="en-US"/>
              </w:rPr>
            </w:pPr>
            <w:r w:rsidRPr="006733D1">
              <w:rPr>
                <w:b w:val="0"/>
                <w:bCs w:val="0"/>
                <w:sz w:val="16"/>
                <w:szCs w:val="16"/>
                <w:lang w:val="en-US" w:eastAsia="en-US"/>
              </w:rPr>
              <w:t>DAB3</w:t>
            </w:r>
          </w:p>
        </w:tc>
        <w:tc>
          <w:tcPr>
            <w:tcW w:w="3837" w:type="dxa"/>
            <w:tcBorders>
              <w:top w:val="single" w:color="7F7F7F" w:themeColor="text1" w:themeTint="80" w:sz="4" w:space="0"/>
              <w:left w:val="nil"/>
              <w:bottom w:val="single" w:color="auto" w:sz="4" w:space="0"/>
              <w:right w:val="nil"/>
            </w:tcBorders>
            <w:vAlign w:val="center"/>
          </w:tcPr>
          <w:p w:rsidR="00B555DA" w:rsidP="004207D8" w:rsidRDefault="00B555DA" w14:paraId="5CE85E34"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eastAsia="en-US"/>
              </w:rPr>
            </w:pPr>
            <w:r w:rsidRPr="00E352AA">
              <w:rPr>
                <w:sz w:val="16"/>
                <w:szCs w:val="16"/>
                <w:lang w:eastAsia="en-US"/>
              </w:rPr>
              <w:t>Verhoging van het budget voor het Europees Openbaar Ministerie voor 2024</w:t>
            </w:r>
            <w:r>
              <w:rPr>
                <w:sz w:val="16"/>
                <w:szCs w:val="16"/>
                <w:lang w:eastAsia="en-US"/>
              </w:rPr>
              <w:t xml:space="preserve">, door toetreding ZWE, POL. Dekking kosten vanuit flexibiliteitsinstrument. </w:t>
            </w:r>
          </w:p>
          <w:p w:rsidRPr="00E352AA" w:rsidR="00B555DA" w:rsidP="004207D8" w:rsidRDefault="00B555DA" w14:paraId="5972CA0E"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1371" w:type="dxa"/>
            <w:tcBorders>
              <w:top w:val="single" w:color="7F7F7F" w:themeColor="text1" w:themeTint="80" w:sz="4" w:space="0"/>
              <w:left w:val="nil"/>
              <w:bottom w:val="single" w:color="auto" w:sz="4" w:space="0"/>
              <w:right w:val="nil"/>
            </w:tcBorders>
            <w:vAlign w:val="center"/>
          </w:tcPr>
          <w:p w:rsidRPr="006733D1" w:rsidR="00B555DA" w:rsidP="004207D8" w:rsidRDefault="00B555DA" w14:paraId="23BE5AC5"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Geen</w:t>
            </w:r>
          </w:p>
        </w:tc>
        <w:tc>
          <w:tcPr>
            <w:tcW w:w="1078" w:type="dxa"/>
            <w:tcBorders>
              <w:top w:val="single" w:color="7F7F7F" w:themeColor="text1" w:themeTint="80" w:sz="4" w:space="0"/>
              <w:left w:val="nil"/>
              <w:bottom w:val="single" w:color="auto" w:sz="4" w:space="0"/>
              <w:right w:val="nil"/>
            </w:tcBorders>
            <w:vAlign w:val="center"/>
          </w:tcPr>
          <w:p w:rsidRPr="006733D1" w:rsidR="00B555DA" w:rsidP="004207D8" w:rsidRDefault="00B555DA" w14:paraId="58AD0FAE"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B555DA" w:rsidTr="00EC66C8" w14:paraId="0D79F4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gridSpan w:val="2"/>
            <w:tcBorders>
              <w:top w:val="single" w:color="auto" w:sz="4" w:space="0"/>
              <w:left w:val="nil"/>
              <w:right w:val="nil"/>
            </w:tcBorders>
            <w:vAlign w:val="center"/>
            <w:hideMark/>
          </w:tcPr>
          <w:p w:rsidRPr="00E549A2" w:rsidR="00B555DA" w:rsidP="004207D8" w:rsidRDefault="00B555DA" w14:paraId="57D57C0B" w14:textId="77777777">
            <w:pPr>
              <w:spacing w:line="276" w:lineRule="auto"/>
              <w:rPr>
                <w:b w:val="0"/>
                <w:bCs w:val="0"/>
                <w:sz w:val="16"/>
                <w:szCs w:val="16"/>
                <w:lang w:val="en-US" w:eastAsia="en-US"/>
              </w:rPr>
            </w:pPr>
            <w:r w:rsidRPr="00E549A2">
              <w:rPr>
                <w:b w:val="0"/>
                <w:bCs w:val="0"/>
                <w:sz w:val="16"/>
                <w:szCs w:val="16"/>
                <w:lang w:val="en-US" w:eastAsia="en-US"/>
              </w:rPr>
              <w:t>DAB</w:t>
            </w:r>
            <w:r>
              <w:rPr>
                <w:b w:val="0"/>
                <w:bCs w:val="0"/>
                <w:sz w:val="16"/>
                <w:szCs w:val="16"/>
                <w:lang w:val="en-US" w:eastAsia="en-US"/>
              </w:rPr>
              <w:t>4</w:t>
            </w:r>
          </w:p>
        </w:tc>
        <w:tc>
          <w:tcPr>
            <w:tcW w:w="3837" w:type="dxa"/>
            <w:tcBorders>
              <w:top w:val="single" w:color="auto" w:sz="4" w:space="0"/>
              <w:left w:val="nil"/>
              <w:right w:val="nil"/>
            </w:tcBorders>
            <w:vAlign w:val="bottom"/>
            <w:hideMark/>
          </w:tcPr>
          <w:p w:rsidRPr="00E549A2" w:rsidR="00B555DA" w:rsidP="004207D8" w:rsidRDefault="00B555DA" w14:paraId="34049DF9"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eastAsia="en-US"/>
              </w:rPr>
            </w:pPr>
            <w:r w:rsidRPr="00E549A2">
              <w:rPr>
                <w:sz w:val="16"/>
                <w:szCs w:val="16"/>
                <w:lang w:eastAsia="en-US"/>
              </w:rPr>
              <w:t>Actualisatie van de eigen middelen, de VK-bijdrage en de overige ontvangsten van de Europese begroting</w:t>
            </w:r>
          </w:p>
        </w:tc>
        <w:tc>
          <w:tcPr>
            <w:tcW w:w="1371" w:type="dxa"/>
            <w:tcBorders>
              <w:top w:val="single" w:color="auto" w:sz="4" w:space="0"/>
              <w:left w:val="nil"/>
              <w:right w:val="nil"/>
            </w:tcBorders>
            <w:vAlign w:val="center"/>
            <w:hideMark/>
          </w:tcPr>
          <w:p w:rsidRPr="00E549A2" w:rsidR="00B555DA" w:rsidP="004207D8" w:rsidRDefault="008C72BF" w14:paraId="302D1A1F"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US" w:eastAsia="en-US"/>
              </w:rPr>
            </w:pPr>
            <w:r>
              <w:rPr>
                <w:sz w:val="16"/>
                <w:szCs w:val="16"/>
                <w:lang w:val="en-US" w:eastAsia="en-US"/>
              </w:rPr>
              <w:t>501</w:t>
            </w:r>
          </w:p>
        </w:tc>
        <w:tc>
          <w:tcPr>
            <w:tcW w:w="1078" w:type="dxa"/>
            <w:tcBorders>
              <w:top w:val="single" w:color="auto" w:sz="4" w:space="0"/>
              <w:left w:val="nil"/>
              <w:right w:val="nil"/>
            </w:tcBorders>
            <w:vAlign w:val="center"/>
          </w:tcPr>
          <w:p w:rsidRPr="00E549A2" w:rsidR="00B555DA" w:rsidP="004207D8" w:rsidRDefault="00B555DA" w14:paraId="4D4FE7BC"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US" w:eastAsia="en-US"/>
              </w:rPr>
            </w:pPr>
          </w:p>
        </w:tc>
      </w:tr>
    </w:tbl>
    <w:p w:rsidR="00B555DA" w:rsidP="00A33E2F" w:rsidRDefault="00B555DA" w14:paraId="1A9D57F5" w14:textId="77777777"/>
    <w:p w:rsidR="00A33E2F" w:rsidP="00B555DA" w:rsidRDefault="00B555DA" w14:paraId="214417C4" w14:textId="77777777">
      <w:pPr>
        <w:spacing w:line="240" w:lineRule="auto"/>
      </w:pPr>
      <w:r>
        <w:br w:type="page"/>
      </w:r>
    </w:p>
    <w:p w:rsidR="00E87296" w:rsidP="00B555DA" w:rsidRDefault="00E87296" w14:paraId="4C5071CD" w14:textId="77777777">
      <w:pPr>
        <w:spacing w:line="240" w:lineRule="auto"/>
      </w:pPr>
    </w:p>
    <w:p w:rsidR="00E87296" w:rsidP="00B555DA" w:rsidRDefault="00E87296" w14:paraId="452A96C5" w14:textId="77777777">
      <w:pPr>
        <w:spacing w:line="240" w:lineRule="auto"/>
      </w:pPr>
    </w:p>
    <w:p w:rsidR="00E87296" w:rsidP="00B555DA" w:rsidRDefault="00E87296" w14:paraId="0DE6E07B" w14:textId="77777777">
      <w:pPr>
        <w:spacing w:line="240" w:lineRule="auto"/>
      </w:pPr>
    </w:p>
    <w:p w:rsidR="00E87296" w:rsidP="00B555DA" w:rsidRDefault="00E87296" w14:paraId="6D3E8B26" w14:textId="77777777">
      <w:pPr>
        <w:spacing w:line="240" w:lineRule="auto"/>
      </w:pPr>
    </w:p>
    <w:p w:rsidR="00E87296" w:rsidP="00B555DA" w:rsidRDefault="00E87296" w14:paraId="136D210D" w14:textId="77777777">
      <w:pPr>
        <w:spacing w:line="240" w:lineRule="auto"/>
      </w:pPr>
    </w:p>
    <w:tbl>
      <w:tblPr>
        <w:tblStyle w:val="Tabelraster"/>
        <w:tblW w:w="8366" w:type="dxa"/>
        <w:tblLayout w:type="fixed"/>
        <w:tblLook w:val="04A0" w:firstRow="1" w:lastRow="0" w:firstColumn="1" w:lastColumn="0" w:noHBand="0" w:noVBand="1"/>
      </w:tblPr>
      <w:tblGrid>
        <w:gridCol w:w="2511"/>
        <w:gridCol w:w="1035"/>
        <w:gridCol w:w="992"/>
        <w:gridCol w:w="1275"/>
        <w:gridCol w:w="993"/>
        <w:gridCol w:w="851"/>
        <w:gridCol w:w="709"/>
      </w:tblGrid>
      <w:tr w:rsidRPr="00D572AE" w:rsidR="009A37C9" w:rsidTr="00EC66C8" w14:paraId="0DAC267A" w14:textId="77777777">
        <w:tc>
          <w:tcPr>
            <w:tcW w:w="8366" w:type="dxa"/>
            <w:gridSpan w:val="7"/>
            <w:tcBorders>
              <w:top w:val="nil"/>
              <w:left w:val="nil"/>
              <w:right w:val="nil"/>
            </w:tcBorders>
            <w:shd w:val="clear" w:color="auto" w:fill="1F3864" w:themeFill="accent1" w:themeFillShade="80"/>
          </w:tcPr>
          <w:p w:rsidRPr="005433C6" w:rsidR="009A37C9" w:rsidP="00A33E2F" w:rsidRDefault="009A37C9" w14:paraId="5C99A718" w14:textId="77777777">
            <w:pPr>
              <w:rPr>
                <w:b/>
                <w:bCs/>
                <w:sz w:val="16"/>
                <w:szCs w:val="16"/>
              </w:rPr>
            </w:pPr>
            <w:r w:rsidRPr="005433C6">
              <w:rPr>
                <w:b/>
                <w:bCs/>
                <w:color w:val="FFFFFF" w:themeColor="background1"/>
                <w:sz w:val="16"/>
                <w:szCs w:val="16"/>
              </w:rPr>
              <w:t xml:space="preserve">Tabel </w:t>
            </w:r>
            <w:r w:rsidR="00155793">
              <w:rPr>
                <w:b/>
                <w:bCs/>
                <w:color w:val="FFFFFF" w:themeColor="background1"/>
                <w:sz w:val="16"/>
                <w:szCs w:val="16"/>
              </w:rPr>
              <w:t>4</w:t>
            </w:r>
            <w:r w:rsidRPr="005433C6">
              <w:rPr>
                <w:b/>
                <w:bCs/>
                <w:color w:val="FFFFFF" w:themeColor="background1"/>
                <w:sz w:val="16"/>
                <w:szCs w:val="16"/>
              </w:rPr>
              <w:t>: Vergelijking Commissievoorstel en Raadspositie Europese jaarbegroting 2025 (in miljoenen euro’s, lopende prijzen)</w:t>
            </w:r>
          </w:p>
        </w:tc>
      </w:tr>
      <w:tr w:rsidRPr="00D572AE" w:rsidR="009A37C9" w:rsidTr="00EC66C8" w14:paraId="79237041" w14:textId="77777777">
        <w:tc>
          <w:tcPr>
            <w:tcW w:w="2511" w:type="dxa"/>
            <w:tcBorders>
              <w:left w:val="nil"/>
            </w:tcBorders>
          </w:tcPr>
          <w:p w:rsidRPr="005433C6" w:rsidR="009A37C9" w:rsidP="00A33E2F" w:rsidRDefault="009A37C9" w14:paraId="204CD93C" w14:textId="77777777">
            <w:pPr>
              <w:rPr>
                <w:sz w:val="16"/>
                <w:szCs w:val="16"/>
              </w:rPr>
            </w:pPr>
          </w:p>
        </w:tc>
        <w:tc>
          <w:tcPr>
            <w:tcW w:w="2027" w:type="dxa"/>
            <w:gridSpan w:val="2"/>
          </w:tcPr>
          <w:p w:rsidRPr="005433C6" w:rsidR="009A37C9" w:rsidP="00A33E2F" w:rsidRDefault="009A37C9" w14:paraId="3F368E24" w14:textId="77777777">
            <w:pPr>
              <w:rPr>
                <w:b/>
                <w:bCs/>
                <w:sz w:val="16"/>
                <w:szCs w:val="16"/>
              </w:rPr>
            </w:pPr>
            <w:r w:rsidRPr="005433C6">
              <w:rPr>
                <w:b/>
                <w:bCs/>
                <w:sz w:val="16"/>
                <w:szCs w:val="16"/>
              </w:rPr>
              <w:t>Commissievoorstel</w:t>
            </w:r>
          </w:p>
        </w:tc>
        <w:tc>
          <w:tcPr>
            <w:tcW w:w="2268" w:type="dxa"/>
            <w:gridSpan w:val="2"/>
          </w:tcPr>
          <w:p w:rsidRPr="005433C6" w:rsidR="009A37C9" w:rsidP="00A33E2F" w:rsidRDefault="009A37C9" w14:paraId="2AF7CF86" w14:textId="77777777">
            <w:pPr>
              <w:rPr>
                <w:b/>
                <w:bCs/>
                <w:sz w:val="16"/>
                <w:szCs w:val="16"/>
              </w:rPr>
            </w:pPr>
            <w:r w:rsidRPr="005433C6">
              <w:rPr>
                <w:b/>
                <w:bCs/>
                <w:sz w:val="16"/>
                <w:szCs w:val="16"/>
              </w:rPr>
              <w:t>Raadspositie</w:t>
            </w:r>
          </w:p>
        </w:tc>
        <w:tc>
          <w:tcPr>
            <w:tcW w:w="1560" w:type="dxa"/>
            <w:gridSpan w:val="2"/>
            <w:tcBorders>
              <w:right w:val="nil"/>
            </w:tcBorders>
          </w:tcPr>
          <w:p w:rsidRPr="005433C6" w:rsidR="009A37C9" w:rsidP="00A33E2F" w:rsidRDefault="009A37C9" w14:paraId="7FE1165A" w14:textId="77777777">
            <w:pPr>
              <w:rPr>
                <w:b/>
                <w:bCs/>
                <w:sz w:val="16"/>
                <w:szCs w:val="16"/>
              </w:rPr>
            </w:pPr>
            <w:r w:rsidRPr="005433C6">
              <w:rPr>
                <w:b/>
                <w:bCs/>
                <w:sz w:val="16"/>
                <w:szCs w:val="16"/>
              </w:rPr>
              <w:t>Wijzigingen door Raad</w:t>
            </w:r>
          </w:p>
        </w:tc>
      </w:tr>
      <w:tr w:rsidRPr="00D572AE" w:rsidR="00DC5766" w:rsidTr="00EC66C8" w14:paraId="402CE8CA" w14:textId="77777777">
        <w:tc>
          <w:tcPr>
            <w:tcW w:w="2511" w:type="dxa"/>
            <w:tcBorders>
              <w:left w:val="nil"/>
              <w:bottom w:val="single" w:color="auto" w:sz="4" w:space="0"/>
            </w:tcBorders>
          </w:tcPr>
          <w:p w:rsidRPr="005433C6" w:rsidR="009A37C9" w:rsidP="00A33E2F" w:rsidRDefault="009A37C9" w14:paraId="5F966DAA" w14:textId="77777777">
            <w:pPr>
              <w:rPr>
                <w:sz w:val="16"/>
                <w:szCs w:val="16"/>
              </w:rPr>
            </w:pPr>
          </w:p>
        </w:tc>
        <w:tc>
          <w:tcPr>
            <w:tcW w:w="1035" w:type="dxa"/>
            <w:tcBorders>
              <w:bottom w:val="single" w:color="auto" w:sz="4" w:space="0"/>
            </w:tcBorders>
          </w:tcPr>
          <w:p w:rsidRPr="005433C6" w:rsidR="009A37C9" w:rsidP="00A33E2F" w:rsidRDefault="009A37C9" w14:paraId="28F9FCEF" w14:textId="77777777">
            <w:pPr>
              <w:rPr>
                <w:sz w:val="16"/>
                <w:szCs w:val="16"/>
              </w:rPr>
            </w:pPr>
            <w:r w:rsidRPr="005433C6">
              <w:rPr>
                <w:sz w:val="16"/>
                <w:szCs w:val="16"/>
              </w:rPr>
              <w:t>Vastl.*</w:t>
            </w:r>
          </w:p>
        </w:tc>
        <w:tc>
          <w:tcPr>
            <w:tcW w:w="992" w:type="dxa"/>
            <w:tcBorders>
              <w:bottom w:val="single" w:color="auto" w:sz="4" w:space="0"/>
            </w:tcBorders>
          </w:tcPr>
          <w:p w:rsidRPr="005433C6" w:rsidR="009A37C9" w:rsidP="00A33E2F" w:rsidRDefault="009A37C9" w14:paraId="19691F10" w14:textId="77777777">
            <w:pPr>
              <w:rPr>
                <w:sz w:val="16"/>
                <w:szCs w:val="16"/>
              </w:rPr>
            </w:pPr>
            <w:r w:rsidRPr="005433C6">
              <w:rPr>
                <w:sz w:val="16"/>
                <w:szCs w:val="16"/>
              </w:rPr>
              <w:t>Bet.**</w:t>
            </w:r>
          </w:p>
        </w:tc>
        <w:tc>
          <w:tcPr>
            <w:tcW w:w="1275" w:type="dxa"/>
            <w:tcBorders>
              <w:bottom w:val="single" w:color="auto" w:sz="4" w:space="0"/>
            </w:tcBorders>
          </w:tcPr>
          <w:p w:rsidRPr="005433C6" w:rsidR="009A37C9" w:rsidP="00A33E2F" w:rsidRDefault="009A37C9" w14:paraId="70D9722A" w14:textId="77777777">
            <w:pPr>
              <w:rPr>
                <w:sz w:val="16"/>
                <w:szCs w:val="16"/>
              </w:rPr>
            </w:pPr>
            <w:proofErr w:type="spellStart"/>
            <w:r w:rsidRPr="005433C6">
              <w:rPr>
                <w:sz w:val="16"/>
                <w:szCs w:val="16"/>
              </w:rPr>
              <w:t>Vastl</w:t>
            </w:r>
            <w:proofErr w:type="spellEnd"/>
            <w:r w:rsidRPr="005433C6">
              <w:rPr>
                <w:sz w:val="16"/>
                <w:szCs w:val="16"/>
              </w:rPr>
              <w:t>.</w:t>
            </w:r>
          </w:p>
        </w:tc>
        <w:tc>
          <w:tcPr>
            <w:tcW w:w="993" w:type="dxa"/>
            <w:tcBorders>
              <w:bottom w:val="single" w:color="auto" w:sz="4" w:space="0"/>
            </w:tcBorders>
          </w:tcPr>
          <w:p w:rsidRPr="005433C6" w:rsidR="009A37C9" w:rsidP="00A33E2F" w:rsidRDefault="009A37C9" w14:paraId="60FDAECA" w14:textId="77777777">
            <w:pPr>
              <w:rPr>
                <w:sz w:val="16"/>
                <w:szCs w:val="16"/>
              </w:rPr>
            </w:pPr>
            <w:r w:rsidRPr="005433C6">
              <w:rPr>
                <w:sz w:val="16"/>
                <w:szCs w:val="16"/>
              </w:rPr>
              <w:t>Bet.</w:t>
            </w:r>
          </w:p>
        </w:tc>
        <w:tc>
          <w:tcPr>
            <w:tcW w:w="851" w:type="dxa"/>
            <w:tcBorders>
              <w:bottom w:val="single" w:color="auto" w:sz="4" w:space="0"/>
            </w:tcBorders>
          </w:tcPr>
          <w:p w:rsidRPr="005433C6" w:rsidR="009A37C9" w:rsidP="00A33E2F" w:rsidRDefault="009A37C9" w14:paraId="7F276D32" w14:textId="77777777">
            <w:pPr>
              <w:rPr>
                <w:sz w:val="16"/>
                <w:szCs w:val="16"/>
              </w:rPr>
            </w:pPr>
            <w:proofErr w:type="spellStart"/>
            <w:r w:rsidRPr="005433C6">
              <w:rPr>
                <w:sz w:val="16"/>
                <w:szCs w:val="16"/>
              </w:rPr>
              <w:t>Vastl</w:t>
            </w:r>
            <w:proofErr w:type="spellEnd"/>
            <w:r w:rsidRPr="005433C6">
              <w:rPr>
                <w:sz w:val="16"/>
                <w:szCs w:val="16"/>
              </w:rPr>
              <w:t>.</w:t>
            </w:r>
          </w:p>
        </w:tc>
        <w:tc>
          <w:tcPr>
            <w:tcW w:w="709" w:type="dxa"/>
            <w:tcBorders>
              <w:bottom w:val="single" w:color="auto" w:sz="4" w:space="0"/>
              <w:right w:val="nil"/>
            </w:tcBorders>
          </w:tcPr>
          <w:p w:rsidRPr="005433C6" w:rsidR="009A37C9" w:rsidP="00A33E2F" w:rsidRDefault="009A37C9" w14:paraId="269513FF" w14:textId="77777777">
            <w:pPr>
              <w:rPr>
                <w:sz w:val="16"/>
                <w:szCs w:val="16"/>
              </w:rPr>
            </w:pPr>
            <w:r w:rsidRPr="005433C6">
              <w:rPr>
                <w:sz w:val="16"/>
                <w:szCs w:val="16"/>
              </w:rPr>
              <w:t>Bet.</w:t>
            </w:r>
          </w:p>
        </w:tc>
      </w:tr>
      <w:tr w:rsidRPr="00D572AE" w:rsidR="005433C6" w:rsidTr="00EC66C8" w14:paraId="636B67C6" w14:textId="77777777">
        <w:tc>
          <w:tcPr>
            <w:tcW w:w="2511" w:type="dxa"/>
            <w:tcBorders>
              <w:left w:val="nil"/>
              <w:bottom w:val="nil"/>
            </w:tcBorders>
          </w:tcPr>
          <w:p w:rsidRPr="005433C6" w:rsidR="005433C6" w:rsidP="005433C6" w:rsidRDefault="005433C6" w14:paraId="15EB6E58" w14:textId="77777777">
            <w:pPr>
              <w:rPr>
                <w:sz w:val="16"/>
                <w:szCs w:val="16"/>
                <w:lang w:val="de-DE"/>
              </w:rPr>
            </w:pPr>
            <w:r w:rsidRPr="005433C6">
              <w:rPr>
                <w:sz w:val="16"/>
                <w:szCs w:val="16"/>
                <w:lang w:val="de-DE"/>
              </w:rPr>
              <w:t xml:space="preserve">H1. Interne </w:t>
            </w:r>
            <w:proofErr w:type="spellStart"/>
            <w:r w:rsidRPr="005433C6">
              <w:rPr>
                <w:sz w:val="16"/>
                <w:szCs w:val="16"/>
                <w:lang w:val="de-DE"/>
              </w:rPr>
              <w:t>markt</w:t>
            </w:r>
            <w:proofErr w:type="spellEnd"/>
            <w:r w:rsidRPr="005433C6">
              <w:rPr>
                <w:sz w:val="16"/>
                <w:szCs w:val="16"/>
                <w:lang w:val="de-DE"/>
              </w:rPr>
              <w:t xml:space="preserve">, </w:t>
            </w:r>
            <w:proofErr w:type="spellStart"/>
            <w:r w:rsidRPr="005433C6">
              <w:rPr>
                <w:sz w:val="16"/>
                <w:szCs w:val="16"/>
                <w:lang w:val="de-DE"/>
              </w:rPr>
              <w:t>innovatie</w:t>
            </w:r>
            <w:proofErr w:type="spellEnd"/>
            <w:r w:rsidRPr="005433C6">
              <w:rPr>
                <w:sz w:val="16"/>
                <w:szCs w:val="16"/>
                <w:lang w:val="de-DE"/>
              </w:rPr>
              <w:t xml:space="preserve"> en </w:t>
            </w:r>
            <w:proofErr w:type="spellStart"/>
            <w:r w:rsidRPr="005433C6">
              <w:rPr>
                <w:sz w:val="16"/>
                <w:szCs w:val="16"/>
                <w:lang w:val="de-DE"/>
              </w:rPr>
              <w:t>digitaal</w:t>
            </w:r>
            <w:proofErr w:type="spellEnd"/>
          </w:p>
        </w:tc>
        <w:tc>
          <w:tcPr>
            <w:tcW w:w="1035" w:type="dxa"/>
            <w:tcBorders>
              <w:bottom w:val="nil"/>
              <w:right w:val="nil"/>
            </w:tcBorders>
            <w:vAlign w:val="bottom"/>
          </w:tcPr>
          <w:p w:rsidRPr="005433C6" w:rsidR="005433C6" w:rsidP="005433C6" w:rsidRDefault="005433C6" w14:paraId="03F4DB19" w14:textId="77777777">
            <w:pPr>
              <w:rPr>
                <w:sz w:val="16"/>
                <w:szCs w:val="16"/>
                <w:lang w:val="de-DE"/>
              </w:rPr>
            </w:pPr>
            <w:r w:rsidRPr="005433C6">
              <w:rPr>
                <w:rFonts w:cs="Calibri"/>
                <w:sz w:val="16"/>
                <w:szCs w:val="16"/>
              </w:rPr>
              <w:t>21.378</w:t>
            </w:r>
          </w:p>
        </w:tc>
        <w:tc>
          <w:tcPr>
            <w:tcW w:w="992" w:type="dxa"/>
            <w:tcBorders>
              <w:left w:val="nil"/>
              <w:bottom w:val="nil"/>
            </w:tcBorders>
            <w:vAlign w:val="bottom"/>
          </w:tcPr>
          <w:p w:rsidRPr="005433C6" w:rsidR="005433C6" w:rsidP="005433C6" w:rsidRDefault="005433C6" w14:paraId="6385F93D" w14:textId="77777777">
            <w:pPr>
              <w:rPr>
                <w:sz w:val="16"/>
                <w:szCs w:val="16"/>
                <w:lang w:val="de-DE"/>
              </w:rPr>
            </w:pPr>
            <w:r w:rsidRPr="005433C6">
              <w:rPr>
                <w:rFonts w:cs="Calibri"/>
                <w:sz w:val="16"/>
                <w:szCs w:val="16"/>
              </w:rPr>
              <w:t>20.439</w:t>
            </w:r>
          </w:p>
        </w:tc>
        <w:tc>
          <w:tcPr>
            <w:tcW w:w="1275" w:type="dxa"/>
            <w:tcBorders>
              <w:bottom w:val="nil"/>
              <w:right w:val="nil"/>
            </w:tcBorders>
            <w:vAlign w:val="bottom"/>
          </w:tcPr>
          <w:p w:rsidRPr="005433C6" w:rsidR="005433C6" w:rsidP="005433C6" w:rsidRDefault="005433C6" w14:paraId="25B78AFA" w14:textId="77777777">
            <w:pPr>
              <w:rPr>
                <w:sz w:val="16"/>
                <w:szCs w:val="16"/>
                <w:lang w:val="de-DE"/>
              </w:rPr>
            </w:pPr>
            <w:r w:rsidRPr="005433C6">
              <w:rPr>
                <w:rFonts w:cs="Calibri"/>
                <w:sz w:val="16"/>
                <w:szCs w:val="16"/>
              </w:rPr>
              <w:t>20.734</w:t>
            </w:r>
          </w:p>
        </w:tc>
        <w:tc>
          <w:tcPr>
            <w:tcW w:w="993" w:type="dxa"/>
            <w:tcBorders>
              <w:left w:val="nil"/>
              <w:bottom w:val="nil"/>
            </w:tcBorders>
            <w:vAlign w:val="bottom"/>
          </w:tcPr>
          <w:p w:rsidRPr="005433C6" w:rsidR="005433C6" w:rsidP="005433C6" w:rsidRDefault="005433C6" w14:paraId="0D5B6F4A" w14:textId="77777777">
            <w:pPr>
              <w:rPr>
                <w:sz w:val="16"/>
                <w:szCs w:val="16"/>
                <w:lang w:val="de-DE"/>
              </w:rPr>
            </w:pPr>
            <w:r w:rsidRPr="005433C6">
              <w:rPr>
                <w:rFonts w:cs="Calibri"/>
                <w:sz w:val="16"/>
                <w:szCs w:val="16"/>
              </w:rPr>
              <w:t>20.217</w:t>
            </w:r>
          </w:p>
        </w:tc>
        <w:tc>
          <w:tcPr>
            <w:tcW w:w="851" w:type="dxa"/>
            <w:tcBorders>
              <w:bottom w:val="nil"/>
              <w:right w:val="nil"/>
            </w:tcBorders>
            <w:vAlign w:val="bottom"/>
          </w:tcPr>
          <w:p w:rsidRPr="005433C6" w:rsidR="005433C6" w:rsidP="005433C6" w:rsidRDefault="005433C6" w14:paraId="07C934E4" w14:textId="77777777">
            <w:pPr>
              <w:rPr>
                <w:sz w:val="16"/>
                <w:szCs w:val="16"/>
                <w:lang w:val="de-DE"/>
              </w:rPr>
            </w:pPr>
            <w:r w:rsidRPr="005433C6">
              <w:rPr>
                <w:rFonts w:cs="Calibri"/>
                <w:sz w:val="16"/>
                <w:szCs w:val="16"/>
              </w:rPr>
              <w:t>-643</w:t>
            </w:r>
          </w:p>
        </w:tc>
        <w:tc>
          <w:tcPr>
            <w:tcW w:w="709" w:type="dxa"/>
            <w:tcBorders>
              <w:left w:val="nil"/>
              <w:bottom w:val="nil"/>
              <w:right w:val="nil"/>
            </w:tcBorders>
            <w:vAlign w:val="bottom"/>
          </w:tcPr>
          <w:p w:rsidRPr="005433C6" w:rsidR="005433C6" w:rsidP="005433C6" w:rsidRDefault="005433C6" w14:paraId="4CFEBB7C" w14:textId="77777777">
            <w:pPr>
              <w:rPr>
                <w:sz w:val="16"/>
                <w:szCs w:val="16"/>
                <w:lang w:val="de-DE"/>
              </w:rPr>
            </w:pPr>
            <w:r w:rsidRPr="005433C6">
              <w:rPr>
                <w:rFonts w:cs="Calibri"/>
                <w:sz w:val="16"/>
                <w:szCs w:val="16"/>
              </w:rPr>
              <w:t>-222</w:t>
            </w:r>
          </w:p>
        </w:tc>
      </w:tr>
      <w:tr w:rsidRPr="00D572AE" w:rsidR="005433C6" w:rsidTr="00EC66C8" w14:paraId="3535C486" w14:textId="77777777">
        <w:tc>
          <w:tcPr>
            <w:tcW w:w="2511" w:type="dxa"/>
            <w:tcBorders>
              <w:top w:val="nil"/>
              <w:left w:val="nil"/>
              <w:bottom w:val="nil"/>
            </w:tcBorders>
          </w:tcPr>
          <w:p w:rsidRPr="005433C6" w:rsidR="005433C6" w:rsidP="005433C6" w:rsidRDefault="005433C6" w14:paraId="2A790E11" w14:textId="77777777">
            <w:pPr>
              <w:rPr>
                <w:sz w:val="16"/>
                <w:szCs w:val="16"/>
              </w:rPr>
            </w:pPr>
            <w:r w:rsidRPr="005433C6">
              <w:rPr>
                <w:sz w:val="16"/>
                <w:szCs w:val="16"/>
              </w:rPr>
              <w:t>H2. Cohesie, veerkracht en waarden</w:t>
            </w:r>
          </w:p>
        </w:tc>
        <w:tc>
          <w:tcPr>
            <w:tcW w:w="1035" w:type="dxa"/>
            <w:tcBorders>
              <w:top w:val="nil"/>
              <w:bottom w:val="nil"/>
              <w:right w:val="nil"/>
            </w:tcBorders>
            <w:vAlign w:val="bottom"/>
          </w:tcPr>
          <w:p w:rsidRPr="005433C6" w:rsidR="005433C6" w:rsidP="005433C6" w:rsidRDefault="005433C6" w14:paraId="011D74AD" w14:textId="77777777">
            <w:pPr>
              <w:rPr>
                <w:sz w:val="16"/>
                <w:szCs w:val="16"/>
              </w:rPr>
            </w:pPr>
            <w:r w:rsidRPr="005433C6">
              <w:rPr>
                <w:rFonts w:cs="Calibri"/>
                <w:sz w:val="16"/>
                <w:szCs w:val="16"/>
              </w:rPr>
              <w:t>78.128</w:t>
            </w:r>
          </w:p>
        </w:tc>
        <w:tc>
          <w:tcPr>
            <w:tcW w:w="992" w:type="dxa"/>
            <w:tcBorders>
              <w:top w:val="nil"/>
              <w:left w:val="nil"/>
              <w:bottom w:val="nil"/>
            </w:tcBorders>
            <w:vAlign w:val="bottom"/>
          </w:tcPr>
          <w:p w:rsidRPr="005433C6" w:rsidR="005433C6" w:rsidP="005433C6" w:rsidRDefault="005433C6" w14:paraId="6211C3CC" w14:textId="77777777">
            <w:pPr>
              <w:rPr>
                <w:sz w:val="16"/>
                <w:szCs w:val="16"/>
              </w:rPr>
            </w:pPr>
            <w:r w:rsidRPr="005433C6">
              <w:rPr>
                <w:rFonts w:cs="Calibri"/>
                <w:sz w:val="16"/>
                <w:szCs w:val="16"/>
              </w:rPr>
              <w:t>41.619</w:t>
            </w:r>
          </w:p>
        </w:tc>
        <w:tc>
          <w:tcPr>
            <w:tcW w:w="1275" w:type="dxa"/>
            <w:tcBorders>
              <w:top w:val="nil"/>
              <w:bottom w:val="nil"/>
              <w:right w:val="nil"/>
            </w:tcBorders>
            <w:vAlign w:val="bottom"/>
          </w:tcPr>
          <w:p w:rsidRPr="005433C6" w:rsidR="005433C6" w:rsidP="005433C6" w:rsidRDefault="005433C6" w14:paraId="5E9156BB" w14:textId="77777777">
            <w:pPr>
              <w:rPr>
                <w:sz w:val="16"/>
                <w:szCs w:val="16"/>
              </w:rPr>
            </w:pPr>
            <w:r w:rsidRPr="005433C6">
              <w:rPr>
                <w:rFonts w:cs="Calibri"/>
                <w:sz w:val="16"/>
                <w:szCs w:val="16"/>
              </w:rPr>
              <w:t>77.319</w:t>
            </w:r>
          </w:p>
        </w:tc>
        <w:tc>
          <w:tcPr>
            <w:tcW w:w="993" w:type="dxa"/>
            <w:tcBorders>
              <w:top w:val="nil"/>
              <w:left w:val="nil"/>
              <w:bottom w:val="nil"/>
            </w:tcBorders>
            <w:vAlign w:val="bottom"/>
          </w:tcPr>
          <w:p w:rsidRPr="005433C6" w:rsidR="005433C6" w:rsidP="005433C6" w:rsidRDefault="005433C6" w14:paraId="08B91F46" w14:textId="77777777">
            <w:pPr>
              <w:rPr>
                <w:sz w:val="16"/>
                <w:szCs w:val="16"/>
              </w:rPr>
            </w:pPr>
            <w:r w:rsidRPr="005433C6">
              <w:rPr>
                <w:rFonts w:cs="Calibri"/>
                <w:sz w:val="16"/>
                <w:szCs w:val="16"/>
              </w:rPr>
              <w:t>41.044</w:t>
            </w:r>
          </w:p>
        </w:tc>
        <w:tc>
          <w:tcPr>
            <w:tcW w:w="851" w:type="dxa"/>
            <w:tcBorders>
              <w:top w:val="nil"/>
              <w:bottom w:val="nil"/>
              <w:right w:val="nil"/>
            </w:tcBorders>
            <w:vAlign w:val="bottom"/>
          </w:tcPr>
          <w:p w:rsidRPr="005433C6" w:rsidR="005433C6" w:rsidP="005433C6" w:rsidRDefault="005433C6" w14:paraId="40F18404" w14:textId="77777777">
            <w:pPr>
              <w:rPr>
                <w:sz w:val="16"/>
                <w:szCs w:val="16"/>
              </w:rPr>
            </w:pPr>
            <w:r w:rsidRPr="005433C6">
              <w:rPr>
                <w:rFonts w:cs="Calibri"/>
                <w:sz w:val="16"/>
                <w:szCs w:val="16"/>
              </w:rPr>
              <w:t>-809</w:t>
            </w:r>
          </w:p>
        </w:tc>
        <w:tc>
          <w:tcPr>
            <w:tcW w:w="709" w:type="dxa"/>
            <w:tcBorders>
              <w:top w:val="nil"/>
              <w:left w:val="nil"/>
              <w:bottom w:val="nil"/>
              <w:right w:val="nil"/>
            </w:tcBorders>
            <w:vAlign w:val="bottom"/>
          </w:tcPr>
          <w:p w:rsidRPr="005433C6" w:rsidR="005433C6" w:rsidP="005433C6" w:rsidRDefault="005433C6" w14:paraId="0C626127" w14:textId="77777777">
            <w:pPr>
              <w:rPr>
                <w:sz w:val="16"/>
                <w:szCs w:val="16"/>
              </w:rPr>
            </w:pPr>
            <w:r w:rsidRPr="005433C6">
              <w:rPr>
                <w:rFonts w:cs="Calibri"/>
                <w:sz w:val="16"/>
                <w:szCs w:val="16"/>
              </w:rPr>
              <w:t>-574</w:t>
            </w:r>
          </w:p>
        </w:tc>
      </w:tr>
      <w:tr w:rsidRPr="00D572AE" w:rsidR="005433C6" w:rsidTr="00EC66C8" w14:paraId="4690CD50" w14:textId="77777777">
        <w:tc>
          <w:tcPr>
            <w:tcW w:w="2511" w:type="dxa"/>
            <w:tcBorders>
              <w:top w:val="nil"/>
              <w:left w:val="nil"/>
              <w:bottom w:val="nil"/>
            </w:tcBorders>
          </w:tcPr>
          <w:p w:rsidRPr="005433C6" w:rsidR="005433C6" w:rsidP="005433C6" w:rsidRDefault="005433C6" w14:paraId="6AC11AB9" w14:textId="77777777">
            <w:pPr>
              <w:rPr>
                <w:i/>
                <w:iCs/>
                <w:sz w:val="16"/>
                <w:szCs w:val="16"/>
              </w:rPr>
            </w:pPr>
            <w:r w:rsidRPr="005433C6">
              <w:rPr>
                <w:i/>
                <w:iCs/>
                <w:sz w:val="16"/>
                <w:szCs w:val="16"/>
              </w:rPr>
              <w:t>2.a. Economische, sociale en territoriale cohesie</w:t>
            </w:r>
          </w:p>
        </w:tc>
        <w:tc>
          <w:tcPr>
            <w:tcW w:w="1035" w:type="dxa"/>
            <w:tcBorders>
              <w:top w:val="nil"/>
              <w:bottom w:val="nil"/>
              <w:right w:val="nil"/>
            </w:tcBorders>
            <w:vAlign w:val="bottom"/>
          </w:tcPr>
          <w:p w:rsidRPr="005433C6" w:rsidR="005433C6" w:rsidP="005433C6" w:rsidRDefault="005433C6" w14:paraId="0D2B2771" w14:textId="77777777">
            <w:pPr>
              <w:rPr>
                <w:sz w:val="16"/>
                <w:szCs w:val="16"/>
              </w:rPr>
            </w:pPr>
            <w:r w:rsidRPr="005433C6">
              <w:rPr>
                <w:rFonts w:cs="Calibri"/>
                <w:sz w:val="16"/>
                <w:szCs w:val="16"/>
              </w:rPr>
              <w:t>66.360</w:t>
            </w:r>
          </w:p>
        </w:tc>
        <w:tc>
          <w:tcPr>
            <w:tcW w:w="992" w:type="dxa"/>
            <w:tcBorders>
              <w:top w:val="nil"/>
              <w:left w:val="nil"/>
              <w:bottom w:val="nil"/>
            </w:tcBorders>
            <w:vAlign w:val="bottom"/>
          </w:tcPr>
          <w:p w:rsidRPr="005433C6" w:rsidR="005433C6" w:rsidP="005433C6" w:rsidRDefault="005433C6" w14:paraId="4B94D3AC" w14:textId="77777777">
            <w:pPr>
              <w:rPr>
                <w:sz w:val="16"/>
                <w:szCs w:val="16"/>
              </w:rPr>
            </w:pPr>
            <w:r w:rsidRPr="005433C6">
              <w:rPr>
                <w:rFonts w:cs="Calibri"/>
                <w:sz w:val="16"/>
                <w:szCs w:val="16"/>
              </w:rPr>
              <w:t>30.259</w:t>
            </w:r>
          </w:p>
        </w:tc>
        <w:tc>
          <w:tcPr>
            <w:tcW w:w="1275" w:type="dxa"/>
            <w:tcBorders>
              <w:top w:val="nil"/>
              <w:bottom w:val="nil"/>
              <w:right w:val="nil"/>
            </w:tcBorders>
            <w:vAlign w:val="bottom"/>
          </w:tcPr>
          <w:p w:rsidRPr="005433C6" w:rsidR="005433C6" w:rsidP="005433C6" w:rsidRDefault="005433C6" w14:paraId="27893B1D" w14:textId="77777777">
            <w:pPr>
              <w:rPr>
                <w:sz w:val="16"/>
                <w:szCs w:val="16"/>
              </w:rPr>
            </w:pPr>
            <w:r w:rsidRPr="005433C6">
              <w:rPr>
                <w:rFonts w:cs="Calibri"/>
                <w:sz w:val="16"/>
                <w:szCs w:val="16"/>
              </w:rPr>
              <w:t>66.360</w:t>
            </w:r>
          </w:p>
        </w:tc>
        <w:tc>
          <w:tcPr>
            <w:tcW w:w="993" w:type="dxa"/>
            <w:tcBorders>
              <w:top w:val="nil"/>
              <w:left w:val="nil"/>
              <w:bottom w:val="nil"/>
            </w:tcBorders>
            <w:vAlign w:val="bottom"/>
          </w:tcPr>
          <w:p w:rsidRPr="005433C6" w:rsidR="005433C6" w:rsidP="005433C6" w:rsidRDefault="005433C6" w14:paraId="56AD81E7" w14:textId="77777777">
            <w:pPr>
              <w:rPr>
                <w:sz w:val="16"/>
                <w:szCs w:val="16"/>
              </w:rPr>
            </w:pPr>
            <w:r w:rsidRPr="005433C6">
              <w:rPr>
                <w:rFonts w:cs="Calibri"/>
                <w:sz w:val="16"/>
                <w:szCs w:val="16"/>
              </w:rPr>
              <w:t>30.259</w:t>
            </w:r>
          </w:p>
        </w:tc>
        <w:tc>
          <w:tcPr>
            <w:tcW w:w="851" w:type="dxa"/>
            <w:tcBorders>
              <w:top w:val="nil"/>
              <w:bottom w:val="nil"/>
              <w:right w:val="nil"/>
            </w:tcBorders>
            <w:vAlign w:val="bottom"/>
          </w:tcPr>
          <w:p w:rsidRPr="005433C6" w:rsidR="005433C6" w:rsidP="005433C6" w:rsidRDefault="005433C6" w14:paraId="595D67DD" w14:textId="77777777">
            <w:pPr>
              <w:rPr>
                <w:sz w:val="16"/>
                <w:szCs w:val="16"/>
              </w:rPr>
            </w:pPr>
            <w:r w:rsidRPr="005433C6">
              <w:rPr>
                <w:rFonts w:cs="Calibri"/>
                <w:sz w:val="16"/>
                <w:szCs w:val="16"/>
              </w:rPr>
              <w:t>0</w:t>
            </w:r>
          </w:p>
        </w:tc>
        <w:tc>
          <w:tcPr>
            <w:tcW w:w="709" w:type="dxa"/>
            <w:tcBorders>
              <w:top w:val="nil"/>
              <w:left w:val="nil"/>
              <w:bottom w:val="nil"/>
              <w:right w:val="nil"/>
            </w:tcBorders>
            <w:vAlign w:val="bottom"/>
          </w:tcPr>
          <w:p w:rsidRPr="005433C6" w:rsidR="005433C6" w:rsidP="005433C6" w:rsidRDefault="005433C6" w14:paraId="6F66672B" w14:textId="77777777">
            <w:pPr>
              <w:rPr>
                <w:sz w:val="16"/>
                <w:szCs w:val="16"/>
              </w:rPr>
            </w:pPr>
            <w:r w:rsidRPr="005433C6">
              <w:rPr>
                <w:rFonts w:cs="Calibri"/>
                <w:sz w:val="16"/>
                <w:szCs w:val="16"/>
              </w:rPr>
              <w:t>0</w:t>
            </w:r>
          </w:p>
        </w:tc>
      </w:tr>
      <w:tr w:rsidRPr="00D572AE" w:rsidR="005433C6" w:rsidTr="00EC66C8" w14:paraId="16FB46DE" w14:textId="77777777">
        <w:tc>
          <w:tcPr>
            <w:tcW w:w="2511" w:type="dxa"/>
            <w:tcBorders>
              <w:top w:val="nil"/>
              <w:left w:val="nil"/>
              <w:bottom w:val="nil"/>
            </w:tcBorders>
          </w:tcPr>
          <w:p w:rsidRPr="005433C6" w:rsidR="005433C6" w:rsidP="005433C6" w:rsidRDefault="005433C6" w14:paraId="3C215718" w14:textId="77777777">
            <w:pPr>
              <w:rPr>
                <w:i/>
                <w:iCs/>
                <w:sz w:val="16"/>
                <w:szCs w:val="16"/>
              </w:rPr>
            </w:pPr>
            <w:r w:rsidRPr="005433C6">
              <w:rPr>
                <w:i/>
                <w:iCs/>
                <w:sz w:val="16"/>
                <w:szCs w:val="16"/>
              </w:rPr>
              <w:t>2.b. Veerkracht en waarden</w:t>
            </w:r>
          </w:p>
        </w:tc>
        <w:tc>
          <w:tcPr>
            <w:tcW w:w="1035" w:type="dxa"/>
            <w:tcBorders>
              <w:top w:val="nil"/>
              <w:bottom w:val="nil"/>
              <w:right w:val="nil"/>
            </w:tcBorders>
            <w:vAlign w:val="bottom"/>
          </w:tcPr>
          <w:p w:rsidRPr="005433C6" w:rsidR="005433C6" w:rsidP="005433C6" w:rsidRDefault="005433C6" w14:paraId="6617162C" w14:textId="77777777">
            <w:pPr>
              <w:rPr>
                <w:sz w:val="16"/>
                <w:szCs w:val="16"/>
              </w:rPr>
            </w:pPr>
            <w:r w:rsidRPr="005433C6">
              <w:rPr>
                <w:rFonts w:cs="Calibri"/>
                <w:sz w:val="16"/>
                <w:szCs w:val="16"/>
              </w:rPr>
              <w:t>11.768</w:t>
            </w:r>
          </w:p>
        </w:tc>
        <w:tc>
          <w:tcPr>
            <w:tcW w:w="992" w:type="dxa"/>
            <w:tcBorders>
              <w:top w:val="nil"/>
              <w:left w:val="nil"/>
              <w:bottom w:val="nil"/>
            </w:tcBorders>
            <w:vAlign w:val="bottom"/>
          </w:tcPr>
          <w:p w:rsidRPr="005433C6" w:rsidR="005433C6" w:rsidP="005433C6" w:rsidRDefault="005433C6" w14:paraId="1EBA89C0" w14:textId="77777777">
            <w:pPr>
              <w:rPr>
                <w:sz w:val="16"/>
                <w:szCs w:val="16"/>
              </w:rPr>
            </w:pPr>
            <w:r w:rsidRPr="005433C6">
              <w:rPr>
                <w:rFonts w:cs="Calibri"/>
                <w:sz w:val="16"/>
                <w:szCs w:val="16"/>
              </w:rPr>
              <w:t>11.360</w:t>
            </w:r>
          </w:p>
        </w:tc>
        <w:tc>
          <w:tcPr>
            <w:tcW w:w="1275" w:type="dxa"/>
            <w:tcBorders>
              <w:top w:val="nil"/>
              <w:bottom w:val="nil"/>
              <w:right w:val="nil"/>
            </w:tcBorders>
            <w:vAlign w:val="bottom"/>
          </w:tcPr>
          <w:p w:rsidRPr="005433C6" w:rsidR="005433C6" w:rsidP="005433C6" w:rsidRDefault="005433C6" w14:paraId="75435693" w14:textId="77777777">
            <w:pPr>
              <w:rPr>
                <w:sz w:val="16"/>
                <w:szCs w:val="16"/>
              </w:rPr>
            </w:pPr>
            <w:r w:rsidRPr="005433C6">
              <w:rPr>
                <w:rFonts w:cs="Calibri"/>
                <w:sz w:val="16"/>
                <w:szCs w:val="16"/>
              </w:rPr>
              <w:t>10.959</w:t>
            </w:r>
          </w:p>
        </w:tc>
        <w:tc>
          <w:tcPr>
            <w:tcW w:w="993" w:type="dxa"/>
            <w:tcBorders>
              <w:top w:val="nil"/>
              <w:left w:val="nil"/>
              <w:bottom w:val="nil"/>
            </w:tcBorders>
            <w:vAlign w:val="bottom"/>
          </w:tcPr>
          <w:p w:rsidRPr="005433C6" w:rsidR="005433C6" w:rsidP="005433C6" w:rsidRDefault="005433C6" w14:paraId="335D3EB6" w14:textId="77777777">
            <w:pPr>
              <w:rPr>
                <w:sz w:val="16"/>
                <w:szCs w:val="16"/>
              </w:rPr>
            </w:pPr>
            <w:r w:rsidRPr="005433C6">
              <w:rPr>
                <w:rFonts w:cs="Calibri"/>
                <w:sz w:val="16"/>
                <w:szCs w:val="16"/>
              </w:rPr>
              <w:t>10.785</w:t>
            </w:r>
          </w:p>
        </w:tc>
        <w:tc>
          <w:tcPr>
            <w:tcW w:w="851" w:type="dxa"/>
            <w:tcBorders>
              <w:top w:val="nil"/>
              <w:bottom w:val="nil"/>
              <w:right w:val="nil"/>
            </w:tcBorders>
            <w:vAlign w:val="bottom"/>
          </w:tcPr>
          <w:p w:rsidRPr="005433C6" w:rsidR="005433C6" w:rsidP="005433C6" w:rsidRDefault="005433C6" w14:paraId="1B3BA8F5" w14:textId="77777777">
            <w:pPr>
              <w:rPr>
                <w:sz w:val="16"/>
                <w:szCs w:val="16"/>
              </w:rPr>
            </w:pPr>
            <w:r w:rsidRPr="005433C6">
              <w:rPr>
                <w:rFonts w:cs="Calibri"/>
                <w:sz w:val="16"/>
                <w:szCs w:val="16"/>
              </w:rPr>
              <w:t>-809</w:t>
            </w:r>
          </w:p>
        </w:tc>
        <w:tc>
          <w:tcPr>
            <w:tcW w:w="709" w:type="dxa"/>
            <w:tcBorders>
              <w:top w:val="nil"/>
              <w:left w:val="nil"/>
              <w:bottom w:val="nil"/>
              <w:right w:val="nil"/>
            </w:tcBorders>
            <w:vAlign w:val="bottom"/>
          </w:tcPr>
          <w:p w:rsidRPr="005433C6" w:rsidR="005433C6" w:rsidP="005433C6" w:rsidRDefault="005433C6" w14:paraId="5ACD7480" w14:textId="77777777">
            <w:pPr>
              <w:rPr>
                <w:sz w:val="16"/>
                <w:szCs w:val="16"/>
              </w:rPr>
            </w:pPr>
            <w:r w:rsidRPr="005433C6">
              <w:rPr>
                <w:rFonts w:cs="Calibri"/>
                <w:sz w:val="16"/>
                <w:szCs w:val="16"/>
              </w:rPr>
              <w:t>-574</w:t>
            </w:r>
          </w:p>
        </w:tc>
      </w:tr>
      <w:tr w:rsidRPr="00D572AE" w:rsidR="005433C6" w:rsidTr="00EC66C8" w14:paraId="7322B370" w14:textId="77777777">
        <w:tc>
          <w:tcPr>
            <w:tcW w:w="2511" w:type="dxa"/>
            <w:tcBorders>
              <w:top w:val="nil"/>
              <w:left w:val="nil"/>
              <w:bottom w:val="nil"/>
            </w:tcBorders>
          </w:tcPr>
          <w:p w:rsidRPr="005433C6" w:rsidR="005433C6" w:rsidP="005433C6" w:rsidRDefault="005433C6" w14:paraId="40DA697F" w14:textId="77777777">
            <w:pPr>
              <w:rPr>
                <w:sz w:val="16"/>
                <w:szCs w:val="16"/>
                <w:lang w:val="de-DE"/>
              </w:rPr>
            </w:pPr>
            <w:r w:rsidRPr="005433C6">
              <w:rPr>
                <w:sz w:val="16"/>
                <w:szCs w:val="16"/>
                <w:lang w:val="de-DE"/>
              </w:rPr>
              <w:t xml:space="preserve">H3. </w:t>
            </w:r>
            <w:proofErr w:type="spellStart"/>
            <w:r w:rsidRPr="005433C6">
              <w:rPr>
                <w:sz w:val="16"/>
                <w:szCs w:val="16"/>
                <w:lang w:val="de-DE"/>
              </w:rPr>
              <w:t>Landbouw</w:t>
            </w:r>
            <w:proofErr w:type="spellEnd"/>
            <w:r w:rsidRPr="005433C6">
              <w:rPr>
                <w:sz w:val="16"/>
                <w:szCs w:val="16"/>
                <w:lang w:val="de-DE"/>
              </w:rPr>
              <w:t xml:space="preserve"> en </w:t>
            </w:r>
            <w:proofErr w:type="spellStart"/>
            <w:r w:rsidRPr="005433C6">
              <w:rPr>
                <w:sz w:val="16"/>
                <w:szCs w:val="16"/>
                <w:lang w:val="de-DE"/>
              </w:rPr>
              <w:t>milieu</w:t>
            </w:r>
            <w:proofErr w:type="spellEnd"/>
          </w:p>
        </w:tc>
        <w:tc>
          <w:tcPr>
            <w:tcW w:w="1035" w:type="dxa"/>
            <w:tcBorders>
              <w:top w:val="nil"/>
              <w:bottom w:val="nil"/>
              <w:right w:val="nil"/>
            </w:tcBorders>
            <w:vAlign w:val="bottom"/>
          </w:tcPr>
          <w:p w:rsidRPr="005433C6" w:rsidR="005433C6" w:rsidP="005433C6" w:rsidRDefault="005433C6" w14:paraId="160E057B" w14:textId="77777777">
            <w:pPr>
              <w:rPr>
                <w:sz w:val="16"/>
                <w:szCs w:val="16"/>
                <w:lang w:val="de-DE"/>
              </w:rPr>
            </w:pPr>
            <w:r w:rsidRPr="005433C6">
              <w:rPr>
                <w:rFonts w:cs="Calibri"/>
                <w:sz w:val="16"/>
                <w:szCs w:val="16"/>
              </w:rPr>
              <w:t>57.275</w:t>
            </w:r>
          </w:p>
        </w:tc>
        <w:tc>
          <w:tcPr>
            <w:tcW w:w="992" w:type="dxa"/>
            <w:tcBorders>
              <w:top w:val="nil"/>
              <w:left w:val="nil"/>
              <w:bottom w:val="nil"/>
            </w:tcBorders>
            <w:vAlign w:val="bottom"/>
          </w:tcPr>
          <w:p w:rsidRPr="005433C6" w:rsidR="005433C6" w:rsidP="005433C6" w:rsidRDefault="005433C6" w14:paraId="32F4F914" w14:textId="77777777">
            <w:pPr>
              <w:rPr>
                <w:sz w:val="16"/>
                <w:szCs w:val="16"/>
                <w:lang w:val="de-DE"/>
              </w:rPr>
            </w:pPr>
            <w:r w:rsidRPr="005433C6">
              <w:rPr>
                <w:rFonts w:cs="Calibri"/>
                <w:sz w:val="16"/>
                <w:szCs w:val="16"/>
              </w:rPr>
              <w:t>52.682</w:t>
            </w:r>
          </w:p>
        </w:tc>
        <w:tc>
          <w:tcPr>
            <w:tcW w:w="1275" w:type="dxa"/>
            <w:tcBorders>
              <w:top w:val="nil"/>
              <w:bottom w:val="nil"/>
              <w:right w:val="nil"/>
            </w:tcBorders>
            <w:vAlign w:val="bottom"/>
          </w:tcPr>
          <w:p w:rsidRPr="005433C6" w:rsidR="005433C6" w:rsidP="005433C6" w:rsidRDefault="005433C6" w14:paraId="7B045359" w14:textId="77777777">
            <w:pPr>
              <w:rPr>
                <w:sz w:val="16"/>
                <w:szCs w:val="16"/>
                <w:lang w:val="de-DE"/>
              </w:rPr>
            </w:pPr>
            <w:r w:rsidRPr="005433C6">
              <w:rPr>
                <w:rFonts w:cs="Calibri"/>
                <w:sz w:val="16"/>
                <w:szCs w:val="16"/>
              </w:rPr>
              <w:t>57.271</w:t>
            </w:r>
          </w:p>
        </w:tc>
        <w:tc>
          <w:tcPr>
            <w:tcW w:w="993" w:type="dxa"/>
            <w:tcBorders>
              <w:top w:val="nil"/>
              <w:left w:val="nil"/>
              <w:bottom w:val="nil"/>
            </w:tcBorders>
            <w:vAlign w:val="bottom"/>
          </w:tcPr>
          <w:p w:rsidRPr="005433C6" w:rsidR="005433C6" w:rsidP="005433C6" w:rsidRDefault="005433C6" w14:paraId="6FFE6A6D" w14:textId="77777777">
            <w:pPr>
              <w:rPr>
                <w:sz w:val="16"/>
                <w:szCs w:val="16"/>
                <w:lang w:val="de-DE"/>
              </w:rPr>
            </w:pPr>
            <w:r w:rsidRPr="005433C6">
              <w:rPr>
                <w:rFonts w:cs="Calibri"/>
                <w:sz w:val="16"/>
                <w:szCs w:val="16"/>
              </w:rPr>
              <w:t>52.680</w:t>
            </w:r>
          </w:p>
        </w:tc>
        <w:tc>
          <w:tcPr>
            <w:tcW w:w="851" w:type="dxa"/>
            <w:tcBorders>
              <w:top w:val="nil"/>
              <w:bottom w:val="nil"/>
              <w:right w:val="nil"/>
            </w:tcBorders>
            <w:vAlign w:val="bottom"/>
          </w:tcPr>
          <w:p w:rsidRPr="005433C6" w:rsidR="005433C6" w:rsidP="005433C6" w:rsidRDefault="005433C6" w14:paraId="0E45C36C" w14:textId="77777777">
            <w:pPr>
              <w:rPr>
                <w:sz w:val="16"/>
                <w:szCs w:val="16"/>
                <w:lang w:val="de-DE"/>
              </w:rPr>
            </w:pPr>
            <w:r w:rsidRPr="005433C6">
              <w:rPr>
                <w:rFonts w:cs="Calibri"/>
                <w:sz w:val="16"/>
                <w:szCs w:val="16"/>
              </w:rPr>
              <w:t>-4</w:t>
            </w:r>
          </w:p>
        </w:tc>
        <w:tc>
          <w:tcPr>
            <w:tcW w:w="709" w:type="dxa"/>
            <w:tcBorders>
              <w:top w:val="nil"/>
              <w:left w:val="nil"/>
              <w:bottom w:val="nil"/>
              <w:right w:val="nil"/>
            </w:tcBorders>
            <w:vAlign w:val="bottom"/>
          </w:tcPr>
          <w:p w:rsidRPr="005433C6" w:rsidR="005433C6" w:rsidP="005433C6" w:rsidRDefault="005433C6" w14:paraId="2566C866" w14:textId="77777777">
            <w:pPr>
              <w:rPr>
                <w:sz w:val="16"/>
                <w:szCs w:val="16"/>
                <w:lang w:val="de-DE"/>
              </w:rPr>
            </w:pPr>
            <w:r w:rsidRPr="005433C6">
              <w:rPr>
                <w:rFonts w:cs="Calibri"/>
                <w:sz w:val="16"/>
                <w:szCs w:val="16"/>
              </w:rPr>
              <w:t>-2</w:t>
            </w:r>
          </w:p>
        </w:tc>
      </w:tr>
      <w:tr w:rsidRPr="00D572AE" w:rsidR="005433C6" w:rsidTr="00EC66C8" w14:paraId="283A5FE1" w14:textId="77777777">
        <w:tc>
          <w:tcPr>
            <w:tcW w:w="2511" w:type="dxa"/>
            <w:tcBorders>
              <w:top w:val="nil"/>
              <w:left w:val="nil"/>
              <w:bottom w:val="nil"/>
            </w:tcBorders>
          </w:tcPr>
          <w:p w:rsidRPr="005433C6" w:rsidR="005433C6" w:rsidP="005433C6" w:rsidRDefault="005433C6" w14:paraId="154ACD58" w14:textId="77777777">
            <w:pPr>
              <w:rPr>
                <w:sz w:val="16"/>
                <w:szCs w:val="16"/>
                <w:lang w:val="de-DE"/>
              </w:rPr>
            </w:pPr>
            <w:r w:rsidRPr="005433C6">
              <w:rPr>
                <w:sz w:val="16"/>
                <w:szCs w:val="16"/>
                <w:lang w:val="de-DE"/>
              </w:rPr>
              <w:t xml:space="preserve">H4. </w:t>
            </w:r>
            <w:proofErr w:type="spellStart"/>
            <w:r w:rsidRPr="005433C6">
              <w:rPr>
                <w:sz w:val="16"/>
                <w:szCs w:val="16"/>
                <w:lang w:val="de-DE"/>
              </w:rPr>
              <w:t>Migratie</w:t>
            </w:r>
            <w:proofErr w:type="spellEnd"/>
            <w:r w:rsidRPr="005433C6">
              <w:rPr>
                <w:sz w:val="16"/>
                <w:szCs w:val="16"/>
                <w:lang w:val="de-DE"/>
              </w:rPr>
              <w:t xml:space="preserve"> en </w:t>
            </w:r>
            <w:proofErr w:type="spellStart"/>
            <w:r w:rsidRPr="005433C6">
              <w:rPr>
                <w:sz w:val="16"/>
                <w:szCs w:val="16"/>
                <w:lang w:val="de-DE"/>
              </w:rPr>
              <w:t>grensmanagement</w:t>
            </w:r>
            <w:proofErr w:type="spellEnd"/>
          </w:p>
        </w:tc>
        <w:tc>
          <w:tcPr>
            <w:tcW w:w="1035" w:type="dxa"/>
            <w:tcBorders>
              <w:top w:val="nil"/>
              <w:bottom w:val="nil"/>
              <w:right w:val="nil"/>
            </w:tcBorders>
            <w:vAlign w:val="bottom"/>
          </w:tcPr>
          <w:p w:rsidRPr="005433C6" w:rsidR="005433C6" w:rsidP="005433C6" w:rsidRDefault="005433C6" w14:paraId="71B473F8" w14:textId="77777777">
            <w:pPr>
              <w:rPr>
                <w:sz w:val="16"/>
                <w:szCs w:val="16"/>
                <w:lang w:val="de-DE"/>
              </w:rPr>
            </w:pPr>
            <w:r w:rsidRPr="005433C6">
              <w:rPr>
                <w:rFonts w:cs="Calibri"/>
                <w:sz w:val="16"/>
                <w:szCs w:val="16"/>
              </w:rPr>
              <w:t>4.777</w:t>
            </w:r>
          </w:p>
        </w:tc>
        <w:tc>
          <w:tcPr>
            <w:tcW w:w="992" w:type="dxa"/>
            <w:tcBorders>
              <w:top w:val="nil"/>
              <w:left w:val="nil"/>
              <w:bottom w:val="nil"/>
            </w:tcBorders>
            <w:vAlign w:val="bottom"/>
          </w:tcPr>
          <w:p w:rsidRPr="005433C6" w:rsidR="005433C6" w:rsidP="005433C6" w:rsidRDefault="005433C6" w14:paraId="32D1EA7B" w14:textId="77777777">
            <w:pPr>
              <w:rPr>
                <w:sz w:val="16"/>
                <w:szCs w:val="16"/>
                <w:lang w:val="de-DE"/>
              </w:rPr>
            </w:pPr>
            <w:r w:rsidRPr="005433C6">
              <w:rPr>
                <w:rFonts w:cs="Calibri"/>
                <w:sz w:val="16"/>
                <w:szCs w:val="16"/>
              </w:rPr>
              <w:t>3.201</w:t>
            </w:r>
          </w:p>
        </w:tc>
        <w:tc>
          <w:tcPr>
            <w:tcW w:w="1275" w:type="dxa"/>
            <w:tcBorders>
              <w:top w:val="nil"/>
              <w:bottom w:val="nil"/>
              <w:right w:val="nil"/>
            </w:tcBorders>
            <w:vAlign w:val="bottom"/>
          </w:tcPr>
          <w:p w:rsidRPr="005433C6" w:rsidR="005433C6" w:rsidP="005433C6" w:rsidRDefault="005433C6" w14:paraId="3A1D2E0D" w14:textId="77777777">
            <w:pPr>
              <w:rPr>
                <w:sz w:val="16"/>
                <w:szCs w:val="16"/>
                <w:lang w:val="de-DE"/>
              </w:rPr>
            </w:pPr>
            <w:r w:rsidRPr="005433C6">
              <w:rPr>
                <w:rFonts w:cs="Calibri"/>
                <w:sz w:val="16"/>
                <w:szCs w:val="16"/>
              </w:rPr>
              <w:t>4.711</w:t>
            </w:r>
          </w:p>
        </w:tc>
        <w:tc>
          <w:tcPr>
            <w:tcW w:w="993" w:type="dxa"/>
            <w:tcBorders>
              <w:top w:val="nil"/>
              <w:left w:val="nil"/>
              <w:bottom w:val="nil"/>
            </w:tcBorders>
            <w:vAlign w:val="bottom"/>
          </w:tcPr>
          <w:p w:rsidRPr="005433C6" w:rsidR="005433C6" w:rsidP="005433C6" w:rsidRDefault="005433C6" w14:paraId="0C7C7980" w14:textId="77777777">
            <w:pPr>
              <w:rPr>
                <w:sz w:val="16"/>
                <w:szCs w:val="16"/>
                <w:lang w:val="de-DE"/>
              </w:rPr>
            </w:pPr>
            <w:r w:rsidRPr="005433C6">
              <w:rPr>
                <w:rFonts w:cs="Calibri"/>
                <w:sz w:val="16"/>
                <w:szCs w:val="16"/>
              </w:rPr>
              <w:t>3.120</w:t>
            </w:r>
          </w:p>
        </w:tc>
        <w:tc>
          <w:tcPr>
            <w:tcW w:w="851" w:type="dxa"/>
            <w:tcBorders>
              <w:top w:val="nil"/>
              <w:bottom w:val="nil"/>
              <w:right w:val="nil"/>
            </w:tcBorders>
            <w:vAlign w:val="bottom"/>
          </w:tcPr>
          <w:p w:rsidRPr="005433C6" w:rsidR="005433C6" w:rsidP="005433C6" w:rsidRDefault="005433C6" w14:paraId="1E4DCFA3" w14:textId="77777777">
            <w:pPr>
              <w:rPr>
                <w:sz w:val="16"/>
                <w:szCs w:val="16"/>
                <w:lang w:val="de-DE"/>
              </w:rPr>
            </w:pPr>
            <w:r w:rsidRPr="005433C6">
              <w:rPr>
                <w:rFonts w:cs="Calibri"/>
                <w:sz w:val="16"/>
                <w:szCs w:val="16"/>
              </w:rPr>
              <w:t>-66</w:t>
            </w:r>
          </w:p>
        </w:tc>
        <w:tc>
          <w:tcPr>
            <w:tcW w:w="709" w:type="dxa"/>
            <w:tcBorders>
              <w:top w:val="nil"/>
              <w:left w:val="nil"/>
              <w:bottom w:val="nil"/>
              <w:right w:val="nil"/>
            </w:tcBorders>
            <w:vAlign w:val="bottom"/>
          </w:tcPr>
          <w:p w:rsidRPr="005433C6" w:rsidR="005433C6" w:rsidP="005433C6" w:rsidRDefault="005433C6" w14:paraId="2A23532B" w14:textId="77777777">
            <w:pPr>
              <w:rPr>
                <w:sz w:val="16"/>
                <w:szCs w:val="16"/>
                <w:lang w:val="de-DE"/>
              </w:rPr>
            </w:pPr>
            <w:r w:rsidRPr="005433C6">
              <w:rPr>
                <w:rFonts w:cs="Calibri"/>
                <w:sz w:val="16"/>
                <w:szCs w:val="16"/>
              </w:rPr>
              <w:t>-81</w:t>
            </w:r>
          </w:p>
        </w:tc>
      </w:tr>
      <w:tr w:rsidRPr="00D572AE" w:rsidR="005433C6" w:rsidTr="00EC66C8" w14:paraId="09B402FB" w14:textId="77777777">
        <w:tc>
          <w:tcPr>
            <w:tcW w:w="2511" w:type="dxa"/>
            <w:tcBorders>
              <w:top w:val="nil"/>
              <w:left w:val="nil"/>
              <w:bottom w:val="nil"/>
            </w:tcBorders>
          </w:tcPr>
          <w:p w:rsidRPr="005433C6" w:rsidR="005433C6" w:rsidP="005433C6" w:rsidRDefault="005433C6" w14:paraId="627D0A9C" w14:textId="77777777">
            <w:pPr>
              <w:rPr>
                <w:sz w:val="16"/>
                <w:szCs w:val="16"/>
                <w:lang w:val="de-DE"/>
              </w:rPr>
            </w:pPr>
            <w:r w:rsidRPr="005433C6">
              <w:rPr>
                <w:sz w:val="16"/>
                <w:szCs w:val="16"/>
                <w:lang w:val="de-DE"/>
              </w:rPr>
              <w:t xml:space="preserve">H5. </w:t>
            </w:r>
            <w:proofErr w:type="spellStart"/>
            <w:r w:rsidRPr="005433C6">
              <w:rPr>
                <w:sz w:val="16"/>
                <w:szCs w:val="16"/>
                <w:lang w:val="de-DE"/>
              </w:rPr>
              <w:t>Veiligheid</w:t>
            </w:r>
            <w:proofErr w:type="spellEnd"/>
            <w:r w:rsidRPr="005433C6">
              <w:rPr>
                <w:sz w:val="16"/>
                <w:szCs w:val="16"/>
                <w:lang w:val="de-DE"/>
              </w:rPr>
              <w:t xml:space="preserve"> en </w:t>
            </w:r>
            <w:proofErr w:type="spellStart"/>
            <w:r w:rsidRPr="005433C6">
              <w:rPr>
                <w:sz w:val="16"/>
                <w:szCs w:val="16"/>
                <w:lang w:val="de-DE"/>
              </w:rPr>
              <w:t>defensie</w:t>
            </w:r>
            <w:proofErr w:type="spellEnd"/>
          </w:p>
        </w:tc>
        <w:tc>
          <w:tcPr>
            <w:tcW w:w="1035" w:type="dxa"/>
            <w:tcBorders>
              <w:top w:val="nil"/>
              <w:bottom w:val="nil"/>
              <w:right w:val="nil"/>
            </w:tcBorders>
            <w:vAlign w:val="bottom"/>
          </w:tcPr>
          <w:p w:rsidRPr="005433C6" w:rsidR="005433C6" w:rsidP="005433C6" w:rsidRDefault="005433C6" w14:paraId="720CF4A3" w14:textId="77777777">
            <w:pPr>
              <w:rPr>
                <w:sz w:val="16"/>
                <w:szCs w:val="16"/>
                <w:lang w:val="de-DE"/>
              </w:rPr>
            </w:pPr>
            <w:r w:rsidRPr="005433C6">
              <w:rPr>
                <w:rFonts w:cs="Calibri"/>
                <w:sz w:val="16"/>
                <w:szCs w:val="16"/>
              </w:rPr>
              <w:t>2.617</w:t>
            </w:r>
          </w:p>
        </w:tc>
        <w:tc>
          <w:tcPr>
            <w:tcW w:w="992" w:type="dxa"/>
            <w:tcBorders>
              <w:top w:val="nil"/>
              <w:left w:val="nil"/>
              <w:bottom w:val="nil"/>
            </w:tcBorders>
            <w:vAlign w:val="bottom"/>
          </w:tcPr>
          <w:p w:rsidRPr="005433C6" w:rsidR="005433C6" w:rsidP="005433C6" w:rsidRDefault="005433C6" w14:paraId="7611F59E" w14:textId="77777777">
            <w:pPr>
              <w:rPr>
                <w:sz w:val="16"/>
                <w:szCs w:val="16"/>
                <w:lang w:val="de-DE"/>
              </w:rPr>
            </w:pPr>
            <w:r w:rsidRPr="005433C6">
              <w:rPr>
                <w:rFonts w:cs="Calibri"/>
                <w:sz w:val="16"/>
                <w:szCs w:val="16"/>
              </w:rPr>
              <w:t>2.129</w:t>
            </w:r>
          </w:p>
        </w:tc>
        <w:tc>
          <w:tcPr>
            <w:tcW w:w="1275" w:type="dxa"/>
            <w:tcBorders>
              <w:top w:val="nil"/>
              <w:bottom w:val="nil"/>
              <w:right w:val="nil"/>
            </w:tcBorders>
            <w:vAlign w:val="bottom"/>
          </w:tcPr>
          <w:p w:rsidRPr="005433C6" w:rsidR="005433C6" w:rsidP="005433C6" w:rsidRDefault="005433C6" w14:paraId="2A089786" w14:textId="77777777">
            <w:pPr>
              <w:rPr>
                <w:sz w:val="16"/>
                <w:szCs w:val="16"/>
                <w:lang w:val="de-DE"/>
              </w:rPr>
            </w:pPr>
            <w:r w:rsidRPr="005433C6">
              <w:rPr>
                <w:rFonts w:cs="Calibri"/>
                <w:sz w:val="16"/>
                <w:szCs w:val="16"/>
              </w:rPr>
              <w:t>2.612</w:t>
            </w:r>
          </w:p>
        </w:tc>
        <w:tc>
          <w:tcPr>
            <w:tcW w:w="993" w:type="dxa"/>
            <w:tcBorders>
              <w:top w:val="nil"/>
              <w:left w:val="nil"/>
              <w:bottom w:val="nil"/>
            </w:tcBorders>
            <w:vAlign w:val="bottom"/>
          </w:tcPr>
          <w:p w:rsidRPr="005433C6" w:rsidR="005433C6" w:rsidP="005433C6" w:rsidRDefault="005433C6" w14:paraId="26A9C387" w14:textId="77777777">
            <w:pPr>
              <w:rPr>
                <w:sz w:val="16"/>
                <w:szCs w:val="16"/>
                <w:lang w:val="de-DE"/>
              </w:rPr>
            </w:pPr>
            <w:r w:rsidRPr="005433C6">
              <w:rPr>
                <w:rFonts w:cs="Calibri"/>
                <w:sz w:val="16"/>
                <w:szCs w:val="16"/>
              </w:rPr>
              <w:t>2.127</w:t>
            </w:r>
          </w:p>
        </w:tc>
        <w:tc>
          <w:tcPr>
            <w:tcW w:w="851" w:type="dxa"/>
            <w:tcBorders>
              <w:top w:val="nil"/>
              <w:bottom w:val="nil"/>
              <w:right w:val="nil"/>
            </w:tcBorders>
            <w:vAlign w:val="bottom"/>
          </w:tcPr>
          <w:p w:rsidRPr="005433C6" w:rsidR="005433C6" w:rsidP="005433C6" w:rsidRDefault="005433C6" w14:paraId="59BECF55" w14:textId="77777777">
            <w:pPr>
              <w:rPr>
                <w:sz w:val="16"/>
                <w:szCs w:val="16"/>
                <w:lang w:val="de-DE"/>
              </w:rPr>
            </w:pPr>
            <w:r w:rsidRPr="005433C6">
              <w:rPr>
                <w:rFonts w:cs="Calibri"/>
                <w:sz w:val="16"/>
                <w:szCs w:val="16"/>
              </w:rPr>
              <w:t>-5</w:t>
            </w:r>
          </w:p>
        </w:tc>
        <w:tc>
          <w:tcPr>
            <w:tcW w:w="709" w:type="dxa"/>
            <w:tcBorders>
              <w:top w:val="nil"/>
              <w:left w:val="nil"/>
              <w:bottom w:val="nil"/>
              <w:right w:val="nil"/>
            </w:tcBorders>
            <w:vAlign w:val="bottom"/>
          </w:tcPr>
          <w:p w:rsidRPr="005433C6" w:rsidR="005433C6" w:rsidP="005433C6" w:rsidRDefault="005433C6" w14:paraId="0824E00D" w14:textId="77777777">
            <w:pPr>
              <w:rPr>
                <w:sz w:val="16"/>
                <w:szCs w:val="16"/>
                <w:lang w:val="de-DE"/>
              </w:rPr>
            </w:pPr>
            <w:r w:rsidRPr="005433C6">
              <w:rPr>
                <w:rFonts w:cs="Calibri"/>
                <w:sz w:val="16"/>
                <w:szCs w:val="16"/>
              </w:rPr>
              <w:t>-2</w:t>
            </w:r>
          </w:p>
        </w:tc>
      </w:tr>
      <w:tr w:rsidRPr="00D572AE" w:rsidR="005433C6" w:rsidTr="00EC66C8" w14:paraId="313EF090" w14:textId="77777777">
        <w:tc>
          <w:tcPr>
            <w:tcW w:w="2511" w:type="dxa"/>
            <w:tcBorders>
              <w:top w:val="nil"/>
              <w:left w:val="nil"/>
              <w:bottom w:val="nil"/>
            </w:tcBorders>
          </w:tcPr>
          <w:p w:rsidRPr="005433C6" w:rsidR="005433C6" w:rsidP="005433C6" w:rsidRDefault="005433C6" w14:paraId="59E309C2" w14:textId="77777777">
            <w:pPr>
              <w:rPr>
                <w:sz w:val="16"/>
                <w:szCs w:val="16"/>
                <w:lang w:val="de-DE"/>
              </w:rPr>
            </w:pPr>
            <w:r w:rsidRPr="005433C6">
              <w:rPr>
                <w:sz w:val="16"/>
                <w:szCs w:val="16"/>
                <w:lang w:val="de-DE"/>
              </w:rPr>
              <w:t xml:space="preserve">H6. Extern </w:t>
            </w:r>
            <w:proofErr w:type="spellStart"/>
            <w:r w:rsidRPr="005433C6">
              <w:rPr>
                <w:sz w:val="16"/>
                <w:szCs w:val="16"/>
                <w:lang w:val="de-DE"/>
              </w:rPr>
              <w:t>beleid</w:t>
            </w:r>
            <w:proofErr w:type="spellEnd"/>
          </w:p>
        </w:tc>
        <w:tc>
          <w:tcPr>
            <w:tcW w:w="1035" w:type="dxa"/>
            <w:tcBorders>
              <w:top w:val="nil"/>
              <w:bottom w:val="nil"/>
              <w:right w:val="nil"/>
            </w:tcBorders>
            <w:vAlign w:val="bottom"/>
          </w:tcPr>
          <w:p w:rsidRPr="005433C6" w:rsidR="005433C6" w:rsidP="005433C6" w:rsidRDefault="005433C6" w14:paraId="75FA489E" w14:textId="77777777">
            <w:pPr>
              <w:rPr>
                <w:sz w:val="16"/>
                <w:szCs w:val="16"/>
                <w:lang w:val="de-DE"/>
              </w:rPr>
            </w:pPr>
            <w:r w:rsidRPr="005433C6">
              <w:rPr>
                <w:rFonts w:cs="Calibri"/>
                <w:sz w:val="16"/>
                <w:szCs w:val="16"/>
              </w:rPr>
              <w:t>16.258</w:t>
            </w:r>
          </w:p>
        </w:tc>
        <w:tc>
          <w:tcPr>
            <w:tcW w:w="992" w:type="dxa"/>
            <w:tcBorders>
              <w:top w:val="nil"/>
              <w:left w:val="nil"/>
              <w:bottom w:val="nil"/>
            </w:tcBorders>
            <w:vAlign w:val="bottom"/>
          </w:tcPr>
          <w:p w:rsidRPr="005433C6" w:rsidR="005433C6" w:rsidP="005433C6" w:rsidRDefault="005433C6" w14:paraId="1DC0B9E1" w14:textId="77777777">
            <w:pPr>
              <w:rPr>
                <w:sz w:val="16"/>
                <w:szCs w:val="16"/>
                <w:lang w:val="de-DE"/>
              </w:rPr>
            </w:pPr>
            <w:r w:rsidRPr="005433C6">
              <w:rPr>
                <w:rFonts w:cs="Calibri"/>
                <w:sz w:val="16"/>
                <w:szCs w:val="16"/>
              </w:rPr>
              <w:t>14.406</w:t>
            </w:r>
          </w:p>
        </w:tc>
        <w:tc>
          <w:tcPr>
            <w:tcW w:w="1275" w:type="dxa"/>
            <w:tcBorders>
              <w:top w:val="nil"/>
              <w:bottom w:val="nil"/>
              <w:right w:val="nil"/>
            </w:tcBorders>
            <w:vAlign w:val="bottom"/>
          </w:tcPr>
          <w:p w:rsidRPr="005433C6" w:rsidR="005433C6" w:rsidP="005433C6" w:rsidRDefault="005433C6" w14:paraId="05A7B68C" w14:textId="77777777">
            <w:pPr>
              <w:rPr>
                <w:sz w:val="16"/>
                <w:szCs w:val="16"/>
                <w:lang w:val="de-DE"/>
              </w:rPr>
            </w:pPr>
            <w:r w:rsidRPr="005433C6">
              <w:rPr>
                <w:rFonts w:cs="Calibri"/>
                <w:sz w:val="16"/>
                <w:szCs w:val="16"/>
              </w:rPr>
              <w:t>16.280</w:t>
            </w:r>
          </w:p>
        </w:tc>
        <w:tc>
          <w:tcPr>
            <w:tcW w:w="993" w:type="dxa"/>
            <w:tcBorders>
              <w:top w:val="nil"/>
              <w:left w:val="nil"/>
              <w:bottom w:val="nil"/>
            </w:tcBorders>
            <w:vAlign w:val="bottom"/>
          </w:tcPr>
          <w:p w:rsidRPr="005433C6" w:rsidR="005433C6" w:rsidP="005433C6" w:rsidRDefault="005433C6" w14:paraId="0E12C91E" w14:textId="77777777">
            <w:pPr>
              <w:rPr>
                <w:sz w:val="16"/>
                <w:szCs w:val="16"/>
                <w:lang w:val="de-DE"/>
              </w:rPr>
            </w:pPr>
            <w:r w:rsidRPr="005433C6">
              <w:rPr>
                <w:rFonts w:cs="Calibri"/>
                <w:sz w:val="16"/>
                <w:szCs w:val="16"/>
              </w:rPr>
              <w:t>14.427</w:t>
            </w:r>
          </w:p>
        </w:tc>
        <w:tc>
          <w:tcPr>
            <w:tcW w:w="851" w:type="dxa"/>
            <w:tcBorders>
              <w:top w:val="nil"/>
              <w:bottom w:val="nil"/>
              <w:right w:val="nil"/>
            </w:tcBorders>
            <w:vAlign w:val="bottom"/>
          </w:tcPr>
          <w:p w:rsidRPr="005433C6" w:rsidR="005433C6" w:rsidP="005433C6" w:rsidRDefault="005433C6" w14:paraId="01BA367B" w14:textId="77777777">
            <w:pPr>
              <w:rPr>
                <w:sz w:val="16"/>
                <w:szCs w:val="16"/>
                <w:lang w:val="de-DE"/>
              </w:rPr>
            </w:pPr>
            <w:r w:rsidRPr="005433C6">
              <w:rPr>
                <w:rFonts w:cs="Calibri"/>
                <w:sz w:val="16"/>
                <w:szCs w:val="16"/>
              </w:rPr>
              <w:t>22</w:t>
            </w:r>
          </w:p>
        </w:tc>
        <w:tc>
          <w:tcPr>
            <w:tcW w:w="709" w:type="dxa"/>
            <w:tcBorders>
              <w:top w:val="nil"/>
              <w:left w:val="nil"/>
              <w:bottom w:val="nil"/>
              <w:right w:val="nil"/>
            </w:tcBorders>
            <w:vAlign w:val="bottom"/>
          </w:tcPr>
          <w:p w:rsidRPr="005433C6" w:rsidR="005433C6" w:rsidP="005433C6" w:rsidRDefault="005433C6" w14:paraId="5FC8B119" w14:textId="77777777">
            <w:pPr>
              <w:rPr>
                <w:sz w:val="16"/>
                <w:szCs w:val="16"/>
                <w:lang w:val="de-DE"/>
              </w:rPr>
            </w:pPr>
            <w:r w:rsidRPr="005433C6">
              <w:rPr>
                <w:rFonts w:cs="Calibri"/>
                <w:sz w:val="16"/>
                <w:szCs w:val="16"/>
              </w:rPr>
              <w:t>21</w:t>
            </w:r>
          </w:p>
        </w:tc>
      </w:tr>
      <w:tr w:rsidRPr="00D572AE" w:rsidR="005433C6" w:rsidTr="00EC66C8" w14:paraId="02FE1447" w14:textId="77777777">
        <w:tc>
          <w:tcPr>
            <w:tcW w:w="2511" w:type="dxa"/>
            <w:tcBorders>
              <w:top w:val="nil"/>
              <w:left w:val="nil"/>
              <w:bottom w:val="single" w:color="auto" w:sz="4" w:space="0"/>
            </w:tcBorders>
          </w:tcPr>
          <w:p w:rsidRPr="005433C6" w:rsidR="005433C6" w:rsidP="005433C6" w:rsidRDefault="005433C6" w14:paraId="569FA50B" w14:textId="77777777">
            <w:pPr>
              <w:rPr>
                <w:sz w:val="16"/>
                <w:szCs w:val="16"/>
                <w:lang w:val="de-DE"/>
              </w:rPr>
            </w:pPr>
            <w:r w:rsidRPr="005433C6">
              <w:rPr>
                <w:sz w:val="16"/>
                <w:szCs w:val="16"/>
                <w:lang w:val="de-DE"/>
              </w:rPr>
              <w:t xml:space="preserve">H7. </w:t>
            </w:r>
            <w:proofErr w:type="spellStart"/>
            <w:r w:rsidRPr="005433C6">
              <w:rPr>
                <w:sz w:val="16"/>
                <w:szCs w:val="16"/>
                <w:lang w:val="de-DE"/>
              </w:rPr>
              <w:t>Administratieve</w:t>
            </w:r>
            <w:proofErr w:type="spellEnd"/>
            <w:r w:rsidRPr="005433C6">
              <w:rPr>
                <w:sz w:val="16"/>
                <w:szCs w:val="16"/>
                <w:lang w:val="de-DE"/>
              </w:rPr>
              <w:t xml:space="preserve"> </w:t>
            </w:r>
            <w:proofErr w:type="spellStart"/>
            <w:r w:rsidRPr="005433C6">
              <w:rPr>
                <w:sz w:val="16"/>
                <w:szCs w:val="16"/>
                <w:lang w:val="de-DE"/>
              </w:rPr>
              <w:t>uitgaven</w:t>
            </w:r>
            <w:proofErr w:type="spellEnd"/>
          </w:p>
        </w:tc>
        <w:tc>
          <w:tcPr>
            <w:tcW w:w="1035" w:type="dxa"/>
            <w:tcBorders>
              <w:top w:val="nil"/>
              <w:bottom w:val="single" w:color="auto" w:sz="4" w:space="0"/>
              <w:right w:val="nil"/>
            </w:tcBorders>
            <w:vAlign w:val="bottom"/>
          </w:tcPr>
          <w:p w:rsidRPr="005433C6" w:rsidR="005433C6" w:rsidP="005433C6" w:rsidRDefault="005433C6" w14:paraId="458B83F1" w14:textId="77777777">
            <w:pPr>
              <w:rPr>
                <w:sz w:val="16"/>
                <w:szCs w:val="16"/>
                <w:lang w:val="de-DE"/>
              </w:rPr>
            </w:pPr>
            <w:r w:rsidRPr="005433C6">
              <w:rPr>
                <w:rFonts w:cs="Calibri"/>
                <w:sz w:val="16"/>
                <w:szCs w:val="16"/>
              </w:rPr>
              <w:t>12.614</w:t>
            </w:r>
          </w:p>
        </w:tc>
        <w:tc>
          <w:tcPr>
            <w:tcW w:w="992" w:type="dxa"/>
            <w:tcBorders>
              <w:top w:val="nil"/>
              <w:left w:val="nil"/>
              <w:bottom w:val="single" w:color="auto" w:sz="4" w:space="0"/>
            </w:tcBorders>
            <w:vAlign w:val="bottom"/>
          </w:tcPr>
          <w:p w:rsidRPr="005433C6" w:rsidR="005433C6" w:rsidP="005433C6" w:rsidRDefault="005433C6" w14:paraId="14519270" w14:textId="77777777">
            <w:pPr>
              <w:rPr>
                <w:sz w:val="16"/>
                <w:szCs w:val="16"/>
                <w:lang w:val="de-DE"/>
              </w:rPr>
            </w:pPr>
            <w:r w:rsidRPr="005433C6">
              <w:rPr>
                <w:rFonts w:cs="Calibri"/>
                <w:sz w:val="16"/>
                <w:szCs w:val="16"/>
              </w:rPr>
              <w:t>12.614</w:t>
            </w:r>
          </w:p>
        </w:tc>
        <w:tc>
          <w:tcPr>
            <w:tcW w:w="1275" w:type="dxa"/>
            <w:tcBorders>
              <w:top w:val="nil"/>
              <w:bottom w:val="single" w:color="auto" w:sz="4" w:space="0"/>
              <w:right w:val="nil"/>
            </w:tcBorders>
            <w:vAlign w:val="bottom"/>
          </w:tcPr>
          <w:p w:rsidRPr="005433C6" w:rsidR="005433C6" w:rsidP="005433C6" w:rsidRDefault="005433C6" w14:paraId="186B9D05" w14:textId="77777777">
            <w:pPr>
              <w:rPr>
                <w:sz w:val="16"/>
                <w:szCs w:val="16"/>
                <w:lang w:val="de-DE"/>
              </w:rPr>
            </w:pPr>
            <w:r w:rsidRPr="005433C6">
              <w:rPr>
                <w:rFonts w:cs="Calibri"/>
                <w:sz w:val="16"/>
                <w:szCs w:val="16"/>
              </w:rPr>
              <w:t>12.599</w:t>
            </w:r>
          </w:p>
        </w:tc>
        <w:tc>
          <w:tcPr>
            <w:tcW w:w="993" w:type="dxa"/>
            <w:tcBorders>
              <w:top w:val="nil"/>
              <w:left w:val="nil"/>
              <w:bottom w:val="single" w:color="auto" w:sz="4" w:space="0"/>
            </w:tcBorders>
            <w:vAlign w:val="bottom"/>
          </w:tcPr>
          <w:p w:rsidRPr="005433C6" w:rsidR="005433C6" w:rsidP="005433C6" w:rsidRDefault="005433C6" w14:paraId="7373837C" w14:textId="77777777">
            <w:pPr>
              <w:rPr>
                <w:sz w:val="16"/>
                <w:szCs w:val="16"/>
                <w:lang w:val="de-DE"/>
              </w:rPr>
            </w:pPr>
            <w:r w:rsidRPr="005433C6">
              <w:rPr>
                <w:rFonts w:cs="Calibri"/>
                <w:sz w:val="16"/>
                <w:szCs w:val="16"/>
              </w:rPr>
              <w:t>12.599</w:t>
            </w:r>
          </w:p>
        </w:tc>
        <w:tc>
          <w:tcPr>
            <w:tcW w:w="851" w:type="dxa"/>
            <w:tcBorders>
              <w:top w:val="nil"/>
              <w:bottom w:val="single" w:color="auto" w:sz="4" w:space="0"/>
              <w:right w:val="nil"/>
            </w:tcBorders>
            <w:vAlign w:val="bottom"/>
          </w:tcPr>
          <w:p w:rsidRPr="005433C6" w:rsidR="005433C6" w:rsidP="005433C6" w:rsidRDefault="005433C6" w14:paraId="31880E81" w14:textId="77777777">
            <w:pPr>
              <w:rPr>
                <w:sz w:val="16"/>
                <w:szCs w:val="16"/>
                <w:lang w:val="de-DE"/>
              </w:rPr>
            </w:pPr>
            <w:r w:rsidRPr="005433C6">
              <w:rPr>
                <w:rFonts w:cs="Calibri"/>
                <w:sz w:val="16"/>
                <w:szCs w:val="16"/>
              </w:rPr>
              <w:t>-15</w:t>
            </w:r>
          </w:p>
        </w:tc>
        <w:tc>
          <w:tcPr>
            <w:tcW w:w="709" w:type="dxa"/>
            <w:tcBorders>
              <w:top w:val="nil"/>
              <w:left w:val="nil"/>
              <w:bottom w:val="single" w:color="auto" w:sz="4" w:space="0"/>
              <w:right w:val="nil"/>
            </w:tcBorders>
            <w:vAlign w:val="bottom"/>
          </w:tcPr>
          <w:p w:rsidRPr="005433C6" w:rsidR="005433C6" w:rsidP="005433C6" w:rsidRDefault="005433C6" w14:paraId="4BA1386A" w14:textId="77777777">
            <w:pPr>
              <w:rPr>
                <w:sz w:val="16"/>
                <w:szCs w:val="16"/>
                <w:lang w:val="de-DE"/>
              </w:rPr>
            </w:pPr>
            <w:r w:rsidRPr="005433C6">
              <w:rPr>
                <w:rFonts w:cs="Calibri"/>
                <w:sz w:val="16"/>
                <w:szCs w:val="16"/>
              </w:rPr>
              <w:t>-15</w:t>
            </w:r>
          </w:p>
        </w:tc>
      </w:tr>
      <w:tr w:rsidRPr="00D572AE" w:rsidR="00DC5766" w:rsidTr="00EC66C8" w14:paraId="586A9F2F" w14:textId="77777777">
        <w:tc>
          <w:tcPr>
            <w:tcW w:w="2511" w:type="dxa"/>
            <w:tcBorders>
              <w:left w:val="nil"/>
              <w:bottom w:val="nil"/>
            </w:tcBorders>
          </w:tcPr>
          <w:p w:rsidRPr="005433C6" w:rsidR="00522488" w:rsidP="00522488" w:rsidRDefault="00522488" w14:paraId="685C8C22" w14:textId="77777777">
            <w:pPr>
              <w:rPr>
                <w:b/>
                <w:bCs/>
                <w:sz w:val="16"/>
                <w:szCs w:val="16"/>
                <w:lang w:val="de-DE"/>
              </w:rPr>
            </w:pPr>
            <w:r w:rsidRPr="005433C6">
              <w:rPr>
                <w:b/>
                <w:bCs/>
                <w:sz w:val="16"/>
                <w:szCs w:val="16"/>
                <w:lang w:val="de-DE"/>
              </w:rPr>
              <w:t xml:space="preserve">A </w:t>
            </w:r>
            <w:proofErr w:type="spellStart"/>
            <w:r w:rsidRPr="005433C6">
              <w:rPr>
                <w:b/>
                <w:bCs/>
                <w:sz w:val="16"/>
                <w:szCs w:val="16"/>
                <w:lang w:val="de-DE"/>
              </w:rPr>
              <w:t>Totaal</w:t>
            </w:r>
            <w:proofErr w:type="spellEnd"/>
            <w:r w:rsidRPr="005433C6">
              <w:rPr>
                <w:b/>
                <w:bCs/>
                <w:sz w:val="16"/>
                <w:szCs w:val="16"/>
                <w:lang w:val="de-DE"/>
              </w:rPr>
              <w:t xml:space="preserve"> </w:t>
            </w:r>
            <w:proofErr w:type="spellStart"/>
            <w:r w:rsidRPr="005433C6">
              <w:rPr>
                <w:b/>
                <w:bCs/>
                <w:sz w:val="16"/>
                <w:szCs w:val="16"/>
                <w:lang w:val="de-DE"/>
              </w:rPr>
              <w:t>begrotingscategorieën</w:t>
            </w:r>
            <w:proofErr w:type="spellEnd"/>
          </w:p>
        </w:tc>
        <w:tc>
          <w:tcPr>
            <w:tcW w:w="1035" w:type="dxa"/>
            <w:tcBorders>
              <w:bottom w:val="nil"/>
              <w:right w:val="nil"/>
            </w:tcBorders>
            <w:vAlign w:val="bottom"/>
          </w:tcPr>
          <w:p w:rsidRPr="005433C6" w:rsidR="00522488" w:rsidP="00522488" w:rsidRDefault="00522488" w14:paraId="4178D1DD" w14:textId="77777777">
            <w:pPr>
              <w:rPr>
                <w:sz w:val="16"/>
                <w:szCs w:val="16"/>
                <w:lang w:val="de-DE"/>
              </w:rPr>
            </w:pPr>
            <w:r w:rsidRPr="005433C6">
              <w:rPr>
                <w:b/>
                <w:bCs/>
                <w:sz w:val="16"/>
                <w:szCs w:val="16"/>
                <w:lang w:val="en-GB"/>
              </w:rPr>
              <w:t>193.047</w:t>
            </w:r>
          </w:p>
        </w:tc>
        <w:tc>
          <w:tcPr>
            <w:tcW w:w="992" w:type="dxa"/>
            <w:tcBorders>
              <w:left w:val="nil"/>
              <w:bottom w:val="nil"/>
            </w:tcBorders>
            <w:vAlign w:val="bottom"/>
          </w:tcPr>
          <w:p w:rsidRPr="005433C6" w:rsidR="00522488" w:rsidP="00522488" w:rsidRDefault="00522488" w14:paraId="5317F023" w14:textId="77777777">
            <w:pPr>
              <w:rPr>
                <w:sz w:val="16"/>
                <w:szCs w:val="16"/>
                <w:lang w:val="de-DE"/>
              </w:rPr>
            </w:pPr>
            <w:r w:rsidRPr="005433C6">
              <w:rPr>
                <w:b/>
                <w:bCs/>
                <w:sz w:val="16"/>
                <w:szCs w:val="16"/>
                <w:lang w:val="en-GB"/>
              </w:rPr>
              <w:t>147.091</w:t>
            </w:r>
          </w:p>
        </w:tc>
        <w:tc>
          <w:tcPr>
            <w:tcW w:w="1275" w:type="dxa"/>
            <w:tcBorders>
              <w:bottom w:val="nil"/>
              <w:right w:val="nil"/>
            </w:tcBorders>
          </w:tcPr>
          <w:p w:rsidRPr="005433C6" w:rsidR="00522488" w:rsidP="00522488" w:rsidRDefault="00522488" w14:paraId="58645B49" w14:textId="77777777">
            <w:pPr>
              <w:rPr>
                <w:sz w:val="16"/>
                <w:szCs w:val="16"/>
                <w:lang w:val="de-DE"/>
              </w:rPr>
            </w:pPr>
          </w:p>
          <w:p w:rsidRPr="005433C6" w:rsidR="00B878A4" w:rsidP="00522488" w:rsidRDefault="006966E1" w14:paraId="1D0EE0EE" w14:textId="77777777">
            <w:pPr>
              <w:rPr>
                <w:b/>
                <w:bCs/>
                <w:sz w:val="16"/>
                <w:szCs w:val="16"/>
                <w:lang w:val="de-DE"/>
              </w:rPr>
            </w:pPr>
            <w:r w:rsidRPr="005433C6">
              <w:rPr>
                <w:b/>
                <w:bCs/>
                <w:sz w:val="16"/>
                <w:szCs w:val="16"/>
                <w:lang w:val="de-DE"/>
              </w:rPr>
              <w:t>191.527</w:t>
            </w:r>
          </w:p>
        </w:tc>
        <w:tc>
          <w:tcPr>
            <w:tcW w:w="993" w:type="dxa"/>
            <w:tcBorders>
              <w:left w:val="nil"/>
              <w:bottom w:val="nil"/>
            </w:tcBorders>
          </w:tcPr>
          <w:p w:rsidRPr="005433C6" w:rsidR="00522488" w:rsidP="00522488" w:rsidRDefault="00522488" w14:paraId="5ED7C308" w14:textId="77777777">
            <w:pPr>
              <w:rPr>
                <w:sz w:val="16"/>
                <w:szCs w:val="16"/>
                <w:lang w:val="de-DE"/>
              </w:rPr>
            </w:pPr>
          </w:p>
          <w:p w:rsidRPr="005433C6" w:rsidR="006966E1" w:rsidP="00522488" w:rsidRDefault="006966E1" w14:paraId="1661E911" w14:textId="77777777">
            <w:pPr>
              <w:rPr>
                <w:b/>
                <w:bCs/>
                <w:sz w:val="16"/>
                <w:szCs w:val="16"/>
                <w:lang w:val="de-DE"/>
              </w:rPr>
            </w:pPr>
            <w:r w:rsidRPr="005433C6">
              <w:rPr>
                <w:b/>
                <w:bCs/>
                <w:sz w:val="16"/>
                <w:szCs w:val="16"/>
                <w:lang w:val="de-DE"/>
              </w:rPr>
              <w:t>146.215</w:t>
            </w:r>
          </w:p>
        </w:tc>
        <w:tc>
          <w:tcPr>
            <w:tcW w:w="851" w:type="dxa"/>
            <w:tcBorders>
              <w:bottom w:val="nil"/>
              <w:right w:val="nil"/>
            </w:tcBorders>
          </w:tcPr>
          <w:p w:rsidRPr="005433C6" w:rsidR="00522488" w:rsidP="00522488" w:rsidRDefault="00522488" w14:paraId="4536FEE0" w14:textId="77777777">
            <w:pPr>
              <w:rPr>
                <w:sz w:val="16"/>
                <w:szCs w:val="16"/>
                <w:lang w:val="de-DE"/>
              </w:rPr>
            </w:pPr>
          </w:p>
          <w:p w:rsidRPr="005433C6" w:rsidR="006966E1" w:rsidP="00522488" w:rsidRDefault="006966E1" w14:paraId="69DCBF13" w14:textId="77777777">
            <w:pPr>
              <w:rPr>
                <w:b/>
                <w:bCs/>
                <w:sz w:val="16"/>
                <w:szCs w:val="16"/>
                <w:lang w:val="de-DE"/>
              </w:rPr>
            </w:pPr>
            <w:r w:rsidRPr="005433C6">
              <w:rPr>
                <w:b/>
                <w:bCs/>
                <w:sz w:val="16"/>
                <w:szCs w:val="16"/>
                <w:lang w:val="de-DE"/>
              </w:rPr>
              <w:t>-1.520</w:t>
            </w:r>
          </w:p>
        </w:tc>
        <w:tc>
          <w:tcPr>
            <w:tcW w:w="709" w:type="dxa"/>
            <w:tcBorders>
              <w:left w:val="nil"/>
              <w:bottom w:val="nil"/>
              <w:right w:val="nil"/>
            </w:tcBorders>
          </w:tcPr>
          <w:p w:rsidRPr="005433C6" w:rsidR="00522488" w:rsidP="00522488" w:rsidRDefault="00522488" w14:paraId="549B24BA" w14:textId="77777777">
            <w:pPr>
              <w:rPr>
                <w:sz w:val="16"/>
                <w:szCs w:val="16"/>
                <w:lang w:val="de-DE"/>
              </w:rPr>
            </w:pPr>
          </w:p>
          <w:p w:rsidRPr="005433C6" w:rsidR="006966E1" w:rsidP="00522488" w:rsidRDefault="006966E1" w14:paraId="5EDCD1D4" w14:textId="77777777">
            <w:pPr>
              <w:rPr>
                <w:b/>
                <w:bCs/>
                <w:sz w:val="16"/>
                <w:szCs w:val="16"/>
                <w:lang w:val="de-DE"/>
              </w:rPr>
            </w:pPr>
            <w:r w:rsidRPr="005433C6">
              <w:rPr>
                <w:b/>
                <w:bCs/>
                <w:sz w:val="16"/>
                <w:szCs w:val="16"/>
                <w:lang w:val="de-DE"/>
              </w:rPr>
              <w:t>-876</w:t>
            </w:r>
          </w:p>
        </w:tc>
      </w:tr>
      <w:tr w:rsidRPr="00D572AE" w:rsidR="00915625" w:rsidTr="00EC66C8" w14:paraId="0F6317F2" w14:textId="77777777">
        <w:tc>
          <w:tcPr>
            <w:tcW w:w="2511" w:type="dxa"/>
            <w:tcBorders>
              <w:top w:val="nil"/>
              <w:left w:val="nil"/>
              <w:bottom w:val="nil"/>
            </w:tcBorders>
          </w:tcPr>
          <w:p w:rsidRPr="005433C6" w:rsidR="00915625" w:rsidP="00915625" w:rsidRDefault="00915625" w14:paraId="0D69C0DE" w14:textId="77777777">
            <w:pPr>
              <w:rPr>
                <w:sz w:val="16"/>
                <w:szCs w:val="16"/>
              </w:rPr>
            </w:pPr>
            <w:r w:rsidRPr="005433C6">
              <w:rPr>
                <w:b/>
                <w:bCs/>
                <w:sz w:val="16"/>
                <w:szCs w:val="16"/>
              </w:rPr>
              <w:t xml:space="preserve">B </w:t>
            </w:r>
            <w:r w:rsidRPr="005433C6">
              <w:rPr>
                <w:sz w:val="16"/>
                <w:szCs w:val="16"/>
              </w:rPr>
              <w:t>Inzet speciale instrumenten</w:t>
            </w:r>
          </w:p>
        </w:tc>
        <w:tc>
          <w:tcPr>
            <w:tcW w:w="1035" w:type="dxa"/>
            <w:tcBorders>
              <w:top w:val="nil"/>
              <w:bottom w:val="nil"/>
              <w:right w:val="nil"/>
            </w:tcBorders>
          </w:tcPr>
          <w:p w:rsidRPr="005433C6" w:rsidR="00915625" w:rsidP="00915625" w:rsidRDefault="00915625" w14:paraId="2D18C29E" w14:textId="77777777">
            <w:pPr>
              <w:rPr>
                <w:sz w:val="16"/>
                <w:szCs w:val="16"/>
              </w:rPr>
            </w:pPr>
          </w:p>
          <w:p w:rsidRPr="005433C6" w:rsidR="00915625" w:rsidP="00915625" w:rsidRDefault="00915625" w14:paraId="29EEE331" w14:textId="77777777">
            <w:pPr>
              <w:rPr>
                <w:sz w:val="16"/>
                <w:szCs w:val="16"/>
              </w:rPr>
            </w:pPr>
            <w:r w:rsidRPr="005433C6">
              <w:rPr>
                <w:sz w:val="16"/>
                <w:szCs w:val="16"/>
              </w:rPr>
              <w:t>2.922</w:t>
            </w:r>
          </w:p>
        </w:tc>
        <w:tc>
          <w:tcPr>
            <w:tcW w:w="992" w:type="dxa"/>
            <w:tcBorders>
              <w:top w:val="nil"/>
              <w:left w:val="nil"/>
              <w:bottom w:val="nil"/>
            </w:tcBorders>
          </w:tcPr>
          <w:p w:rsidRPr="005433C6" w:rsidR="00915625" w:rsidP="00915625" w:rsidRDefault="00915625" w14:paraId="4C8EA6B1" w14:textId="77777777">
            <w:pPr>
              <w:rPr>
                <w:sz w:val="16"/>
                <w:szCs w:val="16"/>
              </w:rPr>
            </w:pPr>
          </w:p>
          <w:p w:rsidRPr="005433C6" w:rsidR="00915625" w:rsidP="00915625" w:rsidRDefault="00915625" w14:paraId="179DB09D" w14:textId="77777777">
            <w:pPr>
              <w:rPr>
                <w:sz w:val="16"/>
                <w:szCs w:val="16"/>
              </w:rPr>
            </w:pPr>
            <w:r w:rsidRPr="005433C6">
              <w:rPr>
                <w:sz w:val="16"/>
                <w:szCs w:val="16"/>
              </w:rPr>
              <w:t>2.697</w:t>
            </w:r>
          </w:p>
        </w:tc>
        <w:tc>
          <w:tcPr>
            <w:tcW w:w="1275" w:type="dxa"/>
            <w:tcBorders>
              <w:top w:val="nil"/>
              <w:bottom w:val="nil"/>
              <w:right w:val="nil"/>
            </w:tcBorders>
          </w:tcPr>
          <w:p w:rsidRPr="005433C6" w:rsidR="00915625" w:rsidP="00915625" w:rsidRDefault="00915625" w14:paraId="178D487C" w14:textId="77777777">
            <w:pPr>
              <w:rPr>
                <w:sz w:val="16"/>
                <w:szCs w:val="16"/>
              </w:rPr>
            </w:pPr>
          </w:p>
          <w:p w:rsidRPr="005433C6" w:rsidR="00915625" w:rsidP="00915625" w:rsidRDefault="00915625" w14:paraId="22228189" w14:textId="77777777">
            <w:pPr>
              <w:rPr>
                <w:sz w:val="16"/>
                <w:szCs w:val="16"/>
              </w:rPr>
            </w:pPr>
            <w:r w:rsidRPr="005433C6">
              <w:rPr>
                <w:sz w:val="16"/>
                <w:szCs w:val="16"/>
              </w:rPr>
              <w:t>2.09</w:t>
            </w:r>
            <w:r w:rsidRPr="005433C6" w:rsidR="005433C6">
              <w:rPr>
                <w:sz w:val="16"/>
                <w:szCs w:val="16"/>
              </w:rPr>
              <w:t>9</w:t>
            </w:r>
          </w:p>
        </w:tc>
        <w:tc>
          <w:tcPr>
            <w:tcW w:w="993" w:type="dxa"/>
            <w:tcBorders>
              <w:top w:val="nil"/>
              <w:left w:val="nil"/>
              <w:bottom w:val="nil"/>
            </w:tcBorders>
          </w:tcPr>
          <w:p w:rsidRPr="005433C6" w:rsidR="00915625" w:rsidP="00915625" w:rsidRDefault="00915625" w14:paraId="20D018FF" w14:textId="77777777">
            <w:pPr>
              <w:rPr>
                <w:sz w:val="16"/>
                <w:szCs w:val="16"/>
              </w:rPr>
            </w:pPr>
          </w:p>
          <w:p w:rsidRPr="005433C6" w:rsidR="00915625" w:rsidP="00915625" w:rsidRDefault="00915625" w14:paraId="6A5BB943" w14:textId="77777777">
            <w:pPr>
              <w:rPr>
                <w:sz w:val="16"/>
                <w:szCs w:val="16"/>
              </w:rPr>
            </w:pPr>
            <w:r w:rsidRPr="005433C6">
              <w:rPr>
                <w:sz w:val="16"/>
                <w:szCs w:val="16"/>
              </w:rPr>
              <w:t>2.165</w:t>
            </w:r>
          </w:p>
        </w:tc>
        <w:tc>
          <w:tcPr>
            <w:tcW w:w="851" w:type="dxa"/>
            <w:tcBorders>
              <w:top w:val="nil"/>
              <w:bottom w:val="nil"/>
              <w:right w:val="nil"/>
            </w:tcBorders>
          </w:tcPr>
          <w:p w:rsidRPr="005433C6" w:rsidR="00915625" w:rsidP="00915625" w:rsidRDefault="00915625" w14:paraId="5BDF3C3E" w14:textId="77777777">
            <w:pPr>
              <w:rPr>
                <w:sz w:val="16"/>
                <w:szCs w:val="16"/>
              </w:rPr>
            </w:pPr>
          </w:p>
          <w:p w:rsidRPr="005433C6" w:rsidR="00915625" w:rsidP="00915625" w:rsidRDefault="00915625" w14:paraId="1E170EDC" w14:textId="77777777">
            <w:pPr>
              <w:rPr>
                <w:sz w:val="16"/>
                <w:szCs w:val="16"/>
              </w:rPr>
            </w:pPr>
            <w:r w:rsidRPr="005433C6">
              <w:rPr>
                <w:sz w:val="16"/>
                <w:szCs w:val="16"/>
              </w:rPr>
              <w:t>-824</w:t>
            </w:r>
          </w:p>
        </w:tc>
        <w:tc>
          <w:tcPr>
            <w:tcW w:w="709" w:type="dxa"/>
            <w:tcBorders>
              <w:top w:val="nil"/>
              <w:left w:val="nil"/>
              <w:bottom w:val="nil"/>
              <w:right w:val="nil"/>
            </w:tcBorders>
          </w:tcPr>
          <w:p w:rsidRPr="005433C6" w:rsidR="00915625" w:rsidP="00915625" w:rsidRDefault="00915625" w14:paraId="75A1DCD2" w14:textId="77777777">
            <w:pPr>
              <w:rPr>
                <w:sz w:val="16"/>
                <w:szCs w:val="16"/>
              </w:rPr>
            </w:pPr>
          </w:p>
          <w:p w:rsidRPr="005433C6" w:rsidR="00915625" w:rsidP="00915625" w:rsidRDefault="00915625" w14:paraId="5DA14864" w14:textId="77777777">
            <w:pPr>
              <w:rPr>
                <w:sz w:val="16"/>
                <w:szCs w:val="16"/>
              </w:rPr>
            </w:pPr>
            <w:r w:rsidRPr="005433C6">
              <w:rPr>
                <w:sz w:val="16"/>
                <w:szCs w:val="16"/>
              </w:rPr>
              <w:t>-532</w:t>
            </w:r>
          </w:p>
        </w:tc>
      </w:tr>
      <w:tr w:rsidRPr="00D572AE" w:rsidR="00E921DB" w:rsidTr="00EC66C8" w14:paraId="7088AFEB" w14:textId="77777777">
        <w:tc>
          <w:tcPr>
            <w:tcW w:w="2511" w:type="dxa"/>
            <w:tcBorders>
              <w:top w:val="nil"/>
              <w:left w:val="nil"/>
              <w:bottom w:val="nil"/>
            </w:tcBorders>
          </w:tcPr>
          <w:p w:rsidRPr="00E921DB" w:rsidR="00E921DB" w:rsidP="00915625" w:rsidRDefault="00E921DB" w14:paraId="679A5CCE" w14:textId="77777777">
            <w:pPr>
              <w:rPr>
                <w:i/>
                <w:iCs/>
                <w:sz w:val="16"/>
                <w:szCs w:val="16"/>
              </w:rPr>
            </w:pPr>
            <w:r w:rsidRPr="00E921DB">
              <w:rPr>
                <w:i/>
                <w:iCs/>
                <w:sz w:val="16"/>
                <w:szCs w:val="16"/>
              </w:rPr>
              <w:t xml:space="preserve"> Flexibiliteitsinstrument</w:t>
            </w:r>
          </w:p>
        </w:tc>
        <w:tc>
          <w:tcPr>
            <w:tcW w:w="1035" w:type="dxa"/>
            <w:tcBorders>
              <w:top w:val="nil"/>
              <w:bottom w:val="nil"/>
              <w:right w:val="nil"/>
            </w:tcBorders>
          </w:tcPr>
          <w:p w:rsidRPr="005433C6" w:rsidR="00E921DB" w:rsidP="00915625" w:rsidRDefault="00E921DB" w14:paraId="27E72607" w14:textId="77777777">
            <w:pPr>
              <w:rPr>
                <w:sz w:val="16"/>
                <w:szCs w:val="16"/>
              </w:rPr>
            </w:pPr>
            <w:r>
              <w:rPr>
                <w:sz w:val="16"/>
                <w:szCs w:val="16"/>
              </w:rPr>
              <w:t>1.193</w:t>
            </w:r>
          </w:p>
        </w:tc>
        <w:tc>
          <w:tcPr>
            <w:tcW w:w="992" w:type="dxa"/>
            <w:tcBorders>
              <w:top w:val="nil"/>
              <w:left w:val="nil"/>
              <w:bottom w:val="nil"/>
            </w:tcBorders>
          </w:tcPr>
          <w:p w:rsidRPr="005433C6" w:rsidR="00E921DB" w:rsidP="00915625" w:rsidRDefault="00E921DB" w14:paraId="69AA9030" w14:textId="77777777">
            <w:pPr>
              <w:rPr>
                <w:sz w:val="16"/>
                <w:szCs w:val="16"/>
              </w:rPr>
            </w:pPr>
            <w:r>
              <w:rPr>
                <w:sz w:val="16"/>
                <w:szCs w:val="16"/>
              </w:rPr>
              <w:t>1.458</w:t>
            </w:r>
          </w:p>
        </w:tc>
        <w:tc>
          <w:tcPr>
            <w:tcW w:w="1275" w:type="dxa"/>
            <w:tcBorders>
              <w:top w:val="nil"/>
              <w:bottom w:val="nil"/>
              <w:right w:val="nil"/>
            </w:tcBorders>
          </w:tcPr>
          <w:p w:rsidRPr="005433C6" w:rsidR="00E921DB" w:rsidP="00915625" w:rsidRDefault="00E921DB" w14:paraId="4F6A83BD" w14:textId="77777777">
            <w:pPr>
              <w:rPr>
                <w:sz w:val="16"/>
                <w:szCs w:val="16"/>
              </w:rPr>
            </w:pPr>
            <w:r>
              <w:rPr>
                <w:sz w:val="16"/>
                <w:szCs w:val="16"/>
              </w:rPr>
              <w:t>916</w:t>
            </w:r>
          </w:p>
        </w:tc>
        <w:tc>
          <w:tcPr>
            <w:tcW w:w="993" w:type="dxa"/>
            <w:tcBorders>
              <w:top w:val="nil"/>
              <w:left w:val="nil"/>
              <w:bottom w:val="nil"/>
            </w:tcBorders>
          </w:tcPr>
          <w:p w:rsidRPr="005433C6" w:rsidR="00E921DB" w:rsidP="00915625" w:rsidRDefault="00E921DB" w14:paraId="444CBEA1" w14:textId="77777777">
            <w:pPr>
              <w:rPr>
                <w:sz w:val="16"/>
                <w:szCs w:val="16"/>
              </w:rPr>
            </w:pPr>
            <w:r>
              <w:rPr>
                <w:sz w:val="16"/>
                <w:szCs w:val="16"/>
              </w:rPr>
              <w:t>1.458</w:t>
            </w:r>
          </w:p>
        </w:tc>
        <w:tc>
          <w:tcPr>
            <w:tcW w:w="851" w:type="dxa"/>
            <w:tcBorders>
              <w:top w:val="nil"/>
              <w:bottom w:val="nil"/>
              <w:right w:val="nil"/>
            </w:tcBorders>
          </w:tcPr>
          <w:p w:rsidRPr="005433C6" w:rsidR="00E921DB" w:rsidP="00915625" w:rsidRDefault="00E921DB" w14:paraId="4F39FF94" w14:textId="77777777">
            <w:pPr>
              <w:rPr>
                <w:sz w:val="16"/>
                <w:szCs w:val="16"/>
              </w:rPr>
            </w:pPr>
            <w:r>
              <w:rPr>
                <w:sz w:val="16"/>
                <w:szCs w:val="16"/>
              </w:rPr>
              <w:t>-277</w:t>
            </w:r>
          </w:p>
        </w:tc>
        <w:tc>
          <w:tcPr>
            <w:tcW w:w="709" w:type="dxa"/>
            <w:tcBorders>
              <w:top w:val="nil"/>
              <w:left w:val="nil"/>
              <w:bottom w:val="nil"/>
              <w:right w:val="nil"/>
            </w:tcBorders>
          </w:tcPr>
          <w:p w:rsidRPr="005433C6" w:rsidR="00E921DB" w:rsidP="00915625" w:rsidRDefault="00E921DB" w14:paraId="7F0EA97A" w14:textId="77777777">
            <w:pPr>
              <w:rPr>
                <w:sz w:val="16"/>
                <w:szCs w:val="16"/>
              </w:rPr>
            </w:pPr>
            <w:r>
              <w:rPr>
                <w:sz w:val="16"/>
                <w:szCs w:val="16"/>
              </w:rPr>
              <w:t>0</w:t>
            </w:r>
          </w:p>
        </w:tc>
      </w:tr>
      <w:tr w:rsidRPr="00D572AE" w:rsidR="00E921DB" w:rsidTr="00EC66C8" w14:paraId="7653DAFC" w14:textId="77777777">
        <w:tc>
          <w:tcPr>
            <w:tcW w:w="2511" w:type="dxa"/>
            <w:tcBorders>
              <w:top w:val="nil"/>
              <w:left w:val="nil"/>
              <w:bottom w:val="nil"/>
            </w:tcBorders>
          </w:tcPr>
          <w:p w:rsidRPr="00E921DB" w:rsidR="00E921DB" w:rsidP="00915625" w:rsidRDefault="00E921DB" w14:paraId="46D1BB4A" w14:textId="77777777">
            <w:pPr>
              <w:rPr>
                <w:i/>
                <w:iCs/>
                <w:sz w:val="16"/>
                <w:szCs w:val="16"/>
              </w:rPr>
            </w:pPr>
            <w:r w:rsidRPr="00E921DB">
              <w:rPr>
                <w:b/>
                <w:bCs/>
                <w:i/>
                <w:iCs/>
                <w:sz w:val="16"/>
                <w:szCs w:val="16"/>
              </w:rPr>
              <w:t xml:space="preserve"> </w:t>
            </w:r>
            <w:r w:rsidRPr="00E921DB">
              <w:rPr>
                <w:i/>
                <w:iCs/>
                <w:sz w:val="16"/>
                <w:szCs w:val="16"/>
              </w:rPr>
              <w:t xml:space="preserve">Single </w:t>
            </w:r>
            <w:proofErr w:type="spellStart"/>
            <w:r w:rsidRPr="00E921DB">
              <w:rPr>
                <w:i/>
                <w:iCs/>
                <w:sz w:val="16"/>
                <w:szCs w:val="16"/>
              </w:rPr>
              <w:t>Margin</w:t>
            </w:r>
            <w:proofErr w:type="spellEnd"/>
            <w:r w:rsidRPr="00E921DB">
              <w:rPr>
                <w:i/>
                <w:iCs/>
                <w:sz w:val="16"/>
                <w:szCs w:val="16"/>
              </w:rPr>
              <w:t xml:space="preserve"> Instrument</w:t>
            </w:r>
          </w:p>
        </w:tc>
        <w:tc>
          <w:tcPr>
            <w:tcW w:w="1035" w:type="dxa"/>
            <w:tcBorders>
              <w:top w:val="nil"/>
              <w:bottom w:val="nil"/>
              <w:right w:val="nil"/>
            </w:tcBorders>
          </w:tcPr>
          <w:p w:rsidRPr="005433C6" w:rsidR="00E921DB" w:rsidP="00915625" w:rsidRDefault="00E921DB" w14:paraId="770AD587" w14:textId="77777777">
            <w:pPr>
              <w:rPr>
                <w:sz w:val="16"/>
                <w:szCs w:val="16"/>
              </w:rPr>
            </w:pPr>
            <w:r>
              <w:rPr>
                <w:sz w:val="16"/>
                <w:szCs w:val="16"/>
              </w:rPr>
              <w:t>490</w:t>
            </w:r>
          </w:p>
        </w:tc>
        <w:tc>
          <w:tcPr>
            <w:tcW w:w="992" w:type="dxa"/>
            <w:tcBorders>
              <w:top w:val="nil"/>
              <w:left w:val="nil"/>
              <w:bottom w:val="nil"/>
            </w:tcBorders>
          </w:tcPr>
          <w:p w:rsidRPr="005433C6" w:rsidR="00E921DB" w:rsidP="00915625" w:rsidRDefault="00E921DB" w14:paraId="75AE9F77" w14:textId="77777777">
            <w:pPr>
              <w:rPr>
                <w:sz w:val="16"/>
                <w:szCs w:val="16"/>
              </w:rPr>
            </w:pPr>
            <w:r>
              <w:rPr>
                <w:sz w:val="16"/>
                <w:szCs w:val="16"/>
              </w:rPr>
              <w:t>0</w:t>
            </w:r>
          </w:p>
        </w:tc>
        <w:tc>
          <w:tcPr>
            <w:tcW w:w="1275" w:type="dxa"/>
            <w:tcBorders>
              <w:top w:val="nil"/>
              <w:bottom w:val="nil"/>
              <w:right w:val="nil"/>
            </w:tcBorders>
          </w:tcPr>
          <w:p w:rsidRPr="005433C6" w:rsidR="00E921DB" w:rsidP="00915625" w:rsidRDefault="00E921DB" w14:paraId="47288926" w14:textId="77777777">
            <w:pPr>
              <w:rPr>
                <w:sz w:val="16"/>
                <w:szCs w:val="16"/>
              </w:rPr>
            </w:pPr>
            <w:r>
              <w:rPr>
                <w:sz w:val="16"/>
                <w:szCs w:val="16"/>
              </w:rPr>
              <w:t>475</w:t>
            </w:r>
          </w:p>
        </w:tc>
        <w:tc>
          <w:tcPr>
            <w:tcW w:w="993" w:type="dxa"/>
            <w:tcBorders>
              <w:top w:val="nil"/>
              <w:left w:val="nil"/>
              <w:bottom w:val="nil"/>
            </w:tcBorders>
          </w:tcPr>
          <w:p w:rsidRPr="005433C6" w:rsidR="00E921DB" w:rsidP="00915625" w:rsidRDefault="00E921DB" w14:paraId="79224673" w14:textId="77777777">
            <w:pPr>
              <w:rPr>
                <w:sz w:val="16"/>
                <w:szCs w:val="16"/>
              </w:rPr>
            </w:pPr>
            <w:r>
              <w:rPr>
                <w:sz w:val="16"/>
                <w:szCs w:val="16"/>
              </w:rPr>
              <w:t>0</w:t>
            </w:r>
          </w:p>
        </w:tc>
        <w:tc>
          <w:tcPr>
            <w:tcW w:w="851" w:type="dxa"/>
            <w:tcBorders>
              <w:top w:val="nil"/>
              <w:bottom w:val="nil"/>
              <w:right w:val="nil"/>
            </w:tcBorders>
          </w:tcPr>
          <w:p w:rsidRPr="005433C6" w:rsidR="00E921DB" w:rsidP="00915625" w:rsidRDefault="00E921DB" w14:paraId="32F5AD34" w14:textId="77777777">
            <w:pPr>
              <w:rPr>
                <w:sz w:val="16"/>
                <w:szCs w:val="16"/>
              </w:rPr>
            </w:pPr>
            <w:r>
              <w:rPr>
                <w:sz w:val="16"/>
                <w:szCs w:val="16"/>
              </w:rPr>
              <w:t>-15</w:t>
            </w:r>
          </w:p>
        </w:tc>
        <w:tc>
          <w:tcPr>
            <w:tcW w:w="709" w:type="dxa"/>
            <w:tcBorders>
              <w:top w:val="nil"/>
              <w:left w:val="nil"/>
              <w:bottom w:val="nil"/>
              <w:right w:val="nil"/>
            </w:tcBorders>
          </w:tcPr>
          <w:p w:rsidRPr="005433C6" w:rsidR="00E921DB" w:rsidP="00915625" w:rsidRDefault="00E921DB" w14:paraId="16026E72" w14:textId="77777777">
            <w:pPr>
              <w:rPr>
                <w:sz w:val="16"/>
                <w:szCs w:val="16"/>
              </w:rPr>
            </w:pPr>
            <w:r>
              <w:rPr>
                <w:sz w:val="16"/>
                <w:szCs w:val="16"/>
              </w:rPr>
              <w:t>0</w:t>
            </w:r>
          </w:p>
        </w:tc>
      </w:tr>
      <w:tr w:rsidRPr="00D572AE" w:rsidR="00E921DB" w:rsidTr="00EC66C8" w14:paraId="297FE06F" w14:textId="77777777">
        <w:tc>
          <w:tcPr>
            <w:tcW w:w="2511" w:type="dxa"/>
            <w:tcBorders>
              <w:top w:val="nil"/>
              <w:left w:val="nil"/>
              <w:bottom w:val="nil"/>
            </w:tcBorders>
          </w:tcPr>
          <w:p w:rsidRPr="00E921DB" w:rsidR="00E921DB" w:rsidP="00915625" w:rsidRDefault="00E921DB" w14:paraId="0A04F202" w14:textId="77777777">
            <w:pPr>
              <w:rPr>
                <w:i/>
                <w:iCs/>
                <w:sz w:val="16"/>
                <w:szCs w:val="16"/>
              </w:rPr>
            </w:pPr>
            <w:r w:rsidRPr="00E921DB">
              <w:rPr>
                <w:b/>
                <w:bCs/>
                <w:i/>
                <w:iCs/>
                <w:sz w:val="16"/>
                <w:szCs w:val="16"/>
              </w:rPr>
              <w:t xml:space="preserve"> </w:t>
            </w:r>
            <w:r w:rsidRPr="00E921DB">
              <w:rPr>
                <w:i/>
                <w:iCs/>
                <w:sz w:val="16"/>
                <w:szCs w:val="16"/>
              </w:rPr>
              <w:t>EURI</w:t>
            </w:r>
            <w:r>
              <w:rPr>
                <w:i/>
                <w:iCs/>
                <w:sz w:val="16"/>
                <w:szCs w:val="16"/>
              </w:rPr>
              <w:t>-instrument</w:t>
            </w:r>
          </w:p>
        </w:tc>
        <w:tc>
          <w:tcPr>
            <w:tcW w:w="1035" w:type="dxa"/>
            <w:tcBorders>
              <w:top w:val="nil"/>
              <w:bottom w:val="nil"/>
              <w:right w:val="nil"/>
            </w:tcBorders>
          </w:tcPr>
          <w:p w:rsidRPr="005433C6" w:rsidR="00E921DB" w:rsidP="00915625" w:rsidRDefault="00E921DB" w14:paraId="7AC4DEF6" w14:textId="77777777">
            <w:pPr>
              <w:rPr>
                <w:sz w:val="16"/>
                <w:szCs w:val="16"/>
              </w:rPr>
            </w:pPr>
            <w:r>
              <w:rPr>
                <w:sz w:val="16"/>
                <w:szCs w:val="16"/>
              </w:rPr>
              <w:t>1.239</w:t>
            </w:r>
          </w:p>
        </w:tc>
        <w:tc>
          <w:tcPr>
            <w:tcW w:w="992" w:type="dxa"/>
            <w:tcBorders>
              <w:top w:val="nil"/>
              <w:left w:val="nil"/>
              <w:bottom w:val="nil"/>
            </w:tcBorders>
          </w:tcPr>
          <w:p w:rsidRPr="005433C6" w:rsidR="00E921DB" w:rsidP="00915625" w:rsidRDefault="00E921DB" w14:paraId="6DAA71F5" w14:textId="77777777">
            <w:pPr>
              <w:rPr>
                <w:sz w:val="16"/>
                <w:szCs w:val="16"/>
              </w:rPr>
            </w:pPr>
            <w:r>
              <w:rPr>
                <w:sz w:val="16"/>
                <w:szCs w:val="16"/>
              </w:rPr>
              <w:t>1.239</w:t>
            </w:r>
          </w:p>
        </w:tc>
        <w:tc>
          <w:tcPr>
            <w:tcW w:w="1275" w:type="dxa"/>
            <w:tcBorders>
              <w:top w:val="nil"/>
              <w:bottom w:val="nil"/>
              <w:right w:val="nil"/>
            </w:tcBorders>
          </w:tcPr>
          <w:p w:rsidRPr="005433C6" w:rsidR="00E921DB" w:rsidP="00915625" w:rsidRDefault="00E921DB" w14:paraId="3EE2C81A" w14:textId="77777777">
            <w:pPr>
              <w:rPr>
                <w:sz w:val="16"/>
                <w:szCs w:val="16"/>
              </w:rPr>
            </w:pPr>
            <w:r>
              <w:rPr>
                <w:sz w:val="16"/>
                <w:szCs w:val="16"/>
              </w:rPr>
              <w:t>708</w:t>
            </w:r>
          </w:p>
        </w:tc>
        <w:tc>
          <w:tcPr>
            <w:tcW w:w="993" w:type="dxa"/>
            <w:tcBorders>
              <w:top w:val="nil"/>
              <w:left w:val="nil"/>
              <w:bottom w:val="nil"/>
            </w:tcBorders>
          </w:tcPr>
          <w:p w:rsidRPr="005433C6" w:rsidR="00E921DB" w:rsidP="00915625" w:rsidRDefault="00E921DB" w14:paraId="1D237047" w14:textId="77777777">
            <w:pPr>
              <w:rPr>
                <w:sz w:val="16"/>
                <w:szCs w:val="16"/>
              </w:rPr>
            </w:pPr>
            <w:r>
              <w:rPr>
                <w:sz w:val="16"/>
                <w:szCs w:val="16"/>
              </w:rPr>
              <w:t>708</w:t>
            </w:r>
          </w:p>
        </w:tc>
        <w:tc>
          <w:tcPr>
            <w:tcW w:w="851" w:type="dxa"/>
            <w:tcBorders>
              <w:top w:val="nil"/>
              <w:bottom w:val="nil"/>
              <w:right w:val="nil"/>
            </w:tcBorders>
          </w:tcPr>
          <w:p w:rsidRPr="005433C6" w:rsidR="00E921DB" w:rsidP="00915625" w:rsidRDefault="00E921DB" w14:paraId="73971DAB" w14:textId="77777777">
            <w:pPr>
              <w:rPr>
                <w:sz w:val="16"/>
                <w:szCs w:val="16"/>
              </w:rPr>
            </w:pPr>
            <w:r>
              <w:rPr>
                <w:sz w:val="16"/>
                <w:szCs w:val="16"/>
              </w:rPr>
              <w:t>-532</w:t>
            </w:r>
          </w:p>
        </w:tc>
        <w:tc>
          <w:tcPr>
            <w:tcW w:w="709" w:type="dxa"/>
            <w:tcBorders>
              <w:top w:val="nil"/>
              <w:left w:val="nil"/>
              <w:bottom w:val="nil"/>
              <w:right w:val="nil"/>
            </w:tcBorders>
          </w:tcPr>
          <w:p w:rsidRPr="005433C6" w:rsidR="00E921DB" w:rsidP="00915625" w:rsidRDefault="00E921DB" w14:paraId="075A2D13" w14:textId="77777777">
            <w:pPr>
              <w:rPr>
                <w:sz w:val="16"/>
                <w:szCs w:val="16"/>
              </w:rPr>
            </w:pPr>
            <w:r>
              <w:rPr>
                <w:sz w:val="16"/>
                <w:szCs w:val="16"/>
              </w:rPr>
              <w:t>-532</w:t>
            </w:r>
          </w:p>
        </w:tc>
      </w:tr>
      <w:tr w:rsidRPr="00D572AE" w:rsidR="005433C6" w:rsidTr="00EC66C8" w14:paraId="252C7757" w14:textId="77777777">
        <w:tc>
          <w:tcPr>
            <w:tcW w:w="2511" w:type="dxa"/>
            <w:tcBorders>
              <w:top w:val="nil"/>
              <w:left w:val="nil"/>
              <w:bottom w:val="nil"/>
            </w:tcBorders>
          </w:tcPr>
          <w:p w:rsidRPr="005433C6" w:rsidR="005433C6" w:rsidP="005433C6" w:rsidRDefault="005433C6" w14:paraId="29D1D473" w14:textId="77777777">
            <w:pPr>
              <w:rPr>
                <w:sz w:val="16"/>
                <w:szCs w:val="16"/>
              </w:rPr>
            </w:pPr>
            <w:r w:rsidRPr="005433C6">
              <w:rPr>
                <w:b/>
                <w:bCs/>
                <w:sz w:val="16"/>
                <w:szCs w:val="16"/>
              </w:rPr>
              <w:t xml:space="preserve">C </w:t>
            </w:r>
            <w:r w:rsidRPr="005433C6">
              <w:rPr>
                <w:sz w:val="16"/>
                <w:szCs w:val="16"/>
              </w:rPr>
              <w:t>Marge onder het MFK-plafond</w:t>
            </w:r>
          </w:p>
        </w:tc>
        <w:tc>
          <w:tcPr>
            <w:tcW w:w="1035" w:type="dxa"/>
            <w:tcBorders>
              <w:top w:val="nil"/>
              <w:bottom w:val="nil"/>
              <w:right w:val="nil"/>
            </w:tcBorders>
          </w:tcPr>
          <w:p w:rsidRPr="005433C6" w:rsidR="005433C6" w:rsidP="005433C6" w:rsidRDefault="005433C6" w14:paraId="71CFF63F" w14:textId="77777777">
            <w:pPr>
              <w:rPr>
                <w:rFonts w:cs="Calibri"/>
                <w:sz w:val="16"/>
                <w:szCs w:val="16"/>
              </w:rPr>
            </w:pPr>
          </w:p>
          <w:p w:rsidRPr="005433C6" w:rsidR="005433C6" w:rsidP="005433C6" w:rsidRDefault="005433C6" w14:paraId="5226D11C" w14:textId="77777777">
            <w:pPr>
              <w:rPr>
                <w:sz w:val="16"/>
                <w:szCs w:val="16"/>
              </w:rPr>
            </w:pPr>
            <w:r w:rsidRPr="005433C6">
              <w:rPr>
                <w:rFonts w:cs="Calibri"/>
                <w:sz w:val="16"/>
                <w:szCs w:val="16"/>
              </w:rPr>
              <w:t>419</w:t>
            </w:r>
          </w:p>
        </w:tc>
        <w:tc>
          <w:tcPr>
            <w:tcW w:w="992" w:type="dxa"/>
            <w:tcBorders>
              <w:top w:val="nil"/>
              <w:left w:val="nil"/>
              <w:bottom w:val="nil"/>
            </w:tcBorders>
          </w:tcPr>
          <w:p w:rsidRPr="005433C6" w:rsidR="005433C6" w:rsidP="005433C6" w:rsidRDefault="005433C6" w14:paraId="363113B0" w14:textId="77777777">
            <w:pPr>
              <w:rPr>
                <w:rFonts w:cs="Calibri"/>
                <w:sz w:val="16"/>
                <w:szCs w:val="16"/>
              </w:rPr>
            </w:pPr>
          </w:p>
          <w:p w:rsidRPr="005433C6" w:rsidR="005433C6" w:rsidP="005433C6" w:rsidRDefault="005433C6" w14:paraId="13CD0BBA" w14:textId="77777777">
            <w:pPr>
              <w:rPr>
                <w:sz w:val="16"/>
                <w:szCs w:val="16"/>
              </w:rPr>
            </w:pPr>
            <w:r w:rsidRPr="005433C6">
              <w:rPr>
                <w:rFonts w:cs="Calibri"/>
                <w:sz w:val="16"/>
                <w:szCs w:val="16"/>
              </w:rPr>
              <w:t>30.984</w:t>
            </w:r>
          </w:p>
        </w:tc>
        <w:tc>
          <w:tcPr>
            <w:tcW w:w="1275" w:type="dxa"/>
            <w:tcBorders>
              <w:top w:val="nil"/>
              <w:bottom w:val="nil"/>
              <w:right w:val="nil"/>
            </w:tcBorders>
          </w:tcPr>
          <w:p w:rsidRPr="005433C6" w:rsidR="005433C6" w:rsidP="005433C6" w:rsidRDefault="005433C6" w14:paraId="3C47884E" w14:textId="77777777">
            <w:pPr>
              <w:rPr>
                <w:rFonts w:cs="Calibri"/>
                <w:sz w:val="16"/>
                <w:szCs w:val="16"/>
              </w:rPr>
            </w:pPr>
          </w:p>
          <w:p w:rsidRPr="005433C6" w:rsidR="005433C6" w:rsidP="005433C6" w:rsidRDefault="005433C6" w14:paraId="1F44F8D9" w14:textId="77777777">
            <w:pPr>
              <w:rPr>
                <w:sz w:val="16"/>
                <w:szCs w:val="16"/>
              </w:rPr>
            </w:pPr>
            <w:r w:rsidRPr="005433C6">
              <w:rPr>
                <w:rFonts w:cs="Calibri"/>
                <w:sz w:val="16"/>
                <w:szCs w:val="16"/>
              </w:rPr>
              <w:t>1.116</w:t>
            </w:r>
          </w:p>
        </w:tc>
        <w:tc>
          <w:tcPr>
            <w:tcW w:w="993" w:type="dxa"/>
            <w:tcBorders>
              <w:top w:val="nil"/>
              <w:left w:val="nil"/>
              <w:bottom w:val="nil"/>
            </w:tcBorders>
          </w:tcPr>
          <w:p w:rsidRPr="005433C6" w:rsidR="005433C6" w:rsidP="005433C6" w:rsidRDefault="005433C6" w14:paraId="340B4E83" w14:textId="77777777">
            <w:pPr>
              <w:rPr>
                <w:rFonts w:cs="Calibri"/>
                <w:sz w:val="16"/>
                <w:szCs w:val="16"/>
              </w:rPr>
            </w:pPr>
          </w:p>
          <w:p w:rsidRPr="005433C6" w:rsidR="005433C6" w:rsidP="005433C6" w:rsidRDefault="005433C6" w14:paraId="30CFBB7A" w14:textId="77777777">
            <w:pPr>
              <w:rPr>
                <w:sz w:val="16"/>
                <w:szCs w:val="16"/>
              </w:rPr>
            </w:pPr>
            <w:r w:rsidRPr="005433C6">
              <w:rPr>
                <w:rFonts w:cs="Calibri"/>
                <w:sz w:val="16"/>
                <w:szCs w:val="16"/>
              </w:rPr>
              <w:t>31.329</w:t>
            </w:r>
          </w:p>
        </w:tc>
        <w:tc>
          <w:tcPr>
            <w:tcW w:w="851" w:type="dxa"/>
            <w:tcBorders>
              <w:top w:val="nil"/>
              <w:bottom w:val="nil"/>
              <w:right w:val="nil"/>
            </w:tcBorders>
            <w:vAlign w:val="bottom"/>
          </w:tcPr>
          <w:p w:rsidRPr="005433C6" w:rsidR="005433C6" w:rsidP="005433C6" w:rsidRDefault="005433C6" w14:paraId="2C580087" w14:textId="77777777">
            <w:pPr>
              <w:rPr>
                <w:sz w:val="16"/>
                <w:szCs w:val="16"/>
              </w:rPr>
            </w:pPr>
            <w:r w:rsidRPr="005433C6">
              <w:rPr>
                <w:rFonts w:cs="Calibri"/>
                <w:sz w:val="16"/>
                <w:szCs w:val="16"/>
              </w:rPr>
              <w:t>696</w:t>
            </w:r>
          </w:p>
        </w:tc>
        <w:tc>
          <w:tcPr>
            <w:tcW w:w="709" w:type="dxa"/>
            <w:tcBorders>
              <w:top w:val="nil"/>
              <w:left w:val="nil"/>
              <w:bottom w:val="nil"/>
              <w:right w:val="nil"/>
            </w:tcBorders>
            <w:vAlign w:val="bottom"/>
          </w:tcPr>
          <w:p w:rsidRPr="005433C6" w:rsidR="005433C6" w:rsidP="005433C6" w:rsidRDefault="005433C6" w14:paraId="47190047" w14:textId="77777777">
            <w:pPr>
              <w:rPr>
                <w:sz w:val="16"/>
                <w:szCs w:val="16"/>
              </w:rPr>
            </w:pPr>
            <w:r w:rsidRPr="005433C6">
              <w:rPr>
                <w:rFonts w:cs="Calibri"/>
                <w:sz w:val="16"/>
                <w:szCs w:val="16"/>
              </w:rPr>
              <w:t>344</w:t>
            </w:r>
          </w:p>
        </w:tc>
      </w:tr>
      <w:tr w:rsidRPr="00D572AE" w:rsidR="00DC5766" w:rsidTr="00EC66C8" w14:paraId="4B9A9C21" w14:textId="77777777">
        <w:tc>
          <w:tcPr>
            <w:tcW w:w="2511" w:type="dxa"/>
            <w:tcBorders>
              <w:top w:val="nil"/>
              <w:left w:val="nil"/>
              <w:bottom w:val="nil"/>
            </w:tcBorders>
          </w:tcPr>
          <w:p w:rsidRPr="005433C6" w:rsidR="00522488" w:rsidP="00522488" w:rsidRDefault="00522488" w14:paraId="35EB0C63" w14:textId="77777777">
            <w:pPr>
              <w:rPr>
                <w:b/>
                <w:bCs/>
                <w:sz w:val="16"/>
                <w:szCs w:val="16"/>
              </w:rPr>
            </w:pPr>
            <w:r w:rsidRPr="005433C6">
              <w:rPr>
                <w:b/>
                <w:bCs/>
                <w:sz w:val="16"/>
                <w:szCs w:val="16"/>
              </w:rPr>
              <w:t>D Totaal MFK-plafond (A</w:t>
            </w:r>
            <w:r w:rsidRPr="005433C6" w:rsidR="00915625">
              <w:rPr>
                <w:b/>
                <w:bCs/>
                <w:sz w:val="16"/>
                <w:szCs w:val="16"/>
              </w:rPr>
              <w:t>-</w:t>
            </w:r>
            <w:r w:rsidRPr="005433C6">
              <w:rPr>
                <w:b/>
                <w:bCs/>
                <w:sz w:val="16"/>
                <w:szCs w:val="16"/>
              </w:rPr>
              <w:t>B</w:t>
            </w:r>
            <w:r w:rsidRPr="005433C6" w:rsidR="00915625">
              <w:rPr>
                <w:b/>
                <w:bCs/>
                <w:sz w:val="16"/>
                <w:szCs w:val="16"/>
              </w:rPr>
              <w:t>+</w:t>
            </w:r>
            <w:r w:rsidRPr="005433C6">
              <w:rPr>
                <w:b/>
                <w:bCs/>
                <w:sz w:val="16"/>
                <w:szCs w:val="16"/>
              </w:rPr>
              <w:t>C)</w:t>
            </w:r>
          </w:p>
        </w:tc>
        <w:tc>
          <w:tcPr>
            <w:tcW w:w="1035" w:type="dxa"/>
            <w:tcBorders>
              <w:top w:val="nil"/>
              <w:bottom w:val="nil"/>
              <w:right w:val="nil"/>
            </w:tcBorders>
          </w:tcPr>
          <w:p w:rsidRPr="005433C6" w:rsidR="00D572AE" w:rsidP="00522488" w:rsidRDefault="00D572AE" w14:paraId="15470C42" w14:textId="77777777">
            <w:pPr>
              <w:rPr>
                <w:sz w:val="16"/>
                <w:szCs w:val="16"/>
              </w:rPr>
            </w:pPr>
          </w:p>
          <w:p w:rsidRPr="005433C6" w:rsidR="00522488" w:rsidP="00522488" w:rsidRDefault="00522488" w14:paraId="61ADEEBB" w14:textId="77777777">
            <w:pPr>
              <w:rPr>
                <w:sz w:val="16"/>
                <w:szCs w:val="16"/>
              </w:rPr>
            </w:pPr>
            <w:r w:rsidRPr="005433C6">
              <w:rPr>
                <w:sz w:val="16"/>
                <w:szCs w:val="16"/>
                <w:lang w:val="en-GB"/>
              </w:rPr>
              <w:t>190.544</w:t>
            </w:r>
          </w:p>
        </w:tc>
        <w:tc>
          <w:tcPr>
            <w:tcW w:w="992" w:type="dxa"/>
            <w:tcBorders>
              <w:top w:val="nil"/>
              <w:left w:val="nil"/>
              <w:bottom w:val="nil"/>
            </w:tcBorders>
          </w:tcPr>
          <w:p w:rsidRPr="005433C6" w:rsidR="00D572AE" w:rsidP="00522488" w:rsidRDefault="00D572AE" w14:paraId="68AC62F5" w14:textId="77777777">
            <w:pPr>
              <w:rPr>
                <w:sz w:val="16"/>
                <w:szCs w:val="16"/>
                <w:lang w:val="en-GB"/>
              </w:rPr>
            </w:pPr>
          </w:p>
          <w:p w:rsidRPr="005433C6" w:rsidR="00522488" w:rsidP="00522488" w:rsidRDefault="00522488" w14:paraId="385D47D7" w14:textId="77777777">
            <w:pPr>
              <w:rPr>
                <w:sz w:val="16"/>
                <w:szCs w:val="16"/>
              </w:rPr>
            </w:pPr>
            <w:r w:rsidRPr="005433C6">
              <w:rPr>
                <w:sz w:val="16"/>
                <w:szCs w:val="16"/>
                <w:lang w:val="en-GB"/>
              </w:rPr>
              <w:t>175.378</w:t>
            </w:r>
          </w:p>
        </w:tc>
        <w:tc>
          <w:tcPr>
            <w:tcW w:w="1275" w:type="dxa"/>
            <w:tcBorders>
              <w:top w:val="nil"/>
              <w:bottom w:val="nil"/>
              <w:right w:val="nil"/>
            </w:tcBorders>
          </w:tcPr>
          <w:p w:rsidRPr="005433C6" w:rsidR="00D572AE" w:rsidP="00522488" w:rsidRDefault="00D572AE" w14:paraId="6D99E017" w14:textId="77777777">
            <w:pPr>
              <w:rPr>
                <w:sz w:val="16"/>
                <w:szCs w:val="16"/>
              </w:rPr>
            </w:pPr>
          </w:p>
          <w:p w:rsidRPr="005433C6" w:rsidR="00522488" w:rsidP="00522488" w:rsidRDefault="00EC6C0B" w14:paraId="4336BC28" w14:textId="77777777">
            <w:pPr>
              <w:rPr>
                <w:sz w:val="16"/>
                <w:szCs w:val="16"/>
              </w:rPr>
            </w:pPr>
            <w:r w:rsidRPr="005433C6">
              <w:rPr>
                <w:sz w:val="16"/>
                <w:szCs w:val="16"/>
              </w:rPr>
              <w:t>190.544</w:t>
            </w:r>
          </w:p>
        </w:tc>
        <w:tc>
          <w:tcPr>
            <w:tcW w:w="993" w:type="dxa"/>
            <w:tcBorders>
              <w:top w:val="nil"/>
              <w:left w:val="nil"/>
              <w:bottom w:val="nil"/>
            </w:tcBorders>
          </w:tcPr>
          <w:p w:rsidRPr="005433C6" w:rsidR="00D572AE" w:rsidP="00522488" w:rsidRDefault="00D572AE" w14:paraId="25DD104B" w14:textId="77777777">
            <w:pPr>
              <w:rPr>
                <w:sz w:val="16"/>
                <w:szCs w:val="16"/>
              </w:rPr>
            </w:pPr>
          </w:p>
          <w:p w:rsidRPr="005433C6" w:rsidR="00522488" w:rsidP="00522488" w:rsidRDefault="00EC6C0B" w14:paraId="2CC6C4D8" w14:textId="77777777">
            <w:pPr>
              <w:rPr>
                <w:sz w:val="16"/>
                <w:szCs w:val="16"/>
              </w:rPr>
            </w:pPr>
            <w:r w:rsidRPr="005433C6">
              <w:rPr>
                <w:sz w:val="16"/>
                <w:szCs w:val="16"/>
              </w:rPr>
              <w:t>175.378</w:t>
            </w:r>
          </w:p>
        </w:tc>
        <w:tc>
          <w:tcPr>
            <w:tcW w:w="851" w:type="dxa"/>
            <w:tcBorders>
              <w:top w:val="nil"/>
              <w:bottom w:val="nil"/>
              <w:right w:val="nil"/>
            </w:tcBorders>
          </w:tcPr>
          <w:p w:rsidRPr="005433C6" w:rsidR="00D572AE" w:rsidP="00522488" w:rsidRDefault="00D572AE" w14:paraId="607A63C4" w14:textId="77777777">
            <w:pPr>
              <w:rPr>
                <w:sz w:val="16"/>
                <w:szCs w:val="16"/>
              </w:rPr>
            </w:pPr>
          </w:p>
          <w:p w:rsidRPr="005433C6" w:rsidR="00522488" w:rsidP="00522488" w:rsidRDefault="00EC6C0B" w14:paraId="5252331D" w14:textId="77777777">
            <w:pPr>
              <w:rPr>
                <w:sz w:val="16"/>
                <w:szCs w:val="16"/>
              </w:rPr>
            </w:pPr>
            <w:r w:rsidRPr="005433C6">
              <w:rPr>
                <w:sz w:val="16"/>
                <w:szCs w:val="16"/>
              </w:rPr>
              <w:t>0</w:t>
            </w:r>
          </w:p>
        </w:tc>
        <w:tc>
          <w:tcPr>
            <w:tcW w:w="709" w:type="dxa"/>
            <w:tcBorders>
              <w:top w:val="nil"/>
              <w:left w:val="nil"/>
              <w:bottom w:val="nil"/>
              <w:right w:val="nil"/>
            </w:tcBorders>
          </w:tcPr>
          <w:p w:rsidRPr="005433C6" w:rsidR="00D572AE" w:rsidP="00522488" w:rsidRDefault="00D572AE" w14:paraId="367FC25E" w14:textId="77777777">
            <w:pPr>
              <w:rPr>
                <w:sz w:val="16"/>
                <w:szCs w:val="16"/>
              </w:rPr>
            </w:pPr>
          </w:p>
          <w:p w:rsidRPr="005433C6" w:rsidR="00522488" w:rsidP="00522488" w:rsidRDefault="00EC6C0B" w14:paraId="5E505A07" w14:textId="77777777">
            <w:pPr>
              <w:rPr>
                <w:sz w:val="16"/>
                <w:szCs w:val="16"/>
              </w:rPr>
            </w:pPr>
            <w:r w:rsidRPr="005433C6">
              <w:rPr>
                <w:sz w:val="16"/>
                <w:szCs w:val="16"/>
              </w:rPr>
              <w:t>0</w:t>
            </w:r>
          </w:p>
        </w:tc>
      </w:tr>
      <w:tr w:rsidRPr="00D572AE" w:rsidR="00DC5766" w:rsidTr="00EC66C8" w14:paraId="46C20F71" w14:textId="77777777">
        <w:tc>
          <w:tcPr>
            <w:tcW w:w="2511" w:type="dxa"/>
            <w:tcBorders>
              <w:top w:val="nil"/>
              <w:left w:val="nil"/>
            </w:tcBorders>
          </w:tcPr>
          <w:p w:rsidRPr="005433C6" w:rsidR="00522488" w:rsidP="00522488" w:rsidRDefault="00522488" w14:paraId="056472D0" w14:textId="77777777">
            <w:pPr>
              <w:rPr>
                <w:sz w:val="16"/>
                <w:szCs w:val="16"/>
              </w:rPr>
            </w:pPr>
            <w:r w:rsidRPr="005433C6">
              <w:rPr>
                <w:b/>
                <w:bCs/>
                <w:sz w:val="16"/>
                <w:szCs w:val="16"/>
              </w:rPr>
              <w:t xml:space="preserve">E </w:t>
            </w:r>
            <w:r w:rsidRPr="005433C6">
              <w:rPr>
                <w:sz w:val="16"/>
                <w:szCs w:val="16"/>
              </w:rPr>
              <w:t>Thematische speciale instrumenten</w:t>
            </w:r>
          </w:p>
        </w:tc>
        <w:tc>
          <w:tcPr>
            <w:tcW w:w="1035" w:type="dxa"/>
            <w:tcBorders>
              <w:top w:val="nil"/>
              <w:bottom w:val="single" w:color="auto" w:sz="4" w:space="0"/>
              <w:right w:val="nil"/>
            </w:tcBorders>
          </w:tcPr>
          <w:p w:rsidRPr="005433C6" w:rsidR="00D572AE" w:rsidP="00522488" w:rsidRDefault="00D572AE" w14:paraId="79953A59" w14:textId="77777777">
            <w:pPr>
              <w:rPr>
                <w:sz w:val="16"/>
                <w:szCs w:val="16"/>
                <w:lang w:val="en-GB"/>
              </w:rPr>
            </w:pPr>
          </w:p>
          <w:p w:rsidRPr="005433C6" w:rsidR="00522488" w:rsidP="00522488" w:rsidRDefault="00522488" w14:paraId="6CEC6FA6" w14:textId="77777777">
            <w:pPr>
              <w:rPr>
                <w:sz w:val="16"/>
                <w:szCs w:val="16"/>
              </w:rPr>
            </w:pPr>
            <w:r w:rsidRPr="005433C6">
              <w:rPr>
                <w:sz w:val="16"/>
                <w:szCs w:val="16"/>
                <w:lang w:val="en-GB"/>
              </w:rPr>
              <w:t>6.670</w:t>
            </w:r>
          </w:p>
        </w:tc>
        <w:tc>
          <w:tcPr>
            <w:tcW w:w="992" w:type="dxa"/>
            <w:tcBorders>
              <w:top w:val="nil"/>
              <w:left w:val="nil"/>
              <w:bottom w:val="single" w:color="auto" w:sz="4" w:space="0"/>
            </w:tcBorders>
          </w:tcPr>
          <w:p w:rsidRPr="005433C6" w:rsidR="00D572AE" w:rsidP="00522488" w:rsidRDefault="00D572AE" w14:paraId="4584354E" w14:textId="77777777">
            <w:pPr>
              <w:rPr>
                <w:sz w:val="16"/>
                <w:szCs w:val="16"/>
                <w:lang w:val="en-GB"/>
              </w:rPr>
            </w:pPr>
          </w:p>
          <w:p w:rsidRPr="005433C6" w:rsidR="00522488" w:rsidP="00522488" w:rsidRDefault="00522488" w14:paraId="7BFDD0DE" w14:textId="77777777">
            <w:pPr>
              <w:rPr>
                <w:sz w:val="16"/>
                <w:szCs w:val="16"/>
              </w:rPr>
            </w:pPr>
            <w:r w:rsidRPr="005433C6">
              <w:rPr>
                <w:sz w:val="16"/>
                <w:szCs w:val="16"/>
                <w:lang w:val="en-GB"/>
              </w:rPr>
              <w:t>5.594</w:t>
            </w:r>
          </w:p>
        </w:tc>
        <w:tc>
          <w:tcPr>
            <w:tcW w:w="1275" w:type="dxa"/>
            <w:tcBorders>
              <w:top w:val="nil"/>
              <w:bottom w:val="single" w:color="auto" w:sz="4" w:space="0"/>
              <w:right w:val="nil"/>
            </w:tcBorders>
          </w:tcPr>
          <w:p w:rsidRPr="005433C6" w:rsidR="00D572AE" w:rsidP="00522488" w:rsidRDefault="00D572AE" w14:paraId="5342C531" w14:textId="77777777">
            <w:pPr>
              <w:rPr>
                <w:sz w:val="16"/>
                <w:szCs w:val="16"/>
              </w:rPr>
            </w:pPr>
          </w:p>
          <w:p w:rsidRPr="005433C6" w:rsidR="00522488" w:rsidP="00522488" w:rsidRDefault="00EC6C0B" w14:paraId="4393BC0C" w14:textId="77777777">
            <w:pPr>
              <w:rPr>
                <w:sz w:val="16"/>
                <w:szCs w:val="16"/>
              </w:rPr>
            </w:pPr>
            <w:r w:rsidRPr="005433C6">
              <w:rPr>
                <w:sz w:val="16"/>
                <w:szCs w:val="16"/>
              </w:rPr>
              <w:t>6.670</w:t>
            </w:r>
          </w:p>
        </w:tc>
        <w:tc>
          <w:tcPr>
            <w:tcW w:w="993" w:type="dxa"/>
            <w:tcBorders>
              <w:top w:val="nil"/>
              <w:left w:val="nil"/>
              <w:bottom w:val="single" w:color="auto" w:sz="4" w:space="0"/>
            </w:tcBorders>
          </w:tcPr>
          <w:p w:rsidRPr="005433C6" w:rsidR="00D572AE" w:rsidP="00522488" w:rsidRDefault="00D572AE" w14:paraId="15A1EAA2" w14:textId="77777777">
            <w:pPr>
              <w:rPr>
                <w:sz w:val="16"/>
                <w:szCs w:val="16"/>
              </w:rPr>
            </w:pPr>
          </w:p>
          <w:p w:rsidRPr="005433C6" w:rsidR="00522488" w:rsidP="00522488" w:rsidRDefault="00EC6C0B" w14:paraId="7FB30D42" w14:textId="77777777">
            <w:pPr>
              <w:rPr>
                <w:sz w:val="16"/>
                <w:szCs w:val="16"/>
              </w:rPr>
            </w:pPr>
            <w:r w:rsidRPr="005433C6">
              <w:rPr>
                <w:sz w:val="16"/>
                <w:szCs w:val="16"/>
              </w:rPr>
              <w:t>5.594</w:t>
            </w:r>
          </w:p>
        </w:tc>
        <w:tc>
          <w:tcPr>
            <w:tcW w:w="851" w:type="dxa"/>
            <w:tcBorders>
              <w:top w:val="nil"/>
              <w:bottom w:val="single" w:color="auto" w:sz="4" w:space="0"/>
              <w:right w:val="nil"/>
            </w:tcBorders>
          </w:tcPr>
          <w:p w:rsidRPr="005433C6" w:rsidR="00D572AE" w:rsidP="00522488" w:rsidRDefault="00D572AE" w14:paraId="131096F6" w14:textId="77777777">
            <w:pPr>
              <w:rPr>
                <w:sz w:val="16"/>
                <w:szCs w:val="16"/>
              </w:rPr>
            </w:pPr>
          </w:p>
          <w:p w:rsidRPr="005433C6" w:rsidR="00522488" w:rsidP="00522488" w:rsidRDefault="00EC6C0B" w14:paraId="7E7C2A1D" w14:textId="77777777">
            <w:pPr>
              <w:rPr>
                <w:sz w:val="16"/>
                <w:szCs w:val="16"/>
              </w:rPr>
            </w:pPr>
            <w:r w:rsidRPr="005433C6">
              <w:rPr>
                <w:sz w:val="16"/>
                <w:szCs w:val="16"/>
              </w:rPr>
              <w:t>0</w:t>
            </w:r>
          </w:p>
        </w:tc>
        <w:tc>
          <w:tcPr>
            <w:tcW w:w="709" w:type="dxa"/>
            <w:tcBorders>
              <w:top w:val="nil"/>
              <w:left w:val="nil"/>
              <w:bottom w:val="single" w:color="auto" w:sz="4" w:space="0"/>
              <w:right w:val="nil"/>
            </w:tcBorders>
          </w:tcPr>
          <w:p w:rsidRPr="005433C6" w:rsidR="00D572AE" w:rsidP="00522488" w:rsidRDefault="00D572AE" w14:paraId="7C689710" w14:textId="77777777">
            <w:pPr>
              <w:rPr>
                <w:sz w:val="16"/>
                <w:szCs w:val="16"/>
              </w:rPr>
            </w:pPr>
          </w:p>
          <w:p w:rsidRPr="005433C6" w:rsidR="00522488" w:rsidP="00522488" w:rsidRDefault="00EC6C0B" w14:paraId="53783CD1" w14:textId="77777777">
            <w:pPr>
              <w:rPr>
                <w:sz w:val="16"/>
                <w:szCs w:val="16"/>
              </w:rPr>
            </w:pPr>
            <w:r w:rsidRPr="005433C6">
              <w:rPr>
                <w:sz w:val="16"/>
                <w:szCs w:val="16"/>
              </w:rPr>
              <w:t>0</w:t>
            </w:r>
          </w:p>
        </w:tc>
      </w:tr>
      <w:tr w:rsidRPr="00D572AE" w:rsidR="00DC5766" w:rsidTr="00EC66C8" w14:paraId="08E49ECF" w14:textId="77777777">
        <w:trPr>
          <w:trHeight w:val="840"/>
        </w:trPr>
        <w:tc>
          <w:tcPr>
            <w:tcW w:w="2511" w:type="dxa"/>
            <w:tcBorders>
              <w:left w:val="nil"/>
              <w:bottom w:val="nil"/>
            </w:tcBorders>
          </w:tcPr>
          <w:p w:rsidRPr="005433C6" w:rsidR="00522488" w:rsidP="00522488" w:rsidRDefault="00522488" w14:paraId="1DD74303" w14:textId="77777777">
            <w:pPr>
              <w:rPr>
                <w:b/>
                <w:bCs/>
                <w:sz w:val="16"/>
                <w:szCs w:val="16"/>
              </w:rPr>
            </w:pPr>
            <w:r w:rsidRPr="005433C6">
              <w:rPr>
                <w:b/>
                <w:bCs/>
                <w:sz w:val="16"/>
                <w:szCs w:val="16"/>
              </w:rPr>
              <w:t>F Totaal incl. thematische speciale instrumenten (A+E)</w:t>
            </w:r>
          </w:p>
        </w:tc>
        <w:tc>
          <w:tcPr>
            <w:tcW w:w="1035" w:type="dxa"/>
            <w:tcBorders>
              <w:bottom w:val="nil"/>
              <w:right w:val="nil"/>
            </w:tcBorders>
          </w:tcPr>
          <w:p w:rsidRPr="005433C6" w:rsidR="00522488" w:rsidP="00522488" w:rsidRDefault="00522488" w14:paraId="66327F36" w14:textId="77777777">
            <w:pPr>
              <w:rPr>
                <w:sz w:val="16"/>
                <w:szCs w:val="16"/>
              </w:rPr>
            </w:pPr>
            <w:r w:rsidRPr="005433C6">
              <w:rPr>
                <w:b/>
                <w:bCs/>
                <w:sz w:val="16"/>
                <w:szCs w:val="16"/>
                <w:lang w:val="en-GB"/>
              </w:rPr>
              <w:t>199.717</w:t>
            </w:r>
          </w:p>
        </w:tc>
        <w:tc>
          <w:tcPr>
            <w:tcW w:w="992" w:type="dxa"/>
            <w:tcBorders>
              <w:left w:val="nil"/>
              <w:bottom w:val="nil"/>
            </w:tcBorders>
          </w:tcPr>
          <w:p w:rsidRPr="005433C6" w:rsidR="00522488" w:rsidP="00522488" w:rsidRDefault="00522488" w14:paraId="3A473281" w14:textId="77777777">
            <w:pPr>
              <w:rPr>
                <w:sz w:val="16"/>
                <w:szCs w:val="16"/>
              </w:rPr>
            </w:pPr>
            <w:r w:rsidRPr="005433C6">
              <w:rPr>
                <w:b/>
                <w:bCs/>
                <w:sz w:val="16"/>
                <w:szCs w:val="16"/>
                <w:lang w:val="en-GB"/>
              </w:rPr>
              <w:t>152.684</w:t>
            </w:r>
          </w:p>
        </w:tc>
        <w:tc>
          <w:tcPr>
            <w:tcW w:w="1275" w:type="dxa"/>
            <w:tcBorders>
              <w:bottom w:val="nil"/>
              <w:right w:val="nil"/>
            </w:tcBorders>
          </w:tcPr>
          <w:p w:rsidRPr="005433C6" w:rsidR="00522488" w:rsidP="00522488" w:rsidRDefault="00E615FE" w14:paraId="58694A51" w14:textId="77777777">
            <w:pPr>
              <w:rPr>
                <w:b/>
                <w:bCs/>
                <w:sz w:val="16"/>
                <w:szCs w:val="16"/>
              </w:rPr>
            </w:pPr>
            <w:r w:rsidRPr="005433C6">
              <w:rPr>
                <w:b/>
                <w:bCs/>
                <w:sz w:val="16"/>
                <w:szCs w:val="16"/>
              </w:rPr>
              <w:t>198.197</w:t>
            </w:r>
          </w:p>
        </w:tc>
        <w:tc>
          <w:tcPr>
            <w:tcW w:w="993" w:type="dxa"/>
            <w:tcBorders>
              <w:left w:val="nil"/>
              <w:bottom w:val="nil"/>
            </w:tcBorders>
          </w:tcPr>
          <w:p w:rsidRPr="005433C6" w:rsidR="00522488" w:rsidP="00522488" w:rsidRDefault="00E615FE" w14:paraId="5A54DBE4" w14:textId="77777777">
            <w:pPr>
              <w:rPr>
                <w:b/>
                <w:bCs/>
                <w:sz w:val="16"/>
                <w:szCs w:val="16"/>
              </w:rPr>
            </w:pPr>
            <w:r w:rsidRPr="005433C6">
              <w:rPr>
                <w:b/>
                <w:bCs/>
                <w:sz w:val="16"/>
                <w:szCs w:val="16"/>
              </w:rPr>
              <w:t>151.80</w:t>
            </w:r>
            <w:r w:rsidRPr="005433C6" w:rsidR="00DC5766">
              <w:rPr>
                <w:b/>
                <w:bCs/>
                <w:sz w:val="16"/>
                <w:szCs w:val="16"/>
              </w:rPr>
              <w:t>8</w:t>
            </w:r>
          </w:p>
        </w:tc>
        <w:tc>
          <w:tcPr>
            <w:tcW w:w="851" w:type="dxa"/>
            <w:tcBorders>
              <w:bottom w:val="nil"/>
              <w:right w:val="nil"/>
            </w:tcBorders>
          </w:tcPr>
          <w:p w:rsidRPr="005433C6" w:rsidR="00522488" w:rsidP="00522488" w:rsidRDefault="00E615FE" w14:paraId="0484AB33" w14:textId="77777777">
            <w:pPr>
              <w:rPr>
                <w:b/>
                <w:bCs/>
                <w:sz w:val="16"/>
                <w:szCs w:val="16"/>
              </w:rPr>
            </w:pPr>
            <w:r w:rsidRPr="005433C6">
              <w:rPr>
                <w:b/>
                <w:bCs/>
                <w:sz w:val="16"/>
                <w:szCs w:val="16"/>
              </w:rPr>
              <w:t>-1.520</w:t>
            </w:r>
          </w:p>
        </w:tc>
        <w:tc>
          <w:tcPr>
            <w:tcW w:w="709" w:type="dxa"/>
            <w:tcBorders>
              <w:left w:val="nil"/>
              <w:bottom w:val="nil"/>
              <w:right w:val="nil"/>
            </w:tcBorders>
          </w:tcPr>
          <w:p w:rsidRPr="005433C6" w:rsidR="00522488" w:rsidP="00522488" w:rsidRDefault="00E615FE" w14:paraId="70A8702F" w14:textId="77777777">
            <w:pPr>
              <w:rPr>
                <w:b/>
                <w:bCs/>
                <w:sz w:val="16"/>
                <w:szCs w:val="16"/>
              </w:rPr>
            </w:pPr>
            <w:r w:rsidRPr="005433C6">
              <w:rPr>
                <w:b/>
                <w:bCs/>
                <w:sz w:val="16"/>
                <w:szCs w:val="16"/>
              </w:rPr>
              <w:t>-87</w:t>
            </w:r>
            <w:r w:rsidRPr="005433C6" w:rsidR="00DC5766">
              <w:rPr>
                <w:b/>
                <w:bCs/>
                <w:sz w:val="16"/>
                <w:szCs w:val="16"/>
              </w:rPr>
              <w:t>6</w:t>
            </w:r>
          </w:p>
        </w:tc>
      </w:tr>
    </w:tbl>
    <w:p w:rsidRPr="00D572AE" w:rsidR="009A37C9" w:rsidP="009A37C9" w:rsidRDefault="009A37C9" w14:paraId="45AD15AF" w14:textId="77777777">
      <w:pPr>
        <w:rPr>
          <w:sz w:val="16"/>
          <w:szCs w:val="16"/>
        </w:rPr>
      </w:pPr>
      <w:r w:rsidRPr="00D572AE">
        <w:rPr>
          <w:sz w:val="16"/>
          <w:szCs w:val="16"/>
        </w:rPr>
        <w:t>*Vastlegg</w:t>
      </w:r>
      <w:r w:rsidRPr="00D572AE" w:rsidR="00522488">
        <w:rPr>
          <w:sz w:val="16"/>
          <w:szCs w:val="16"/>
        </w:rPr>
        <w:t>ingen</w:t>
      </w:r>
    </w:p>
    <w:p w:rsidRPr="00D572AE" w:rsidR="00E352AA" w:rsidP="00A33E2F" w:rsidRDefault="009A37C9" w14:paraId="1C25B40B" w14:textId="77777777">
      <w:pPr>
        <w:rPr>
          <w:sz w:val="16"/>
          <w:szCs w:val="16"/>
        </w:rPr>
      </w:pPr>
      <w:r w:rsidRPr="00D572AE">
        <w:rPr>
          <w:sz w:val="16"/>
          <w:szCs w:val="16"/>
        </w:rPr>
        <w:t>**Betalingen</w:t>
      </w:r>
    </w:p>
    <w:p w:rsidRPr="00D572AE" w:rsidR="006733D1" w:rsidP="00D572AE" w:rsidRDefault="006733D1" w14:paraId="6D78B8D3" w14:textId="77777777">
      <w:pPr>
        <w:spacing w:line="240" w:lineRule="auto"/>
        <w:rPr>
          <w:sz w:val="16"/>
          <w:szCs w:val="16"/>
        </w:rPr>
      </w:pPr>
    </w:p>
    <w:p w:rsidRPr="00D572AE" w:rsidR="00D572AE" w:rsidP="00D572AE" w:rsidRDefault="00D572AE" w14:paraId="4B5764A6" w14:textId="77777777">
      <w:pPr>
        <w:spacing w:line="240" w:lineRule="auto"/>
        <w:rPr>
          <w:sz w:val="16"/>
          <w:szCs w:val="16"/>
        </w:rPr>
      </w:pPr>
    </w:p>
    <w:p w:rsidR="00D572AE" w:rsidP="00D572AE" w:rsidRDefault="00D572AE" w14:paraId="72BD00A7" w14:textId="77777777">
      <w:pPr>
        <w:spacing w:line="240" w:lineRule="auto"/>
        <w:rPr>
          <w:sz w:val="16"/>
          <w:szCs w:val="16"/>
        </w:rPr>
      </w:pPr>
    </w:p>
    <w:p w:rsidR="00D572AE" w:rsidP="00D572AE" w:rsidRDefault="00D572AE" w14:paraId="57CF0A64" w14:textId="77777777">
      <w:pPr>
        <w:spacing w:line="240" w:lineRule="auto"/>
        <w:rPr>
          <w:sz w:val="16"/>
          <w:szCs w:val="16"/>
        </w:rPr>
      </w:pPr>
    </w:p>
    <w:p w:rsidR="00D572AE" w:rsidP="00D572AE" w:rsidRDefault="00D572AE" w14:paraId="3CCE84C1" w14:textId="77777777">
      <w:pPr>
        <w:spacing w:line="240" w:lineRule="auto"/>
        <w:rPr>
          <w:sz w:val="16"/>
          <w:szCs w:val="16"/>
        </w:rPr>
      </w:pPr>
    </w:p>
    <w:p w:rsidR="00D572AE" w:rsidP="00D572AE" w:rsidRDefault="00D572AE" w14:paraId="59C7C591" w14:textId="77777777">
      <w:pPr>
        <w:spacing w:line="240" w:lineRule="auto"/>
        <w:rPr>
          <w:sz w:val="16"/>
          <w:szCs w:val="16"/>
        </w:rPr>
      </w:pPr>
    </w:p>
    <w:p w:rsidR="00D572AE" w:rsidP="00D572AE" w:rsidRDefault="00D572AE" w14:paraId="5FF32344" w14:textId="77777777">
      <w:pPr>
        <w:spacing w:line="240" w:lineRule="auto"/>
        <w:rPr>
          <w:sz w:val="16"/>
          <w:szCs w:val="16"/>
        </w:rPr>
      </w:pPr>
    </w:p>
    <w:p w:rsidR="00D572AE" w:rsidP="00D572AE" w:rsidRDefault="00D572AE" w14:paraId="0D9CCE82" w14:textId="77777777">
      <w:pPr>
        <w:spacing w:line="240" w:lineRule="auto"/>
        <w:rPr>
          <w:sz w:val="16"/>
          <w:szCs w:val="16"/>
        </w:rPr>
      </w:pPr>
    </w:p>
    <w:p w:rsidR="00D572AE" w:rsidP="00D572AE" w:rsidRDefault="00D572AE" w14:paraId="53AB0CCB" w14:textId="77777777">
      <w:pPr>
        <w:spacing w:line="240" w:lineRule="auto"/>
        <w:rPr>
          <w:sz w:val="16"/>
          <w:szCs w:val="16"/>
        </w:rPr>
      </w:pPr>
    </w:p>
    <w:p w:rsidRPr="00E352AA" w:rsidR="00E352AA" w:rsidP="00A33E2F" w:rsidRDefault="00E352AA" w14:paraId="6416B118" w14:textId="77777777">
      <w:pPr>
        <w:rPr>
          <w:sz w:val="16"/>
          <w:szCs w:val="16"/>
        </w:rPr>
      </w:pPr>
    </w:p>
    <w:sectPr w:rsidRPr="00E352AA" w:rsidR="00E352A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A155" w14:textId="77777777" w:rsidR="00213D7A" w:rsidRDefault="00213D7A">
      <w:pPr>
        <w:spacing w:line="240" w:lineRule="auto"/>
      </w:pPr>
      <w:r>
        <w:separator/>
      </w:r>
    </w:p>
  </w:endnote>
  <w:endnote w:type="continuationSeparator" w:id="0">
    <w:p w14:paraId="701987B2" w14:textId="77777777" w:rsidR="00213D7A" w:rsidRDefault="00213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CE82" w14:textId="77777777" w:rsidR="00213D7A" w:rsidRDefault="00213D7A">
      <w:pPr>
        <w:spacing w:line="240" w:lineRule="auto"/>
      </w:pPr>
      <w:r>
        <w:separator/>
      </w:r>
    </w:p>
  </w:footnote>
  <w:footnote w:type="continuationSeparator" w:id="0">
    <w:p w14:paraId="0E558BCC" w14:textId="77777777" w:rsidR="00213D7A" w:rsidRDefault="00213D7A">
      <w:pPr>
        <w:spacing w:line="240" w:lineRule="auto"/>
      </w:pPr>
      <w:r>
        <w:continuationSeparator/>
      </w:r>
    </w:p>
  </w:footnote>
  <w:footnote w:id="1">
    <w:p w14:paraId="2D683185" w14:textId="77777777" w:rsidR="00DC31C9" w:rsidRPr="00416E80" w:rsidRDefault="00DC31C9" w:rsidP="00DC31C9">
      <w:pPr>
        <w:pStyle w:val="Voetnoottekst"/>
        <w:rPr>
          <w:sz w:val="16"/>
          <w:szCs w:val="16"/>
        </w:rPr>
      </w:pPr>
      <w:r w:rsidRPr="00416E80">
        <w:rPr>
          <w:rStyle w:val="Voetnootmarkering"/>
          <w:sz w:val="16"/>
          <w:szCs w:val="16"/>
        </w:rPr>
        <w:footnoteRef/>
      </w:r>
      <w:r w:rsidRPr="00416E80">
        <w:rPr>
          <w:sz w:val="16"/>
          <w:szCs w:val="16"/>
        </w:rPr>
        <w:t xml:space="preserve"> Zie voor kabinetsappreciatie en inzet bij de onderhandelingen over de Raadspositie: </w:t>
      </w:r>
    </w:p>
    <w:p w14:paraId="114090E3" w14:textId="77777777" w:rsidR="00DC31C9" w:rsidRPr="00416E80" w:rsidRDefault="00DC31C9" w:rsidP="00DC31C9">
      <w:pPr>
        <w:pStyle w:val="Voetnoottekst"/>
        <w:rPr>
          <w:sz w:val="16"/>
          <w:szCs w:val="16"/>
        </w:rPr>
      </w:pPr>
      <w:r w:rsidRPr="00416E80">
        <w:rPr>
          <w:sz w:val="16"/>
          <w:szCs w:val="16"/>
        </w:rPr>
        <w:t>Kamerstuk 2023-2024, 21501-03, nr. 184</w:t>
      </w:r>
    </w:p>
  </w:footnote>
  <w:footnote w:id="2">
    <w:p w14:paraId="75031892" w14:textId="77777777" w:rsidR="00586093" w:rsidRPr="00416E80" w:rsidRDefault="00586093" w:rsidP="00586093">
      <w:pPr>
        <w:pStyle w:val="Voetnoottekst"/>
        <w:rPr>
          <w:sz w:val="16"/>
          <w:szCs w:val="16"/>
        </w:rPr>
      </w:pPr>
      <w:r w:rsidRPr="00416E80">
        <w:rPr>
          <w:rStyle w:val="Voetnootmarkering"/>
          <w:sz w:val="16"/>
          <w:szCs w:val="16"/>
        </w:rPr>
        <w:footnoteRef/>
      </w:r>
      <w:r w:rsidRPr="00416E80">
        <w:rPr>
          <w:sz w:val="16"/>
          <w:szCs w:val="16"/>
        </w:rPr>
        <w:t xml:space="preserve"> Comité van permanente vertegenwoordigers van de lidstaten bij de EU, verantwoordelijk </w:t>
      </w:r>
    </w:p>
    <w:p w14:paraId="12D29D84" w14:textId="77777777" w:rsidR="00586093" w:rsidRPr="00416E80" w:rsidRDefault="00586093" w:rsidP="00586093">
      <w:pPr>
        <w:pStyle w:val="Voetnoottekst"/>
        <w:rPr>
          <w:sz w:val="16"/>
          <w:szCs w:val="16"/>
        </w:rPr>
      </w:pPr>
      <w:r w:rsidRPr="00416E80">
        <w:rPr>
          <w:sz w:val="16"/>
          <w:szCs w:val="16"/>
        </w:rPr>
        <w:t>voor de voorbereiding van de werkzaamheden van de Raad van de Europese Unie.</w:t>
      </w:r>
    </w:p>
  </w:footnote>
  <w:footnote w:id="3">
    <w:p w14:paraId="34F189D3" w14:textId="77777777" w:rsidR="00416E80" w:rsidRPr="00416E80" w:rsidRDefault="00416E80" w:rsidP="00416E80">
      <w:pPr>
        <w:pStyle w:val="Voetnoottekst"/>
        <w:rPr>
          <w:sz w:val="16"/>
          <w:szCs w:val="16"/>
        </w:rPr>
      </w:pPr>
      <w:r w:rsidRPr="00416E80">
        <w:rPr>
          <w:rStyle w:val="Voetnootmarkering"/>
          <w:sz w:val="16"/>
          <w:szCs w:val="16"/>
        </w:rPr>
        <w:footnoteRef/>
      </w:r>
      <w:r w:rsidRPr="00416E80">
        <w:rPr>
          <w:sz w:val="16"/>
          <w:szCs w:val="16"/>
        </w:rPr>
        <w:t xml:space="preserve"> Voor de raming van de Nederlandse afdracht op basis van de invoerrechten gebruikt het </w:t>
      </w:r>
    </w:p>
    <w:p w14:paraId="31413853" w14:textId="77777777" w:rsidR="00416E80" w:rsidRPr="00620733" w:rsidRDefault="00416E80" w:rsidP="00416E80">
      <w:pPr>
        <w:pStyle w:val="Voetnoottekst"/>
        <w:rPr>
          <w:sz w:val="16"/>
          <w:szCs w:val="16"/>
        </w:rPr>
      </w:pPr>
      <w:r w:rsidRPr="00416E80">
        <w:rPr>
          <w:sz w:val="16"/>
          <w:szCs w:val="16"/>
        </w:rPr>
        <w:t xml:space="preserve">Ministerie van Financiën een eigen raming in plaats van die van de Europese Commissie. </w:t>
      </w:r>
    </w:p>
  </w:footnote>
  <w:footnote w:id="4">
    <w:p w14:paraId="2E1A855F" w14:textId="77777777" w:rsidR="001246C6" w:rsidRPr="001246C6" w:rsidRDefault="001246C6">
      <w:pPr>
        <w:pStyle w:val="Voetnoottekst"/>
        <w:rPr>
          <w:sz w:val="16"/>
          <w:szCs w:val="16"/>
        </w:rPr>
      </w:pPr>
      <w:r w:rsidRPr="001246C6">
        <w:rPr>
          <w:rStyle w:val="Voetnootmarkering"/>
          <w:sz w:val="16"/>
          <w:szCs w:val="16"/>
        </w:rPr>
        <w:footnoteRef/>
      </w:r>
      <w:r>
        <w:rPr>
          <w:sz w:val="16"/>
          <w:szCs w:val="16"/>
        </w:rPr>
        <w:t xml:space="preserve"> </w:t>
      </w:r>
      <w:r w:rsidRPr="001246C6">
        <w:rPr>
          <w:sz w:val="16"/>
          <w:szCs w:val="16"/>
        </w:rPr>
        <w:t xml:space="preserve">Zie voor kabinetsappreciatie en inzet bij de onderhandelingen over de Raadspositie: </w:t>
      </w:r>
      <w:r>
        <w:rPr>
          <w:sz w:val="16"/>
          <w:szCs w:val="16"/>
        </w:rPr>
        <w:t>Kamerstuk</w:t>
      </w:r>
      <w:r w:rsidRPr="001246C6">
        <w:rPr>
          <w:sz w:val="16"/>
          <w:szCs w:val="16"/>
        </w:rPr>
        <w:t xml:space="preserve"> 202</w:t>
      </w:r>
      <w:r>
        <w:rPr>
          <w:sz w:val="16"/>
          <w:szCs w:val="16"/>
        </w:rPr>
        <w:t>3</w:t>
      </w:r>
      <w:r w:rsidRPr="001246C6">
        <w:rPr>
          <w:sz w:val="16"/>
          <w:szCs w:val="16"/>
        </w:rPr>
        <w:t>-202</w:t>
      </w:r>
      <w:r>
        <w:rPr>
          <w:sz w:val="16"/>
          <w:szCs w:val="16"/>
        </w:rPr>
        <w:t>4</w:t>
      </w:r>
      <w:r w:rsidRPr="001246C6">
        <w:rPr>
          <w:sz w:val="16"/>
          <w:szCs w:val="16"/>
        </w:rPr>
        <w:t xml:space="preserve">, </w:t>
      </w:r>
      <w:r w:rsidRPr="00416E80">
        <w:rPr>
          <w:sz w:val="16"/>
          <w:szCs w:val="16"/>
        </w:rPr>
        <w:t>21501-03, nr. 184</w:t>
      </w:r>
    </w:p>
  </w:footnote>
  <w:footnote w:id="5">
    <w:p w14:paraId="4A7B5059" w14:textId="77777777" w:rsidR="001246C6" w:rsidRPr="001246C6" w:rsidRDefault="001246C6" w:rsidP="001246C6">
      <w:pPr>
        <w:pStyle w:val="Voetnoottekst"/>
        <w:rPr>
          <w:sz w:val="16"/>
          <w:szCs w:val="16"/>
        </w:rPr>
      </w:pPr>
      <w:r w:rsidRPr="001246C6">
        <w:rPr>
          <w:rStyle w:val="Voetnootmarkering"/>
          <w:sz w:val="16"/>
          <w:szCs w:val="16"/>
        </w:rPr>
        <w:footnoteRef/>
      </w:r>
      <w:r w:rsidRPr="001246C6">
        <w:rPr>
          <w:sz w:val="16"/>
          <w:szCs w:val="16"/>
        </w:rPr>
        <w:t xml:space="preserve"> Vastleggingen zijn de wettelijke (of contractuele) verplichtingen die worden aangegaan. </w:t>
      </w:r>
    </w:p>
    <w:p w14:paraId="77C64111" w14:textId="77777777" w:rsidR="001246C6" w:rsidRDefault="001246C6" w:rsidP="001246C6">
      <w:pPr>
        <w:pStyle w:val="Voetnoottekst"/>
      </w:pPr>
      <w:r w:rsidRPr="001246C6">
        <w:rPr>
          <w:sz w:val="16"/>
          <w:szCs w:val="16"/>
        </w:rPr>
        <w:t>De betalingen zijn de kasuitgaven en volgen uit de vastleggingen.</w:t>
      </w:r>
    </w:p>
  </w:footnote>
  <w:footnote w:id="6">
    <w:p w14:paraId="0BBB281C" w14:textId="77777777" w:rsidR="00FA3C94" w:rsidRDefault="00FA3C94">
      <w:pPr>
        <w:pStyle w:val="Voetnoottekst"/>
      </w:pPr>
      <w:r>
        <w:rPr>
          <w:rStyle w:val="Voetnootmarkering"/>
        </w:rPr>
        <w:footnoteRef/>
      </w:r>
      <w:r>
        <w:t xml:space="preserve"> </w:t>
      </w:r>
      <w:r w:rsidRPr="00DD4B9C">
        <w:rPr>
          <w:sz w:val="16"/>
          <w:szCs w:val="16"/>
        </w:rPr>
        <w:t>Zi</w:t>
      </w:r>
      <w:r>
        <w:rPr>
          <w:sz w:val="16"/>
          <w:szCs w:val="16"/>
        </w:rPr>
        <w:t>e het verslag van de buitengewone Europese Raad van 1 februari 2024; Kamerstukken 2023-2025, 21501-20</w:t>
      </w:r>
      <w:r w:rsidR="00075A3D">
        <w:rPr>
          <w:sz w:val="16"/>
          <w:szCs w:val="16"/>
        </w:rPr>
        <w:t>, nr. 2021.</w:t>
      </w:r>
      <w:r>
        <w:t xml:space="preserve"> </w:t>
      </w:r>
    </w:p>
  </w:footnote>
  <w:footnote w:id="7">
    <w:p w14:paraId="25FE6243" w14:textId="77777777" w:rsidR="00581F56" w:rsidRPr="00581F56" w:rsidRDefault="00581F56">
      <w:pPr>
        <w:pStyle w:val="Voetnoottekst"/>
        <w:rPr>
          <w:sz w:val="16"/>
          <w:szCs w:val="16"/>
        </w:rPr>
      </w:pPr>
      <w:r w:rsidRPr="00581F56">
        <w:rPr>
          <w:rStyle w:val="Voetnootmarkering"/>
          <w:sz w:val="16"/>
          <w:szCs w:val="16"/>
        </w:rPr>
        <w:footnoteRef/>
      </w:r>
      <w:r w:rsidRPr="00581F56">
        <w:rPr>
          <w:sz w:val="16"/>
          <w:szCs w:val="16"/>
        </w:rPr>
        <w:t xml:space="preserve"> Kamerstuk 2023-2024, 21501-03, nr. 184</w:t>
      </w:r>
    </w:p>
  </w:footnote>
  <w:footnote w:id="8">
    <w:p w14:paraId="2B0C5EA3" w14:textId="77777777" w:rsidR="00716007" w:rsidRPr="00716007" w:rsidRDefault="00716007">
      <w:pPr>
        <w:pStyle w:val="Voetnoottekst"/>
        <w:rPr>
          <w:sz w:val="16"/>
          <w:szCs w:val="16"/>
        </w:rPr>
      </w:pPr>
      <w:r w:rsidRPr="00716007">
        <w:rPr>
          <w:rStyle w:val="Voetnootmarkering"/>
          <w:sz w:val="16"/>
          <w:szCs w:val="16"/>
        </w:rPr>
        <w:footnoteRef/>
      </w:r>
      <w:r w:rsidRPr="00716007">
        <w:rPr>
          <w:sz w:val="16"/>
          <w:szCs w:val="16"/>
        </w:rPr>
        <w:t xml:space="preserve"> </w:t>
      </w:r>
      <w:hyperlink r:id="rId1" w:history="1">
        <w:r w:rsidR="00434AD2" w:rsidRPr="00FD2D0F">
          <w:rPr>
            <w:rStyle w:val="Hyperlink"/>
            <w:sz w:val="16"/>
            <w:szCs w:val="16"/>
          </w:rPr>
          <w:t>https://www.consilium.europa.eu/media/69866/20240201-special-euco-conclusions-mff-ukraine-en.pdf</w:t>
        </w:r>
      </w:hyperlink>
      <w:r w:rsidR="00434AD2">
        <w:rPr>
          <w:sz w:val="16"/>
          <w:szCs w:val="16"/>
        </w:rPr>
        <w:t xml:space="preserve"> </w:t>
      </w:r>
    </w:p>
  </w:footnote>
  <w:footnote w:id="9">
    <w:p w14:paraId="149752D5" w14:textId="77777777" w:rsidR="00456FB3" w:rsidRPr="00581F56" w:rsidRDefault="00456FB3" w:rsidP="00456FB3">
      <w:pPr>
        <w:pStyle w:val="Voetnoottekst"/>
        <w:rPr>
          <w:sz w:val="16"/>
          <w:szCs w:val="16"/>
        </w:rPr>
      </w:pPr>
      <w:r w:rsidRPr="00581F56">
        <w:rPr>
          <w:rStyle w:val="Voetnootmarkering"/>
          <w:sz w:val="16"/>
          <w:szCs w:val="16"/>
        </w:rPr>
        <w:footnoteRef/>
      </w:r>
      <w:r w:rsidRPr="00581F56">
        <w:rPr>
          <w:sz w:val="16"/>
          <w:szCs w:val="16"/>
        </w:rPr>
        <w:t xml:space="preserve"> Kamerstuk 21 501-02, nr. 2544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7A94" w14:textId="77777777" w:rsidR="009F24FB" w:rsidRDefault="00456FB3">
    <w:r>
      <w:rPr>
        <w:noProof/>
      </w:rPr>
      <mc:AlternateContent>
        <mc:Choice Requires="wps">
          <w:drawing>
            <wp:anchor distT="0" distB="0" distL="0" distR="0" simplePos="0" relativeHeight="251652096" behindDoc="0" locked="1" layoutInCell="1" allowOverlap="1" wp14:anchorId="0376231D" wp14:editId="662DC73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69BD23" w14:textId="77777777" w:rsidR="009F24FB" w:rsidRDefault="00456FB3">
                          <w:pPr>
                            <w:pStyle w:val="StandaardReferentiegegevensKop"/>
                          </w:pPr>
                          <w:r>
                            <w:t>Directie Buitenlandse Financiële Betrekkingen</w:t>
                          </w:r>
                        </w:p>
                        <w:p w14:paraId="1289A5E9" w14:textId="77777777" w:rsidR="009F24FB" w:rsidRDefault="009F24FB">
                          <w:pPr>
                            <w:pStyle w:val="WitregelW1"/>
                          </w:pPr>
                        </w:p>
                        <w:p w14:paraId="45AE85FB" w14:textId="77777777" w:rsidR="009F24FB" w:rsidRDefault="00456FB3">
                          <w:pPr>
                            <w:pStyle w:val="StandaardReferentiegegevensKop"/>
                          </w:pPr>
                          <w:r>
                            <w:t>Ons kenmerk</w:t>
                          </w:r>
                        </w:p>
                        <w:p w14:paraId="5356B9B6" w14:textId="77777777" w:rsidR="00347324" w:rsidRDefault="003F4B7F">
                          <w:pPr>
                            <w:pStyle w:val="StandaardReferentiegegevens"/>
                          </w:pPr>
                          <w:r>
                            <w:fldChar w:fldCharType="begin"/>
                          </w:r>
                          <w:r>
                            <w:instrText xml:space="preserve"> DOCPROPERTY  "Kenmerk"  \* MERGEFORMAT </w:instrText>
                          </w:r>
                          <w:r>
                            <w:fldChar w:fldCharType="separate"/>
                          </w:r>
                          <w:r>
                            <w:t>2024-0000432762</w:t>
                          </w:r>
                          <w:r>
                            <w:fldChar w:fldCharType="end"/>
                          </w:r>
                        </w:p>
                      </w:txbxContent>
                    </wps:txbx>
                    <wps:bodyPr vert="horz" wrap="square" lIns="0" tIns="0" rIns="0" bIns="0" anchor="t" anchorCtr="0"/>
                  </wps:wsp>
                </a:graphicData>
              </a:graphic>
            </wp:anchor>
          </w:drawing>
        </mc:Choice>
        <mc:Fallback>
          <w:pict>
            <v:shapetype w14:anchorId="0376231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B69BD23" w14:textId="77777777" w:rsidR="009F24FB" w:rsidRDefault="00456FB3">
                    <w:pPr>
                      <w:pStyle w:val="StandaardReferentiegegevensKop"/>
                    </w:pPr>
                    <w:r>
                      <w:t>Directie Buitenlandse Financiële Betrekkingen</w:t>
                    </w:r>
                  </w:p>
                  <w:p w14:paraId="1289A5E9" w14:textId="77777777" w:rsidR="009F24FB" w:rsidRDefault="009F24FB">
                    <w:pPr>
                      <w:pStyle w:val="WitregelW1"/>
                    </w:pPr>
                  </w:p>
                  <w:p w14:paraId="45AE85FB" w14:textId="77777777" w:rsidR="009F24FB" w:rsidRDefault="00456FB3">
                    <w:pPr>
                      <w:pStyle w:val="StandaardReferentiegegevensKop"/>
                    </w:pPr>
                    <w:r>
                      <w:t>Ons kenmerk</w:t>
                    </w:r>
                  </w:p>
                  <w:p w14:paraId="5356B9B6" w14:textId="77777777" w:rsidR="00347324" w:rsidRDefault="003F4B7F">
                    <w:pPr>
                      <w:pStyle w:val="StandaardReferentiegegevens"/>
                    </w:pPr>
                    <w:r>
                      <w:fldChar w:fldCharType="begin"/>
                    </w:r>
                    <w:r>
                      <w:instrText xml:space="preserve"> DOCPROPERTY  "Kenmerk"  \* MERGEFORMAT </w:instrText>
                    </w:r>
                    <w:r>
                      <w:fldChar w:fldCharType="separate"/>
                    </w:r>
                    <w:r>
                      <w:t>2024-0000432762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5401486" wp14:editId="06600B1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950677" w14:textId="77777777" w:rsidR="00347324" w:rsidRDefault="003F4B7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540148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A950677" w14:textId="77777777" w:rsidR="00347324" w:rsidRDefault="003F4B7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D96EE04" wp14:editId="1235D5D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667561E" w14:textId="77777777" w:rsidR="00347324" w:rsidRDefault="003F4B7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D96EE0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667561E" w14:textId="77777777" w:rsidR="00347324" w:rsidRDefault="003F4B7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EF15" w14:textId="77777777" w:rsidR="009F24FB" w:rsidRDefault="00456FB3">
    <w:pPr>
      <w:spacing w:after="7029" w:line="14" w:lineRule="exact"/>
    </w:pPr>
    <w:r>
      <w:rPr>
        <w:noProof/>
      </w:rPr>
      <mc:AlternateContent>
        <mc:Choice Requires="wps">
          <w:drawing>
            <wp:anchor distT="0" distB="0" distL="0" distR="0" simplePos="0" relativeHeight="251655168" behindDoc="0" locked="1" layoutInCell="1" allowOverlap="1" wp14:anchorId="3658558B" wp14:editId="75D68C2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0741355" w14:textId="77777777" w:rsidR="009F24FB" w:rsidRDefault="00456FB3">
                          <w:pPr>
                            <w:spacing w:line="240" w:lineRule="auto"/>
                          </w:pPr>
                          <w:r>
                            <w:rPr>
                              <w:noProof/>
                            </w:rPr>
                            <w:drawing>
                              <wp:inline distT="0" distB="0" distL="0" distR="0" wp14:anchorId="0867DC9C" wp14:editId="1386F61C">
                                <wp:extent cx="2339975" cy="1582834"/>
                                <wp:effectExtent l="0" t="0" r="0" b="0"/>
                                <wp:docPr id="15" name="Afbeelding 15"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58558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0741355" w14:textId="77777777" w:rsidR="009F24FB" w:rsidRDefault="00456FB3">
                    <w:pPr>
                      <w:spacing w:line="240" w:lineRule="auto"/>
                    </w:pPr>
                    <w:r>
                      <w:rPr>
                        <w:noProof/>
                      </w:rPr>
                      <w:drawing>
                        <wp:inline distT="0" distB="0" distL="0" distR="0" wp14:anchorId="0867DC9C" wp14:editId="1386F61C">
                          <wp:extent cx="2339975" cy="1582834"/>
                          <wp:effectExtent l="0" t="0" r="0" b="0"/>
                          <wp:docPr id="15" name="Afbeelding 15"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2CCED59" wp14:editId="4ABA35F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72A2CD0" w14:textId="77777777" w:rsidR="00456FB3" w:rsidRDefault="00456FB3"/>
                      </w:txbxContent>
                    </wps:txbx>
                    <wps:bodyPr vert="horz" wrap="square" lIns="0" tIns="0" rIns="0" bIns="0" anchor="t" anchorCtr="0"/>
                  </wps:wsp>
                </a:graphicData>
              </a:graphic>
            </wp:anchor>
          </w:drawing>
        </mc:Choice>
        <mc:Fallback>
          <w:pict>
            <v:shape w14:anchorId="42CCED5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72A2CD0" w14:textId="77777777" w:rsidR="00456FB3" w:rsidRDefault="00456FB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4B60FC3" wp14:editId="3787986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9599F20" w14:textId="77777777" w:rsidR="009F24FB" w:rsidRDefault="00456FB3">
                          <w:pPr>
                            <w:pStyle w:val="StandaardReferentiegegevensKop"/>
                          </w:pPr>
                          <w:r>
                            <w:t>Directie Buitenlandse Financiële Betrekkingen</w:t>
                          </w:r>
                        </w:p>
                        <w:p w14:paraId="3E3A629F" w14:textId="77777777" w:rsidR="009F24FB" w:rsidRDefault="009F24FB">
                          <w:pPr>
                            <w:pStyle w:val="WitregelW1"/>
                          </w:pPr>
                        </w:p>
                        <w:p w14:paraId="60E638FD" w14:textId="77777777" w:rsidR="009F24FB" w:rsidRDefault="00456FB3">
                          <w:pPr>
                            <w:pStyle w:val="StandaardReferentiegegevens"/>
                          </w:pPr>
                          <w:r>
                            <w:t>Korte Voorhout 7</w:t>
                          </w:r>
                        </w:p>
                        <w:p w14:paraId="7B2529D5" w14:textId="77777777" w:rsidR="009F24FB" w:rsidRDefault="00456FB3">
                          <w:pPr>
                            <w:pStyle w:val="StandaardReferentiegegevens"/>
                          </w:pPr>
                          <w:r>
                            <w:t>2511 CW  'S-GRAVENHAGE</w:t>
                          </w:r>
                        </w:p>
                        <w:p w14:paraId="5BC2CE1B" w14:textId="77777777" w:rsidR="009F24FB" w:rsidRDefault="00456FB3">
                          <w:pPr>
                            <w:pStyle w:val="StandaardReferentiegegevens"/>
                          </w:pPr>
                          <w:r>
                            <w:t>POSTBUS 20201</w:t>
                          </w:r>
                        </w:p>
                        <w:p w14:paraId="5B69DA38" w14:textId="77777777" w:rsidR="009F24FB" w:rsidRDefault="00456FB3">
                          <w:pPr>
                            <w:pStyle w:val="StandaardReferentiegegevens"/>
                          </w:pPr>
                          <w:r>
                            <w:t>2500 EE  'S-GRAVENHAGE</w:t>
                          </w:r>
                        </w:p>
                        <w:p w14:paraId="06E56C37" w14:textId="77777777" w:rsidR="009F24FB" w:rsidRDefault="00456FB3">
                          <w:pPr>
                            <w:pStyle w:val="StandaardReferentiegegevens"/>
                          </w:pPr>
                          <w:r>
                            <w:t>www.rijksoverheid.nl/fin</w:t>
                          </w:r>
                        </w:p>
                        <w:p w14:paraId="2A75339A" w14:textId="77777777" w:rsidR="009F24FB" w:rsidRDefault="009F24FB">
                          <w:pPr>
                            <w:pStyle w:val="WitregelW2"/>
                          </w:pPr>
                        </w:p>
                        <w:p w14:paraId="6D496892" w14:textId="77777777" w:rsidR="009F24FB" w:rsidRDefault="00456FB3">
                          <w:pPr>
                            <w:pStyle w:val="StandaardReferentiegegevensKop"/>
                          </w:pPr>
                          <w:r>
                            <w:t>Ons kenmerk</w:t>
                          </w:r>
                        </w:p>
                        <w:p w14:paraId="343D89C6" w14:textId="77777777" w:rsidR="00347324" w:rsidRDefault="003F4B7F">
                          <w:pPr>
                            <w:pStyle w:val="StandaardReferentiegegevens"/>
                          </w:pPr>
                          <w:r>
                            <w:fldChar w:fldCharType="begin"/>
                          </w:r>
                          <w:r>
                            <w:instrText xml:space="preserve"> DOCPROPERTY  "Kenmerk"  \* MERGEFORMAT </w:instrText>
                          </w:r>
                          <w:r>
                            <w:fldChar w:fldCharType="separate"/>
                          </w:r>
                          <w:r>
                            <w:t>2024-0000432762</w:t>
                          </w:r>
                          <w:r>
                            <w:fldChar w:fldCharType="end"/>
                          </w:r>
                        </w:p>
                        <w:p w14:paraId="37DB3797" w14:textId="77777777" w:rsidR="009F24FB" w:rsidRDefault="009F24FB">
                          <w:pPr>
                            <w:pStyle w:val="WitregelW1"/>
                          </w:pPr>
                        </w:p>
                        <w:p w14:paraId="6FF05A58" w14:textId="77777777" w:rsidR="009F24FB" w:rsidRDefault="00456FB3">
                          <w:pPr>
                            <w:pStyle w:val="StandaardReferentiegegevensKop"/>
                          </w:pPr>
                          <w:r>
                            <w:t>Uw brief (kenmerk)</w:t>
                          </w:r>
                        </w:p>
                        <w:p w14:paraId="72C6CE89" w14:textId="77777777" w:rsidR="00347324" w:rsidRDefault="003F4B7F">
                          <w:pPr>
                            <w:pStyle w:val="StandaardReferentiegegevens"/>
                          </w:pPr>
                          <w:r>
                            <w:fldChar w:fldCharType="begin"/>
                          </w:r>
                          <w:r>
                            <w:instrText xml:space="preserve"> DOCPROPERTY  "UwKenmerk</w:instrText>
                          </w:r>
                          <w:r>
                            <w:instrText xml:space="preserve">"  \* MERGEFORMAT </w:instrText>
                          </w:r>
                          <w:r>
                            <w:fldChar w:fldCharType="end"/>
                          </w:r>
                        </w:p>
                        <w:p w14:paraId="4FEE659D" w14:textId="77777777" w:rsidR="009F24FB" w:rsidRDefault="009F24FB">
                          <w:pPr>
                            <w:pStyle w:val="WitregelW1"/>
                          </w:pPr>
                        </w:p>
                        <w:p w14:paraId="07BD1E04" w14:textId="77777777" w:rsidR="009F24FB" w:rsidRDefault="00456FB3">
                          <w:pPr>
                            <w:pStyle w:val="StandaardReferentiegegevensKop"/>
                          </w:pPr>
                          <w:r>
                            <w:t>Bijlagen</w:t>
                          </w:r>
                        </w:p>
                        <w:p w14:paraId="7D353B18" w14:textId="77777777" w:rsidR="009F24FB" w:rsidRDefault="00456FB3">
                          <w:pPr>
                            <w:pStyle w:val="StandaardReferentiegegevens"/>
                          </w:pPr>
                          <w:r>
                            <w:t>(geen)</w:t>
                          </w:r>
                        </w:p>
                      </w:txbxContent>
                    </wps:txbx>
                    <wps:bodyPr vert="horz" wrap="square" lIns="0" tIns="0" rIns="0" bIns="0" anchor="t" anchorCtr="0"/>
                  </wps:wsp>
                </a:graphicData>
              </a:graphic>
            </wp:anchor>
          </w:drawing>
        </mc:Choice>
        <mc:Fallback>
          <w:pict>
            <v:shape w14:anchorId="64B60FC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9599F20" w14:textId="77777777" w:rsidR="009F24FB" w:rsidRDefault="00456FB3">
                    <w:pPr>
                      <w:pStyle w:val="StandaardReferentiegegevensKop"/>
                    </w:pPr>
                    <w:r>
                      <w:t>Directie Buitenlandse Financiële Betrekkingen</w:t>
                    </w:r>
                  </w:p>
                  <w:p w14:paraId="3E3A629F" w14:textId="77777777" w:rsidR="009F24FB" w:rsidRDefault="009F24FB">
                    <w:pPr>
                      <w:pStyle w:val="WitregelW1"/>
                    </w:pPr>
                  </w:p>
                  <w:p w14:paraId="60E638FD" w14:textId="77777777" w:rsidR="009F24FB" w:rsidRDefault="00456FB3">
                    <w:pPr>
                      <w:pStyle w:val="StandaardReferentiegegevens"/>
                    </w:pPr>
                    <w:r>
                      <w:t>Korte Voorhout 7</w:t>
                    </w:r>
                  </w:p>
                  <w:p w14:paraId="7B2529D5" w14:textId="77777777" w:rsidR="009F24FB" w:rsidRDefault="00456FB3">
                    <w:pPr>
                      <w:pStyle w:val="StandaardReferentiegegevens"/>
                    </w:pPr>
                    <w:r>
                      <w:t>2511 CW  'S-GRAVENHAGE</w:t>
                    </w:r>
                  </w:p>
                  <w:p w14:paraId="5BC2CE1B" w14:textId="77777777" w:rsidR="009F24FB" w:rsidRDefault="00456FB3">
                    <w:pPr>
                      <w:pStyle w:val="StandaardReferentiegegevens"/>
                    </w:pPr>
                    <w:r>
                      <w:t>POSTBUS 20201</w:t>
                    </w:r>
                  </w:p>
                  <w:p w14:paraId="5B69DA38" w14:textId="77777777" w:rsidR="009F24FB" w:rsidRDefault="00456FB3">
                    <w:pPr>
                      <w:pStyle w:val="StandaardReferentiegegevens"/>
                    </w:pPr>
                    <w:r>
                      <w:t>2500 EE  'S-GRAVENHAGE</w:t>
                    </w:r>
                  </w:p>
                  <w:p w14:paraId="06E56C37" w14:textId="77777777" w:rsidR="009F24FB" w:rsidRDefault="00456FB3">
                    <w:pPr>
                      <w:pStyle w:val="StandaardReferentiegegevens"/>
                    </w:pPr>
                    <w:r>
                      <w:t>www.rijksoverheid.nl/fin</w:t>
                    </w:r>
                  </w:p>
                  <w:p w14:paraId="2A75339A" w14:textId="77777777" w:rsidR="009F24FB" w:rsidRDefault="009F24FB">
                    <w:pPr>
                      <w:pStyle w:val="WitregelW2"/>
                    </w:pPr>
                  </w:p>
                  <w:p w14:paraId="6D496892" w14:textId="77777777" w:rsidR="009F24FB" w:rsidRDefault="00456FB3">
                    <w:pPr>
                      <w:pStyle w:val="StandaardReferentiegegevensKop"/>
                    </w:pPr>
                    <w:r>
                      <w:t>Ons kenmerk</w:t>
                    </w:r>
                  </w:p>
                  <w:p w14:paraId="343D89C6" w14:textId="77777777" w:rsidR="00347324" w:rsidRDefault="003F4B7F">
                    <w:pPr>
                      <w:pStyle w:val="StandaardReferentiegegevens"/>
                    </w:pPr>
                    <w:r>
                      <w:fldChar w:fldCharType="begin"/>
                    </w:r>
                    <w:r>
                      <w:instrText xml:space="preserve"> DOCPROPERTY  "Kenmerk"  \* MERGEFORMAT </w:instrText>
                    </w:r>
                    <w:r>
                      <w:fldChar w:fldCharType="separate"/>
                    </w:r>
                    <w:r>
                      <w:t>2024-0000432762</w:t>
                    </w:r>
                    <w:r>
                      <w:fldChar w:fldCharType="end"/>
                    </w:r>
                  </w:p>
                  <w:p w14:paraId="37DB3797" w14:textId="77777777" w:rsidR="009F24FB" w:rsidRDefault="009F24FB">
                    <w:pPr>
                      <w:pStyle w:val="WitregelW1"/>
                    </w:pPr>
                  </w:p>
                  <w:p w14:paraId="6FF05A58" w14:textId="77777777" w:rsidR="009F24FB" w:rsidRDefault="00456FB3">
                    <w:pPr>
                      <w:pStyle w:val="StandaardReferentiegegevensKop"/>
                    </w:pPr>
                    <w:r>
                      <w:t>Uw brief (kenmerk)</w:t>
                    </w:r>
                  </w:p>
                  <w:p w14:paraId="72C6CE89" w14:textId="77777777" w:rsidR="00347324" w:rsidRDefault="003F4B7F">
                    <w:pPr>
                      <w:pStyle w:val="StandaardReferentiegegevens"/>
                    </w:pPr>
                    <w:r>
                      <w:fldChar w:fldCharType="begin"/>
                    </w:r>
                    <w:r>
                      <w:instrText xml:space="preserve"> DOCPROPERTY  "UwKenmerk</w:instrText>
                    </w:r>
                    <w:r>
                      <w:instrText xml:space="preserve">"  \* MERGEFORMAT </w:instrText>
                    </w:r>
                    <w:r>
                      <w:fldChar w:fldCharType="end"/>
                    </w:r>
                  </w:p>
                  <w:p w14:paraId="4FEE659D" w14:textId="77777777" w:rsidR="009F24FB" w:rsidRDefault="009F24FB">
                    <w:pPr>
                      <w:pStyle w:val="WitregelW1"/>
                    </w:pPr>
                  </w:p>
                  <w:p w14:paraId="07BD1E04" w14:textId="77777777" w:rsidR="009F24FB" w:rsidRDefault="00456FB3">
                    <w:pPr>
                      <w:pStyle w:val="StandaardReferentiegegevensKop"/>
                    </w:pPr>
                    <w:r>
                      <w:t>Bijlagen</w:t>
                    </w:r>
                  </w:p>
                  <w:p w14:paraId="7D353B18" w14:textId="77777777" w:rsidR="009F24FB" w:rsidRDefault="00456FB3">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7EED58D" wp14:editId="5083612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4C055E7" w14:textId="77777777" w:rsidR="009F24FB" w:rsidRDefault="00456FB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7EED58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4C055E7" w14:textId="77777777" w:rsidR="009F24FB" w:rsidRDefault="00456FB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331AB0" wp14:editId="5293C60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5C5A1FC" w14:textId="77777777" w:rsidR="00347324" w:rsidRDefault="003F4B7F">
                          <w:pPr>
                            <w:pStyle w:val="Rubricering"/>
                          </w:pPr>
                          <w:r>
                            <w:fldChar w:fldCharType="begin"/>
                          </w:r>
                          <w:r>
                            <w:instrText xml:space="preserve"> DOCPROPERTY  "Rubricering"  \* MERGEFORMAT </w:instrText>
                          </w:r>
                          <w:r>
                            <w:fldChar w:fldCharType="end"/>
                          </w:r>
                        </w:p>
                        <w:p w14:paraId="29E41A3D" w14:textId="77777777" w:rsidR="009F24FB" w:rsidRDefault="00456FB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B331AB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5C5A1FC" w14:textId="77777777" w:rsidR="00347324" w:rsidRDefault="003F4B7F">
                    <w:pPr>
                      <w:pStyle w:val="Rubricering"/>
                    </w:pPr>
                    <w:r>
                      <w:fldChar w:fldCharType="begin"/>
                    </w:r>
                    <w:r>
                      <w:instrText xml:space="preserve"> DOCPROPERTY  "Rubricering"  \* MERGEFORMAT </w:instrText>
                    </w:r>
                    <w:r>
                      <w:fldChar w:fldCharType="end"/>
                    </w:r>
                  </w:p>
                  <w:p w14:paraId="29E41A3D" w14:textId="77777777" w:rsidR="009F24FB" w:rsidRDefault="00456FB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1FD5B4" wp14:editId="02561CD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3B887D2" w14:textId="77777777" w:rsidR="00347324" w:rsidRDefault="003F4B7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A1FD5B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3B887D2" w14:textId="77777777" w:rsidR="00347324" w:rsidRDefault="003F4B7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9DB575" wp14:editId="0947105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F24FB" w14:paraId="3BCF8B9B" w14:textId="77777777">
                            <w:trPr>
                              <w:trHeight w:val="200"/>
                            </w:trPr>
                            <w:tc>
                              <w:tcPr>
                                <w:tcW w:w="1140" w:type="dxa"/>
                              </w:tcPr>
                              <w:p w14:paraId="52C9FFC9" w14:textId="77777777" w:rsidR="009F24FB" w:rsidRDefault="009F24FB"/>
                            </w:tc>
                            <w:tc>
                              <w:tcPr>
                                <w:tcW w:w="5400" w:type="dxa"/>
                              </w:tcPr>
                              <w:p w14:paraId="2A6690D9" w14:textId="77777777" w:rsidR="009F24FB" w:rsidRDefault="009F24FB"/>
                            </w:tc>
                          </w:tr>
                          <w:tr w:rsidR="009F24FB" w14:paraId="41F36611" w14:textId="77777777">
                            <w:trPr>
                              <w:trHeight w:val="240"/>
                            </w:trPr>
                            <w:tc>
                              <w:tcPr>
                                <w:tcW w:w="1140" w:type="dxa"/>
                              </w:tcPr>
                              <w:p w14:paraId="242B8AAF" w14:textId="77777777" w:rsidR="009F24FB" w:rsidRDefault="00456FB3">
                                <w:r>
                                  <w:t>Datum</w:t>
                                </w:r>
                              </w:p>
                            </w:tc>
                            <w:tc>
                              <w:tcPr>
                                <w:tcW w:w="5400" w:type="dxa"/>
                              </w:tcPr>
                              <w:p w14:paraId="35741917" w14:textId="3B3670DF" w:rsidR="009F24FB" w:rsidRDefault="003F4B7F">
                                <w:r>
                                  <w:t>4 september 2024</w:t>
                                </w:r>
                              </w:p>
                            </w:tc>
                          </w:tr>
                          <w:tr w:rsidR="009F24FB" w14:paraId="0E738EC3" w14:textId="77777777">
                            <w:trPr>
                              <w:trHeight w:val="240"/>
                            </w:trPr>
                            <w:tc>
                              <w:tcPr>
                                <w:tcW w:w="1140" w:type="dxa"/>
                              </w:tcPr>
                              <w:p w14:paraId="319F646E" w14:textId="77777777" w:rsidR="009F24FB" w:rsidRDefault="00456FB3">
                                <w:r>
                                  <w:t>Betreft</w:t>
                                </w:r>
                              </w:p>
                            </w:tc>
                            <w:tc>
                              <w:tcPr>
                                <w:tcW w:w="5400" w:type="dxa"/>
                              </w:tcPr>
                              <w:p w14:paraId="4ADCAA06" w14:textId="77777777" w:rsidR="00347324" w:rsidRDefault="003F4B7F">
                                <w:r>
                                  <w:fldChar w:fldCharType="begin"/>
                                </w:r>
                                <w:r>
                                  <w:instrText xml:space="preserve"> DOCPROPERTY  "Onderwerp"  \* MERGEFORMAT </w:instrText>
                                </w:r>
                                <w:r>
                                  <w:fldChar w:fldCharType="separate"/>
                                </w:r>
                                <w:r>
                                  <w:t>Vierde aanvullende Europese begroting 2024 en Raadspositie Europese jaarbegroting 2025</w:t>
                                </w:r>
                                <w:r>
                                  <w:fldChar w:fldCharType="end"/>
                                </w:r>
                              </w:p>
                            </w:tc>
                          </w:tr>
                          <w:tr w:rsidR="009F24FB" w14:paraId="72CEF02B" w14:textId="77777777">
                            <w:trPr>
                              <w:trHeight w:val="200"/>
                            </w:trPr>
                            <w:tc>
                              <w:tcPr>
                                <w:tcW w:w="1140" w:type="dxa"/>
                              </w:tcPr>
                              <w:p w14:paraId="02387582" w14:textId="77777777" w:rsidR="009F24FB" w:rsidRDefault="009F24FB"/>
                            </w:tc>
                            <w:tc>
                              <w:tcPr>
                                <w:tcW w:w="4738" w:type="dxa"/>
                              </w:tcPr>
                              <w:p w14:paraId="4B00A536" w14:textId="77777777" w:rsidR="009F24FB" w:rsidRDefault="009F24FB"/>
                            </w:tc>
                          </w:tr>
                        </w:tbl>
                        <w:p w14:paraId="07E09384" w14:textId="77777777" w:rsidR="00456FB3" w:rsidRDefault="00456FB3"/>
                      </w:txbxContent>
                    </wps:txbx>
                    <wps:bodyPr vert="horz" wrap="square" lIns="0" tIns="0" rIns="0" bIns="0" anchor="t" anchorCtr="0"/>
                  </wps:wsp>
                </a:graphicData>
              </a:graphic>
            </wp:anchor>
          </w:drawing>
        </mc:Choice>
        <mc:Fallback>
          <w:pict>
            <v:shape w14:anchorId="3C9DB57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F24FB" w14:paraId="3BCF8B9B" w14:textId="77777777">
                      <w:trPr>
                        <w:trHeight w:val="200"/>
                      </w:trPr>
                      <w:tc>
                        <w:tcPr>
                          <w:tcW w:w="1140" w:type="dxa"/>
                        </w:tcPr>
                        <w:p w14:paraId="52C9FFC9" w14:textId="77777777" w:rsidR="009F24FB" w:rsidRDefault="009F24FB"/>
                      </w:tc>
                      <w:tc>
                        <w:tcPr>
                          <w:tcW w:w="5400" w:type="dxa"/>
                        </w:tcPr>
                        <w:p w14:paraId="2A6690D9" w14:textId="77777777" w:rsidR="009F24FB" w:rsidRDefault="009F24FB"/>
                      </w:tc>
                    </w:tr>
                    <w:tr w:rsidR="009F24FB" w14:paraId="41F36611" w14:textId="77777777">
                      <w:trPr>
                        <w:trHeight w:val="240"/>
                      </w:trPr>
                      <w:tc>
                        <w:tcPr>
                          <w:tcW w:w="1140" w:type="dxa"/>
                        </w:tcPr>
                        <w:p w14:paraId="242B8AAF" w14:textId="77777777" w:rsidR="009F24FB" w:rsidRDefault="00456FB3">
                          <w:r>
                            <w:t>Datum</w:t>
                          </w:r>
                        </w:p>
                      </w:tc>
                      <w:tc>
                        <w:tcPr>
                          <w:tcW w:w="5400" w:type="dxa"/>
                        </w:tcPr>
                        <w:p w14:paraId="35741917" w14:textId="3B3670DF" w:rsidR="009F24FB" w:rsidRDefault="003F4B7F">
                          <w:r>
                            <w:t>4 september 2024</w:t>
                          </w:r>
                        </w:p>
                      </w:tc>
                    </w:tr>
                    <w:tr w:rsidR="009F24FB" w14:paraId="0E738EC3" w14:textId="77777777">
                      <w:trPr>
                        <w:trHeight w:val="240"/>
                      </w:trPr>
                      <w:tc>
                        <w:tcPr>
                          <w:tcW w:w="1140" w:type="dxa"/>
                        </w:tcPr>
                        <w:p w14:paraId="319F646E" w14:textId="77777777" w:rsidR="009F24FB" w:rsidRDefault="00456FB3">
                          <w:r>
                            <w:t>Betreft</w:t>
                          </w:r>
                        </w:p>
                      </w:tc>
                      <w:tc>
                        <w:tcPr>
                          <w:tcW w:w="5400" w:type="dxa"/>
                        </w:tcPr>
                        <w:p w14:paraId="4ADCAA06" w14:textId="77777777" w:rsidR="00347324" w:rsidRDefault="003F4B7F">
                          <w:r>
                            <w:fldChar w:fldCharType="begin"/>
                          </w:r>
                          <w:r>
                            <w:instrText xml:space="preserve"> DOCPROPERTY  "Onderwerp"  \* MERGEFORMAT </w:instrText>
                          </w:r>
                          <w:r>
                            <w:fldChar w:fldCharType="separate"/>
                          </w:r>
                          <w:r>
                            <w:t>Vierde aanvullende Europese begroting 2024 en Raadspositie Europese jaarbegroting 2025</w:t>
                          </w:r>
                          <w:r>
                            <w:fldChar w:fldCharType="end"/>
                          </w:r>
                        </w:p>
                      </w:tc>
                    </w:tr>
                    <w:tr w:rsidR="009F24FB" w14:paraId="72CEF02B" w14:textId="77777777">
                      <w:trPr>
                        <w:trHeight w:val="200"/>
                      </w:trPr>
                      <w:tc>
                        <w:tcPr>
                          <w:tcW w:w="1140" w:type="dxa"/>
                        </w:tcPr>
                        <w:p w14:paraId="02387582" w14:textId="77777777" w:rsidR="009F24FB" w:rsidRDefault="009F24FB"/>
                      </w:tc>
                      <w:tc>
                        <w:tcPr>
                          <w:tcW w:w="4738" w:type="dxa"/>
                        </w:tcPr>
                        <w:p w14:paraId="4B00A536" w14:textId="77777777" w:rsidR="009F24FB" w:rsidRDefault="009F24FB"/>
                      </w:tc>
                    </w:tr>
                  </w:tbl>
                  <w:p w14:paraId="07E09384" w14:textId="77777777" w:rsidR="00456FB3" w:rsidRDefault="00456FB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49B07F" wp14:editId="5404AD0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190616C" w14:textId="77777777" w:rsidR="00347324" w:rsidRDefault="003F4B7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49B07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190616C" w14:textId="77777777" w:rsidR="00347324" w:rsidRDefault="003F4B7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26F1540" wp14:editId="0A8F101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9B3A18E" w14:textId="77777777" w:rsidR="00456FB3" w:rsidRDefault="00456FB3"/>
                      </w:txbxContent>
                    </wps:txbx>
                    <wps:bodyPr vert="horz" wrap="square" lIns="0" tIns="0" rIns="0" bIns="0" anchor="t" anchorCtr="0"/>
                  </wps:wsp>
                </a:graphicData>
              </a:graphic>
            </wp:anchor>
          </w:drawing>
        </mc:Choice>
        <mc:Fallback>
          <w:pict>
            <v:shape w14:anchorId="526F154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9B3A18E" w14:textId="77777777" w:rsidR="00456FB3" w:rsidRDefault="00456FB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96FC3"/>
    <w:multiLevelType w:val="multilevel"/>
    <w:tmpl w:val="090DA4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2C23A34"/>
    <w:multiLevelType w:val="multilevel"/>
    <w:tmpl w:val="A2F3821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775BDFA"/>
    <w:multiLevelType w:val="multilevel"/>
    <w:tmpl w:val="BE1172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6F60CBD"/>
    <w:multiLevelType w:val="multilevel"/>
    <w:tmpl w:val="F13D2AC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045967"/>
    <w:multiLevelType w:val="multilevel"/>
    <w:tmpl w:val="F57ECCF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A2B51"/>
    <w:multiLevelType w:val="multilevel"/>
    <w:tmpl w:val="2AEE55E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3911911">
    <w:abstractNumId w:val="5"/>
  </w:num>
  <w:num w:numId="2" w16cid:durableId="1362172161">
    <w:abstractNumId w:val="4"/>
  </w:num>
  <w:num w:numId="3" w16cid:durableId="240603172">
    <w:abstractNumId w:val="2"/>
  </w:num>
  <w:num w:numId="4" w16cid:durableId="1226718718">
    <w:abstractNumId w:val="0"/>
  </w:num>
  <w:num w:numId="5" w16cid:durableId="841969287">
    <w:abstractNumId w:val="3"/>
  </w:num>
  <w:num w:numId="6" w16cid:durableId="919220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FB"/>
    <w:rsid w:val="000057D8"/>
    <w:rsid w:val="000155ED"/>
    <w:rsid w:val="0001609D"/>
    <w:rsid w:val="0006084B"/>
    <w:rsid w:val="00075A3D"/>
    <w:rsid w:val="000857F0"/>
    <w:rsid w:val="00094689"/>
    <w:rsid w:val="000A07E4"/>
    <w:rsid w:val="000A6838"/>
    <w:rsid w:val="000B6F5A"/>
    <w:rsid w:val="000D52F2"/>
    <w:rsid w:val="000E0C9B"/>
    <w:rsid w:val="00102668"/>
    <w:rsid w:val="001053FF"/>
    <w:rsid w:val="00112D40"/>
    <w:rsid w:val="001246C6"/>
    <w:rsid w:val="00155793"/>
    <w:rsid w:val="00173FF9"/>
    <w:rsid w:val="001828F0"/>
    <w:rsid w:val="001B2F3D"/>
    <w:rsid w:val="001B492F"/>
    <w:rsid w:val="001E16B8"/>
    <w:rsid w:val="001F5578"/>
    <w:rsid w:val="001F7E38"/>
    <w:rsid w:val="00204733"/>
    <w:rsid w:val="00213D7A"/>
    <w:rsid w:val="00230F6C"/>
    <w:rsid w:val="00230FC5"/>
    <w:rsid w:val="0024325D"/>
    <w:rsid w:val="00257249"/>
    <w:rsid w:val="002675E6"/>
    <w:rsid w:val="00267BA4"/>
    <w:rsid w:val="00276885"/>
    <w:rsid w:val="00290CD8"/>
    <w:rsid w:val="00291622"/>
    <w:rsid w:val="002930C1"/>
    <w:rsid w:val="002A6732"/>
    <w:rsid w:val="002D06FD"/>
    <w:rsid w:val="00326C61"/>
    <w:rsid w:val="00347324"/>
    <w:rsid w:val="00365E86"/>
    <w:rsid w:val="003B60E6"/>
    <w:rsid w:val="003C74EA"/>
    <w:rsid w:val="003D5C06"/>
    <w:rsid w:val="003F4B7F"/>
    <w:rsid w:val="003F73A8"/>
    <w:rsid w:val="00414F0E"/>
    <w:rsid w:val="00416E80"/>
    <w:rsid w:val="004279B1"/>
    <w:rsid w:val="0043049B"/>
    <w:rsid w:val="004329FD"/>
    <w:rsid w:val="00434AD2"/>
    <w:rsid w:val="00456FB3"/>
    <w:rsid w:val="00461BA5"/>
    <w:rsid w:val="0047199D"/>
    <w:rsid w:val="004757D2"/>
    <w:rsid w:val="004945E8"/>
    <w:rsid w:val="004968B8"/>
    <w:rsid w:val="004A666B"/>
    <w:rsid w:val="004D4D5A"/>
    <w:rsid w:val="004E18AB"/>
    <w:rsid w:val="004F1B23"/>
    <w:rsid w:val="00522488"/>
    <w:rsid w:val="0052772A"/>
    <w:rsid w:val="00535C8A"/>
    <w:rsid w:val="005433C6"/>
    <w:rsid w:val="00550102"/>
    <w:rsid w:val="00551349"/>
    <w:rsid w:val="0056525C"/>
    <w:rsid w:val="00570146"/>
    <w:rsid w:val="005730B1"/>
    <w:rsid w:val="00581F56"/>
    <w:rsid w:val="00586093"/>
    <w:rsid w:val="00593FBC"/>
    <w:rsid w:val="005F3D24"/>
    <w:rsid w:val="006063CA"/>
    <w:rsid w:val="00620733"/>
    <w:rsid w:val="00621E2D"/>
    <w:rsid w:val="00632677"/>
    <w:rsid w:val="006532B6"/>
    <w:rsid w:val="006733D1"/>
    <w:rsid w:val="00682699"/>
    <w:rsid w:val="00693EDA"/>
    <w:rsid w:val="006966E1"/>
    <w:rsid w:val="006A3B43"/>
    <w:rsid w:val="006B251A"/>
    <w:rsid w:val="006B3A77"/>
    <w:rsid w:val="006C5474"/>
    <w:rsid w:val="006E7FF9"/>
    <w:rsid w:val="007030F6"/>
    <w:rsid w:val="00711C55"/>
    <w:rsid w:val="00716007"/>
    <w:rsid w:val="007207BC"/>
    <w:rsid w:val="00750556"/>
    <w:rsid w:val="00764050"/>
    <w:rsid w:val="00782F96"/>
    <w:rsid w:val="007872F2"/>
    <w:rsid w:val="0079541D"/>
    <w:rsid w:val="007D65CD"/>
    <w:rsid w:val="007E15B0"/>
    <w:rsid w:val="007F52D6"/>
    <w:rsid w:val="00801F69"/>
    <w:rsid w:val="00812D31"/>
    <w:rsid w:val="00823990"/>
    <w:rsid w:val="008B1111"/>
    <w:rsid w:val="008C06E7"/>
    <w:rsid w:val="008C72BF"/>
    <w:rsid w:val="008D4580"/>
    <w:rsid w:val="008D4A51"/>
    <w:rsid w:val="008E4F08"/>
    <w:rsid w:val="009061A2"/>
    <w:rsid w:val="00915625"/>
    <w:rsid w:val="009371F9"/>
    <w:rsid w:val="009A37C9"/>
    <w:rsid w:val="009A55A4"/>
    <w:rsid w:val="009C7D77"/>
    <w:rsid w:val="009F24FB"/>
    <w:rsid w:val="00A0256F"/>
    <w:rsid w:val="00A12EC8"/>
    <w:rsid w:val="00A23C2F"/>
    <w:rsid w:val="00A26EF9"/>
    <w:rsid w:val="00A33E2F"/>
    <w:rsid w:val="00A420C9"/>
    <w:rsid w:val="00A54EAE"/>
    <w:rsid w:val="00A806ED"/>
    <w:rsid w:val="00A9051E"/>
    <w:rsid w:val="00AF10E1"/>
    <w:rsid w:val="00AF40F2"/>
    <w:rsid w:val="00B11D6B"/>
    <w:rsid w:val="00B44AAB"/>
    <w:rsid w:val="00B5354D"/>
    <w:rsid w:val="00B555DA"/>
    <w:rsid w:val="00B872CC"/>
    <w:rsid w:val="00B878A4"/>
    <w:rsid w:val="00BB14D5"/>
    <w:rsid w:val="00BC5D57"/>
    <w:rsid w:val="00C077FC"/>
    <w:rsid w:val="00C430BB"/>
    <w:rsid w:val="00C45DBF"/>
    <w:rsid w:val="00C52A46"/>
    <w:rsid w:val="00C54B39"/>
    <w:rsid w:val="00C65248"/>
    <w:rsid w:val="00C720D0"/>
    <w:rsid w:val="00C93861"/>
    <w:rsid w:val="00CA0453"/>
    <w:rsid w:val="00CA354C"/>
    <w:rsid w:val="00CA4675"/>
    <w:rsid w:val="00CA4BCE"/>
    <w:rsid w:val="00D17E82"/>
    <w:rsid w:val="00D400C9"/>
    <w:rsid w:val="00D50D6A"/>
    <w:rsid w:val="00D572AE"/>
    <w:rsid w:val="00D90DF4"/>
    <w:rsid w:val="00D934FA"/>
    <w:rsid w:val="00D973DE"/>
    <w:rsid w:val="00DA65B4"/>
    <w:rsid w:val="00DA6A77"/>
    <w:rsid w:val="00DC31C9"/>
    <w:rsid w:val="00DC5766"/>
    <w:rsid w:val="00DD4B9C"/>
    <w:rsid w:val="00E07030"/>
    <w:rsid w:val="00E17C9A"/>
    <w:rsid w:val="00E2089B"/>
    <w:rsid w:val="00E2136C"/>
    <w:rsid w:val="00E352AA"/>
    <w:rsid w:val="00E404ED"/>
    <w:rsid w:val="00E51BAC"/>
    <w:rsid w:val="00E52B31"/>
    <w:rsid w:val="00E615FE"/>
    <w:rsid w:val="00E62504"/>
    <w:rsid w:val="00E87296"/>
    <w:rsid w:val="00E87586"/>
    <w:rsid w:val="00E921DB"/>
    <w:rsid w:val="00E96688"/>
    <w:rsid w:val="00EC66C8"/>
    <w:rsid w:val="00EC6C0B"/>
    <w:rsid w:val="00ED7FE2"/>
    <w:rsid w:val="00EE1756"/>
    <w:rsid w:val="00EE39BD"/>
    <w:rsid w:val="00EF5441"/>
    <w:rsid w:val="00F235A2"/>
    <w:rsid w:val="00F27158"/>
    <w:rsid w:val="00F46798"/>
    <w:rsid w:val="00F71F0C"/>
    <w:rsid w:val="00F946CB"/>
    <w:rsid w:val="00FA3C94"/>
    <w:rsid w:val="00FB4C23"/>
    <w:rsid w:val="00FD4087"/>
    <w:rsid w:val="14771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E4B5C"/>
  <w15:docId w15:val="{F5510EAE-116B-4049-B153-DE3CF4FF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E4F08"/>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A66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666B"/>
    <w:rPr>
      <w:rFonts w:ascii="Verdana" w:hAnsi="Verdana"/>
      <w:color w:val="000000"/>
      <w:sz w:val="18"/>
      <w:szCs w:val="18"/>
    </w:rPr>
  </w:style>
  <w:style w:type="paragraph" w:styleId="Voettekst">
    <w:name w:val="footer"/>
    <w:basedOn w:val="Standaard"/>
    <w:link w:val="VoettekstChar"/>
    <w:uiPriority w:val="99"/>
    <w:unhideWhenUsed/>
    <w:rsid w:val="004A66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666B"/>
    <w:rPr>
      <w:rFonts w:ascii="Verdana" w:hAnsi="Verdana"/>
      <w:color w:val="000000"/>
      <w:sz w:val="18"/>
      <w:szCs w:val="18"/>
    </w:rPr>
  </w:style>
  <w:style w:type="paragraph" w:styleId="Voetnoottekst">
    <w:name w:val="footnote text"/>
    <w:basedOn w:val="Standaard"/>
    <w:link w:val="VoetnoottekstChar"/>
    <w:uiPriority w:val="99"/>
    <w:semiHidden/>
    <w:unhideWhenUsed/>
    <w:rsid w:val="0058609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86093"/>
    <w:rPr>
      <w:rFonts w:ascii="Verdana" w:hAnsi="Verdana"/>
      <w:color w:val="000000"/>
    </w:rPr>
  </w:style>
  <w:style w:type="character" w:styleId="Voetnootmarkering">
    <w:name w:val="footnote reference"/>
    <w:basedOn w:val="Standaardalinea-lettertype"/>
    <w:uiPriority w:val="99"/>
    <w:semiHidden/>
    <w:unhideWhenUsed/>
    <w:rsid w:val="00586093"/>
    <w:rPr>
      <w:vertAlign w:val="superscript"/>
    </w:rPr>
  </w:style>
  <w:style w:type="character" w:styleId="Verwijzingopmerking">
    <w:name w:val="annotation reference"/>
    <w:basedOn w:val="Standaardalinea-lettertype"/>
    <w:uiPriority w:val="99"/>
    <w:semiHidden/>
    <w:unhideWhenUsed/>
    <w:rsid w:val="00416E80"/>
    <w:rPr>
      <w:sz w:val="16"/>
      <w:szCs w:val="16"/>
    </w:rPr>
  </w:style>
  <w:style w:type="paragraph" w:styleId="Tekstopmerking">
    <w:name w:val="annotation text"/>
    <w:basedOn w:val="Standaard"/>
    <w:link w:val="TekstopmerkingChar"/>
    <w:uiPriority w:val="99"/>
    <w:unhideWhenUsed/>
    <w:rsid w:val="00416E80"/>
    <w:pPr>
      <w:spacing w:line="240" w:lineRule="auto"/>
    </w:pPr>
    <w:rPr>
      <w:sz w:val="20"/>
      <w:szCs w:val="20"/>
    </w:rPr>
  </w:style>
  <w:style w:type="character" w:customStyle="1" w:styleId="TekstopmerkingChar">
    <w:name w:val="Tekst opmerking Char"/>
    <w:basedOn w:val="Standaardalinea-lettertype"/>
    <w:link w:val="Tekstopmerking"/>
    <w:uiPriority w:val="99"/>
    <w:rsid w:val="00416E8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16E80"/>
    <w:rPr>
      <w:b/>
      <w:bCs/>
    </w:rPr>
  </w:style>
  <w:style w:type="character" w:customStyle="1" w:styleId="OnderwerpvanopmerkingChar">
    <w:name w:val="Onderwerp van opmerking Char"/>
    <w:basedOn w:val="TekstopmerkingChar"/>
    <w:link w:val="Onderwerpvanopmerking"/>
    <w:uiPriority w:val="99"/>
    <w:semiHidden/>
    <w:rsid w:val="00416E80"/>
    <w:rPr>
      <w:rFonts w:ascii="Verdana" w:hAnsi="Verdana"/>
      <w:b/>
      <w:bCs/>
      <w:color w:val="000000"/>
    </w:rPr>
  </w:style>
  <w:style w:type="table" w:styleId="Tabelraster">
    <w:name w:val="Table Grid"/>
    <w:basedOn w:val="Standaardtabel"/>
    <w:uiPriority w:val="39"/>
    <w:rsid w:val="00416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F10E1"/>
    <w:pPr>
      <w:autoSpaceDN/>
      <w:textAlignment w:val="auto"/>
    </w:pPr>
    <w:rPr>
      <w:rFonts w:ascii="Verdana" w:hAnsi="Verdana"/>
      <w:color w:val="000000"/>
      <w:sz w:val="18"/>
      <w:szCs w:val="18"/>
    </w:rPr>
  </w:style>
  <w:style w:type="table" w:styleId="Onopgemaaktetabel2">
    <w:name w:val="Plain Table 2"/>
    <w:basedOn w:val="Standaardtabel"/>
    <w:uiPriority w:val="42"/>
    <w:rsid w:val="00E35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nopgelostemelding">
    <w:name w:val="Unresolved Mention"/>
    <w:basedOn w:val="Standaardalinea-lettertype"/>
    <w:uiPriority w:val="99"/>
    <w:semiHidden/>
    <w:unhideWhenUsed/>
    <w:rsid w:val="00434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1876">
      <w:bodyDiv w:val="1"/>
      <w:marLeft w:val="0"/>
      <w:marRight w:val="0"/>
      <w:marTop w:val="0"/>
      <w:marBottom w:val="0"/>
      <w:divBdr>
        <w:top w:val="none" w:sz="0" w:space="0" w:color="auto"/>
        <w:left w:val="none" w:sz="0" w:space="0" w:color="auto"/>
        <w:bottom w:val="none" w:sz="0" w:space="0" w:color="auto"/>
        <w:right w:val="none" w:sz="0" w:space="0" w:color="auto"/>
      </w:divBdr>
    </w:div>
    <w:div w:id="286931546">
      <w:bodyDiv w:val="1"/>
      <w:marLeft w:val="0"/>
      <w:marRight w:val="0"/>
      <w:marTop w:val="0"/>
      <w:marBottom w:val="0"/>
      <w:divBdr>
        <w:top w:val="none" w:sz="0" w:space="0" w:color="auto"/>
        <w:left w:val="none" w:sz="0" w:space="0" w:color="auto"/>
        <w:bottom w:val="none" w:sz="0" w:space="0" w:color="auto"/>
        <w:right w:val="none" w:sz="0" w:space="0" w:color="auto"/>
      </w:divBdr>
    </w:div>
    <w:div w:id="1090346795">
      <w:bodyDiv w:val="1"/>
      <w:marLeft w:val="0"/>
      <w:marRight w:val="0"/>
      <w:marTop w:val="0"/>
      <w:marBottom w:val="0"/>
      <w:divBdr>
        <w:top w:val="none" w:sz="0" w:space="0" w:color="auto"/>
        <w:left w:val="none" w:sz="0" w:space="0" w:color="auto"/>
        <w:bottom w:val="none" w:sz="0" w:space="0" w:color="auto"/>
        <w:right w:val="none" w:sz="0" w:space="0" w:color="auto"/>
      </w:divBdr>
    </w:div>
    <w:div w:id="1168397727">
      <w:bodyDiv w:val="1"/>
      <w:marLeft w:val="0"/>
      <w:marRight w:val="0"/>
      <w:marTop w:val="0"/>
      <w:marBottom w:val="0"/>
      <w:divBdr>
        <w:top w:val="none" w:sz="0" w:space="0" w:color="auto"/>
        <w:left w:val="none" w:sz="0" w:space="0" w:color="auto"/>
        <w:bottom w:val="none" w:sz="0" w:space="0" w:color="auto"/>
        <w:right w:val="none" w:sz="0" w:space="0" w:color="auto"/>
      </w:divBdr>
    </w:div>
    <w:div w:id="1237133372">
      <w:bodyDiv w:val="1"/>
      <w:marLeft w:val="0"/>
      <w:marRight w:val="0"/>
      <w:marTop w:val="0"/>
      <w:marBottom w:val="0"/>
      <w:divBdr>
        <w:top w:val="none" w:sz="0" w:space="0" w:color="auto"/>
        <w:left w:val="none" w:sz="0" w:space="0" w:color="auto"/>
        <w:bottom w:val="none" w:sz="0" w:space="0" w:color="auto"/>
        <w:right w:val="none" w:sz="0" w:space="0" w:color="auto"/>
      </w:divBdr>
    </w:div>
    <w:div w:id="138629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69866/20240201-special-euco-conclusions-mff-ukraine-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2653</ap:Words>
  <ap:Characters>14597</ap:Characters>
  <ap:DocSecurity>4</ap:DocSecurity>
  <ap:Lines>121</ap:Lines>
  <ap:Paragraphs>34</ap:Paragraphs>
  <ap:ScaleCrop>false</ap:ScaleCrop>
  <ap:HeadingPairs>
    <vt:vector baseType="variant" size="2">
      <vt:variant>
        <vt:lpstr>Titel</vt:lpstr>
      </vt:variant>
      <vt:variant>
        <vt:i4>1</vt:i4>
      </vt:variant>
    </vt:vector>
  </ap:HeadingPairs>
  <ap:TitlesOfParts>
    <vt:vector baseType="lpstr" size="1">
      <vt:lpstr>Brief aan Eerste of Tweede Kamer - Vierde aanvullende Europese begroting 2024 en Raadspositie Europese jaarbegroting 2025</vt:lpstr>
    </vt:vector>
  </ap:TitlesOfParts>
  <ap:LinksUpToDate>false</ap:LinksUpToDate>
  <ap:CharactersWithSpaces>17216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2024-09-04T11:24:00.0000000Z</dcterms:created>
  <dcterms:modified xsi:type="dcterms:W3CDTF">2024-09-04T11:24:00.0000000Z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Vierde aanvullende Europese begroting 2024 en Raadspositie Europese jaarbegroting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24 juli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2024-0000432762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Vierde aanvullende Europese begroting 2024 en Raadspositie Europese jaarbegroting 2025</vt:lpwstr>
  </property>
  <property fmtid="{D5CDD505-2E9C-101B-9397-08002B2CF9AE}" pid="30" name="UwKenmerk">
    <vt:lpwstr/>
  </property>
  <property fmtid="{D5CDD505-2E9C-101B-9397-08002B2CF9AE}" pid="31" name="MSIP_Label_927613d4-c48d-4ea6-97c3-589efc8c91a7_Enabled">
    <vt:lpwstr>true</vt:lpwstr>
  </property>
  <property fmtid="{D5CDD505-2E9C-101B-9397-08002B2CF9AE}" pid="32" name="MSIP_Label_927613d4-c48d-4ea6-97c3-589efc8c91a7_SetDate">
    <vt:lpwstr>2024-08-27T08:36:59Z</vt:lpwstr>
  </property>
  <property fmtid="{D5CDD505-2E9C-101B-9397-08002B2CF9AE}" pid="33" name="MSIP_Label_927613d4-c48d-4ea6-97c3-589efc8c91a7_Method">
    <vt:lpwstr>Privileged</vt:lpwstr>
  </property>
  <property fmtid="{D5CDD505-2E9C-101B-9397-08002B2CF9AE}" pid="34" name="MSIP_Label_927613d4-c48d-4ea6-97c3-589efc8c91a7_Name">
    <vt:lpwstr>FIN-DGGT-Publiek</vt:lpwstr>
  </property>
  <property fmtid="{D5CDD505-2E9C-101B-9397-08002B2CF9AE}" pid="35" name="MSIP_Label_927613d4-c48d-4ea6-97c3-589efc8c91a7_SiteId">
    <vt:lpwstr>84712536-f524-40a0-913b-5d25ba502732</vt:lpwstr>
  </property>
  <property fmtid="{D5CDD505-2E9C-101B-9397-08002B2CF9AE}" pid="36" name="MSIP_Label_927613d4-c48d-4ea6-97c3-589efc8c91a7_ActionId">
    <vt:lpwstr>e051121b-0707-4860-98be-558123482202</vt:lpwstr>
  </property>
  <property fmtid="{D5CDD505-2E9C-101B-9397-08002B2CF9AE}" pid="37" name="MSIP_Label_927613d4-c48d-4ea6-97c3-589efc8c91a7_ContentBits">
    <vt:lpwstr>0</vt:lpwstr>
  </property>
</Properties>
</file>