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55F8" w:rsidRDefault="008A55F8" w14:paraId="01E271B8" w14:textId="77777777"/>
    <w:p w:rsidR="008A55F8" w:rsidRDefault="008A55F8" w14:paraId="6731599D" w14:textId="77777777"/>
    <w:p w:rsidR="008A55F8" w:rsidRDefault="008A55F8" w14:paraId="6B47B799" w14:textId="77777777"/>
    <w:p w:rsidR="007D7259" w:rsidP="008A55F8" w:rsidRDefault="000D5FF5" w14:paraId="395B5813" w14:textId="77777777">
      <w:pPr>
        <w:tabs>
          <w:tab w:val="left" w:pos="3240"/>
        </w:tabs>
      </w:pPr>
      <w:r>
        <w:t>Geachte voorzitter,</w:t>
      </w:r>
      <w:r w:rsidR="008A55F8">
        <w:tab/>
      </w:r>
    </w:p>
    <w:p w:rsidR="000D5FF5" w:rsidRDefault="000D5FF5" w14:paraId="004EB589" w14:textId="77777777"/>
    <w:p w:rsidR="000D5FF5" w:rsidRDefault="00851EE6" w14:paraId="6696FA12" w14:textId="77777777">
      <w:r>
        <w:t>Ik heb</w:t>
      </w:r>
      <w:r w:rsidR="000D5FF5">
        <w:t xml:space="preserve"> geconstateerd dat </w:t>
      </w:r>
      <w:r w:rsidR="003B27AC">
        <w:t xml:space="preserve">bij de verzending aan uw Kamer </w:t>
      </w:r>
      <w:r w:rsidR="000D5FF5">
        <w:t xml:space="preserve">in de </w:t>
      </w:r>
      <w:r w:rsidR="003B27AC">
        <w:t>m</w:t>
      </w:r>
      <w:r w:rsidR="000D5FF5">
        <w:t xml:space="preserve">emorie van </w:t>
      </w:r>
      <w:r w:rsidR="003B27AC">
        <w:t>t</w:t>
      </w:r>
      <w:r w:rsidR="000D5FF5">
        <w:t>oelichting bij</w:t>
      </w:r>
      <w:r>
        <w:t xml:space="preserve"> boven</w:t>
      </w:r>
      <w:r w:rsidR="008A55F8">
        <w:t>vermeld</w:t>
      </w:r>
      <w:r>
        <w:t xml:space="preserve"> voorstel </w:t>
      </w:r>
      <w:r w:rsidR="000D5FF5">
        <w:t xml:space="preserve">op pagina </w:t>
      </w:r>
      <w:r w:rsidR="00370554">
        <w:t>19</w:t>
      </w:r>
      <w:r w:rsidR="000D5FF5">
        <w:t xml:space="preserve"> een passage uit paragraaf</w:t>
      </w:r>
      <w:r w:rsidR="00370554">
        <w:t xml:space="preserve"> 8 </w:t>
      </w:r>
      <w:proofErr w:type="gramStart"/>
      <w:r w:rsidR="00370554">
        <w:t>betreffende</w:t>
      </w:r>
      <w:proofErr w:type="gramEnd"/>
      <w:r w:rsidR="00370554">
        <w:t xml:space="preserve"> de consultatie</w:t>
      </w:r>
      <w:r w:rsidR="000D5FF5">
        <w:t xml:space="preserve"> is weggevallen. Hieronder vindt u</w:t>
      </w:r>
      <w:r w:rsidR="003B27AC">
        <w:t xml:space="preserve"> daarom</w:t>
      </w:r>
      <w:r w:rsidR="00370554">
        <w:t xml:space="preserve"> de volledige paragraaf </w:t>
      </w:r>
      <w:proofErr w:type="gramStart"/>
      <w:r w:rsidR="00370554">
        <w:t>betreffende</w:t>
      </w:r>
      <w:proofErr w:type="gramEnd"/>
      <w:r w:rsidR="00370554">
        <w:t xml:space="preserve"> de consultatie</w:t>
      </w:r>
      <w:r w:rsidR="000D5FF5">
        <w:t xml:space="preserve">. </w:t>
      </w:r>
      <w:r>
        <w:t>Deze</w:t>
      </w:r>
      <w:r w:rsidR="00641C82">
        <w:t xml:space="preserve"> gehele </w:t>
      </w:r>
      <w:r>
        <w:t xml:space="preserve">reactie </w:t>
      </w:r>
      <w:r w:rsidR="000D5FF5">
        <w:t xml:space="preserve">op de </w:t>
      </w:r>
      <w:r w:rsidR="003B27AC">
        <w:t>openbare consultatie</w:t>
      </w:r>
      <w:r>
        <w:t xml:space="preserve"> was </w:t>
      </w:r>
      <w:proofErr w:type="gramStart"/>
      <w:r>
        <w:t>reeds</w:t>
      </w:r>
      <w:proofErr w:type="gramEnd"/>
      <w:r>
        <w:t xml:space="preserve"> gepubliceerd in het consultatieverslag, te vinden op de wetgevingskalender</w:t>
      </w:r>
      <w:r w:rsidR="000D5FF5">
        <w:t>.</w:t>
      </w:r>
      <w:r w:rsidR="000D5FF5">
        <w:rPr>
          <w:rStyle w:val="Voetnootmarkering"/>
        </w:rPr>
        <w:footnoteReference w:id="1"/>
      </w:r>
    </w:p>
    <w:p w:rsidR="003B27AC" w:rsidRDefault="003B27AC" w14:paraId="4904724F" w14:textId="77777777"/>
    <w:p w:rsidRPr="00625F5D" w:rsidR="00370554" w:rsidRDefault="00370554" w14:paraId="4AA22CE5" w14:textId="77777777">
      <w:pPr>
        <w:rPr>
          <w:b/>
          <w:bCs/>
          <w:i/>
          <w:iCs/>
        </w:rPr>
      </w:pPr>
      <w:r w:rsidRPr="00625F5D">
        <w:rPr>
          <w:b/>
          <w:bCs/>
          <w:i/>
          <w:iCs/>
        </w:rPr>
        <w:t xml:space="preserve">8. Consultatie </w:t>
      </w:r>
    </w:p>
    <w:p w:rsidRPr="00625F5D" w:rsidR="00370554" w:rsidRDefault="00370554" w14:paraId="4AA1321F" w14:textId="77777777">
      <w:pPr>
        <w:rPr>
          <w:i/>
          <w:iCs/>
        </w:rPr>
      </w:pPr>
    </w:p>
    <w:p w:rsidRPr="00625F5D" w:rsidR="00370554" w:rsidRDefault="00370554" w14:paraId="250C9C71" w14:textId="77777777">
      <w:pPr>
        <w:rPr>
          <w:i/>
          <w:iCs/>
        </w:rPr>
      </w:pPr>
      <w:r w:rsidRPr="00625F5D">
        <w:rPr>
          <w:i/>
          <w:iCs/>
        </w:rPr>
        <w:t>Een concept van het wetsvoorstel en de memorie van toelichting is openbaar geconsulteerd op www.internetconsultatie.nl van 14 juli 2023 tot en met 11 augustus 2023. Er zijn naar aanleiding hiervan zeven consultatiereacties ontvangen bestaande uit drie burgerreacties, drie reacties vanuit de cryptosector en een reactie van een advocatenkantoor.</w:t>
      </w:r>
      <w:r w:rsidRPr="00625F5D">
        <w:rPr>
          <w:rStyle w:val="Voetnootmarkering"/>
          <w:i/>
          <w:iCs/>
        </w:rPr>
        <w:footnoteReference w:id="2"/>
      </w:r>
    </w:p>
    <w:p w:rsidRPr="00625F5D" w:rsidR="00370554" w:rsidRDefault="00370554" w14:paraId="6FDA51F8" w14:textId="77777777">
      <w:pPr>
        <w:rPr>
          <w:i/>
          <w:iCs/>
        </w:rPr>
      </w:pPr>
    </w:p>
    <w:p w:rsidRPr="00851EE6" w:rsidR="00370554" w:rsidRDefault="00370554" w14:paraId="25879CC5" w14:textId="77777777">
      <w:pPr>
        <w:rPr>
          <w:i/>
          <w:iCs/>
        </w:rPr>
      </w:pPr>
      <w:r w:rsidRPr="00625F5D">
        <w:rPr>
          <w:i/>
          <w:iCs/>
        </w:rPr>
        <w:t xml:space="preserve">Vier van de zeven consultatiereacties gaan over de overgangsperiode zoals beschreven in artikel 143, derde lid, van </w:t>
      </w:r>
      <w:proofErr w:type="spellStart"/>
      <w:r w:rsidRPr="00625F5D">
        <w:rPr>
          <w:i/>
          <w:iCs/>
        </w:rPr>
        <w:t>MiCA</w:t>
      </w:r>
      <w:proofErr w:type="spellEnd"/>
      <w:r w:rsidRPr="00625F5D">
        <w:rPr>
          <w:i/>
          <w:iCs/>
        </w:rPr>
        <w:t xml:space="preserve"> waarbij er onder andere zorgen worden geuit over de haalbaarheid en het gelijk speelveld van de lidstaatoptie </w:t>
      </w:r>
      <w:proofErr w:type="gramStart"/>
      <w:r w:rsidRPr="00625F5D">
        <w:rPr>
          <w:i/>
          <w:iCs/>
        </w:rPr>
        <w:t>omtrent</w:t>
      </w:r>
      <w:proofErr w:type="gramEnd"/>
      <w:r w:rsidRPr="00625F5D">
        <w:rPr>
          <w:i/>
          <w:iCs/>
        </w:rPr>
        <w:t xml:space="preserve"> het verkorten van de overgangstermijn tot maximaal zes maanden na het van toepassing worden van </w:t>
      </w:r>
      <w:proofErr w:type="spellStart"/>
      <w:r w:rsidRPr="00625F5D">
        <w:rPr>
          <w:i/>
          <w:iCs/>
        </w:rPr>
        <w:t>MiCA</w:t>
      </w:r>
      <w:proofErr w:type="spellEnd"/>
      <w:r w:rsidRPr="00625F5D">
        <w:rPr>
          <w:i/>
          <w:iCs/>
        </w:rPr>
        <w:t xml:space="preserve"> (30 december 2024). Hierbij is het belangrijk te benadrukken dat </w:t>
      </w:r>
      <w:proofErr w:type="spellStart"/>
      <w:r w:rsidRPr="00625F5D">
        <w:rPr>
          <w:i/>
          <w:iCs/>
        </w:rPr>
        <w:t>MiCA</w:t>
      </w:r>
      <w:proofErr w:type="spellEnd"/>
      <w:r w:rsidRPr="00625F5D">
        <w:rPr>
          <w:i/>
          <w:iCs/>
        </w:rPr>
        <w:t xml:space="preserve"> voorschrijft dat er een overgangstermijn van 18 maanden geldt voor partijen die momenteel binnen een nationaal regelgevend kader vallen. Lidstaten kunnen beslissen om deze overgangstermijn in te korten wanneer zij van oordeel zijn dat hun bestaande nationale regelgevingskader minder streng is dan de verordening. De optie om de overgangstermijn in te korten is voor Nederland van toepassing. Momenteel staan in Nederland aanbieders van bewaarportemonnees (</w:t>
      </w:r>
      <w:proofErr w:type="spellStart"/>
      <w:r w:rsidRPr="00625F5D">
        <w:rPr>
          <w:i/>
          <w:iCs/>
        </w:rPr>
        <w:t>wallets</w:t>
      </w:r>
      <w:proofErr w:type="spellEnd"/>
      <w:r w:rsidRPr="00625F5D">
        <w:rPr>
          <w:i/>
          <w:iCs/>
        </w:rPr>
        <w:t xml:space="preserve">) en aanbieders van diensten om </w:t>
      </w:r>
      <w:proofErr w:type="spellStart"/>
      <w:r w:rsidRPr="00625F5D">
        <w:rPr>
          <w:i/>
          <w:iCs/>
        </w:rPr>
        <w:t>crypto’s</w:t>
      </w:r>
      <w:proofErr w:type="spellEnd"/>
      <w:r w:rsidRPr="00625F5D">
        <w:rPr>
          <w:i/>
          <w:iCs/>
        </w:rPr>
        <w:t xml:space="preserve"> en fiat-geld te wisselen onder toezicht van DNB in het kader van </w:t>
      </w:r>
      <w:proofErr w:type="spellStart"/>
      <w:r w:rsidRPr="00625F5D">
        <w:rPr>
          <w:i/>
          <w:iCs/>
        </w:rPr>
        <w:t>Wwft</w:t>
      </w:r>
      <w:proofErr w:type="spellEnd"/>
      <w:r w:rsidRPr="00625F5D">
        <w:rPr>
          <w:i/>
          <w:iCs/>
        </w:rPr>
        <w:t xml:space="preserve">. Er bestaan nog geen specifieke eisen op het gebied van consumentenbescherming, </w:t>
      </w:r>
      <w:proofErr w:type="spellStart"/>
      <w:r w:rsidRPr="00625F5D">
        <w:rPr>
          <w:i/>
          <w:iCs/>
        </w:rPr>
        <w:t>prudentieel</w:t>
      </w:r>
      <w:proofErr w:type="spellEnd"/>
      <w:r w:rsidRPr="00625F5D">
        <w:rPr>
          <w:i/>
          <w:iCs/>
        </w:rPr>
        <w:t xml:space="preserve"> toezicht en het tegengaan van marktmisbruik. Een groot aantal andere partijen die onder </w:t>
      </w:r>
      <w:proofErr w:type="spellStart"/>
      <w:r w:rsidRPr="00625F5D">
        <w:rPr>
          <w:i/>
          <w:iCs/>
        </w:rPr>
        <w:t>MiCA</w:t>
      </w:r>
      <w:proofErr w:type="spellEnd"/>
      <w:r w:rsidRPr="00625F5D">
        <w:rPr>
          <w:i/>
          <w:iCs/>
        </w:rPr>
        <w:t xml:space="preserve"> vallen, </w:t>
      </w:r>
      <w:r w:rsidRPr="00851EE6">
        <w:rPr>
          <w:i/>
          <w:iCs/>
        </w:rPr>
        <w:t xml:space="preserve">valt momenteel helemaal niet onder toezicht. Het </w:t>
      </w:r>
      <w:r w:rsidRPr="00851EE6">
        <w:rPr>
          <w:i/>
          <w:iCs/>
        </w:rPr>
        <w:lastRenderedPageBreak/>
        <w:t xml:space="preserve">bestaande Nederlandse regelgevingskader is dus minder streng dan de </w:t>
      </w:r>
      <w:proofErr w:type="spellStart"/>
      <w:r w:rsidRPr="00851EE6">
        <w:rPr>
          <w:i/>
          <w:iCs/>
        </w:rPr>
        <w:t>MiCA</w:t>
      </w:r>
      <w:proofErr w:type="spellEnd"/>
      <w:r w:rsidRPr="00851EE6">
        <w:rPr>
          <w:i/>
          <w:iCs/>
        </w:rPr>
        <w:t xml:space="preserve">-verordening. </w:t>
      </w:r>
    </w:p>
    <w:p w:rsidRPr="00851EE6" w:rsidR="00370554" w:rsidRDefault="00370554" w14:paraId="5E95E6D7" w14:textId="77777777">
      <w:pPr>
        <w:rPr>
          <w:i/>
          <w:iCs/>
        </w:rPr>
      </w:pPr>
    </w:p>
    <w:p w:rsidRPr="00851EE6" w:rsidR="00370554" w:rsidRDefault="00370554" w14:paraId="37C5A591" w14:textId="77777777">
      <w:pPr>
        <w:rPr>
          <w:i/>
          <w:iCs/>
        </w:rPr>
      </w:pPr>
      <w:r w:rsidRPr="00851EE6">
        <w:rPr>
          <w:i/>
          <w:iCs/>
        </w:rPr>
        <w:t>Toezichthouders DNB en AFM hebben met betrekking tot de haalbaarheid van de overgangsperiode aangegeven dat een overgangsperiode van zes maanden haalbaar is. Verder werd in verschillende consultatiereacties geuit dat het belangrijk is de sector zo tijdig mogelijk te informeren over de vergunningsaanvraag en hier eventueel al vroegtijdig mee te starten</w:t>
      </w:r>
      <w:r w:rsidRPr="00851EE6" w:rsidR="00625F5D">
        <w:rPr>
          <w:i/>
          <w:iCs/>
        </w:rPr>
        <w:t xml:space="preserve">. </w:t>
      </w:r>
      <w:r w:rsidRPr="00851EE6">
        <w:rPr>
          <w:i/>
          <w:iCs/>
        </w:rPr>
        <w:t xml:space="preserve">De AFM heeft aangegeven het loket voor de vergunningsaanvraag zo snel mogelijk open te zetten. Daarnaast zal het ministerie in samenwerking met de toezichthouders bekijken hoe de sector zo tijdig mogelijk geïnformeerd kan worden. </w:t>
      </w:r>
    </w:p>
    <w:p w:rsidRPr="00851EE6" w:rsidR="00370554" w:rsidRDefault="00370554" w14:paraId="346D6EE3" w14:textId="77777777">
      <w:pPr>
        <w:rPr>
          <w:i/>
          <w:iCs/>
        </w:rPr>
      </w:pPr>
    </w:p>
    <w:p w:rsidRPr="00851EE6" w:rsidR="00370554" w:rsidRDefault="00370554" w14:paraId="6543D1AE" w14:textId="77777777">
      <w:pPr>
        <w:rPr>
          <w:i/>
          <w:iCs/>
        </w:rPr>
      </w:pPr>
      <w:r w:rsidRPr="00851EE6">
        <w:rPr>
          <w:i/>
          <w:iCs/>
        </w:rPr>
        <w:t xml:space="preserve">Ook zijn er zorgen geuit over een gelijk speelveld binnen Europa en de Nederlandse concurrentiepositie wanneer andere lidstaten geen gebruik zullen maken van deze lidstaatoptie. Aangezien lidstaten, afhankelijk van hun huidige nationale kader, zelf kunnen bepalen hoe zij omgaan met de overgangsperiode, is het onvermijdelijk dat er binnen Europe tijdelijk nationale verschillen zullen bestaan. Echter, wanneer landen geen gebruik maken van de lidstaatoptie kunnen </w:t>
      </w:r>
      <w:proofErr w:type="spellStart"/>
      <w:r w:rsidRPr="00851EE6">
        <w:rPr>
          <w:i/>
          <w:iCs/>
        </w:rPr>
        <w:t>cryptoactivadienstverleners</w:t>
      </w:r>
      <w:proofErr w:type="spellEnd"/>
      <w:r w:rsidRPr="00851EE6">
        <w:rPr>
          <w:i/>
          <w:iCs/>
        </w:rPr>
        <w:t xml:space="preserve"> tot achttien maanden na de inwerkingtreding van </w:t>
      </w:r>
      <w:proofErr w:type="spellStart"/>
      <w:r w:rsidRPr="00851EE6">
        <w:rPr>
          <w:i/>
          <w:iCs/>
        </w:rPr>
        <w:t>MiCA</w:t>
      </w:r>
      <w:proofErr w:type="spellEnd"/>
      <w:r w:rsidRPr="00851EE6">
        <w:rPr>
          <w:i/>
          <w:iCs/>
        </w:rPr>
        <w:t xml:space="preserve"> diensten aanbieden zonder vergunning, waarbij ze nog niet aan de </w:t>
      </w:r>
      <w:proofErr w:type="spellStart"/>
      <w:r w:rsidRPr="00851EE6">
        <w:rPr>
          <w:i/>
          <w:iCs/>
        </w:rPr>
        <w:t>MiCA</w:t>
      </w:r>
      <w:proofErr w:type="spellEnd"/>
      <w:r w:rsidRPr="00851EE6">
        <w:rPr>
          <w:i/>
          <w:iCs/>
        </w:rPr>
        <w:t xml:space="preserve">-vereisten hoeven te voldoen. Vanwege de risico’s die komen kijken bij het handelen in cryptoactiva en </w:t>
      </w:r>
      <w:proofErr w:type="spellStart"/>
      <w:r w:rsidRPr="00851EE6">
        <w:rPr>
          <w:i/>
          <w:iCs/>
        </w:rPr>
        <w:t>cryptoactivagerelateerde</w:t>
      </w:r>
      <w:proofErr w:type="spellEnd"/>
      <w:r w:rsidRPr="00851EE6">
        <w:rPr>
          <w:i/>
          <w:iCs/>
        </w:rPr>
        <w:t xml:space="preserve"> diensten voor consumenten, vindt het kabinet het belangrijk dat deze partijen zo snel mogelijk aan de volledige set </w:t>
      </w:r>
      <w:proofErr w:type="spellStart"/>
      <w:r w:rsidRPr="00851EE6">
        <w:rPr>
          <w:i/>
          <w:iCs/>
        </w:rPr>
        <w:t>MiCA</w:t>
      </w:r>
      <w:proofErr w:type="spellEnd"/>
      <w:r w:rsidRPr="00851EE6">
        <w:rPr>
          <w:i/>
          <w:iCs/>
        </w:rPr>
        <w:t xml:space="preserve">-vereisten moeten voldoen. Daarmee zijn consumenten beter beschermd, wordt marktmisbruik tegengegaan en worden </w:t>
      </w:r>
      <w:proofErr w:type="spellStart"/>
      <w:r w:rsidRPr="00851EE6">
        <w:rPr>
          <w:i/>
          <w:iCs/>
        </w:rPr>
        <w:t>prudentiële</w:t>
      </w:r>
      <w:proofErr w:type="spellEnd"/>
      <w:r w:rsidRPr="00851EE6">
        <w:rPr>
          <w:i/>
          <w:iCs/>
        </w:rPr>
        <w:t xml:space="preserve"> eisen gesteld aan deze partijen om zo de markt veiliger en stabieler te maken. Buitenlandse partijen mogen zonder vergunning hun diensten niet in Nederland aanbieden. Wanneer er een vergunning verkregen is, mogen deze </w:t>
      </w:r>
      <w:proofErr w:type="spellStart"/>
      <w:r w:rsidRPr="00851EE6">
        <w:rPr>
          <w:i/>
          <w:iCs/>
        </w:rPr>
        <w:t>cryptoactivadienstverleners</w:t>
      </w:r>
      <w:proofErr w:type="spellEnd"/>
      <w:r w:rsidRPr="00851EE6">
        <w:rPr>
          <w:i/>
          <w:iCs/>
        </w:rPr>
        <w:t xml:space="preserve"> en uitgevers van </w:t>
      </w:r>
      <w:proofErr w:type="spellStart"/>
      <w:r w:rsidRPr="00851EE6">
        <w:rPr>
          <w:i/>
          <w:iCs/>
        </w:rPr>
        <w:t>stablecoins</w:t>
      </w:r>
      <w:proofErr w:type="spellEnd"/>
      <w:r w:rsidRPr="00851EE6">
        <w:rPr>
          <w:i/>
          <w:iCs/>
        </w:rPr>
        <w:t xml:space="preserve"> wel al hun diensten aanbieden in de rest van de EU (passporten), dit kan ook gezien worden als een concurrentievoordeel ten opzichte van landen die nog geen vergunningen uitgeven aan reeds geregistreerde partijen. </w:t>
      </w:r>
    </w:p>
    <w:p w:rsidRPr="00851EE6" w:rsidR="00370554" w:rsidRDefault="00370554" w14:paraId="75CFEA88" w14:textId="77777777">
      <w:pPr>
        <w:rPr>
          <w:i/>
          <w:iCs/>
        </w:rPr>
      </w:pPr>
    </w:p>
    <w:p w:rsidRPr="00851EE6" w:rsidR="00625F5D" w:rsidRDefault="00370554" w14:paraId="446559F1" w14:textId="77777777">
      <w:pPr>
        <w:rPr>
          <w:i/>
          <w:iCs/>
        </w:rPr>
      </w:pPr>
      <w:r w:rsidRPr="00851EE6">
        <w:rPr>
          <w:i/>
          <w:iCs/>
        </w:rPr>
        <w:t xml:space="preserve">In een consultatiereactie wordt aangegeven dat de bevoegdheden die aan de toezichthouder worden toegekend ruimer zijn opgeschreven dan in de verordening. Deze bevoegdheden zijn in de voorgestelde bepaling (artikel 1:77n </w:t>
      </w:r>
      <w:proofErr w:type="spellStart"/>
      <w:r w:rsidRPr="00851EE6">
        <w:rPr>
          <w:i/>
          <w:iCs/>
        </w:rPr>
        <w:t>Wft</w:t>
      </w:r>
      <w:proofErr w:type="spellEnd"/>
      <w:r w:rsidRPr="00851EE6">
        <w:rPr>
          <w:i/>
          <w:iCs/>
        </w:rPr>
        <w:t xml:space="preserve">) echter geclausuleerd zodat de bevoegdheden uitsluitend kan worden toegepast met inachtneming van de desbetreffende bepalingen uit </w:t>
      </w:r>
      <w:proofErr w:type="spellStart"/>
      <w:r w:rsidRPr="00851EE6">
        <w:rPr>
          <w:i/>
          <w:iCs/>
        </w:rPr>
        <w:t>MiCA</w:t>
      </w:r>
      <w:proofErr w:type="spellEnd"/>
      <w:r w:rsidRPr="00851EE6">
        <w:rPr>
          <w:i/>
          <w:iCs/>
        </w:rPr>
        <w:t xml:space="preserve">. In het voorgestelde artikel 1:77n </w:t>
      </w:r>
      <w:proofErr w:type="spellStart"/>
      <w:r w:rsidRPr="00851EE6">
        <w:rPr>
          <w:i/>
          <w:iCs/>
        </w:rPr>
        <w:t>Wft</w:t>
      </w:r>
      <w:proofErr w:type="spellEnd"/>
      <w:r w:rsidRPr="00851EE6">
        <w:rPr>
          <w:i/>
          <w:iCs/>
        </w:rPr>
        <w:t xml:space="preserve"> wordt dan ook verwezen naar artikel 94, eerste en derde lid, en artikel 111, vijfde lid, van de verordening. Dit betekent dat de toezichthouders deze bevoegdheden enkel kunnen toepassen met inachtneming van hetgeen bepaald is in deze bepalingen uit </w:t>
      </w:r>
      <w:proofErr w:type="spellStart"/>
      <w:r w:rsidRPr="00851EE6">
        <w:rPr>
          <w:i/>
          <w:iCs/>
        </w:rPr>
        <w:t>MiCA</w:t>
      </w:r>
      <w:proofErr w:type="spellEnd"/>
      <w:r w:rsidRPr="00851EE6">
        <w:rPr>
          <w:i/>
          <w:iCs/>
        </w:rPr>
        <w:t xml:space="preserve">. </w:t>
      </w:r>
    </w:p>
    <w:p w:rsidRPr="00851EE6" w:rsidR="00370554" w:rsidRDefault="00370554" w14:paraId="7F385A2C" w14:textId="77777777">
      <w:pPr>
        <w:rPr>
          <w:i/>
          <w:iCs/>
        </w:rPr>
      </w:pPr>
    </w:p>
    <w:p w:rsidRPr="00851EE6" w:rsidR="00625F5D" w:rsidRDefault="00370554" w14:paraId="2FE85235" w14:textId="77777777">
      <w:pPr>
        <w:rPr>
          <w:i/>
          <w:iCs/>
        </w:rPr>
      </w:pPr>
      <w:r w:rsidRPr="00851EE6">
        <w:rPr>
          <w:i/>
          <w:iCs/>
        </w:rPr>
        <w:t xml:space="preserve">Tot slot geven twee burgerreacties aan dat </w:t>
      </w:r>
      <w:proofErr w:type="spellStart"/>
      <w:r w:rsidRPr="00851EE6">
        <w:rPr>
          <w:i/>
          <w:iCs/>
        </w:rPr>
        <w:t>Bitcoin</w:t>
      </w:r>
      <w:proofErr w:type="spellEnd"/>
      <w:r w:rsidRPr="00851EE6">
        <w:rPr>
          <w:i/>
          <w:iCs/>
        </w:rPr>
        <w:t xml:space="preserve"> en </w:t>
      </w:r>
      <w:proofErr w:type="spellStart"/>
      <w:r w:rsidRPr="00851EE6">
        <w:rPr>
          <w:i/>
          <w:iCs/>
        </w:rPr>
        <w:t>Ethereum</w:t>
      </w:r>
      <w:proofErr w:type="spellEnd"/>
      <w:r w:rsidRPr="00851EE6">
        <w:rPr>
          <w:i/>
          <w:iCs/>
        </w:rPr>
        <w:t xml:space="preserve"> als aparte regimes behandeld zouden moeten worden aangezien deze twee activa meer intrinsieke waarde zouden bevatten. </w:t>
      </w:r>
      <w:proofErr w:type="spellStart"/>
      <w:r w:rsidRPr="00851EE6">
        <w:rPr>
          <w:i/>
          <w:iCs/>
        </w:rPr>
        <w:t>MiCA</w:t>
      </w:r>
      <w:proofErr w:type="spellEnd"/>
      <w:r w:rsidRPr="00851EE6">
        <w:rPr>
          <w:i/>
          <w:iCs/>
        </w:rPr>
        <w:t xml:space="preserve"> beoogt juist Europese regels </w:t>
      </w:r>
      <w:proofErr w:type="gramStart"/>
      <w:r w:rsidRPr="00851EE6">
        <w:rPr>
          <w:i/>
          <w:iCs/>
        </w:rPr>
        <w:t>omtrent</w:t>
      </w:r>
      <w:proofErr w:type="gramEnd"/>
      <w:r w:rsidRPr="00851EE6">
        <w:rPr>
          <w:i/>
          <w:iCs/>
        </w:rPr>
        <w:t xml:space="preserve"> </w:t>
      </w:r>
      <w:proofErr w:type="spellStart"/>
      <w:r w:rsidRPr="00851EE6">
        <w:rPr>
          <w:i/>
          <w:iCs/>
        </w:rPr>
        <w:t>cryptoactivadiensten</w:t>
      </w:r>
      <w:proofErr w:type="spellEnd"/>
      <w:r w:rsidRPr="00851EE6">
        <w:rPr>
          <w:i/>
          <w:iCs/>
        </w:rPr>
        <w:t xml:space="preserve"> te harmoniseren in het belang van consumentenbescherming en financiële stabiliteit.</w:t>
      </w:r>
    </w:p>
    <w:p w:rsidRPr="00851EE6" w:rsidR="00625F5D" w:rsidRDefault="00625F5D" w14:paraId="7EA6776B" w14:textId="77777777">
      <w:pPr>
        <w:rPr>
          <w:i/>
          <w:iCs/>
        </w:rPr>
      </w:pPr>
    </w:p>
    <w:p w:rsidRPr="00851EE6" w:rsidR="00370554" w:rsidRDefault="00370554" w14:paraId="53403E9A" w14:textId="77777777">
      <w:pPr>
        <w:rPr>
          <w:i/>
          <w:iCs/>
        </w:rPr>
      </w:pPr>
      <w:r w:rsidRPr="00851EE6">
        <w:rPr>
          <w:i/>
          <w:iCs/>
        </w:rPr>
        <w:t xml:space="preserve"> Vanuit dat oogpunt is het wenselijk dat cryptoactiva als </w:t>
      </w:r>
      <w:proofErr w:type="spellStart"/>
      <w:r w:rsidRPr="00851EE6">
        <w:rPr>
          <w:i/>
          <w:iCs/>
        </w:rPr>
        <w:t>Bitcoin</w:t>
      </w:r>
      <w:proofErr w:type="spellEnd"/>
      <w:r w:rsidRPr="00851EE6">
        <w:rPr>
          <w:i/>
          <w:iCs/>
        </w:rPr>
        <w:t xml:space="preserve"> en </w:t>
      </w:r>
      <w:proofErr w:type="spellStart"/>
      <w:r w:rsidRPr="00851EE6">
        <w:rPr>
          <w:i/>
          <w:iCs/>
        </w:rPr>
        <w:t>Ethereum</w:t>
      </w:r>
      <w:proofErr w:type="spellEnd"/>
      <w:r w:rsidRPr="00851EE6">
        <w:rPr>
          <w:i/>
          <w:iCs/>
        </w:rPr>
        <w:t xml:space="preserve">, die relatief veel gebruikt worden, ook aan deze regels voldoen. Ook biedt </w:t>
      </w:r>
      <w:proofErr w:type="spellStart"/>
      <w:r w:rsidRPr="00851EE6">
        <w:rPr>
          <w:i/>
          <w:iCs/>
        </w:rPr>
        <w:t>MiCA</w:t>
      </w:r>
      <w:proofErr w:type="spellEnd"/>
      <w:r w:rsidRPr="00851EE6">
        <w:rPr>
          <w:i/>
          <w:iCs/>
        </w:rPr>
        <w:t xml:space="preserve"> weinig ruimte voor nationale differentiatie aangezien het een Europese verordening betreft die rechtstreeks geldt.</w:t>
      </w:r>
    </w:p>
    <w:p w:rsidRPr="00851EE6" w:rsidR="00625F5D" w:rsidRDefault="00625F5D" w14:paraId="62AE882A" w14:textId="77777777">
      <w:pPr>
        <w:rPr>
          <w:i/>
          <w:iCs/>
        </w:rPr>
      </w:pPr>
    </w:p>
    <w:p w:rsidRPr="00851EE6" w:rsidR="000D5FF5" w:rsidRDefault="000D5FF5" w14:paraId="5CAA9483" w14:textId="77777777">
      <w:r w:rsidRPr="00851EE6">
        <w:t>Hoogachtend,</w:t>
      </w:r>
    </w:p>
    <w:p w:rsidRPr="00851EE6" w:rsidR="000D5FF5" w:rsidRDefault="000D5FF5" w14:paraId="17105CF4" w14:textId="77777777"/>
    <w:p w:rsidR="000D5FF5" w:rsidRDefault="00894F2C" w14:paraId="69CABDAD" w14:textId="55E8D89F">
      <w:proofErr w:type="gramStart"/>
      <w:r>
        <w:t>d</w:t>
      </w:r>
      <w:r w:rsidRPr="00851EE6" w:rsidR="000D5FF5">
        <w:t>e</w:t>
      </w:r>
      <w:proofErr w:type="gramEnd"/>
      <w:r w:rsidRPr="00851EE6" w:rsidR="000D5FF5">
        <w:t xml:space="preserve"> minister van Financiën,</w:t>
      </w:r>
    </w:p>
    <w:p w:rsidR="000D5FF5" w:rsidRDefault="000D5FF5" w14:paraId="21DB892A" w14:textId="77777777"/>
    <w:p w:rsidR="000D5FF5" w:rsidRDefault="000D5FF5" w14:paraId="7E29D8A3" w14:textId="77777777"/>
    <w:p w:rsidR="000D5FF5" w:rsidRDefault="000D5FF5" w14:paraId="2668D0E4" w14:textId="77777777"/>
    <w:p w:rsidR="000D5FF5" w:rsidRDefault="000D5FF5" w14:paraId="1E226F0E" w14:textId="77777777"/>
    <w:p w:rsidR="000D5FF5" w:rsidRDefault="00866687" w14:paraId="2A0B36B7" w14:textId="77777777">
      <w:r>
        <w:t>E. Heinen</w:t>
      </w:r>
    </w:p>
    <w:p w:rsidR="007D7259" w:rsidRDefault="007D7259" w14:paraId="0B3EE107" w14:textId="77777777">
      <w:pPr>
        <w:pStyle w:val="WitregelW1bodytekst"/>
      </w:pPr>
    </w:p>
    <w:p w:rsidR="007D7259" w:rsidRDefault="007D7259" w14:paraId="064B7528" w14:textId="77777777"/>
    <w:p w:rsidR="007D7259" w:rsidRDefault="007D7259" w14:paraId="17DA2812" w14:textId="77777777"/>
    <w:p w:rsidR="007D7259" w:rsidRDefault="007D7259" w14:paraId="273FF848" w14:textId="77777777"/>
    <w:p w:rsidR="007D7259" w:rsidRDefault="007D7259" w14:paraId="5C24AF68" w14:textId="77777777"/>
    <w:p w:rsidR="007D7259" w:rsidRDefault="007D7259" w14:paraId="066A0D0A" w14:textId="77777777"/>
    <w:p w:rsidR="007D7259" w:rsidRDefault="007D7259" w14:paraId="2D82ED75" w14:textId="77777777"/>
    <w:p w:rsidR="007D7259" w:rsidRDefault="007D7259" w14:paraId="12DC7D85" w14:textId="77777777"/>
    <w:p w:rsidR="007D7259" w:rsidRDefault="007D7259" w14:paraId="2FC80CE4" w14:textId="77777777"/>
    <w:p w:rsidR="007D7259" w:rsidRDefault="007D7259" w14:paraId="28A35BCC" w14:textId="77777777"/>
    <w:sectPr w:rsidR="007D7259" w:rsidSect="008A55F8">
      <w:headerReference w:type="default" r:id="rId7"/>
      <w:footerReference w:type="default" r:id="rId8"/>
      <w:headerReference w:type="first" r:id="rId9"/>
      <w:pgSz w:w="11905" w:h="16837"/>
      <w:pgMar w:top="4282"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0DDD5" w14:textId="77777777" w:rsidR="00361A0E" w:rsidRDefault="00361A0E">
      <w:pPr>
        <w:spacing w:line="240" w:lineRule="auto"/>
      </w:pPr>
      <w:r>
        <w:separator/>
      </w:r>
    </w:p>
  </w:endnote>
  <w:endnote w:type="continuationSeparator" w:id="0">
    <w:p w14:paraId="38F9947F" w14:textId="77777777" w:rsidR="00361A0E" w:rsidRDefault="00361A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5E1A" w14:textId="77777777" w:rsidR="007D7259" w:rsidRDefault="007D7259">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65336" w14:textId="77777777" w:rsidR="00361A0E" w:rsidRDefault="00361A0E">
      <w:pPr>
        <w:spacing w:line="240" w:lineRule="auto"/>
      </w:pPr>
      <w:r>
        <w:separator/>
      </w:r>
    </w:p>
  </w:footnote>
  <w:footnote w:type="continuationSeparator" w:id="0">
    <w:p w14:paraId="3114D0D4" w14:textId="77777777" w:rsidR="00361A0E" w:rsidRDefault="00361A0E">
      <w:pPr>
        <w:spacing w:line="240" w:lineRule="auto"/>
      </w:pPr>
      <w:r>
        <w:continuationSeparator/>
      </w:r>
    </w:p>
  </w:footnote>
  <w:footnote w:id="1">
    <w:p w14:paraId="256FC913" w14:textId="77777777" w:rsidR="000D5FF5" w:rsidRPr="00625F5D" w:rsidRDefault="000D5FF5">
      <w:pPr>
        <w:pStyle w:val="Voetnoottekst"/>
        <w:rPr>
          <w:sz w:val="16"/>
          <w:szCs w:val="16"/>
        </w:rPr>
      </w:pPr>
      <w:r w:rsidRPr="00625F5D">
        <w:rPr>
          <w:rStyle w:val="Voetnootmarkering"/>
          <w:sz w:val="16"/>
          <w:szCs w:val="16"/>
        </w:rPr>
        <w:footnoteRef/>
      </w:r>
      <w:r w:rsidRPr="00625F5D">
        <w:rPr>
          <w:sz w:val="16"/>
          <w:szCs w:val="16"/>
        </w:rPr>
        <w:t xml:space="preserve"> </w:t>
      </w:r>
      <w:proofErr w:type="gramStart"/>
      <w:r w:rsidRPr="00625F5D">
        <w:rPr>
          <w:sz w:val="16"/>
          <w:szCs w:val="16"/>
        </w:rPr>
        <w:t>www.wetgevingskalender.overheid.nl/Regeling/WGK025575</w:t>
      </w:r>
      <w:proofErr w:type="gramEnd"/>
      <w:r w:rsidRPr="00625F5D">
        <w:rPr>
          <w:sz w:val="16"/>
          <w:szCs w:val="16"/>
        </w:rPr>
        <w:t>.</w:t>
      </w:r>
    </w:p>
  </w:footnote>
  <w:footnote w:id="2">
    <w:p w14:paraId="4C81AD1A" w14:textId="77777777" w:rsidR="00370554" w:rsidRDefault="00370554">
      <w:pPr>
        <w:pStyle w:val="Voetnoottekst"/>
      </w:pPr>
      <w:r w:rsidRPr="00625F5D">
        <w:rPr>
          <w:rStyle w:val="Voetnootmarkering"/>
          <w:sz w:val="16"/>
          <w:szCs w:val="16"/>
        </w:rPr>
        <w:footnoteRef/>
      </w:r>
      <w:r w:rsidRPr="00625F5D">
        <w:rPr>
          <w:sz w:val="16"/>
          <w:szCs w:val="16"/>
        </w:rPr>
        <w:t xml:space="preserve"> </w:t>
      </w:r>
      <w:hyperlink r:id="rId1" w:history="1">
        <w:r w:rsidR="00625F5D" w:rsidRPr="00625F5D">
          <w:rPr>
            <w:sz w:val="16"/>
            <w:szCs w:val="16"/>
          </w:rPr>
          <w:t>www.internetconsultatie.nl/verordeningmica</w:t>
        </w:r>
      </w:hyperlink>
      <w:r w:rsidR="00625F5D" w:rsidRPr="00625F5D">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B2E32" w14:textId="77777777" w:rsidR="007D7259" w:rsidRDefault="003B27AC">
    <w:r>
      <w:rPr>
        <w:noProof/>
      </w:rPr>
      <mc:AlternateContent>
        <mc:Choice Requires="wps">
          <w:drawing>
            <wp:anchor distT="0" distB="0" distL="0" distR="0" simplePos="0" relativeHeight="251652096" behindDoc="0" locked="1" layoutInCell="1" allowOverlap="1" wp14:anchorId="22DC9B04" wp14:editId="04339C15">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E085A94" w14:textId="77777777" w:rsidR="003B27AC" w:rsidRDefault="003B27AC"/>
                      </w:txbxContent>
                    </wps:txbx>
                    <wps:bodyPr vert="horz" wrap="square" lIns="0" tIns="0" rIns="0" bIns="0" anchor="t" anchorCtr="0"/>
                  </wps:wsp>
                </a:graphicData>
              </a:graphic>
            </wp:anchor>
          </w:drawing>
        </mc:Choice>
        <mc:Fallback>
          <w:pict>
            <v:shapetype w14:anchorId="22DC9B04"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4E085A94" w14:textId="77777777" w:rsidR="003B27AC" w:rsidRDefault="003B27AC"/>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AF78AE0" wp14:editId="15978486">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0B14C6B" w14:textId="77777777" w:rsidR="007D7259" w:rsidRDefault="003B27AC">
                          <w:pPr>
                            <w:pStyle w:val="Referentiegegevensbold"/>
                          </w:pPr>
                          <w:r>
                            <w:t>Generale Thesaurie</w:t>
                          </w:r>
                        </w:p>
                        <w:p w14:paraId="6CCD7B30" w14:textId="77777777" w:rsidR="007D7259" w:rsidRDefault="003B27AC">
                          <w:pPr>
                            <w:pStyle w:val="Referentiegegevens"/>
                          </w:pPr>
                          <w:r>
                            <w:t>Directie Financiële Markten</w:t>
                          </w:r>
                        </w:p>
                        <w:p w14:paraId="21FBC3DF" w14:textId="77777777" w:rsidR="007D7259" w:rsidRDefault="003B27AC">
                          <w:pPr>
                            <w:pStyle w:val="Referentiegegevens"/>
                          </w:pPr>
                          <w:r>
                            <w:t>Institutioneel Beleid en Integriteit</w:t>
                          </w:r>
                        </w:p>
                        <w:p w14:paraId="5295F6FC" w14:textId="77777777" w:rsidR="007D7259" w:rsidRDefault="007D7259">
                          <w:pPr>
                            <w:pStyle w:val="WitregelW1"/>
                          </w:pPr>
                        </w:p>
                        <w:p w14:paraId="5E310B7E" w14:textId="77777777" w:rsidR="007D7259" w:rsidRDefault="003B27AC">
                          <w:pPr>
                            <w:pStyle w:val="Referentiegegevensbold"/>
                          </w:pPr>
                          <w:r>
                            <w:t>Ons kenmerk</w:t>
                          </w:r>
                        </w:p>
                        <w:p w14:paraId="1A92DAD6" w14:textId="025F6537" w:rsidR="003F7769" w:rsidRDefault="00D46659">
                          <w:pPr>
                            <w:pStyle w:val="Referentiegegevens"/>
                          </w:pPr>
                          <w:r>
                            <w:fldChar w:fldCharType="begin"/>
                          </w:r>
                          <w:r>
                            <w:instrText xml:space="preserve"> DOCPROPERTY  "Kenmerk"  \* MERGEFORMAT </w:instrText>
                          </w:r>
                          <w:r>
                            <w:fldChar w:fldCharType="separate"/>
                          </w:r>
                          <w:r>
                            <w:t>2024-0000371108</w:t>
                          </w:r>
                          <w:r>
                            <w:fldChar w:fldCharType="end"/>
                          </w:r>
                        </w:p>
                        <w:p w14:paraId="0EE1F31A" w14:textId="77777777" w:rsidR="007D7259" w:rsidRDefault="007D7259">
                          <w:pPr>
                            <w:pStyle w:val="WitregelW1"/>
                          </w:pPr>
                        </w:p>
                        <w:p w14:paraId="0D37D822" w14:textId="77777777" w:rsidR="007D7259" w:rsidRDefault="003B27AC">
                          <w:pPr>
                            <w:pStyle w:val="Referentiegegevenscursief"/>
                          </w:pPr>
                          <w:r>
                            <w:t>Algemene voorwaarden indien van toepassing</w:t>
                          </w:r>
                        </w:p>
                      </w:txbxContent>
                    </wps:txbx>
                    <wps:bodyPr vert="horz" wrap="square" lIns="0" tIns="0" rIns="0" bIns="0" anchor="t" anchorCtr="0"/>
                  </wps:wsp>
                </a:graphicData>
              </a:graphic>
            </wp:anchor>
          </w:drawing>
        </mc:Choice>
        <mc:Fallback>
          <w:pict>
            <v:shape w14:anchorId="4AF78AE0"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40B14C6B" w14:textId="77777777" w:rsidR="007D7259" w:rsidRDefault="003B27AC">
                    <w:pPr>
                      <w:pStyle w:val="Referentiegegevensbold"/>
                    </w:pPr>
                    <w:r>
                      <w:t>Generale Thesaurie</w:t>
                    </w:r>
                  </w:p>
                  <w:p w14:paraId="6CCD7B30" w14:textId="77777777" w:rsidR="007D7259" w:rsidRDefault="003B27AC">
                    <w:pPr>
                      <w:pStyle w:val="Referentiegegevens"/>
                    </w:pPr>
                    <w:r>
                      <w:t>Directie Financiële Markten</w:t>
                    </w:r>
                  </w:p>
                  <w:p w14:paraId="21FBC3DF" w14:textId="77777777" w:rsidR="007D7259" w:rsidRDefault="003B27AC">
                    <w:pPr>
                      <w:pStyle w:val="Referentiegegevens"/>
                    </w:pPr>
                    <w:r>
                      <w:t>Institutioneel Beleid en Integriteit</w:t>
                    </w:r>
                  </w:p>
                  <w:p w14:paraId="5295F6FC" w14:textId="77777777" w:rsidR="007D7259" w:rsidRDefault="007D7259">
                    <w:pPr>
                      <w:pStyle w:val="WitregelW1"/>
                    </w:pPr>
                  </w:p>
                  <w:p w14:paraId="5E310B7E" w14:textId="77777777" w:rsidR="007D7259" w:rsidRDefault="003B27AC">
                    <w:pPr>
                      <w:pStyle w:val="Referentiegegevensbold"/>
                    </w:pPr>
                    <w:r>
                      <w:t>Ons kenmerk</w:t>
                    </w:r>
                  </w:p>
                  <w:p w14:paraId="1A92DAD6" w14:textId="025F6537" w:rsidR="003F7769" w:rsidRDefault="00D46659">
                    <w:pPr>
                      <w:pStyle w:val="Referentiegegevens"/>
                    </w:pPr>
                    <w:r>
                      <w:fldChar w:fldCharType="begin"/>
                    </w:r>
                    <w:r>
                      <w:instrText xml:space="preserve"> DOCPROPERTY  "Kenmerk"  \* MERGEFORMAT </w:instrText>
                    </w:r>
                    <w:r>
                      <w:fldChar w:fldCharType="separate"/>
                    </w:r>
                    <w:r>
                      <w:t>2024-0000371108</w:t>
                    </w:r>
                    <w:r>
                      <w:fldChar w:fldCharType="end"/>
                    </w:r>
                  </w:p>
                  <w:p w14:paraId="0EE1F31A" w14:textId="77777777" w:rsidR="007D7259" w:rsidRDefault="007D7259">
                    <w:pPr>
                      <w:pStyle w:val="WitregelW1"/>
                    </w:pPr>
                  </w:p>
                  <w:p w14:paraId="0D37D822" w14:textId="77777777" w:rsidR="007D7259" w:rsidRDefault="003B27AC">
                    <w:pPr>
                      <w:pStyle w:val="Referentiegegevenscursief"/>
                    </w:pPr>
                    <w:r>
                      <w:t>Algemene voorwaarden indien van toepassing</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0C3D7A7" wp14:editId="24350CBE">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77D948A" w14:textId="77777777" w:rsidR="003B27AC" w:rsidRDefault="003B27AC"/>
                      </w:txbxContent>
                    </wps:txbx>
                    <wps:bodyPr vert="horz" wrap="square" lIns="0" tIns="0" rIns="0" bIns="0" anchor="t" anchorCtr="0"/>
                  </wps:wsp>
                </a:graphicData>
              </a:graphic>
            </wp:anchor>
          </w:drawing>
        </mc:Choice>
        <mc:Fallback>
          <w:pict>
            <v:shape w14:anchorId="70C3D7A7"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577D948A" w14:textId="77777777" w:rsidR="003B27AC" w:rsidRDefault="003B27AC"/>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2369E3B" wp14:editId="246102AB">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83293FE" w14:textId="77777777" w:rsidR="003F7769" w:rsidRDefault="00D46659">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2369E3B"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83293FE" w14:textId="77777777" w:rsidR="003F7769" w:rsidRDefault="00D46659">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D0F21" w14:textId="77777777" w:rsidR="007D7259" w:rsidRDefault="003B27AC">
    <w:pPr>
      <w:spacing w:after="6377" w:line="14" w:lineRule="exact"/>
    </w:pPr>
    <w:r>
      <w:rPr>
        <w:noProof/>
      </w:rPr>
      <mc:AlternateContent>
        <mc:Choice Requires="wps">
          <w:drawing>
            <wp:anchor distT="0" distB="0" distL="0" distR="0" simplePos="0" relativeHeight="251656192" behindDoc="0" locked="1" layoutInCell="1" allowOverlap="1" wp14:anchorId="38B02DAB" wp14:editId="59D4C0E7">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165963B" w14:textId="3AAF00E8" w:rsidR="007D7259" w:rsidRDefault="007D7259">
                          <w:pPr>
                            <w:spacing w:line="240" w:lineRule="auto"/>
                          </w:pPr>
                        </w:p>
                      </w:txbxContent>
                    </wps:txbx>
                    <wps:bodyPr vert="horz" wrap="square" lIns="0" tIns="0" rIns="0" bIns="0" anchor="t" anchorCtr="0"/>
                  </wps:wsp>
                </a:graphicData>
              </a:graphic>
            </wp:anchor>
          </w:drawing>
        </mc:Choice>
        <mc:Fallback>
          <w:pict>
            <v:shapetype w14:anchorId="38B02DAB"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4165963B" w14:textId="3AAF00E8" w:rsidR="007D7259" w:rsidRDefault="007D7259">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1F93835" wp14:editId="60EE1E5F">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A6C5CDF" w14:textId="77777777" w:rsidR="007D7259" w:rsidRDefault="003B27AC">
                          <w:pPr>
                            <w:spacing w:line="240" w:lineRule="auto"/>
                          </w:pPr>
                          <w:r>
                            <w:rPr>
                              <w:noProof/>
                            </w:rPr>
                            <w:drawing>
                              <wp:inline distT="0" distB="0" distL="0" distR="0" wp14:anchorId="4F12EBAC" wp14:editId="23E8173A">
                                <wp:extent cx="2339975" cy="1582834"/>
                                <wp:effectExtent l="0" t="0" r="0" b="0"/>
                                <wp:docPr id="24" name="Afbeelding 24"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1F93835"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6A6C5CDF" w14:textId="77777777" w:rsidR="007D7259" w:rsidRDefault="003B27AC">
                    <w:pPr>
                      <w:spacing w:line="240" w:lineRule="auto"/>
                    </w:pPr>
                    <w:r>
                      <w:rPr>
                        <w:noProof/>
                      </w:rPr>
                      <w:drawing>
                        <wp:inline distT="0" distB="0" distL="0" distR="0" wp14:anchorId="4F12EBAC" wp14:editId="23E8173A">
                          <wp:extent cx="2339975" cy="1582834"/>
                          <wp:effectExtent l="0" t="0" r="0" b="0"/>
                          <wp:docPr id="24" name="Afbeelding 24"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A10098A" wp14:editId="444AC39B">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D61DDDE" w14:textId="77777777" w:rsidR="007D7259" w:rsidRDefault="003B27AC">
                          <w:pPr>
                            <w:pStyle w:val="Referentiegegevens"/>
                          </w:pPr>
                          <w:r>
                            <w:t>&gt; Retouradres POSTBUS 20201 2500 EE  'S-GRAVENHAGE</w:t>
                          </w:r>
                        </w:p>
                      </w:txbxContent>
                    </wps:txbx>
                    <wps:bodyPr vert="horz" wrap="square" lIns="0" tIns="0" rIns="0" bIns="0" anchor="t" anchorCtr="0"/>
                  </wps:wsp>
                </a:graphicData>
              </a:graphic>
            </wp:anchor>
          </w:drawing>
        </mc:Choice>
        <mc:Fallback>
          <w:pict>
            <v:shape w14:anchorId="2A10098A"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0D61DDDE" w14:textId="77777777" w:rsidR="007D7259" w:rsidRDefault="003B27AC">
                    <w:pPr>
                      <w:pStyle w:val="Referentiegegevens"/>
                    </w:pPr>
                    <w:r>
                      <w:t>&gt; Retouradres POSTBUS 20201 2500 EE  'S-GRAVENHAGE</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33EEE4C" wp14:editId="20489D0C">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59C5760" w14:textId="77777777" w:rsidR="000D5FF5" w:rsidRDefault="000D5FF5"/>
                        <w:p w14:paraId="3199180C" w14:textId="66C2852B" w:rsidR="000D5FF5" w:rsidRDefault="000D5FF5">
                          <w:r>
                            <w:t>Voorzitter van de Tweede Kamer der Staten-Generaal</w:t>
                          </w:r>
                        </w:p>
                        <w:p w14:paraId="593C5F52" w14:textId="77777777" w:rsidR="000D5FF5" w:rsidRDefault="000D5FF5">
                          <w:r>
                            <w:t>Postbus 20018</w:t>
                          </w:r>
                        </w:p>
                        <w:p w14:paraId="7C21BA42" w14:textId="77777777" w:rsidR="000D5FF5" w:rsidRDefault="000D5FF5">
                          <w:r>
                            <w:t>2500 EA DEN HAAG</w:t>
                          </w:r>
                        </w:p>
                        <w:p w14:paraId="34F35E47" w14:textId="77777777" w:rsidR="007D7259" w:rsidRDefault="003B27AC">
                          <w:r>
                            <w:t xml:space="preserve"> </w:t>
                          </w:r>
                        </w:p>
                      </w:txbxContent>
                    </wps:txbx>
                    <wps:bodyPr vert="horz" wrap="square" lIns="0" tIns="0" rIns="0" bIns="0" anchor="t" anchorCtr="0"/>
                  </wps:wsp>
                </a:graphicData>
              </a:graphic>
            </wp:anchor>
          </w:drawing>
        </mc:Choice>
        <mc:Fallback>
          <w:pict>
            <v:shape w14:anchorId="033EEE4C"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759C5760" w14:textId="77777777" w:rsidR="000D5FF5" w:rsidRDefault="000D5FF5"/>
                  <w:p w14:paraId="3199180C" w14:textId="66C2852B" w:rsidR="000D5FF5" w:rsidRDefault="000D5FF5">
                    <w:r>
                      <w:t>Voorzitter van de Tweede Kamer der Staten-Generaal</w:t>
                    </w:r>
                  </w:p>
                  <w:p w14:paraId="593C5F52" w14:textId="77777777" w:rsidR="000D5FF5" w:rsidRDefault="000D5FF5">
                    <w:r>
                      <w:t>Postbus 20018</w:t>
                    </w:r>
                  </w:p>
                  <w:p w14:paraId="7C21BA42" w14:textId="77777777" w:rsidR="000D5FF5" w:rsidRDefault="000D5FF5">
                    <w:r>
                      <w:t>2500 EA DEN HAAG</w:t>
                    </w:r>
                  </w:p>
                  <w:p w14:paraId="34F35E47" w14:textId="77777777" w:rsidR="007D7259" w:rsidRDefault="003B27AC">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CBD9B1F" wp14:editId="30F4C2DD">
              <wp:simplePos x="0" y="0"/>
              <wp:positionH relativeFrom="page">
                <wp:posOffset>1005840</wp:posOffset>
              </wp:positionH>
              <wp:positionV relativeFrom="page">
                <wp:posOffset>3352800</wp:posOffset>
              </wp:positionV>
              <wp:extent cx="4787900" cy="97536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97536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7D7259" w14:paraId="39FDAD49" w14:textId="77777777">
                            <w:trPr>
                              <w:trHeight w:val="240"/>
                            </w:trPr>
                            <w:tc>
                              <w:tcPr>
                                <w:tcW w:w="1140" w:type="dxa"/>
                              </w:tcPr>
                              <w:p w14:paraId="4FD059DE" w14:textId="77777777" w:rsidR="007D7259" w:rsidRDefault="003B27AC">
                                <w:r>
                                  <w:t>Datum</w:t>
                                </w:r>
                              </w:p>
                            </w:tc>
                            <w:tc>
                              <w:tcPr>
                                <w:tcW w:w="5918" w:type="dxa"/>
                              </w:tcPr>
                              <w:p w14:paraId="071489F8" w14:textId="7FAC2C3F" w:rsidR="007D7259" w:rsidRDefault="00D46659">
                                <w:sdt>
                                  <w:sdtPr>
                                    <w:id w:val="970334916"/>
                                    <w:date w:fullDate="2024-09-03T00:00:00Z">
                                      <w:dateFormat w:val="d MMMM yyyy"/>
                                      <w:lid w:val="nl"/>
                                      <w:storeMappedDataAs w:val="dateTime"/>
                                      <w:calendar w:val="gregorian"/>
                                    </w:date>
                                  </w:sdtPr>
                                  <w:sdtEndPr/>
                                  <w:sdtContent>
                                    <w:r>
                                      <w:t>3 september 2024</w:t>
                                    </w:r>
                                  </w:sdtContent>
                                </w:sdt>
                              </w:p>
                            </w:tc>
                          </w:tr>
                          <w:tr w:rsidR="007D7259" w14:paraId="79AB2962" w14:textId="77777777">
                            <w:trPr>
                              <w:trHeight w:val="240"/>
                            </w:trPr>
                            <w:tc>
                              <w:tcPr>
                                <w:tcW w:w="1140" w:type="dxa"/>
                              </w:tcPr>
                              <w:p w14:paraId="53ED9A37" w14:textId="77777777" w:rsidR="007D7259" w:rsidRDefault="003B27AC">
                                <w:r>
                                  <w:t>Betreft</w:t>
                                </w:r>
                                <w:r w:rsidR="008A55F8">
                                  <w:t xml:space="preserve">    </w:t>
                                </w:r>
                              </w:p>
                            </w:tc>
                            <w:tc>
                              <w:tcPr>
                                <w:tcW w:w="5918" w:type="dxa"/>
                              </w:tcPr>
                              <w:p w14:paraId="5D4221DF" w14:textId="77777777" w:rsidR="008A55F8" w:rsidRDefault="008A55F8" w:rsidP="008A55F8">
                                <w:r>
                                  <w:t xml:space="preserve">Wijziging van de Wet op het financieel toezicht en de </w:t>
                                </w:r>
                              </w:p>
                              <w:p w14:paraId="4D1A4572" w14:textId="77777777" w:rsidR="008A55F8" w:rsidRDefault="008A55F8" w:rsidP="008A55F8">
                                <w:r>
                                  <w:t xml:space="preserve">Wet op de economische delicten ter uitvoering van </w:t>
                                </w:r>
                              </w:p>
                              <w:p w14:paraId="03E713AA" w14:textId="77777777" w:rsidR="008A55F8" w:rsidRDefault="008A55F8" w:rsidP="008A55F8">
                                <w:r>
                                  <w:t xml:space="preserve">Verordening (EU) 2023/1114 betreffende </w:t>
                                </w:r>
                              </w:p>
                              <w:p w14:paraId="52EA0DCA" w14:textId="77777777" w:rsidR="008A55F8" w:rsidRDefault="008A55F8" w:rsidP="008A55F8">
                                <w:proofErr w:type="spellStart"/>
                                <w:proofErr w:type="gramStart"/>
                                <w:r>
                                  <w:t>cryptoactivamarkten</w:t>
                                </w:r>
                                <w:proofErr w:type="spellEnd"/>
                                <w:proofErr w:type="gramEnd"/>
                                <w:r>
                                  <w:t xml:space="preserve"> (Uitvoeringswet verordening </w:t>
                                </w:r>
                              </w:p>
                              <w:p w14:paraId="781FDE96" w14:textId="77777777" w:rsidR="007D7259" w:rsidRDefault="008A55F8" w:rsidP="008A55F8">
                                <w:proofErr w:type="gramStart"/>
                                <w:r>
                                  <w:t>cryptoactiva</w:t>
                                </w:r>
                                <w:proofErr w:type="gramEnd"/>
                                <w:r>
                                  <w:t>) (36527)</w:t>
                                </w:r>
                              </w:p>
                            </w:tc>
                          </w:tr>
                        </w:tbl>
                        <w:p w14:paraId="365F8F69" w14:textId="77777777" w:rsidR="003B27AC" w:rsidRDefault="003B27AC"/>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CBD9B1F" id="1670fa0c-13cb-45ec-92be-ef1f34d237c5" o:spid="_x0000_s1034" type="#_x0000_t202" style="position:absolute;margin-left:79.2pt;margin-top:264pt;width:377pt;height:76.8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7D7259" w14:paraId="39FDAD49" w14:textId="77777777">
                      <w:trPr>
                        <w:trHeight w:val="240"/>
                      </w:trPr>
                      <w:tc>
                        <w:tcPr>
                          <w:tcW w:w="1140" w:type="dxa"/>
                        </w:tcPr>
                        <w:p w14:paraId="4FD059DE" w14:textId="77777777" w:rsidR="007D7259" w:rsidRDefault="003B27AC">
                          <w:r>
                            <w:t>Datum</w:t>
                          </w:r>
                        </w:p>
                      </w:tc>
                      <w:tc>
                        <w:tcPr>
                          <w:tcW w:w="5918" w:type="dxa"/>
                        </w:tcPr>
                        <w:p w14:paraId="071489F8" w14:textId="7FAC2C3F" w:rsidR="007D7259" w:rsidRDefault="00D46659">
                          <w:sdt>
                            <w:sdtPr>
                              <w:id w:val="970334916"/>
                              <w:date w:fullDate="2024-09-03T00:00:00Z">
                                <w:dateFormat w:val="d MMMM yyyy"/>
                                <w:lid w:val="nl"/>
                                <w:storeMappedDataAs w:val="dateTime"/>
                                <w:calendar w:val="gregorian"/>
                              </w:date>
                            </w:sdtPr>
                            <w:sdtEndPr/>
                            <w:sdtContent>
                              <w:r>
                                <w:t>3 september 2024</w:t>
                              </w:r>
                            </w:sdtContent>
                          </w:sdt>
                        </w:p>
                      </w:tc>
                    </w:tr>
                    <w:tr w:rsidR="007D7259" w14:paraId="79AB2962" w14:textId="77777777">
                      <w:trPr>
                        <w:trHeight w:val="240"/>
                      </w:trPr>
                      <w:tc>
                        <w:tcPr>
                          <w:tcW w:w="1140" w:type="dxa"/>
                        </w:tcPr>
                        <w:p w14:paraId="53ED9A37" w14:textId="77777777" w:rsidR="007D7259" w:rsidRDefault="003B27AC">
                          <w:r>
                            <w:t>Betreft</w:t>
                          </w:r>
                          <w:r w:rsidR="008A55F8">
                            <w:t xml:space="preserve">    </w:t>
                          </w:r>
                        </w:p>
                      </w:tc>
                      <w:tc>
                        <w:tcPr>
                          <w:tcW w:w="5918" w:type="dxa"/>
                        </w:tcPr>
                        <w:p w14:paraId="5D4221DF" w14:textId="77777777" w:rsidR="008A55F8" w:rsidRDefault="008A55F8" w:rsidP="008A55F8">
                          <w:r>
                            <w:t xml:space="preserve">Wijziging van de Wet op het financieel toezicht en de </w:t>
                          </w:r>
                        </w:p>
                        <w:p w14:paraId="4D1A4572" w14:textId="77777777" w:rsidR="008A55F8" w:rsidRDefault="008A55F8" w:rsidP="008A55F8">
                          <w:r>
                            <w:t xml:space="preserve">Wet op de economische delicten ter uitvoering van </w:t>
                          </w:r>
                        </w:p>
                        <w:p w14:paraId="03E713AA" w14:textId="77777777" w:rsidR="008A55F8" w:rsidRDefault="008A55F8" w:rsidP="008A55F8">
                          <w:r>
                            <w:t xml:space="preserve">Verordening (EU) 2023/1114 betreffende </w:t>
                          </w:r>
                        </w:p>
                        <w:p w14:paraId="52EA0DCA" w14:textId="77777777" w:rsidR="008A55F8" w:rsidRDefault="008A55F8" w:rsidP="008A55F8">
                          <w:proofErr w:type="spellStart"/>
                          <w:proofErr w:type="gramStart"/>
                          <w:r>
                            <w:t>cryptoactivamarkten</w:t>
                          </w:r>
                          <w:proofErr w:type="spellEnd"/>
                          <w:proofErr w:type="gramEnd"/>
                          <w:r>
                            <w:t xml:space="preserve"> (Uitvoeringswet verordening </w:t>
                          </w:r>
                        </w:p>
                        <w:p w14:paraId="781FDE96" w14:textId="77777777" w:rsidR="007D7259" w:rsidRDefault="008A55F8" w:rsidP="008A55F8">
                          <w:proofErr w:type="gramStart"/>
                          <w:r>
                            <w:t>cryptoactiva</w:t>
                          </w:r>
                          <w:proofErr w:type="gramEnd"/>
                          <w:r>
                            <w:t>) (36527)</w:t>
                          </w:r>
                        </w:p>
                      </w:tc>
                    </w:tr>
                  </w:tbl>
                  <w:p w14:paraId="365F8F69" w14:textId="77777777" w:rsidR="003B27AC" w:rsidRDefault="003B27AC"/>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8E46084" wp14:editId="2C5785B1">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FA3905C" w14:textId="77777777" w:rsidR="007D7259" w:rsidRDefault="003B27AC">
                          <w:pPr>
                            <w:pStyle w:val="Referentiegegevensbold"/>
                          </w:pPr>
                          <w:r>
                            <w:t>Generale Thesaurie</w:t>
                          </w:r>
                        </w:p>
                        <w:p w14:paraId="60E5EEEA" w14:textId="77777777" w:rsidR="007D7259" w:rsidRDefault="003B27AC">
                          <w:pPr>
                            <w:pStyle w:val="Referentiegegevens"/>
                          </w:pPr>
                          <w:r>
                            <w:t>Directie Financiële Markten</w:t>
                          </w:r>
                        </w:p>
                        <w:p w14:paraId="700B6A83" w14:textId="77777777" w:rsidR="007D7259" w:rsidRDefault="003B27AC">
                          <w:pPr>
                            <w:pStyle w:val="Referentiegegevens"/>
                          </w:pPr>
                          <w:r>
                            <w:t>Institutioneel Beleid en Integriteit</w:t>
                          </w:r>
                        </w:p>
                        <w:p w14:paraId="010205D3" w14:textId="77777777" w:rsidR="007D7259" w:rsidRDefault="007D7259">
                          <w:pPr>
                            <w:pStyle w:val="WitregelW1"/>
                          </w:pPr>
                        </w:p>
                        <w:p w14:paraId="45A62839" w14:textId="77777777" w:rsidR="007D7259" w:rsidRDefault="003B27AC">
                          <w:pPr>
                            <w:pStyle w:val="Referentiegegevens"/>
                          </w:pPr>
                          <w:r>
                            <w:t>Korte Voorhout 7</w:t>
                          </w:r>
                        </w:p>
                        <w:p w14:paraId="1261F1DF" w14:textId="77777777" w:rsidR="007D7259" w:rsidRDefault="003B27AC">
                          <w:pPr>
                            <w:pStyle w:val="Referentiegegevens"/>
                          </w:pPr>
                          <w:r>
                            <w:t>2511 CW  'S-GRAVENHAGE</w:t>
                          </w:r>
                        </w:p>
                        <w:p w14:paraId="5288AAD0" w14:textId="77777777" w:rsidR="007D7259" w:rsidRDefault="003B27AC">
                          <w:pPr>
                            <w:pStyle w:val="Referentiegegevens"/>
                          </w:pPr>
                          <w:r>
                            <w:t>POSTBUS 20201</w:t>
                          </w:r>
                        </w:p>
                        <w:p w14:paraId="600DCD3F" w14:textId="77777777" w:rsidR="007D7259" w:rsidRDefault="003B27AC">
                          <w:pPr>
                            <w:pStyle w:val="Referentiegegevens"/>
                          </w:pPr>
                          <w:r>
                            <w:t>2500 EE  'S-GRAVENHAGE</w:t>
                          </w:r>
                        </w:p>
                        <w:p w14:paraId="0C87C201" w14:textId="77777777" w:rsidR="007D7259" w:rsidRDefault="007D7259">
                          <w:pPr>
                            <w:pStyle w:val="WitregelW2"/>
                          </w:pPr>
                        </w:p>
                        <w:p w14:paraId="4F2A6B37" w14:textId="77777777" w:rsidR="007D7259" w:rsidRDefault="003B27AC">
                          <w:pPr>
                            <w:pStyle w:val="Referentiegegevensbold"/>
                          </w:pPr>
                          <w:r>
                            <w:t>Ons kenmerk</w:t>
                          </w:r>
                        </w:p>
                        <w:p w14:paraId="2960086E" w14:textId="2FF4D6D7" w:rsidR="003F7769" w:rsidRDefault="00D46659">
                          <w:pPr>
                            <w:pStyle w:val="Referentiegegevens"/>
                          </w:pPr>
                          <w:r>
                            <w:fldChar w:fldCharType="begin"/>
                          </w:r>
                          <w:r>
                            <w:instrText xml:space="preserve"> DOCPROPERTY  "Kenmerk"  \* MERGEFORMAT </w:instrText>
                          </w:r>
                          <w:r>
                            <w:fldChar w:fldCharType="separate"/>
                          </w:r>
                          <w:r>
                            <w:t>2024-0000371108</w:t>
                          </w:r>
                          <w:r>
                            <w:fldChar w:fldCharType="end"/>
                          </w:r>
                        </w:p>
                      </w:txbxContent>
                    </wps:txbx>
                    <wps:bodyPr vert="horz" wrap="square" lIns="0" tIns="0" rIns="0" bIns="0" anchor="t" anchorCtr="0"/>
                  </wps:wsp>
                </a:graphicData>
              </a:graphic>
            </wp:anchor>
          </w:drawing>
        </mc:Choice>
        <mc:Fallback>
          <w:pict>
            <v:shape w14:anchorId="38E46084"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1FA3905C" w14:textId="77777777" w:rsidR="007D7259" w:rsidRDefault="003B27AC">
                    <w:pPr>
                      <w:pStyle w:val="Referentiegegevensbold"/>
                    </w:pPr>
                    <w:r>
                      <w:t>Generale Thesaurie</w:t>
                    </w:r>
                  </w:p>
                  <w:p w14:paraId="60E5EEEA" w14:textId="77777777" w:rsidR="007D7259" w:rsidRDefault="003B27AC">
                    <w:pPr>
                      <w:pStyle w:val="Referentiegegevens"/>
                    </w:pPr>
                    <w:r>
                      <w:t>Directie Financiële Markten</w:t>
                    </w:r>
                  </w:p>
                  <w:p w14:paraId="700B6A83" w14:textId="77777777" w:rsidR="007D7259" w:rsidRDefault="003B27AC">
                    <w:pPr>
                      <w:pStyle w:val="Referentiegegevens"/>
                    </w:pPr>
                    <w:r>
                      <w:t>Institutioneel Beleid en Integriteit</w:t>
                    </w:r>
                  </w:p>
                  <w:p w14:paraId="010205D3" w14:textId="77777777" w:rsidR="007D7259" w:rsidRDefault="007D7259">
                    <w:pPr>
                      <w:pStyle w:val="WitregelW1"/>
                    </w:pPr>
                  </w:p>
                  <w:p w14:paraId="45A62839" w14:textId="77777777" w:rsidR="007D7259" w:rsidRDefault="003B27AC">
                    <w:pPr>
                      <w:pStyle w:val="Referentiegegevens"/>
                    </w:pPr>
                    <w:r>
                      <w:t>Korte Voorhout 7</w:t>
                    </w:r>
                  </w:p>
                  <w:p w14:paraId="1261F1DF" w14:textId="77777777" w:rsidR="007D7259" w:rsidRDefault="003B27AC">
                    <w:pPr>
                      <w:pStyle w:val="Referentiegegevens"/>
                    </w:pPr>
                    <w:r>
                      <w:t>2511 CW  'S-GRAVENHAGE</w:t>
                    </w:r>
                  </w:p>
                  <w:p w14:paraId="5288AAD0" w14:textId="77777777" w:rsidR="007D7259" w:rsidRDefault="003B27AC">
                    <w:pPr>
                      <w:pStyle w:val="Referentiegegevens"/>
                    </w:pPr>
                    <w:r>
                      <w:t>POSTBUS 20201</w:t>
                    </w:r>
                  </w:p>
                  <w:p w14:paraId="600DCD3F" w14:textId="77777777" w:rsidR="007D7259" w:rsidRDefault="003B27AC">
                    <w:pPr>
                      <w:pStyle w:val="Referentiegegevens"/>
                    </w:pPr>
                    <w:r>
                      <w:t>2500 EE  'S-GRAVENHAGE</w:t>
                    </w:r>
                  </w:p>
                  <w:p w14:paraId="0C87C201" w14:textId="77777777" w:rsidR="007D7259" w:rsidRDefault="007D7259">
                    <w:pPr>
                      <w:pStyle w:val="WitregelW2"/>
                    </w:pPr>
                  </w:p>
                  <w:p w14:paraId="4F2A6B37" w14:textId="77777777" w:rsidR="007D7259" w:rsidRDefault="003B27AC">
                    <w:pPr>
                      <w:pStyle w:val="Referentiegegevensbold"/>
                    </w:pPr>
                    <w:r>
                      <w:t>Ons kenmerk</w:t>
                    </w:r>
                  </w:p>
                  <w:p w14:paraId="2960086E" w14:textId="2FF4D6D7" w:rsidR="003F7769" w:rsidRDefault="00D46659">
                    <w:pPr>
                      <w:pStyle w:val="Referentiegegevens"/>
                    </w:pPr>
                    <w:r>
                      <w:fldChar w:fldCharType="begin"/>
                    </w:r>
                    <w:r>
                      <w:instrText xml:space="preserve"> DOCPROPERTY  "Kenmerk"  \* MERGEFORMAT </w:instrText>
                    </w:r>
                    <w:r>
                      <w:fldChar w:fldCharType="separate"/>
                    </w:r>
                    <w:r>
                      <w:t>2024-0000371108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4B093B2" wp14:editId="751ED692">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6B79610" w14:textId="77777777" w:rsidR="003F7769" w:rsidRDefault="00D46659">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4B093B2"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26B79610" w14:textId="77777777" w:rsidR="003F7769" w:rsidRDefault="00D46659">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B1AA71C" wp14:editId="0889B19F">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CE101DC" w14:textId="77777777" w:rsidR="003B27AC" w:rsidRDefault="003B27AC"/>
                      </w:txbxContent>
                    </wps:txbx>
                    <wps:bodyPr vert="horz" wrap="square" lIns="0" tIns="0" rIns="0" bIns="0" anchor="t" anchorCtr="0"/>
                  </wps:wsp>
                </a:graphicData>
              </a:graphic>
            </wp:anchor>
          </w:drawing>
        </mc:Choice>
        <mc:Fallback>
          <w:pict>
            <v:shape w14:anchorId="3B1AA71C"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0CE101DC" w14:textId="77777777" w:rsidR="003B27AC" w:rsidRDefault="003B27A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E812CC"/>
    <w:multiLevelType w:val="multilevel"/>
    <w:tmpl w:val="2F41BAD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4D995F"/>
    <w:multiLevelType w:val="multilevel"/>
    <w:tmpl w:val="8B09E9B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29447F4A"/>
    <w:multiLevelType w:val="multilevel"/>
    <w:tmpl w:val="EA92F9E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45088692"/>
    <w:multiLevelType w:val="multilevel"/>
    <w:tmpl w:val="E42A8B5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4DCCECED"/>
    <w:multiLevelType w:val="multilevel"/>
    <w:tmpl w:val="D134A53F"/>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626276535">
    <w:abstractNumId w:val="4"/>
  </w:num>
  <w:num w:numId="2" w16cid:durableId="1681663867">
    <w:abstractNumId w:val="1"/>
  </w:num>
  <w:num w:numId="3" w16cid:durableId="1678966922">
    <w:abstractNumId w:val="2"/>
  </w:num>
  <w:num w:numId="4" w16cid:durableId="676275807">
    <w:abstractNumId w:val="0"/>
  </w:num>
  <w:num w:numId="5" w16cid:durableId="8740818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259"/>
    <w:rsid w:val="000D5FF5"/>
    <w:rsid w:val="00361A0E"/>
    <w:rsid w:val="00370554"/>
    <w:rsid w:val="003B27AC"/>
    <w:rsid w:val="003F7769"/>
    <w:rsid w:val="004A1669"/>
    <w:rsid w:val="005D713B"/>
    <w:rsid w:val="00625F5D"/>
    <w:rsid w:val="00641C82"/>
    <w:rsid w:val="007D7259"/>
    <w:rsid w:val="00851EE6"/>
    <w:rsid w:val="00866687"/>
    <w:rsid w:val="00894F2C"/>
    <w:rsid w:val="008A55F8"/>
    <w:rsid w:val="00AF4CB6"/>
    <w:rsid w:val="00BD038D"/>
    <w:rsid w:val="00D466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73F2A"/>
  <w15:docId w15:val="{EF33B0FC-064D-43F8-9E92-857150732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D5FF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D5FF5"/>
    <w:rPr>
      <w:rFonts w:ascii="Verdana" w:hAnsi="Verdana"/>
      <w:color w:val="000000"/>
      <w:sz w:val="18"/>
      <w:szCs w:val="18"/>
    </w:rPr>
  </w:style>
  <w:style w:type="paragraph" w:styleId="Voettekst">
    <w:name w:val="footer"/>
    <w:basedOn w:val="Standaard"/>
    <w:link w:val="VoettekstChar"/>
    <w:uiPriority w:val="99"/>
    <w:unhideWhenUsed/>
    <w:rsid w:val="000D5FF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D5FF5"/>
    <w:rPr>
      <w:rFonts w:ascii="Verdana" w:hAnsi="Verdana"/>
      <w:color w:val="000000"/>
      <w:sz w:val="18"/>
      <w:szCs w:val="18"/>
    </w:rPr>
  </w:style>
  <w:style w:type="paragraph" w:styleId="Voetnoottekst">
    <w:name w:val="footnote text"/>
    <w:basedOn w:val="Standaard"/>
    <w:link w:val="VoetnoottekstChar"/>
    <w:uiPriority w:val="99"/>
    <w:semiHidden/>
    <w:unhideWhenUsed/>
    <w:rsid w:val="000D5FF5"/>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0D5FF5"/>
    <w:rPr>
      <w:rFonts w:ascii="Verdana" w:hAnsi="Verdana"/>
      <w:color w:val="000000"/>
    </w:rPr>
  </w:style>
  <w:style w:type="character" w:styleId="Voetnootmarkering">
    <w:name w:val="footnote reference"/>
    <w:basedOn w:val="Standaardalinea-lettertype"/>
    <w:uiPriority w:val="99"/>
    <w:semiHidden/>
    <w:unhideWhenUsed/>
    <w:rsid w:val="000D5FF5"/>
    <w:rPr>
      <w:vertAlign w:val="superscript"/>
    </w:rPr>
  </w:style>
  <w:style w:type="paragraph" w:customStyle="1" w:styleId="Default">
    <w:name w:val="Default"/>
    <w:rsid w:val="003B27AC"/>
    <w:pPr>
      <w:autoSpaceDE w:val="0"/>
      <w:adjustRightInd w:val="0"/>
      <w:textAlignment w:val="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internetconsultatie.nl/verordeningmi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846</ap:Words>
  <ap:Characters>4654</ap:Characters>
  <ap:DocSecurity>0</ap:DocSecurity>
  <ap:Lines>38</ap:Lines>
  <ap:Paragraphs>10</ap:Paragraphs>
  <ap:ScaleCrop>false</ap:ScaleCrop>
  <ap:HeadingPairs>
    <vt:vector baseType="variant" size="2">
      <vt:variant>
        <vt:lpstr>Titel</vt:lpstr>
      </vt:variant>
      <vt:variant>
        <vt:i4>1</vt:i4>
      </vt:variant>
    </vt:vector>
  </ap:HeadingPairs>
  <ap:TitlesOfParts>
    <vt:vector baseType="lpstr" size="1">
      <vt:lpstr>Brief - Ontbrekende passage Memorie van Toelichting</vt:lpstr>
    </vt:vector>
  </ap:TitlesOfParts>
  <ap:LinksUpToDate>false</ap:LinksUpToDate>
  <ap:CharactersWithSpaces>5490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2024-09-03T15:09:00.0000000Z</dcterms:created>
  <dcterms:modified xsi:type="dcterms:W3CDTF">2024-09-03T15:09:00.0000000Z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Ontbrekende passage Memorie van Toelichting</vt:lpwstr>
  </property>
  <property fmtid="{D5CDD505-2E9C-101B-9397-08002B2CF9AE}" pid="5" name="Publicatiedatum">
    <vt:lpwstr/>
  </property>
  <property fmtid="{D5CDD505-2E9C-101B-9397-08002B2CF9AE}" pid="6" name="Verantwoordelijke organisatie">
    <vt:lpwstr>Directie Financiële Markten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3 juli 2024</vt:lpwstr>
  </property>
  <property fmtid="{D5CDD505-2E9C-101B-9397-08002B2CF9AE}" pid="13" name="Opgesteld door, Naam">
    <vt:lpwstr>B.E. van der Voort</vt:lpwstr>
  </property>
  <property fmtid="{D5CDD505-2E9C-101B-9397-08002B2CF9AE}" pid="14" name="Opgesteld door, Telefoonnummer">
    <vt:lpwstr/>
  </property>
  <property fmtid="{D5CDD505-2E9C-101B-9397-08002B2CF9AE}" pid="15" name="Kenmerk">
    <vt:lpwstr>2024-0000371108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Ontbrekende passage Memorie van Toelichting</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2024-07-03T10:59:29Z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c5da7ef0-c375-4e7c-8974-0e281eea1396</vt:lpwstr>
  </property>
  <property fmtid="{D5CDD505-2E9C-101B-9397-08002B2CF9AE}" pid="37" name="MSIP_Label_6800fede-0e59-47ad-af95-4e63bbdb932d_ContentBits">
    <vt:lpwstr>0</vt:lpwstr>
  </property>
</Properties>
</file>