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1E8" w:rsidR="000575E2" w:rsidP="00DE2884" w:rsidRDefault="00493399" w14:paraId="3D1F89DF" w14:textId="6EFEB537">
      <w:pPr>
        <w:widowControl w:val="0"/>
        <w:tabs>
          <w:tab w:val="num" w:pos="720"/>
        </w:tabs>
        <w:spacing w:line="240" w:lineRule="exact"/>
        <w:ind w:hanging="1843"/>
        <w:rPr>
          <w:rFonts w:ascii="Verdana" w:hAnsi="Verdana" w:cs="Arial"/>
          <w:b/>
          <w:sz w:val="18"/>
          <w:szCs w:val="18"/>
        </w:rPr>
      </w:pPr>
      <w:r>
        <w:rPr>
          <w:rFonts w:ascii="Verdana" w:hAnsi="Verdana" w:cs="Arial"/>
          <w:b/>
          <w:sz w:val="18"/>
          <w:szCs w:val="18"/>
        </w:rPr>
        <w:t>36</w:t>
      </w:r>
      <w:r w:rsidR="000575E2">
        <w:rPr>
          <w:rFonts w:ascii="Verdana" w:hAnsi="Verdana" w:cs="Arial"/>
          <w:b/>
          <w:sz w:val="18"/>
          <w:szCs w:val="18"/>
        </w:rPr>
        <w:t xml:space="preserve"> </w:t>
      </w:r>
      <w:r>
        <w:rPr>
          <w:rFonts w:ascii="Verdana" w:hAnsi="Verdana" w:cs="Arial"/>
          <w:b/>
          <w:sz w:val="18"/>
          <w:szCs w:val="18"/>
        </w:rPr>
        <w:t>526</w:t>
      </w:r>
      <w:r w:rsidR="000575E2">
        <w:rPr>
          <w:rFonts w:ascii="Verdana" w:hAnsi="Verdana" w:cs="Arial"/>
          <w:b/>
          <w:sz w:val="18"/>
          <w:szCs w:val="18"/>
        </w:rPr>
        <w:tab/>
      </w:r>
      <w:r w:rsidRPr="00493399">
        <w:rPr>
          <w:rFonts w:ascii="Verdana" w:hAnsi="Verdana" w:cs="Arial"/>
          <w:b/>
          <w:sz w:val="18"/>
          <w:szCs w:val="18"/>
        </w:rPr>
        <w:t>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w:t>
      </w:r>
    </w:p>
    <w:p w:rsidRPr="007021E8" w:rsidR="00EE0056" w:rsidP="00DE2884" w:rsidRDefault="00EE0056" w14:paraId="3D1F89E0" w14:textId="77777777">
      <w:pPr>
        <w:widowControl w:val="0"/>
        <w:spacing w:line="240" w:lineRule="exact"/>
        <w:rPr>
          <w:rFonts w:ascii="Verdana" w:hAnsi="Verdana" w:cs="Arial"/>
          <w:sz w:val="18"/>
          <w:szCs w:val="18"/>
        </w:rPr>
      </w:pPr>
    </w:p>
    <w:p w:rsidRPr="007021E8" w:rsidR="00EE0056" w:rsidP="00DE2884" w:rsidRDefault="00EE0056" w14:paraId="3D1F89E1" w14:textId="77777777">
      <w:pPr>
        <w:widowControl w:val="0"/>
        <w:spacing w:line="240" w:lineRule="exact"/>
        <w:rPr>
          <w:rFonts w:ascii="Verdana" w:hAnsi="Verdana" w:cs="Arial"/>
          <w:sz w:val="18"/>
          <w:szCs w:val="18"/>
        </w:rPr>
      </w:pPr>
    </w:p>
    <w:p w:rsidR="00EE0056" w:rsidP="00DE2884" w:rsidRDefault="00EE0056" w14:paraId="3D1F89E2" w14:textId="77777777">
      <w:pPr>
        <w:widowControl w:val="0"/>
        <w:spacing w:line="240" w:lineRule="exact"/>
        <w:rPr>
          <w:rFonts w:ascii="Verdana" w:hAnsi="Verdana" w:cs="Arial"/>
          <w:sz w:val="18"/>
          <w:szCs w:val="18"/>
        </w:rPr>
      </w:pPr>
    </w:p>
    <w:p w:rsidRPr="007021E8" w:rsidR="00FF442F" w:rsidP="00DE2884" w:rsidRDefault="00FF442F" w14:paraId="3D1F89E3" w14:textId="77777777">
      <w:pPr>
        <w:widowControl w:val="0"/>
        <w:spacing w:line="240" w:lineRule="exact"/>
        <w:rPr>
          <w:rFonts w:ascii="Verdana" w:hAnsi="Verdana" w:cs="Arial"/>
          <w:sz w:val="18"/>
          <w:szCs w:val="18"/>
        </w:rPr>
      </w:pPr>
    </w:p>
    <w:p w:rsidRPr="007021E8" w:rsidR="00EE0056" w:rsidP="00DE2884" w:rsidRDefault="00786589" w14:paraId="3D1F89E4" w14:textId="77777777">
      <w:pPr>
        <w:widowControl w:val="0"/>
        <w:spacing w:line="240" w:lineRule="exact"/>
        <w:rPr>
          <w:rFonts w:ascii="Verdana" w:hAnsi="Verdana" w:cs="Arial"/>
          <w:b/>
          <w:sz w:val="18"/>
          <w:szCs w:val="18"/>
        </w:rPr>
      </w:pPr>
      <w:r>
        <w:rPr>
          <w:rFonts w:ascii="Verdana" w:hAnsi="Verdana" w:cs="Arial"/>
          <w:b/>
          <w:sz w:val="18"/>
          <w:szCs w:val="18"/>
        </w:rPr>
        <w:t xml:space="preserve">NOTA NAAR AANLEIDING VAN </w:t>
      </w:r>
      <w:r w:rsidR="00280CC0">
        <w:rPr>
          <w:rFonts w:ascii="Verdana" w:hAnsi="Verdana" w:cs="Arial"/>
          <w:b/>
          <w:sz w:val="18"/>
          <w:szCs w:val="18"/>
        </w:rPr>
        <w:t xml:space="preserve">HET </w:t>
      </w:r>
      <w:r>
        <w:rPr>
          <w:rFonts w:ascii="Verdana" w:hAnsi="Verdana" w:cs="Arial"/>
          <w:b/>
          <w:sz w:val="18"/>
          <w:szCs w:val="18"/>
        </w:rPr>
        <w:t>VERSLAG</w:t>
      </w:r>
    </w:p>
    <w:p w:rsidRPr="007021E8" w:rsidR="00EE0056" w:rsidP="00DE2884" w:rsidRDefault="00EE0056" w14:paraId="3D1F89E5" w14:textId="77777777">
      <w:pPr>
        <w:widowControl w:val="0"/>
        <w:spacing w:line="240" w:lineRule="exact"/>
        <w:rPr>
          <w:rFonts w:ascii="Verdana" w:hAnsi="Verdana" w:cs="Arial"/>
          <w:sz w:val="18"/>
          <w:szCs w:val="18"/>
        </w:rPr>
      </w:pPr>
    </w:p>
    <w:p w:rsidR="00EE0056" w:rsidP="00DE2884" w:rsidRDefault="00EE0056" w14:paraId="3D1F89E6" w14:textId="77777777">
      <w:pPr>
        <w:widowControl w:val="0"/>
        <w:spacing w:line="240" w:lineRule="exact"/>
        <w:rPr>
          <w:rFonts w:ascii="Verdana" w:hAnsi="Verdana" w:cs="Arial"/>
          <w:sz w:val="18"/>
          <w:szCs w:val="18"/>
        </w:rPr>
      </w:pPr>
    </w:p>
    <w:p w:rsidRPr="007021E8" w:rsidR="009E13E7" w:rsidP="00DE2884" w:rsidRDefault="009E13E7" w14:paraId="3D1F89E7" w14:textId="77777777">
      <w:pPr>
        <w:widowControl w:val="0"/>
        <w:spacing w:line="240" w:lineRule="exact"/>
        <w:rPr>
          <w:rFonts w:ascii="Verdana" w:hAnsi="Verdana" w:cs="Arial"/>
          <w:sz w:val="18"/>
          <w:szCs w:val="18"/>
        </w:rPr>
      </w:pPr>
    </w:p>
    <w:p w:rsidRPr="00C40CEA" w:rsidR="009E13E7" w:rsidP="00DE2884" w:rsidRDefault="009E13E7" w14:paraId="3D1F89E8" w14:textId="77777777">
      <w:pPr>
        <w:widowControl w:val="0"/>
        <w:spacing w:line="240" w:lineRule="exact"/>
        <w:rPr>
          <w:rFonts w:ascii="Verdana" w:hAnsi="Verdana" w:cs="Arial"/>
          <w:sz w:val="18"/>
          <w:szCs w:val="18"/>
        </w:rPr>
      </w:pPr>
      <w:r w:rsidRPr="00C40CEA">
        <w:rPr>
          <w:rFonts w:ascii="Verdana" w:hAnsi="Verdana" w:cs="Arial"/>
          <w:b/>
          <w:bCs/>
          <w:sz w:val="18"/>
          <w:szCs w:val="18"/>
        </w:rPr>
        <w:t>Inleiding</w:t>
      </w:r>
    </w:p>
    <w:p w:rsidR="009E13E7" w:rsidP="00DE2884" w:rsidRDefault="009E13E7" w14:paraId="3D1F89E9" w14:textId="77777777">
      <w:pPr>
        <w:widowControl w:val="0"/>
        <w:spacing w:line="240" w:lineRule="exact"/>
        <w:rPr>
          <w:rFonts w:ascii="Verdana" w:hAnsi="Verdana" w:cs="Arial"/>
          <w:sz w:val="18"/>
          <w:szCs w:val="18"/>
        </w:rPr>
      </w:pPr>
    </w:p>
    <w:p w:rsidRPr="00C40CEA" w:rsidR="009E13E7" w:rsidP="00DE2884" w:rsidRDefault="009E13E7" w14:paraId="3D1F89EA" w14:textId="30094381">
      <w:pPr>
        <w:widowControl w:val="0"/>
        <w:spacing w:line="240" w:lineRule="exact"/>
        <w:rPr>
          <w:rFonts w:ascii="Verdana" w:hAnsi="Verdana" w:cs="Arial"/>
          <w:sz w:val="18"/>
          <w:szCs w:val="18"/>
        </w:rPr>
      </w:pPr>
      <w:r w:rsidRPr="00C40CEA">
        <w:rPr>
          <w:rFonts w:ascii="Verdana" w:hAnsi="Verdana" w:cs="Arial"/>
          <w:sz w:val="18"/>
          <w:szCs w:val="18"/>
        </w:rPr>
        <w:t>De regering is de vaste commissie voor Financiën erkentelijk voor de aandacht die zij aan het onderhavige wetsvoorstel heeft geschonken en voor de door haar daarover gestelde vragen. De vragen worden zo veel mogelijk beantwoord in de volgorde van het door de commissie uitgebrachte verslag. Voor zover vragen, vanwege overeenkomst in onderwerp, gezamenlijk b</w:t>
      </w:r>
      <w:r>
        <w:rPr>
          <w:rFonts w:ascii="Verdana" w:hAnsi="Verdana" w:cs="Arial"/>
          <w:sz w:val="18"/>
          <w:szCs w:val="18"/>
        </w:rPr>
        <w:t>eantwoord zijn, is dit vermeld.</w:t>
      </w:r>
    </w:p>
    <w:p w:rsidR="009E13E7" w:rsidP="00DE2884" w:rsidRDefault="009E13E7" w14:paraId="3D1F89EB" w14:textId="77777777">
      <w:pPr>
        <w:widowControl w:val="0"/>
        <w:spacing w:line="240" w:lineRule="exact"/>
        <w:rPr>
          <w:rFonts w:ascii="Verdana" w:hAnsi="Verdana" w:cs="Arial"/>
          <w:b/>
          <w:bCs/>
          <w:sz w:val="18"/>
          <w:szCs w:val="18"/>
        </w:rPr>
      </w:pPr>
    </w:p>
    <w:p w:rsidRPr="00C40CEA" w:rsidR="009E13E7" w:rsidP="00DE2884" w:rsidRDefault="009E13E7" w14:paraId="3D1F89EC" w14:textId="77777777">
      <w:pPr>
        <w:widowControl w:val="0"/>
        <w:spacing w:line="240" w:lineRule="exact"/>
        <w:rPr>
          <w:rFonts w:ascii="Verdana" w:hAnsi="Verdana" w:cs="Arial"/>
          <w:sz w:val="18"/>
          <w:szCs w:val="18"/>
        </w:rPr>
      </w:pPr>
      <w:r w:rsidRPr="00C40CEA">
        <w:rPr>
          <w:rFonts w:ascii="Verdana" w:hAnsi="Verdana" w:cs="Arial"/>
          <w:b/>
          <w:bCs/>
          <w:sz w:val="18"/>
          <w:szCs w:val="18"/>
        </w:rPr>
        <w:t>Algemeen</w:t>
      </w:r>
    </w:p>
    <w:p w:rsidR="009F59D9" w:rsidP="00DE2884" w:rsidRDefault="009F59D9" w14:paraId="3D1F89ED" w14:textId="77777777">
      <w:pPr>
        <w:widowControl w:val="0"/>
        <w:tabs>
          <w:tab w:val="num" w:pos="720"/>
        </w:tabs>
        <w:spacing w:line="240" w:lineRule="exact"/>
        <w:rPr>
          <w:rFonts w:ascii="Verdana" w:hAnsi="Verdana" w:cs="Arial"/>
          <w:sz w:val="18"/>
          <w:szCs w:val="18"/>
        </w:rPr>
      </w:pPr>
    </w:p>
    <w:p w:rsidRPr="002309A3" w:rsidR="002309A3" w:rsidP="00DE2884" w:rsidRDefault="00682169" w14:paraId="6D370952" w14:textId="7E4CC7E2">
      <w:pPr>
        <w:spacing w:after="160" w:line="240" w:lineRule="exact"/>
        <w:rPr>
          <w:rFonts w:ascii="Verdana" w:hAnsi="Verdana" w:eastAsia="Calibri"/>
          <w:b/>
          <w:bCs/>
          <w:i/>
          <w:iCs/>
          <w:kern w:val="2"/>
          <w:sz w:val="18"/>
          <w:szCs w:val="22"/>
          <w:lang w:eastAsia="en-US"/>
          <w14:ligatures w14:val="standardContextual"/>
        </w:rPr>
      </w:pPr>
      <w:r w:rsidRPr="00682169">
        <w:rPr>
          <w:rFonts w:eastAsia="Calibri"/>
          <w:b/>
          <w:bCs/>
          <w:i/>
          <w:iCs/>
          <w:szCs w:val="22"/>
          <w:lang w:eastAsia="en-US"/>
        </w:rPr>
        <w:t xml:space="preserve">§ </w:t>
      </w:r>
      <w:r w:rsidRPr="002309A3" w:rsidR="002309A3">
        <w:rPr>
          <w:rFonts w:ascii="Verdana" w:hAnsi="Verdana" w:eastAsia="Calibri"/>
          <w:b/>
          <w:bCs/>
          <w:i/>
          <w:iCs/>
          <w:kern w:val="2"/>
          <w:sz w:val="18"/>
          <w:szCs w:val="22"/>
          <w:lang w:eastAsia="en-US"/>
          <w14:ligatures w14:val="standardContextual"/>
        </w:rPr>
        <w:t>1. Inleiding</w:t>
      </w:r>
    </w:p>
    <w:p w:rsidRPr="002309A3" w:rsidR="002309A3" w:rsidP="00DE2884" w:rsidRDefault="002309A3" w14:paraId="736D76F0" w14:textId="77777777">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De leden van de NSC-fractie vragen wat het verschil is tussen de inwerkingtreding (30 juni 2023) en van toepassing zijn (30 december 2024).</w:t>
      </w:r>
      <w:r w:rsidRPr="002309A3">
        <w:rPr>
          <w:rFonts w:ascii="Verdana" w:hAnsi="Verdana" w:eastAsia="Calibri"/>
          <w:kern w:val="2"/>
          <w:sz w:val="18"/>
          <w:szCs w:val="18"/>
          <w:lang w:eastAsia="en-US"/>
          <w14:ligatures w14:val="standardContextual"/>
        </w:rPr>
        <w:t xml:space="preserve"> </w:t>
      </w:r>
    </w:p>
    <w:p w:rsidR="002D4C94" w:rsidP="00DE2884" w:rsidRDefault="002D4C94" w14:paraId="1F499584" w14:textId="77777777">
      <w:pPr>
        <w:spacing w:line="240" w:lineRule="exact"/>
        <w:rPr>
          <w:rFonts w:ascii="Verdana" w:hAnsi="Verdana" w:eastAsia="Calibri" w:cs="Calibri"/>
          <w:sz w:val="18"/>
          <w:szCs w:val="18"/>
          <w:lang w:eastAsia="en-US"/>
          <w14:ligatures w14:val="standardContextual"/>
        </w:rPr>
      </w:pPr>
      <w:r w:rsidRPr="002D4C94">
        <w:rPr>
          <w:rFonts w:ascii="Verdana" w:hAnsi="Verdana" w:eastAsia="Calibri" w:cs="Calibri"/>
          <w:sz w:val="18"/>
          <w:szCs w:val="18"/>
          <w:lang w:eastAsia="en-US"/>
          <w14:ligatures w14:val="standardContextual"/>
        </w:rPr>
        <w:t xml:space="preserve">In Nederlandse wetgeving is het tijdstip van inwerkingtreding van een regeling vaak ook het moment waarop de in die regeling opgenomen materiële normen gaan gelden. In EU-wetgeving vallen die momenten meestal niet samen. Standaard treedt een verordening al op de twintigste dag na publicatie in werking. De verordening maakt dan in algemene zin al wel deel uit van het EU-recht, maar hoeft dan meestal nog niet inhoudelijk te worden nageleefd. Het moment waarop een verordening ook inhoudelijk moet worden nageleefd, is het moment waarop de verordening ‘van toepassing’ wordt. Door de verordening pas op een later tijdstip van toepassing te laten worden, wordt aan de lidstaten en aan burgers, bedrijven en instellingen voor wie de verordening gaat gelden een termijn geboden waarbinnen zij zich op de nieuwe regels kunnen voorbereiden. In Nederlandse wetgeving is het gebruikelijk om een </w:t>
      </w:r>
      <w:proofErr w:type="gramStart"/>
      <w:r w:rsidRPr="002D4C94">
        <w:rPr>
          <w:rFonts w:ascii="Verdana" w:hAnsi="Verdana" w:eastAsia="Calibri" w:cs="Calibri"/>
          <w:sz w:val="18"/>
          <w:szCs w:val="18"/>
          <w:lang w:eastAsia="en-US"/>
          <w14:ligatures w14:val="standardContextual"/>
        </w:rPr>
        <w:t>regeling</w:t>
      </w:r>
      <w:proofErr w:type="gramEnd"/>
      <w:r w:rsidRPr="002D4C94">
        <w:rPr>
          <w:rFonts w:ascii="Verdana" w:hAnsi="Verdana" w:eastAsia="Calibri" w:cs="Calibri"/>
          <w:sz w:val="18"/>
          <w:szCs w:val="18"/>
          <w:lang w:eastAsia="en-US"/>
          <w14:ligatures w14:val="standardContextual"/>
        </w:rPr>
        <w:t xml:space="preserve"> ook dan pas in werking te laten treden, waardoor inwerkingtreding en toepassing in tijd samenvallen. Richtlijnen kennen overigens nog een derde moment: de uiterste datum waarop de lidstaten hun implementatiewetgeving ter omzetting van de richtlijn gereed moeten hebben. </w:t>
      </w:r>
    </w:p>
    <w:p w:rsidRPr="002D4C94" w:rsidR="007800B6" w:rsidP="00DE2884" w:rsidRDefault="007800B6" w14:paraId="59C49940" w14:textId="77777777">
      <w:pPr>
        <w:spacing w:line="240" w:lineRule="exact"/>
        <w:rPr>
          <w:rFonts w:ascii="Verdana" w:hAnsi="Verdana" w:eastAsia="Calibri" w:cs="Calibri"/>
          <w:sz w:val="18"/>
          <w:szCs w:val="18"/>
          <w:lang w:eastAsia="en-US"/>
          <w14:ligatures w14:val="standardContextual"/>
        </w:rPr>
      </w:pPr>
    </w:p>
    <w:p w:rsidRPr="002309A3" w:rsidR="002309A3" w:rsidP="00DE2884" w:rsidRDefault="002309A3" w14:paraId="38A85138" w14:textId="77777777">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De leden van de NSC-fractie vragen welke keuzemogelijkheden lidstaten nog hebben op nationaal niveau bij de implementatie.</w:t>
      </w:r>
      <w:r w:rsidRPr="002309A3">
        <w:rPr>
          <w:rFonts w:ascii="Verdana" w:hAnsi="Verdana" w:eastAsia="Calibri"/>
          <w:kern w:val="2"/>
          <w:sz w:val="18"/>
          <w:szCs w:val="18"/>
          <w:lang w:eastAsia="en-US"/>
          <w14:ligatures w14:val="standardContextual"/>
        </w:rPr>
        <w:t xml:space="preserve"> </w:t>
      </w:r>
    </w:p>
    <w:p w:rsidRPr="002309A3" w:rsidR="002309A3" w:rsidP="00DE2884" w:rsidRDefault="002D4C94" w14:paraId="2C409920" w14:textId="443E24DB">
      <w:pPr>
        <w:spacing w:after="160" w:line="240" w:lineRule="exact"/>
        <w:rPr>
          <w:rFonts w:ascii="Verdana" w:hAnsi="Verdana" w:eastAsia="Calibri"/>
          <w:kern w:val="2"/>
          <w:sz w:val="18"/>
          <w:szCs w:val="18"/>
          <w:lang w:eastAsia="en-US"/>
          <w14:ligatures w14:val="standardContextual"/>
        </w:rPr>
      </w:pPr>
      <w:r w:rsidRPr="002D4C94">
        <w:rPr>
          <w:rFonts w:ascii="Verdana" w:hAnsi="Verdana"/>
          <w:sz w:val="18"/>
          <w:szCs w:val="18"/>
        </w:rPr>
        <w:t xml:space="preserve">Verordeningen bieden naar hun aard doorgaans </w:t>
      </w:r>
      <w:r w:rsidR="00C44308">
        <w:rPr>
          <w:rFonts w:ascii="Verdana" w:hAnsi="Verdana"/>
          <w:sz w:val="18"/>
          <w:szCs w:val="18"/>
        </w:rPr>
        <w:t>geen</w:t>
      </w:r>
      <w:r w:rsidRPr="002D4C94">
        <w:rPr>
          <w:rFonts w:ascii="Verdana" w:hAnsi="Verdana"/>
          <w:sz w:val="18"/>
          <w:szCs w:val="18"/>
        </w:rPr>
        <w:t xml:space="preserve"> ruimte voor nationaal beleid</w:t>
      </w:r>
      <w:r w:rsidR="00C44308">
        <w:rPr>
          <w:rFonts w:ascii="Verdana" w:hAnsi="Verdana"/>
          <w:sz w:val="18"/>
          <w:szCs w:val="18"/>
        </w:rPr>
        <w:t>, los van specifieke lidstaatopties</w:t>
      </w:r>
      <w:r w:rsidRPr="002D4C94">
        <w:rPr>
          <w:rFonts w:ascii="Verdana" w:hAnsi="Verdana"/>
          <w:sz w:val="18"/>
          <w:szCs w:val="18"/>
        </w:rPr>
        <w:t>. Dit volgt al uit de keuze van de Europese wetgever om zelf rechtstreeks werkende voorschriften vast te stellen en dat niet, door vaststelling van een richtlijn, aan de lidstaten over te laten. Voor verordeningen geldt bovendien dat zij in beginsel uitputtend bedoeld zijn en de lidstaten geen ruimte meer bieden voor nationaal beleid, tenzij een verordening daar uitdrukkelijk in voorziet</w:t>
      </w:r>
      <w:r w:rsidRPr="002309A3" w:rsidR="002309A3">
        <w:rPr>
          <w:rFonts w:ascii="Verdana" w:hAnsi="Verdana" w:eastAsia="Calibri"/>
          <w:kern w:val="2"/>
          <w:sz w:val="18"/>
          <w:szCs w:val="18"/>
          <w:lang w:eastAsia="en-US"/>
          <w14:ligatures w14:val="standardContextual"/>
        </w:rPr>
        <w:t xml:space="preserve">. Er zaten een aantal lidstaatopties in </w:t>
      </w:r>
      <w:r w:rsidR="00485226">
        <w:rPr>
          <w:rFonts w:ascii="Verdana" w:hAnsi="Verdana" w:eastAsia="Calibri"/>
          <w:kern w:val="2"/>
          <w:sz w:val="18"/>
          <w:szCs w:val="18"/>
          <w:lang w:eastAsia="en-US"/>
          <w14:ligatures w14:val="standardContextual"/>
        </w:rPr>
        <w:t>TFR</w:t>
      </w:r>
      <w:r w:rsidRPr="002309A3" w:rsidR="002309A3">
        <w:rPr>
          <w:rFonts w:ascii="Verdana" w:hAnsi="Verdana" w:eastAsia="Calibri"/>
          <w:kern w:val="2"/>
          <w:sz w:val="18"/>
          <w:szCs w:val="18"/>
          <w:lang w:eastAsia="en-US"/>
          <w14:ligatures w14:val="standardContextual"/>
        </w:rPr>
        <w:t xml:space="preserve">. Deze opties waren voornamelijk formeel van aard. Er is geen gebruik </w:t>
      </w:r>
      <w:r w:rsidRPr="002309A3" w:rsidR="002309A3">
        <w:rPr>
          <w:rFonts w:ascii="Verdana" w:hAnsi="Verdana" w:eastAsia="Calibri"/>
          <w:kern w:val="2"/>
          <w:sz w:val="18"/>
          <w:szCs w:val="18"/>
          <w:lang w:eastAsia="en-US"/>
          <w14:ligatures w14:val="standardContextual"/>
        </w:rPr>
        <w:lastRenderedPageBreak/>
        <w:t xml:space="preserve">gemaakt van de lidstaatoptie uit artikel 2, vijfde lid van </w:t>
      </w:r>
      <w:r w:rsidR="00485226">
        <w:rPr>
          <w:rFonts w:ascii="Verdana" w:hAnsi="Verdana" w:eastAsia="Calibri"/>
          <w:kern w:val="2"/>
          <w:sz w:val="18"/>
          <w:szCs w:val="18"/>
          <w:lang w:eastAsia="en-US"/>
          <w14:ligatures w14:val="standardContextual"/>
        </w:rPr>
        <w:t>TFR</w:t>
      </w:r>
      <w:r w:rsidRPr="002309A3" w:rsidR="002309A3">
        <w:rPr>
          <w:rFonts w:ascii="Verdana" w:hAnsi="Verdana" w:eastAsia="Calibri"/>
          <w:kern w:val="2"/>
          <w:sz w:val="18"/>
          <w:szCs w:val="18"/>
          <w:lang w:eastAsia="en-US"/>
          <w14:ligatures w14:val="standardContextual"/>
        </w:rPr>
        <w:t xml:space="preserve">, waarin de mogelijkheid wordt geboden aan lidstaten om </w:t>
      </w:r>
      <w:r w:rsidR="00485226">
        <w:rPr>
          <w:rFonts w:ascii="Verdana" w:hAnsi="Verdana" w:eastAsia="Calibri"/>
          <w:kern w:val="2"/>
          <w:sz w:val="18"/>
          <w:szCs w:val="18"/>
          <w:lang w:eastAsia="en-US"/>
          <w14:ligatures w14:val="standardContextual"/>
        </w:rPr>
        <w:t>T</w:t>
      </w:r>
      <w:r w:rsidR="00CD6F00">
        <w:rPr>
          <w:rFonts w:ascii="Verdana" w:hAnsi="Verdana" w:eastAsia="Calibri"/>
          <w:kern w:val="2"/>
          <w:sz w:val="18"/>
          <w:szCs w:val="18"/>
          <w:lang w:eastAsia="en-US"/>
          <w14:ligatures w14:val="standardContextual"/>
        </w:rPr>
        <w:t>F</w:t>
      </w:r>
      <w:r w:rsidR="00485226">
        <w:rPr>
          <w:rFonts w:ascii="Verdana" w:hAnsi="Verdana" w:eastAsia="Calibri"/>
          <w:kern w:val="2"/>
          <w:sz w:val="18"/>
          <w:szCs w:val="18"/>
          <w:lang w:eastAsia="en-US"/>
          <w14:ligatures w14:val="standardContextual"/>
        </w:rPr>
        <w:t>R</w:t>
      </w:r>
      <w:r w:rsidRPr="002309A3" w:rsidR="002309A3">
        <w:rPr>
          <w:rFonts w:ascii="Verdana" w:hAnsi="Verdana" w:eastAsia="Calibri"/>
          <w:kern w:val="2"/>
          <w:sz w:val="18"/>
          <w:szCs w:val="18"/>
          <w:lang w:eastAsia="en-US"/>
          <w14:ligatures w14:val="standardContextual"/>
        </w:rPr>
        <w:t xml:space="preserve"> niet van toepassing te verklaren op bepaalde groepen. Artikel 1c, eerste lid van de Wet ter voorkoming van witwassen en financieren van terrorisme (hierna: </w:t>
      </w:r>
      <w:proofErr w:type="spellStart"/>
      <w:r w:rsidRPr="002309A3" w:rsidR="002309A3">
        <w:rPr>
          <w:rFonts w:ascii="Verdana" w:hAnsi="Verdana" w:eastAsia="Calibri"/>
          <w:kern w:val="2"/>
          <w:sz w:val="18"/>
          <w:szCs w:val="18"/>
          <w:lang w:eastAsia="en-US"/>
          <w14:ligatures w14:val="standardContextual"/>
        </w:rPr>
        <w:t>Wwft</w:t>
      </w:r>
      <w:proofErr w:type="spellEnd"/>
      <w:r w:rsidRPr="002309A3" w:rsidR="002309A3">
        <w:rPr>
          <w:rFonts w:ascii="Verdana" w:hAnsi="Verdana" w:eastAsia="Calibri"/>
          <w:kern w:val="2"/>
          <w:sz w:val="18"/>
          <w:szCs w:val="18"/>
          <w:lang w:eastAsia="en-US"/>
          <w14:ligatures w14:val="standardContextual"/>
        </w:rPr>
        <w:t xml:space="preserve">) bevat </w:t>
      </w:r>
      <w:r w:rsidR="00C44308">
        <w:rPr>
          <w:rFonts w:ascii="Verdana" w:hAnsi="Verdana" w:eastAsia="Calibri"/>
          <w:kern w:val="2"/>
          <w:sz w:val="18"/>
          <w:szCs w:val="18"/>
          <w:lang w:eastAsia="en-US"/>
          <w14:ligatures w14:val="standardContextual"/>
        </w:rPr>
        <w:t>al</w:t>
      </w:r>
      <w:r w:rsidRPr="002309A3" w:rsidR="002309A3">
        <w:rPr>
          <w:rFonts w:ascii="Verdana" w:hAnsi="Verdana" w:eastAsia="Calibri"/>
          <w:kern w:val="2"/>
          <w:sz w:val="18"/>
          <w:szCs w:val="18"/>
          <w:lang w:eastAsia="en-US"/>
          <w14:ligatures w14:val="standardContextual"/>
        </w:rPr>
        <w:t xml:space="preserve"> een algemene ontheffingsgrondslag waarvan gebruik kan worden gemaakt </w:t>
      </w:r>
      <w:proofErr w:type="gramStart"/>
      <w:r w:rsidRPr="002309A3" w:rsidR="002309A3">
        <w:rPr>
          <w:rFonts w:ascii="Verdana" w:hAnsi="Verdana" w:eastAsia="Calibri"/>
          <w:kern w:val="2"/>
          <w:sz w:val="18"/>
          <w:szCs w:val="18"/>
          <w:lang w:eastAsia="en-US"/>
          <w14:ligatures w14:val="standardContextual"/>
        </w:rPr>
        <w:t>indien</w:t>
      </w:r>
      <w:proofErr w:type="gramEnd"/>
      <w:r w:rsidRPr="002309A3" w:rsidR="002309A3">
        <w:rPr>
          <w:rFonts w:ascii="Verdana" w:hAnsi="Verdana" w:eastAsia="Calibri"/>
          <w:kern w:val="2"/>
          <w:sz w:val="18"/>
          <w:szCs w:val="18"/>
          <w:lang w:eastAsia="en-US"/>
          <w14:ligatures w14:val="standardContextual"/>
        </w:rPr>
        <w:t xml:space="preserve"> het wenselijk is aan bepaalde groepen een ontheffing te verlenen van de verplichtingen van </w:t>
      </w:r>
      <w:r w:rsidR="00485226">
        <w:rPr>
          <w:rFonts w:ascii="Verdana" w:hAnsi="Verdana" w:eastAsia="Calibri"/>
          <w:kern w:val="2"/>
          <w:sz w:val="18"/>
          <w:szCs w:val="18"/>
          <w:lang w:eastAsia="en-US"/>
          <w14:ligatures w14:val="standardContextual"/>
        </w:rPr>
        <w:t>TFR</w:t>
      </w:r>
      <w:r w:rsidRPr="002309A3" w:rsidR="002309A3">
        <w:rPr>
          <w:rFonts w:ascii="Verdana" w:hAnsi="Verdana" w:eastAsia="Calibri"/>
          <w:kern w:val="2"/>
          <w:sz w:val="18"/>
          <w:szCs w:val="18"/>
          <w:lang w:eastAsia="en-US"/>
          <w14:ligatures w14:val="standardContextual"/>
        </w:rPr>
        <w:t xml:space="preserve">. De lidstaatopties in artikel 26, tweede en derde lid van de </w:t>
      </w:r>
      <w:r w:rsidR="00485226">
        <w:rPr>
          <w:rFonts w:ascii="Verdana" w:hAnsi="Verdana" w:eastAsia="Calibri"/>
          <w:kern w:val="2"/>
          <w:sz w:val="18"/>
          <w:szCs w:val="18"/>
          <w:lang w:eastAsia="en-US"/>
          <w14:ligatures w14:val="standardContextual"/>
        </w:rPr>
        <w:t>TFR</w:t>
      </w:r>
      <w:r w:rsidRPr="002309A3" w:rsidR="002309A3">
        <w:rPr>
          <w:rFonts w:ascii="Verdana" w:hAnsi="Verdana" w:eastAsia="Calibri"/>
          <w:kern w:val="2"/>
          <w:sz w:val="18"/>
          <w:szCs w:val="18"/>
          <w:lang w:eastAsia="en-US"/>
          <w14:ligatures w14:val="standardContextual"/>
        </w:rPr>
        <w:t xml:space="preserve"> zien op langere bewaartermijnen van gegevens. </w:t>
      </w:r>
      <w:r w:rsidR="00C44308">
        <w:rPr>
          <w:rFonts w:ascii="Verdana" w:hAnsi="Verdana" w:eastAsia="Calibri"/>
          <w:kern w:val="2"/>
          <w:sz w:val="18"/>
          <w:szCs w:val="18"/>
          <w:lang w:eastAsia="en-US"/>
          <w14:ligatures w14:val="standardContextual"/>
        </w:rPr>
        <w:t>Omdat</w:t>
      </w:r>
      <w:r w:rsidRPr="002309A3" w:rsidR="002309A3">
        <w:rPr>
          <w:rFonts w:ascii="Verdana" w:hAnsi="Verdana" w:eastAsia="Calibri"/>
          <w:kern w:val="2"/>
          <w:sz w:val="18"/>
          <w:szCs w:val="18"/>
          <w:lang w:eastAsia="en-US"/>
          <w14:ligatures w14:val="standardContextual"/>
        </w:rPr>
        <w:t xml:space="preserve"> dit niet nodig wordt geacht, is er geen gebruik gemaakt van deze lidstaatopties. Artikel 38, zesde lid van </w:t>
      </w:r>
      <w:r w:rsidR="00485226">
        <w:rPr>
          <w:rFonts w:ascii="Verdana" w:hAnsi="Verdana" w:eastAsia="Calibri"/>
          <w:kern w:val="2"/>
          <w:sz w:val="18"/>
          <w:szCs w:val="18"/>
          <w:lang w:eastAsia="en-US"/>
          <w14:ligatures w14:val="standardContextual"/>
        </w:rPr>
        <w:t>TFR</w:t>
      </w:r>
      <w:r w:rsidRPr="002309A3" w:rsidR="002309A3">
        <w:rPr>
          <w:rFonts w:ascii="Verdana" w:hAnsi="Verdana" w:eastAsia="Calibri"/>
          <w:kern w:val="2"/>
          <w:sz w:val="18"/>
          <w:szCs w:val="18"/>
          <w:lang w:eastAsia="en-US"/>
          <w14:ligatures w14:val="standardContextual"/>
        </w:rPr>
        <w:t xml:space="preserve"> betreft een lidstaatoptie waarvan wel gebruik wordt gemaakt. Dit gaat over het aanwijzen van een centraal contactpunt. Nu voor verschillende financiële instellingen ervoor gekozen is een centraal contactpunt aan te wijzen in Nederland is ervoor gekozen een dergelijk contactpunt ook aan te wijzen voor aanbieders van </w:t>
      </w:r>
      <w:proofErr w:type="spellStart"/>
      <w:r w:rsidRPr="002309A3" w:rsidR="002309A3">
        <w:rPr>
          <w:rFonts w:ascii="Verdana" w:hAnsi="Verdana" w:eastAsia="Calibri"/>
          <w:kern w:val="2"/>
          <w:sz w:val="18"/>
          <w:szCs w:val="18"/>
          <w:lang w:eastAsia="en-US"/>
          <w14:ligatures w14:val="standardContextual"/>
        </w:rPr>
        <w:t>cryptoactivadiensten</w:t>
      </w:r>
      <w:proofErr w:type="spellEnd"/>
      <w:r w:rsidRPr="002309A3" w:rsidR="002309A3">
        <w:rPr>
          <w:rFonts w:ascii="Verdana" w:hAnsi="Verdana" w:eastAsia="Calibri"/>
          <w:kern w:val="2"/>
          <w:sz w:val="18"/>
          <w:szCs w:val="18"/>
          <w:lang w:eastAsia="en-US"/>
          <w14:ligatures w14:val="standardContextual"/>
        </w:rPr>
        <w:t xml:space="preserve">. </w:t>
      </w:r>
    </w:p>
    <w:p w:rsidRPr="002309A3" w:rsidR="002309A3" w:rsidP="00DE2884" w:rsidRDefault="002309A3" w14:paraId="453F3AEA" w14:textId="77777777">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 xml:space="preserve">De leden van de NSC-fractie vragen wat het standpunt van de regering was in de Europese Raad </w:t>
      </w:r>
      <w:proofErr w:type="gramStart"/>
      <w:r w:rsidRPr="002309A3">
        <w:rPr>
          <w:rFonts w:ascii="Verdana" w:hAnsi="Verdana" w:eastAsia="Calibri"/>
          <w:i/>
          <w:iCs/>
          <w:kern w:val="2"/>
          <w:sz w:val="18"/>
          <w:szCs w:val="18"/>
          <w:lang w:eastAsia="en-US"/>
          <w14:ligatures w14:val="standardContextual"/>
        </w:rPr>
        <w:t>inzake</w:t>
      </w:r>
      <w:proofErr w:type="gramEnd"/>
      <w:r w:rsidRPr="002309A3">
        <w:rPr>
          <w:rFonts w:ascii="Verdana" w:hAnsi="Verdana" w:eastAsia="Calibri"/>
          <w:i/>
          <w:iCs/>
          <w:kern w:val="2"/>
          <w:sz w:val="18"/>
          <w:szCs w:val="18"/>
          <w:lang w:eastAsia="en-US"/>
          <w14:ligatures w14:val="standardContextual"/>
        </w:rPr>
        <w:t xml:space="preserve"> deze Verordening bij geldovermakingen en overdrachten van cryptoactiva te voegen informatie</w:t>
      </w:r>
      <w:r w:rsidRPr="002309A3">
        <w:rPr>
          <w:rFonts w:ascii="Verdana" w:hAnsi="Verdana" w:eastAsia="Calibri"/>
          <w:kern w:val="2"/>
          <w:sz w:val="18"/>
          <w:szCs w:val="18"/>
          <w:lang w:eastAsia="en-US"/>
          <w14:ligatures w14:val="standardContextual"/>
        </w:rPr>
        <w:t xml:space="preserve">. </w:t>
      </w:r>
    </w:p>
    <w:p w:rsidRPr="00264A8C" w:rsidR="002309A3" w:rsidP="00DE2884" w:rsidRDefault="00C44308" w14:paraId="25C3F821" w14:textId="56D298CF">
      <w:pPr>
        <w:spacing w:after="160" w:line="240" w:lineRule="exact"/>
        <w:rPr>
          <w:rFonts w:ascii="Verdana" w:hAnsi="Verdana" w:eastAsia="Calibri"/>
          <w:kern w:val="2"/>
          <w:sz w:val="18"/>
          <w:szCs w:val="18"/>
          <w:lang w:eastAsia="en-US"/>
          <w14:ligatures w14:val="standardContextual"/>
        </w:rPr>
      </w:pPr>
      <w:r>
        <w:rPr>
          <w:rFonts w:ascii="Verdana" w:hAnsi="Verdana" w:eastAsia="Calibri"/>
          <w:kern w:val="2"/>
          <w:sz w:val="18"/>
          <w:szCs w:val="18"/>
          <w:lang w:eastAsia="en-US"/>
          <w14:ligatures w14:val="standardContextual"/>
        </w:rPr>
        <w:t>Het Nederlandse standpunt voor de raadsonderhandelingen is vastgesteld via het betreffende BNC-fiche</w:t>
      </w:r>
      <w:r w:rsidR="007E04CF">
        <w:rPr>
          <w:rFonts w:ascii="Verdana" w:hAnsi="Verdana" w:eastAsia="Calibri"/>
          <w:kern w:val="2"/>
          <w:sz w:val="18"/>
          <w:szCs w:val="18"/>
          <w:lang w:eastAsia="en-US"/>
          <w14:ligatures w14:val="standardContextual"/>
        </w:rPr>
        <w:t xml:space="preserve"> en met de Kamer gedeeld</w:t>
      </w:r>
      <w:r>
        <w:rPr>
          <w:rFonts w:ascii="Verdana" w:hAnsi="Verdana" w:eastAsia="Calibri"/>
          <w:kern w:val="2"/>
          <w:sz w:val="18"/>
          <w:szCs w:val="18"/>
          <w:lang w:eastAsia="en-US"/>
          <w14:ligatures w14:val="standardContextual"/>
        </w:rPr>
        <w:t>.</w:t>
      </w:r>
      <w:r>
        <w:rPr>
          <w:rStyle w:val="Voetnootmarkering"/>
          <w:rFonts w:ascii="Verdana" w:hAnsi="Verdana" w:eastAsia="Calibri"/>
          <w:kern w:val="2"/>
          <w:sz w:val="18"/>
          <w:szCs w:val="18"/>
          <w:lang w:eastAsia="en-US"/>
          <w14:ligatures w14:val="standardContextual"/>
        </w:rPr>
        <w:footnoteReference w:id="2"/>
      </w:r>
      <w:r>
        <w:rPr>
          <w:rFonts w:ascii="Verdana" w:hAnsi="Verdana" w:eastAsia="Calibri"/>
          <w:kern w:val="2"/>
          <w:sz w:val="18"/>
          <w:szCs w:val="18"/>
          <w:lang w:eastAsia="en-US"/>
          <w14:ligatures w14:val="standardContextual"/>
        </w:rPr>
        <w:t xml:space="preserve"> In het fiche heeft het kabinet aangegeven positief te zijn over het voorstel. H</w:t>
      </w:r>
      <w:r w:rsidRPr="00296E27" w:rsidR="00296E27">
        <w:rPr>
          <w:rFonts w:ascii="Verdana" w:hAnsi="Verdana" w:eastAsia="Calibri"/>
          <w:kern w:val="2"/>
          <w:sz w:val="18"/>
          <w:szCs w:val="18"/>
          <w:lang w:eastAsia="en-US"/>
          <w14:ligatures w14:val="standardContextual"/>
        </w:rPr>
        <w:t xml:space="preserve">et kabinet </w:t>
      </w:r>
      <w:r>
        <w:rPr>
          <w:rFonts w:ascii="Verdana" w:hAnsi="Verdana" w:eastAsia="Calibri"/>
          <w:kern w:val="2"/>
          <w:sz w:val="18"/>
          <w:szCs w:val="18"/>
          <w:lang w:eastAsia="en-US"/>
          <w14:ligatures w14:val="standardContextual"/>
        </w:rPr>
        <w:t xml:space="preserve">heeft </w:t>
      </w:r>
      <w:r w:rsidRPr="00296E27" w:rsidR="00296E27">
        <w:rPr>
          <w:rFonts w:ascii="Verdana" w:hAnsi="Verdana" w:eastAsia="Calibri"/>
          <w:kern w:val="2"/>
          <w:sz w:val="18"/>
          <w:szCs w:val="18"/>
          <w:lang w:eastAsia="en-US"/>
          <w14:ligatures w14:val="standardContextual"/>
        </w:rPr>
        <w:t>meermaals aangegeven zich in te zetten om alle FATF-aanbevelingen</w:t>
      </w:r>
      <w:r w:rsidR="00296E27">
        <w:rPr>
          <w:rStyle w:val="Voetnootmarkering"/>
          <w:rFonts w:ascii="Verdana" w:hAnsi="Verdana" w:eastAsia="Calibri"/>
          <w:kern w:val="2"/>
          <w:sz w:val="18"/>
          <w:szCs w:val="18"/>
          <w:lang w:eastAsia="en-US"/>
          <w14:ligatures w14:val="standardContextual"/>
        </w:rPr>
        <w:footnoteReference w:id="3"/>
      </w:r>
      <w:r w:rsidRPr="00296E27" w:rsidR="00296E27">
        <w:rPr>
          <w:rFonts w:ascii="Verdana" w:hAnsi="Verdana" w:eastAsia="Calibri"/>
          <w:kern w:val="2"/>
          <w:sz w:val="18"/>
          <w:szCs w:val="18"/>
          <w:lang w:eastAsia="en-US"/>
          <w14:ligatures w14:val="standardContextual"/>
        </w:rPr>
        <w:t xml:space="preserve"> ten aanzien van </w:t>
      </w:r>
      <w:proofErr w:type="spellStart"/>
      <w:r w:rsidRPr="00296E27" w:rsidR="00296E27">
        <w:rPr>
          <w:rFonts w:ascii="Verdana" w:hAnsi="Verdana" w:eastAsia="Calibri"/>
          <w:kern w:val="2"/>
          <w:sz w:val="18"/>
          <w:szCs w:val="18"/>
          <w:lang w:eastAsia="en-US"/>
          <w14:ligatures w14:val="standardContextual"/>
        </w:rPr>
        <w:t>crypto’s</w:t>
      </w:r>
      <w:proofErr w:type="spellEnd"/>
      <w:r w:rsidRPr="00296E27" w:rsidR="00296E27">
        <w:rPr>
          <w:rFonts w:ascii="Verdana" w:hAnsi="Verdana" w:eastAsia="Calibri"/>
          <w:kern w:val="2"/>
          <w:sz w:val="18"/>
          <w:szCs w:val="18"/>
          <w:lang w:eastAsia="en-US"/>
          <w14:ligatures w14:val="standardContextual"/>
        </w:rPr>
        <w:t xml:space="preserve"> zoveel mogelijk op EU-niveau te implementeren.</w:t>
      </w:r>
      <w:r w:rsidR="00296E27">
        <w:rPr>
          <w:rFonts w:ascii="Verdana" w:hAnsi="Verdana" w:eastAsia="Calibri"/>
          <w:kern w:val="2"/>
          <w:sz w:val="18"/>
          <w:szCs w:val="18"/>
          <w:lang w:eastAsia="en-US"/>
          <w14:ligatures w14:val="standardContextual"/>
        </w:rPr>
        <w:t xml:space="preserve"> </w:t>
      </w:r>
      <w:r w:rsidRPr="00296E27" w:rsidR="00296E27">
        <w:rPr>
          <w:rFonts w:ascii="Verdana" w:hAnsi="Verdana" w:eastAsia="Calibri"/>
          <w:kern w:val="2"/>
          <w:sz w:val="18"/>
          <w:szCs w:val="18"/>
          <w:lang w:eastAsia="en-US"/>
          <w14:ligatures w14:val="standardContextual"/>
        </w:rPr>
        <w:t xml:space="preserve">Dit geldt in het bijzonder </w:t>
      </w:r>
      <w:r w:rsidR="00296E27">
        <w:rPr>
          <w:rFonts w:ascii="Verdana" w:hAnsi="Verdana" w:eastAsia="Calibri"/>
          <w:kern w:val="2"/>
          <w:sz w:val="18"/>
          <w:szCs w:val="18"/>
          <w:lang w:eastAsia="en-US"/>
          <w14:ligatures w14:val="standardContextual"/>
        </w:rPr>
        <w:t xml:space="preserve">voor het uitbreiden van </w:t>
      </w:r>
      <w:r w:rsidRPr="007800B6" w:rsidR="00296E27">
        <w:rPr>
          <w:rFonts w:ascii="Verdana" w:hAnsi="Verdana" w:eastAsia="Calibri"/>
          <w:kern w:val="2"/>
          <w:sz w:val="18"/>
          <w:szCs w:val="18"/>
          <w:lang w:eastAsia="en-US"/>
          <w14:ligatures w14:val="standardContextual"/>
        </w:rPr>
        <w:t xml:space="preserve">de </w:t>
      </w:r>
      <w:proofErr w:type="gramStart"/>
      <w:r w:rsidRPr="007800B6" w:rsidR="00296E27">
        <w:rPr>
          <w:rFonts w:ascii="Verdana" w:hAnsi="Verdana" w:eastAsia="Calibri"/>
          <w:kern w:val="2"/>
          <w:sz w:val="18"/>
          <w:szCs w:val="18"/>
          <w:lang w:eastAsia="en-US"/>
          <w14:ligatures w14:val="standardContextual"/>
        </w:rPr>
        <w:t>reeds</w:t>
      </w:r>
      <w:proofErr w:type="gramEnd"/>
      <w:r w:rsidRPr="007800B6" w:rsidR="00296E27">
        <w:rPr>
          <w:rFonts w:ascii="Verdana" w:hAnsi="Verdana" w:eastAsia="Calibri"/>
          <w:kern w:val="2"/>
          <w:sz w:val="18"/>
          <w:szCs w:val="18"/>
          <w:lang w:eastAsia="en-US"/>
          <w14:ligatures w14:val="standardContextual"/>
        </w:rPr>
        <w:t xml:space="preserve"> bestaande verordening door cryptoactiva en </w:t>
      </w:r>
      <w:proofErr w:type="spellStart"/>
      <w:r w:rsidRPr="007800B6" w:rsidR="00296E27">
        <w:rPr>
          <w:rFonts w:ascii="Verdana" w:hAnsi="Verdana" w:eastAsia="Calibri"/>
          <w:kern w:val="2"/>
          <w:sz w:val="18"/>
          <w:szCs w:val="18"/>
          <w:lang w:eastAsia="en-US"/>
          <w14:ligatures w14:val="standardContextual"/>
        </w:rPr>
        <w:t>crypto</w:t>
      </w:r>
      <w:r>
        <w:rPr>
          <w:rFonts w:ascii="Verdana" w:hAnsi="Verdana" w:eastAsia="Calibri"/>
          <w:kern w:val="2"/>
          <w:sz w:val="18"/>
          <w:szCs w:val="18"/>
          <w:lang w:eastAsia="en-US"/>
          <w14:ligatures w14:val="standardContextual"/>
        </w:rPr>
        <w:t>activa</w:t>
      </w:r>
      <w:r w:rsidRPr="007800B6" w:rsidR="00296E27">
        <w:rPr>
          <w:rFonts w:ascii="Verdana" w:hAnsi="Verdana" w:eastAsia="Calibri"/>
          <w:kern w:val="2"/>
          <w:sz w:val="18"/>
          <w:szCs w:val="18"/>
          <w:lang w:eastAsia="en-US"/>
          <w14:ligatures w14:val="standardContextual"/>
        </w:rPr>
        <w:t>dienstverleners</w:t>
      </w:r>
      <w:proofErr w:type="spellEnd"/>
      <w:r w:rsidRPr="007800B6" w:rsidR="00296E27">
        <w:rPr>
          <w:rFonts w:ascii="Verdana" w:hAnsi="Verdana" w:eastAsia="Calibri"/>
          <w:kern w:val="2"/>
          <w:sz w:val="18"/>
          <w:szCs w:val="18"/>
          <w:lang w:eastAsia="en-US"/>
          <w14:ligatures w14:val="standardContextual"/>
        </w:rPr>
        <w:t xml:space="preserve"> toe te voegen aan de reikwijdte van de verordening</w:t>
      </w:r>
      <w:r w:rsidR="00296E27">
        <w:rPr>
          <w:rFonts w:ascii="Verdana" w:hAnsi="Verdana" w:eastAsia="Calibri"/>
          <w:kern w:val="2"/>
          <w:sz w:val="18"/>
          <w:szCs w:val="18"/>
          <w:lang w:eastAsia="en-US"/>
          <w14:ligatures w14:val="standardContextual"/>
        </w:rPr>
        <w:t>.</w:t>
      </w:r>
      <w:r w:rsidR="00296E27">
        <w:rPr>
          <w:rStyle w:val="Voetnootmarkering"/>
          <w:rFonts w:ascii="Verdana" w:hAnsi="Verdana" w:eastAsia="Calibri"/>
          <w:kern w:val="2"/>
          <w:sz w:val="18"/>
          <w:szCs w:val="18"/>
          <w:lang w:eastAsia="en-US"/>
          <w14:ligatures w14:val="standardContextual"/>
        </w:rPr>
        <w:footnoteReference w:id="4"/>
      </w:r>
      <w:r w:rsidR="00296E27">
        <w:rPr>
          <w:rFonts w:ascii="Verdana" w:hAnsi="Verdana" w:eastAsia="Calibri"/>
          <w:kern w:val="2"/>
          <w:sz w:val="18"/>
          <w:szCs w:val="18"/>
          <w:lang w:eastAsia="en-US"/>
          <w14:ligatures w14:val="standardContextual"/>
        </w:rPr>
        <w:t xml:space="preserve"> </w:t>
      </w:r>
      <w:r>
        <w:rPr>
          <w:rFonts w:ascii="Verdana" w:hAnsi="Verdana" w:eastAsia="Calibri"/>
          <w:kern w:val="2"/>
          <w:sz w:val="18"/>
          <w:szCs w:val="18"/>
          <w:lang w:eastAsia="en-US"/>
          <w14:ligatures w14:val="standardContextual"/>
        </w:rPr>
        <w:t xml:space="preserve">Dat wordt met deze verordening bewerkstelligd. </w:t>
      </w:r>
      <w:r w:rsidR="007E04CF">
        <w:rPr>
          <w:rFonts w:ascii="Verdana" w:hAnsi="Verdana" w:eastAsia="Calibri"/>
          <w:kern w:val="2"/>
          <w:sz w:val="18"/>
          <w:szCs w:val="18"/>
          <w:lang w:eastAsia="en-US"/>
          <w14:ligatures w14:val="standardContextual"/>
        </w:rPr>
        <w:t>D</w:t>
      </w:r>
      <w:r>
        <w:rPr>
          <w:rFonts w:ascii="Verdana" w:hAnsi="Verdana" w:eastAsia="Calibri"/>
          <w:kern w:val="2"/>
          <w:sz w:val="18"/>
          <w:szCs w:val="18"/>
          <w:lang w:eastAsia="en-US"/>
          <w14:ligatures w14:val="standardContextual"/>
        </w:rPr>
        <w:t>e</w:t>
      </w:r>
      <w:r w:rsidR="007E04CF">
        <w:rPr>
          <w:rFonts w:ascii="Verdana" w:hAnsi="Verdana" w:eastAsia="Calibri"/>
          <w:kern w:val="2"/>
          <w:sz w:val="18"/>
          <w:szCs w:val="18"/>
          <w:lang w:eastAsia="en-US"/>
          <w14:ligatures w14:val="standardContextual"/>
        </w:rPr>
        <w:t xml:space="preserve"> andere inhoudelijke aandachtspunten van </w:t>
      </w:r>
      <w:r>
        <w:rPr>
          <w:rFonts w:ascii="Verdana" w:hAnsi="Verdana" w:eastAsia="Calibri"/>
          <w:kern w:val="2"/>
          <w:sz w:val="18"/>
          <w:szCs w:val="18"/>
          <w:lang w:eastAsia="en-US"/>
          <w14:ligatures w14:val="standardContextual"/>
        </w:rPr>
        <w:t>het kabinet</w:t>
      </w:r>
      <w:r w:rsidR="007E04CF">
        <w:rPr>
          <w:rFonts w:ascii="Verdana" w:hAnsi="Verdana" w:eastAsia="Calibri"/>
          <w:kern w:val="2"/>
          <w:sz w:val="18"/>
          <w:szCs w:val="18"/>
          <w:lang w:eastAsia="en-US"/>
          <w14:ligatures w14:val="standardContextual"/>
        </w:rPr>
        <w:t xml:space="preserve"> ten aanzien van het oorspronkelijke voorstel</w:t>
      </w:r>
      <w:r>
        <w:rPr>
          <w:rFonts w:ascii="Verdana" w:hAnsi="Verdana" w:eastAsia="Calibri"/>
          <w:kern w:val="2"/>
          <w:sz w:val="18"/>
          <w:szCs w:val="18"/>
          <w:lang w:eastAsia="en-US"/>
          <w14:ligatures w14:val="standardContextual"/>
        </w:rPr>
        <w:t>, zoals beschreven in het BNC-fiche, zijn volledig of grotendeels geland in de uiteindelijke verordening, zoals een betere stroomlijning van deze verordening met de verordening markten in cryptoactiva (</w:t>
      </w:r>
      <w:proofErr w:type="spellStart"/>
      <w:r>
        <w:rPr>
          <w:rFonts w:ascii="Verdana" w:hAnsi="Verdana" w:eastAsia="Calibri"/>
          <w:kern w:val="2"/>
          <w:sz w:val="18"/>
          <w:szCs w:val="18"/>
          <w:lang w:eastAsia="en-US"/>
          <w14:ligatures w14:val="standardContextual"/>
        </w:rPr>
        <w:t>MiCA</w:t>
      </w:r>
      <w:proofErr w:type="spellEnd"/>
      <w:r>
        <w:rPr>
          <w:rFonts w:ascii="Verdana" w:hAnsi="Verdana" w:eastAsia="Calibri"/>
          <w:kern w:val="2"/>
          <w:sz w:val="18"/>
          <w:szCs w:val="18"/>
          <w:lang w:eastAsia="en-US"/>
          <w14:ligatures w14:val="standardContextual"/>
        </w:rPr>
        <w:t>).</w:t>
      </w:r>
    </w:p>
    <w:p w:rsidR="002309A3" w:rsidP="00DE2884" w:rsidRDefault="00485226" w14:paraId="6A12CAA6" w14:textId="087FF37F">
      <w:pPr>
        <w:spacing w:line="240" w:lineRule="exact"/>
        <w:rPr>
          <w:rFonts w:ascii="Verdana" w:hAnsi="Verdana" w:eastAsia="Calibri"/>
          <w:b/>
          <w:bCs/>
          <w:i/>
          <w:iCs/>
          <w:kern w:val="2"/>
          <w:sz w:val="18"/>
          <w:szCs w:val="22"/>
          <w:lang w:eastAsia="en-US"/>
          <w14:ligatures w14:val="standardContextual"/>
        </w:rPr>
      </w:pPr>
      <w:r w:rsidRPr="00485226">
        <w:rPr>
          <w:rFonts w:eastAsia="Calibri"/>
          <w:b/>
          <w:bCs/>
          <w:i/>
          <w:iCs/>
          <w:color w:val="211D1F"/>
          <w:szCs w:val="22"/>
          <w:lang w:eastAsia="en-US"/>
        </w:rPr>
        <w:t>§</w:t>
      </w:r>
      <w:r>
        <w:rPr>
          <w:rFonts w:eastAsia="Calibri"/>
          <w:i/>
          <w:iCs/>
          <w:color w:val="211D1F"/>
          <w:szCs w:val="22"/>
          <w:lang w:eastAsia="en-US"/>
        </w:rPr>
        <w:t xml:space="preserve"> </w:t>
      </w:r>
      <w:r w:rsidRPr="002309A3" w:rsidR="002309A3">
        <w:rPr>
          <w:rFonts w:ascii="Verdana" w:hAnsi="Verdana" w:eastAsia="Calibri"/>
          <w:b/>
          <w:bCs/>
          <w:i/>
          <w:iCs/>
          <w:kern w:val="2"/>
          <w:sz w:val="18"/>
          <w:szCs w:val="22"/>
          <w:lang w:eastAsia="en-US"/>
          <w14:ligatures w14:val="standardContextual"/>
        </w:rPr>
        <w:t>2. Inhoud van de verordening</w:t>
      </w:r>
    </w:p>
    <w:p w:rsidR="00485226" w:rsidP="00DE2884" w:rsidRDefault="00485226" w14:paraId="1DBCB684" w14:textId="77777777">
      <w:pPr>
        <w:spacing w:line="240" w:lineRule="exact"/>
        <w:rPr>
          <w:rFonts w:ascii="Verdana" w:hAnsi="Verdana" w:eastAsia="Calibri"/>
          <w:b/>
          <w:bCs/>
          <w:i/>
          <w:iCs/>
          <w:kern w:val="2"/>
          <w:sz w:val="18"/>
          <w:szCs w:val="22"/>
          <w:lang w:eastAsia="en-US"/>
          <w14:ligatures w14:val="standardContextual"/>
        </w:rPr>
      </w:pPr>
    </w:p>
    <w:p w:rsidRPr="002309A3" w:rsidR="002309A3" w:rsidP="00DE2884" w:rsidRDefault="002309A3" w14:paraId="6DF53923" w14:textId="77777777">
      <w:pPr>
        <w:spacing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De leden van de GroenLinks-PvdA-fractie vragen of de regering nog eens kan toelichten hoe met het wegnemen van de </w:t>
      </w:r>
      <w:proofErr w:type="spellStart"/>
      <w:r w:rsidRPr="002309A3">
        <w:rPr>
          <w:rFonts w:ascii="Verdana" w:hAnsi="Verdana" w:eastAsia="Calibri"/>
          <w:i/>
          <w:iCs/>
          <w:kern w:val="2"/>
          <w:sz w:val="18"/>
          <w:szCs w:val="22"/>
          <w:lang w:eastAsia="en-US"/>
          <w14:ligatures w14:val="standardContextual"/>
        </w:rPr>
        <w:t>minimis</w:t>
      </w:r>
      <w:proofErr w:type="spellEnd"/>
      <w:r w:rsidRPr="002309A3">
        <w:rPr>
          <w:rFonts w:ascii="Verdana" w:hAnsi="Verdana" w:eastAsia="Calibri"/>
          <w:i/>
          <w:iCs/>
          <w:kern w:val="2"/>
          <w:sz w:val="18"/>
          <w:szCs w:val="22"/>
          <w:lang w:eastAsia="en-US"/>
          <w14:ligatures w14:val="standardContextual"/>
        </w:rPr>
        <w:t xml:space="preserve">-regel </w:t>
      </w:r>
      <w:proofErr w:type="spellStart"/>
      <w:r w:rsidRPr="002309A3">
        <w:rPr>
          <w:rFonts w:ascii="Verdana" w:hAnsi="Verdana" w:eastAsia="Calibri"/>
          <w:i/>
          <w:iCs/>
          <w:kern w:val="2"/>
          <w:sz w:val="18"/>
          <w:szCs w:val="22"/>
          <w:lang w:eastAsia="en-US"/>
          <w14:ligatures w14:val="standardContextual"/>
        </w:rPr>
        <w:t>smurfing</w:t>
      </w:r>
      <w:proofErr w:type="spellEnd"/>
      <w:r w:rsidRPr="002309A3">
        <w:rPr>
          <w:rFonts w:ascii="Verdana" w:hAnsi="Verdana" w:eastAsia="Calibri"/>
          <w:i/>
          <w:iCs/>
          <w:kern w:val="2"/>
          <w:sz w:val="18"/>
          <w:szCs w:val="22"/>
          <w:lang w:eastAsia="en-US"/>
          <w14:ligatures w14:val="standardContextual"/>
        </w:rPr>
        <w:t xml:space="preserve"> (het onder een grenswaarde van toezicht op transacties blijven door deze transacties in brokjes op te knippen) wordt tegengegaan en dit bijdraagt aan de effectiviteit van het tegengaan van anonimiteit. </w:t>
      </w:r>
    </w:p>
    <w:p w:rsidRPr="002309A3" w:rsidR="002309A3" w:rsidP="00DE2884" w:rsidRDefault="002309A3" w14:paraId="739DF710" w14:textId="77777777">
      <w:pPr>
        <w:spacing w:line="240" w:lineRule="exact"/>
        <w:rPr>
          <w:rFonts w:ascii="Verdana" w:hAnsi="Verdana" w:eastAsia="Calibri"/>
          <w:i/>
          <w:iCs/>
          <w:kern w:val="2"/>
          <w:sz w:val="18"/>
          <w:szCs w:val="22"/>
          <w:lang w:eastAsia="en-US"/>
          <w14:ligatures w14:val="standardContextual"/>
        </w:rPr>
      </w:pPr>
    </w:p>
    <w:p w:rsidR="009773C7" w:rsidP="00DE2884" w:rsidRDefault="002309A3" w14:paraId="14EEFC9D" w14:textId="0BC74C24">
      <w:pPr>
        <w:spacing w:line="240" w:lineRule="exact"/>
        <w:rPr>
          <w:rFonts w:ascii="Verdana" w:hAnsi="Verdana" w:eastAsia="Calibri"/>
          <w:color w:val="211D1F"/>
          <w:kern w:val="2"/>
          <w:sz w:val="18"/>
          <w:szCs w:val="18"/>
          <w:lang w:eastAsia="en-US"/>
          <w14:ligatures w14:val="standardContextual"/>
        </w:rPr>
      </w:pPr>
      <w:r w:rsidRPr="002309A3">
        <w:rPr>
          <w:rFonts w:ascii="Verdana" w:hAnsi="Verdana" w:eastAsia="Calibri"/>
          <w:kern w:val="2"/>
          <w:sz w:val="18"/>
          <w:szCs w:val="22"/>
          <w:lang w:eastAsia="en-US"/>
          <w14:ligatures w14:val="standardContextual"/>
        </w:rPr>
        <w:t xml:space="preserve">Met </w:t>
      </w:r>
      <w:r w:rsidR="007E1716">
        <w:rPr>
          <w:rFonts w:ascii="Verdana" w:hAnsi="Verdana" w:eastAsia="Calibri"/>
          <w:kern w:val="2"/>
          <w:sz w:val="18"/>
          <w:szCs w:val="22"/>
          <w:lang w:eastAsia="en-US"/>
          <w14:ligatures w14:val="standardContextual"/>
        </w:rPr>
        <w:t>TFR</w:t>
      </w:r>
      <w:r w:rsidRPr="002309A3">
        <w:rPr>
          <w:rFonts w:ascii="Verdana" w:hAnsi="Verdana" w:eastAsia="Calibri"/>
          <w:kern w:val="2"/>
          <w:sz w:val="18"/>
          <w:szCs w:val="22"/>
          <w:lang w:eastAsia="en-US"/>
          <w14:ligatures w14:val="standardContextual"/>
        </w:rPr>
        <w:t xml:space="preserve"> wordt beoogd </w:t>
      </w:r>
      <w:r w:rsidR="00C44308">
        <w:rPr>
          <w:rFonts w:ascii="Verdana" w:hAnsi="Verdana" w:eastAsia="Calibri"/>
          <w:kern w:val="2"/>
          <w:sz w:val="18"/>
          <w:szCs w:val="22"/>
          <w:lang w:eastAsia="en-US"/>
          <w14:ligatures w14:val="standardContextual"/>
        </w:rPr>
        <w:t xml:space="preserve">de </w:t>
      </w:r>
      <w:r w:rsidRPr="002309A3">
        <w:rPr>
          <w:rFonts w:ascii="Verdana" w:hAnsi="Verdana" w:eastAsia="Calibri"/>
          <w:kern w:val="2"/>
          <w:sz w:val="18"/>
          <w:szCs w:val="22"/>
          <w:lang w:eastAsia="en-US"/>
          <w14:ligatures w14:val="standardContextual"/>
        </w:rPr>
        <w:t xml:space="preserve">anonimiteit van cryptotransacties tegen te gaan doordat het verplicht wordt voor </w:t>
      </w:r>
      <w:r w:rsidR="00D63401">
        <w:rPr>
          <w:rFonts w:ascii="Verdana" w:hAnsi="Verdana" w:eastAsia="Calibri"/>
          <w:kern w:val="2"/>
          <w:sz w:val="18"/>
          <w:szCs w:val="22"/>
          <w:lang w:eastAsia="en-US"/>
          <w14:ligatures w14:val="standardContextual"/>
        </w:rPr>
        <w:t xml:space="preserve">alle </w:t>
      </w:r>
      <w:r w:rsidRPr="002309A3">
        <w:rPr>
          <w:rFonts w:ascii="Verdana" w:hAnsi="Verdana" w:eastAsia="Calibri"/>
          <w:color w:val="211D1F"/>
          <w:kern w:val="2"/>
          <w:sz w:val="18"/>
          <w:szCs w:val="18"/>
          <w:lang w:eastAsia="en-US"/>
          <w14:ligatures w14:val="standardContextual"/>
        </w:rPr>
        <w:t xml:space="preserve">aanbieders van </w:t>
      </w:r>
      <w:proofErr w:type="spellStart"/>
      <w:r w:rsidRPr="002309A3">
        <w:rPr>
          <w:rFonts w:ascii="Verdana" w:hAnsi="Verdana" w:eastAsia="Calibri"/>
          <w:color w:val="211D1F"/>
          <w:kern w:val="2"/>
          <w:sz w:val="18"/>
          <w:szCs w:val="18"/>
          <w:lang w:eastAsia="en-US"/>
          <w14:ligatures w14:val="standardContextual"/>
        </w:rPr>
        <w:t>cryptoactivadiensten</w:t>
      </w:r>
      <w:proofErr w:type="spellEnd"/>
      <w:r w:rsidRPr="002309A3">
        <w:rPr>
          <w:rFonts w:ascii="Verdana" w:hAnsi="Verdana" w:eastAsia="Calibri"/>
          <w:color w:val="211D1F"/>
          <w:kern w:val="2"/>
          <w:sz w:val="18"/>
          <w:szCs w:val="18"/>
          <w:lang w:eastAsia="en-US"/>
          <w14:ligatures w14:val="standardContextual"/>
        </w:rPr>
        <w:t xml:space="preserve"> </w:t>
      </w:r>
      <w:r w:rsidR="00D63401">
        <w:rPr>
          <w:rFonts w:ascii="Verdana" w:hAnsi="Verdana" w:eastAsia="Calibri"/>
          <w:color w:val="211D1F"/>
          <w:kern w:val="2"/>
          <w:sz w:val="18"/>
          <w:szCs w:val="18"/>
          <w:lang w:eastAsia="en-US"/>
          <w14:ligatures w14:val="standardContextual"/>
        </w:rPr>
        <w:t xml:space="preserve">(zoals gedefinieerd in </w:t>
      </w:r>
      <w:proofErr w:type="spellStart"/>
      <w:r w:rsidR="00D63401">
        <w:rPr>
          <w:rFonts w:ascii="Verdana" w:hAnsi="Verdana" w:eastAsia="Calibri"/>
          <w:color w:val="211D1F"/>
          <w:kern w:val="2"/>
          <w:sz w:val="18"/>
          <w:szCs w:val="18"/>
          <w:lang w:eastAsia="en-US"/>
          <w14:ligatures w14:val="standardContextual"/>
        </w:rPr>
        <w:t>MiCA</w:t>
      </w:r>
      <w:proofErr w:type="spellEnd"/>
      <w:r w:rsidR="00D63401">
        <w:rPr>
          <w:rFonts w:ascii="Verdana" w:hAnsi="Verdana" w:eastAsia="Calibri"/>
          <w:color w:val="211D1F"/>
          <w:kern w:val="2"/>
          <w:sz w:val="18"/>
          <w:szCs w:val="18"/>
          <w:lang w:eastAsia="en-US"/>
          <w14:ligatures w14:val="standardContextual"/>
        </w:rPr>
        <w:t>)</w:t>
      </w:r>
      <w:r w:rsidR="00A87DD3">
        <w:rPr>
          <w:rFonts w:ascii="Verdana" w:hAnsi="Verdana" w:eastAsia="Calibri"/>
          <w:color w:val="211D1F"/>
          <w:kern w:val="2"/>
          <w:sz w:val="18"/>
          <w:szCs w:val="18"/>
          <w:lang w:eastAsia="en-US"/>
          <w14:ligatures w14:val="standardContextual"/>
        </w:rPr>
        <w:t>, behalve partijen die advies geven,</w:t>
      </w:r>
      <w:r w:rsidR="00D63401">
        <w:rPr>
          <w:rFonts w:ascii="Verdana" w:hAnsi="Verdana" w:eastAsia="Calibri"/>
          <w:color w:val="211D1F"/>
          <w:kern w:val="2"/>
          <w:sz w:val="18"/>
          <w:szCs w:val="18"/>
          <w:lang w:eastAsia="en-US"/>
          <w14:ligatures w14:val="standardContextual"/>
        </w:rPr>
        <w:t xml:space="preserve"> </w:t>
      </w:r>
      <w:r w:rsidR="00C44308">
        <w:rPr>
          <w:rFonts w:ascii="Verdana" w:hAnsi="Verdana" w:eastAsia="Calibri"/>
          <w:color w:val="211D1F"/>
          <w:kern w:val="2"/>
          <w:sz w:val="18"/>
          <w:szCs w:val="18"/>
          <w:lang w:eastAsia="en-US"/>
          <w14:ligatures w14:val="standardContextual"/>
        </w:rPr>
        <w:t xml:space="preserve">om </w:t>
      </w:r>
      <w:r w:rsidRPr="002309A3">
        <w:rPr>
          <w:rFonts w:ascii="Verdana" w:hAnsi="Verdana" w:eastAsia="Calibri"/>
          <w:color w:val="211D1F"/>
          <w:kern w:val="2"/>
          <w:sz w:val="18"/>
          <w:szCs w:val="18"/>
          <w:lang w:eastAsia="en-US"/>
          <w14:ligatures w14:val="standardContextual"/>
        </w:rPr>
        <w:t>bij overdrachten van cryptoactiva informatie toe te voegen over de initiator en de begunstigde, net zoals nu al het geval is voor betalingsdienstaanbieders bij geldovermakingen.</w:t>
      </w:r>
      <w:r w:rsidR="00FA754B">
        <w:rPr>
          <w:rFonts w:ascii="Verdana" w:hAnsi="Verdana" w:eastAsia="Calibri"/>
          <w:color w:val="211D1F"/>
          <w:kern w:val="2"/>
          <w:sz w:val="18"/>
          <w:szCs w:val="18"/>
          <w:lang w:eastAsia="en-US"/>
          <w14:ligatures w14:val="standardContextual"/>
        </w:rPr>
        <w:t xml:space="preserve"> De FATF-standaarden bieden ruimte om dit pas toe te passen bij transacties vanaf 1000 euro.</w:t>
      </w:r>
      <w:r w:rsidR="009773C7">
        <w:rPr>
          <w:rFonts w:ascii="Verdana" w:hAnsi="Verdana" w:eastAsia="Calibri"/>
          <w:color w:val="211D1F"/>
          <w:kern w:val="2"/>
          <w:sz w:val="18"/>
          <w:szCs w:val="18"/>
          <w:lang w:eastAsia="en-US"/>
          <w14:ligatures w14:val="standardContextual"/>
        </w:rPr>
        <w:t xml:space="preserve"> De FATF-standaarden stellen dat deze de-minimisregel niet geldt als het gaat om een samengestelde transactie (meerdere transacties die gezamenlijk uiteindelijk één transactie vormen).</w:t>
      </w:r>
    </w:p>
    <w:p w:rsidR="009773C7" w:rsidP="00DE2884" w:rsidRDefault="009773C7" w14:paraId="1509C67B" w14:textId="77777777">
      <w:pPr>
        <w:spacing w:line="240" w:lineRule="exact"/>
        <w:rPr>
          <w:rFonts w:ascii="Verdana" w:hAnsi="Verdana" w:eastAsia="Calibri"/>
          <w:color w:val="211D1F"/>
          <w:kern w:val="2"/>
          <w:sz w:val="18"/>
          <w:szCs w:val="18"/>
          <w:lang w:eastAsia="en-US"/>
          <w14:ligatures w14:val="standardContextual"/>
        </w:rPr>
      </w:pPr>
    </w:p>
    <w:p w:rsidRPr="002309A3" w:rsidR="002309A3" w:rsidP="00DE2884" w:rsidRDefault="009773C7" w14:paraId="0E1C0AB1" w14:textId="52CF0A84">
      <w:pPr>
        <w:spacing w:line="240" w:lineRule="exact"/>
        <w:rPr>
          <w:rFonts w:ascii="Verdana" w:hAnsi="Verdana" w:eastAsia="Calibri"/>
          <w:color w:val="211D1F"/>
          <w:kern w:val="2"/>
          <w:sz w:val="18"/>
          <w:szCs w:val="18"/>
          <w:lang w:eastAsia="en-US"/>
          <w14:ligatures w14:val="standardContextual"/>
        </w:rPr>
      </w:pPr>
      <w:r>
        <w:rPr>
          <w:rFonts w:ascii="Verdana" w:hAnsi="Verdana" w:eastAsia="Calibri"/>
          <w:color w:val="211D1F"/>
          <w:kern w:val="2"/>
          <w:sz w:val="18"/>
          <w:szCs w:val="18"/>
          <w:lang w:eastAsia="en-US"/>
          <w14:ligatures w14:val="standardContextual"/>
        </w:rPr>
        <w:t>In de praktijk is het echter lastig om duidelijk te bepalen wanneer meerdere transacties wel of niet als een samengestelde transactie gezien moeten worden.</w:t>
      </w:r>
      <w:r w:rsidR="00FA754B">
        <w:rPr>
          <w:rFonts w:ascii="Verdana" w:hAnsi="Verdana" w:eastAsia="Calibri"/>
          <w:color w:val="211D1F"/>
          <w:kern w:val="2"/>
          <w:sz w:val="18"/>
          <w:szCs w:val="18"/>
          <w:lang w:eastAsia="en-US"/>
          <w14:ligatures w14:val="standardContextual"/>
        </w:rPr>
        <w:t xml:space="preserve"> In de verordening is </w:t>
      </w:r>
      <w:r>
        <w:rPr>
          <w:rFonts w:ascii="Verdana" w:hAnsi="Verdana" w:eastAsia="Calibri"/>
          <w:color w:val="211D1F"/>
          <w:kern w:val="2"/>
          <w:sz w:val="18"/>
          <w:szCs w:val="18"/>
          <w:lang w:eastAsia="en-US"/>
          <w14:ligatures w14:val="standardContextual"/>
        </w:rPr>
        <w:t xml:space="preserve">daarom </w:t>
      </w:r>
      <w:r w:rsidR="00FA754B">
        <w:rPr>
          <w:rFonts w:ascii="Verdana" w:hAnsi="Verdana" w:eastAsia="Calibri"/>
          <w:color w:val="211D1F"/>
          <w:kern w:val="2"/>
          <w:sz w:val="18"/>
          <w:szCs w:val="18"/>
          <w:lang w:eastAsia="en-US"/>
          <w14:ligatures w14:val="standardContextual"/>
        </w:rPr>
        <w:t xml:space="preserve">uiteindelijk besloten om voor alle </w:t>
      </w:r>
      <w:r w:rsidR="00FA754B">
        <w:rPr>
          <w:rFonts w:ascii="Verdana" w:hAnsi="Verdana" w:eastAsia="Calibri"/>
          <w:color w:val="211D1F"/>
          <w:kern w:val="2"/>
          <w:sz w:val="18"/>
          <w:szCs w:val="18"/>
          <w:lang w:eastAsia="en-US"/>
          <w14:ligatures w14:val="standardContextual"/>
        </w:rPr>
        <w:lastRenderedPageBreak/>
        <w:t>transacties</w:t>
      </w:r>
      <w:r>
        <w:rPr>
          <w:rFonts w:ascii="Verdana" w:hAnsi="Verdana" w:eastAsia="Calibri"/>
          <w:color w:val="211D1F"/>
          <w:kern w:val="2"/>
          <w:sz w:val="18"/>
          <w:szCs w:val="18"/>
          <w:lang w:eastAsia="en-US"/>
          <w14:ligatures w14:val="standardContextual"/>
        </w:rPr>
        <w:t xml:space="preserve"> tussen aanbieders van </w:t>
      </w:r>
      <w:proofErr w:type="spellStart"/>
      <w:r>
        <w:rPr>
          <w:rFonts w:ascii="Verdana" w:hAnsi="Verdana" w:eastAsia="Calibri"/>
          <w:color w:val="211D1F"/>
          <w:kern w:val="2"/>
          <w:sz w:val="18"/>
          <w:szCs w:val="18"/>
          <w:lang w:eastAsia="en-US"/>
          <w14:ligatures w14:val="standardContextual"/>
        </w:rPr>
        <w:t>cryptoactivadiensten</w:t>
      </w:r>
      <w:proofErr w:type="spellEnd"/>
      <w:r w:rsidR="00FA754B">
        <w:rPr>
          <w:rFonts w:ascii="Verdana" w:hAnsi="Verdana" w:eastAsia="Calibri"/>
          <w:color w:val="211D1F"/>
          <w:kern w:val="2"/>
          <w:sz w:val="18"/>
          <w:szCs w:val="18"/>
          <w:lang w:eastAsia="en-US"/>
          <w14:ligatures w14:val="standardContextual"/>
        </w:rPr>
        <w:t xml:space="preserve">, ongeacht </w:t>
      </w:r>
      <w:r w:rsidR="005A1AFB">
        <w:rPr>
          <w:rFonts w:ascii="Verdana" w:hAnsi="Verdana" w:eastAsia="Calibri"/>
          <w:color w:val="211D1F"/>
          <w:kern w:val="2"/>
          <w:sz w:val="18"/>
          <w:szCs w:val="18"/>
          <w:lang w:eastAsia="en-US"/>
          <w14:ligatures w14:val="standardContextual"/>
        </w:rPr>
        <w:t>de waarde van de transactie</w:t>
      </w:r>
      <w:r w:rsidR="00FA754B">
        <w:rPr>
          <w:rFonts w:ascii="Verdana" w:hAnsi="Verdana" w:eastAsia="Calibri"/>
          <w:color w:val="211D1F"/>
          <w:kern w:val="2"/>
          <w:sz w:val="18"/>
          <w:szCs w:val="18"/>
          <w:lang w:eastAsia="en-US"/>
          <w14:ligatures w14:val="standardContextual"/>
        </w:rPr>
        <w:t xml:space="preserve">, te eisen dat informatie wordt toegevoegd. Hierdoor wordt voorkomen dat </w:t>
      </w:r>
      <w:r>
        <w:rPr>
          <w:rFonts w:ascii="Verdana" w:hAnsi="Verdana" w:eastAsia="Calibri"/>
          <w:color w:val="211D1F"/>
          <w:kern w:val="2"/>
          <w:sz w:val="18"/>
          <w:szCs w:val="18"/>
          <w:lang w:eastAsia="en-US"/>
          <w14:ligatures w14:val="standardContextual"/>
        </w:rPr>
        <w:t>personen om de regels heen werken door transacties op te knippen</w:t>
      </w:r>
      <w:r w:rsidR="005A1AFB">
        <w:rPr>
          <w:rFonts w:ascii="Verdana" w:hAnsi="Verdana" w:eastAsia="Calibri"/>
          <w:color w:val="211D1F"/>
          <w:kern w:val="2"/>
          <w:sz w:val="18"/>
          <w:szCs w:val="18"/>
          <w:lang w:eastAsia="en-US"/>
          <w14:ligatures w14:val="standardContextual"/>
        </w:rPr>
        <w:t>,</w:t>
      </w:r>
      <w:r>
        <w:rPr>
          <w:rFonts w:ascii="Verdana" w:hAnsi="Verdana" w:eastAsia="Calibri"/>
          <w:color w:val="211D1F"/>
          <w:kern w:val="2"/>
          <w:sz w:val="18"/>
          <w:szCs w:val="18"/>
          <w:lang w:eastAsia="en-US"/>
          <w14:ligatures w14:val="standardContextual"/>
        </w:rPr>
        <w:t xml:space="preserve"> waardoor individuele transacties onder de 1000 euro blijven. </w:t>
      </w:r>
      <w:r w:rsidRPr="002309A3" w:rsidR="002309A3">
        <w:rPr>
          <w:rFonts w:ascii="Verdana" w:hAnsi="Verdana" w:eastAsia="Calibri"/>
          <w:color w:val="211D1F"/>
          <w:kern w:val="2"/>
          <w:sz w:val="18"/>
          <w:szCs w:val="18"/>
          <w:lang w:eastAsia="en-US"/>
          <w14:ligatures w14:val="standardContextual"/>
        </w:rPr>
        <w:t xml:space="preserve">Daar waar het gaat om de overdracht van of naar een </w:t>
      </w:r>
      <w:proofErr w:type="spellStart"/>
      <w:r w:rsidRPr="002309A3" w:rsidR="002309A3">
        <w:rPr>
          <w:rFonts w:ascii="Verdana" w:hAnsi="Verdana" w:eastAsia="Calibri"/>
          <w:color w:val="211D1F"/>
          <w:kern w:val="2"/>
          <w:sz w:val="18"/>
          <w:szCs w:val="18"/>
          <w:lang w:eastAsia="en-US"/>
          <w14:ligatures w14:val="standardContextual"/>
        </w:rPr>
        <w:t>zelfgehost</w:t>
      </w:r>
      <w:proofErr w:type="spellEnd"/>
      <w:r w:rsidRPr="002309A3" w:rsidR="002309A3">
        <w:rPr>
          <w:rFonts w:ascii="Verdana" w:hAnsi="Verdana" w:eastAsia="Calibri"/>
          <w:color w:val="211D1F"/>
          <w:kern w:val="2"/>
          <w:sz w:val="18"/>
          <w:szCs w:val="18"/>
          <w:lang w:eastAsia="en-US"/>
          <w14:ligatures w14:val="standardContextual"/>
        </w:rPr>
        <w:t xml:space="preserve"> adres, </w:t>
      </w:r>
      <w:r>
        <w:rPr>
          <w:rFonts w:ascii="Verdana" w:hAnsi="Verdana" w:eastAsia="Calibri"/>
          <w:color w:val="211D1F"/>
          <w:kern w:val="2"/>
          <w:sz w:val="18"/>
          <w:szCs w:val="18"/>
          <w:lang w:eastAsia="en-US"/>
          <w14:ligatures w14:val="standardContextual"/>
        </w:rPr>
        <w:t xml:space="preserve">is de de-minimisregel wel toegepast en </w:t>
      </w:r>
      <w:r w:rsidRPr="002309A3" w:rsidR="002309A3">
        <w:rPr>
          <w:rFonts w:ascii="Verdana" w:hAnsi="Verdana" w:eastAsia="Calibri"/>
          <w:color w:val="211D1F"/>
          <w:kern w:val="2"/>
          <w:sz w:val="18"/>
          <w:szCs w:val="18"/>
          <w:lang w:eastAsia="en-US"/>
          <w14:ligatures w14:val="standardContextual"/>
        </w:rPr>
        <w:t xml:space="preserve">dient </w:t>
      </w:r>
      <w:r>
        <w:rPr>
          <w:rFonts w:ascii="Verdana" w:hAnsi="Verdana" w:eastAsia="Calibri"/>
          <w:color w:val="211D1F"/>
          <w:kern w:val="2"/>
          <w:sz w:val="18"/>
          <w:szCs w:val="18"/>
          <w:lang w:eastAsia="en-US"/>
          <w14:ligatures w14:val="standardContextual"/>
        </w:rPr>
        <w:t xml:space="preserve">er pas </w:t>
      </w:r>
      <w:r w:rsidRPr="002309A3" w:rsidR="002309A3">
        <w:rPr>
          <w:rFonts w:ascii="Verdana" w:hAnsi="Verdana" w:eastAsia="Calibri"/>
          <w:color w:val="211D1F"/>
          <w:kern w:val="2"/>
          <w:sz w:val="18"/>
          <w:szCs w:val="18"/>
          <w:lang w:eastAsia="en-US"/>
          <w14:ligatures w14:val="standardContextual"/>
        </w:rPr>
        <w:t>bij een bedrag vanaf 1000 euro onderzoek te worden gedaan naar de initiator of de begunstigde</w:t>
      </w:r>
      <w:r w:rsidR="00850FED">
        <w:rPr>
          <w:rFonts w:ascii="Verdana" w:hAnsi="Verdana" w:eastAsia="Calibri"/>
          <w:color w:val="211D1F"/>
          <w:kern w:val="2"/>
          <w:sz w:val="18"/>
          <w:szCs w:val="18"/>
          <w:lang w:eastAsia="en-US"/>
          <w14:ligatures w14:val="standardContextual"/>
        </w:rPr>
        <w:t>.</w:t>
      </w:r>
    </w:p>
    <w:p w:rsidRPr="002309A3" w:rsidR="002309A3" w:rsidP="00DE2884" w:rsidRDefault="002309A3" w14:paraId="64D2CEBD" w14:textId="77777777">
      <w:pPr>
        <w:spacing w:line="240" w:lineRule="exact"/>
        <w:rPr>
          <w:rFonts w:ascii="Verdana" w:hAnsi="Verdana" w:eastAsia="Calibri"/>
          <w:i/>
          <w:iCs/>
          <w:kern w:val="2"/>
          <w:sz w:val="18"/>
          <w:szCs w:val="22"/>
          <w:lang w:eastAsia="en-US"/>
          <w14:ligatures w14:val="standardContextual"/>
        </w:rPr>
      </w:pPr>
    </w:p>
    <w:p w:rsidRPr="002309A3" w:rsidR="002309A3" w:rsidP="00DE2884" w:rsidRDefault="002309A3" w14:paraId="06520979" w14:textId="77777777">
      <w:pPr>
        <w:spacing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De leden van de GroenLinks-PvdA-fractie vragen voorts op welke manier deze verordening zal gaan toezien op crypto-transacties tussen een partij gelegen in de EU en een in een derde jurisdictie gelegen partij. Wordt deze laatste partij ook geïdentificeerd als onderdeel van deze verordening?</w:t>
      </w:r>
    </w:p>
    <w:p w:rsidRPr="002309A3" w:rsidR="002309A3" w:rsidP="00DE2884" w:rsidRDefault="002309A3" w14:paraId="14420E26" w14:textId="77777777">
      <w:pPr>
        <w:spacing w:line="240" w:lineRule="exact"/>
        <w:rPr>
          <w:rFonts w:ascii="Verdana" w:hAnsi="Verdana" w:eastAsia="Calibri"/>
          <w:i/>
          <w:iCs/>
          <w:kern w:val="2"/>
          <w:sz w:val="18"/>
          <w:szCs w:val="22"/>
          <w:lang w:eastAsia="en-US"/>
          <w14:ligatures w14:val="standardContextual"/>
        </w:rPr>
      </w:pPr>
    </w:p>
    <w:p w:rsidRPr="002309A3" w:rsidR="002309A3" w:rsidP="00DE2884" w:rsidRDefault="007E1716" w14:paraId="45257B35" w14:textId="1CC6E20B">
      <w:pPr>
        <w:spacing w:line="240" w:lineRule="exact"/>
        <w:rPr>
          <w:rFonts w:ascii="Verdana" w:hAnsi="Verdana" w:eastAsia="Calibri"/>
          <w:kern w:val="2"/>
          <w:sz w:val="18"/>
          <w:szCs w:val="22"/>
          <w:lang w:eastAsia="en-US"/>
          <w14:ligatures w14:val="standardContextual"/>
        </w:rPr>
      </w:pP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is van toepassing op de overdracht van cryptoactiva waarbij een cryptodienstverlener is betrokken. Enkel cryptodienstverleners gevestigd in de EU worden gezien als aanbieders in de zin van </w:t>
      </w: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w:t>
      </w: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is niet van toepassing op een cryptodienstverlener gevestigd in een derde land, omdat </w:t>
      </w:r>
      <w:r w:rsidR="005A1AFB">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geen extraterritoriale werking heeft. Op basis van </w:t>
      </w: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geldt echter wel dat bij de overdracht van cryptoactiva vanuit de EU naar een derde land, informatie over de initiator en de begunstigde van de overdracht toegevoegd moet worden. Andersom geldt dat als cryptodienstverleners transacties ontvangen, al dan niet uit derde landen, zij moeten controleren of de op grond van </w:t>
      </w: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de vereiste gegevens zijn bijgevoegd. </w:t>
      </w:r>
      <w:proofErr w:type="gramStart"/>
      <w:r w:rsidRPr="002309A3" w:rsidR="002309A3">
        <w:rPr>
          <w:rFonts w:ascii="Verdana" w:hAnsi="Verdana" w:eastAsia="Calibri"/>
          <w:kern w:val="2"/>
          <w:sz w:val="18"/>
          <w:szCs w:val="22"/>
          <w:lang w:eastAsia="en-US"/>
          <w14:ligatures w14:val="standardContextual"/>
        </w:rPr>
        <w:t>Indien</w:t>
      </w:r>
      <w:proofErr w:type="gramEnd"/>
      <w:r w:rsidRPr="002309A3" w:rsidR="002309A3">
        <w:rPr>
          <w:rFonts w:ascii="Verdana" w:hAnsi="Verdana" w:eastAsia="Calibri"/>
          <w:kern w:val="2"/>
          <w:sz w:val="18"/>
          <w:szCs w:val="22"/>
          <w:lang w:eastAsia="en-US"/>
          <w14:ligatures w14:val="standardContextual"/>
        </w:rPr>
        <w:t xml:space="preserve"> dit niet het geval is </w:t>
      </w:r>
      <w:r w:rsidR="009773C7">
        <w:rPr>
          <w:rFonts w:ascii="Verdana" w:hAnsi="Verdana" w:eastAsia="Calibri"/>
          <w:kern w:val="2"/>
          <w:sz w:val="18"/>
          <w:szCs w:val="22"/>
          <w:lang w:eastAsia="en-US"/>
          <w14:ligatures w14:val="standardContextual"/>
        </w:rPr>
        <w:t>moeten cryptodienstverleners mitigerende maatregelen treffen</w:t>
      </w:r>
      <w:r w:rsidR="007800B6">
        <w:rPr>
          <w:rFonts w:ascii="Verdana" w:hAnsi="Verdana" w:eastAsia="Calibri"/>
          <w:kern w:val="2"/>
          <w:sz w:val="18"/>
          <w:szCs w:val="22"/>
          <w:lang w:eastAsia="en-US"/>
          <w14:ligatures w14:val="standardContextual"/>
        </w:rPr>
        <w:t xml:space="preserve"> </w:t>
      </w:r>
      <w:r w:rsidR="009773C7">
        <w:rPr>
          <w:rFonts w:ascii="Verdana" w:hAnsi="Verdana" w:eastAsia="Calibri"/>
          <w:kern w:val="2"/>
          <w:sz w:val="18"/>
          <w:szCs w:val="22"/>
          <w:lang w:eastAsia="en-US"/>
          <w14:ligatures w14:val="standardContextual"/>
        </w:rPr>
        <w:t>en</w:t>
      </w:r>
      <w:r w:rsidRPr="002309A3" w:rsidR="009773C7">
        <w:rPr>
          <w:rFonts w:ascii="Verdana" w:hAnsi="Verdana" w:eastAsia="Calibri"/>
          <w:kern w:val="2"/>
          <w:sz w:val="18"/>
          <w:szCs w:val="22"/>
          <w:lang w:eastAsia="en-US"/>
          <w14:ligatures w14:val="standardContextual"/>
        </w:rPr>
        <w:t xml:space="preserve"> </w:t>
      </w:r>
      <w:r w:rsidRPr="002309A3" w:rsidR="002309A3">
        <w:rPr>
          <w:rFonts w:ascii="Verdana" w:hAnsi="Verdana" w:eastAsia="Calibri"/>
          <w:kern w:val="2"/>
          <w:sz w:val="18"/>
          <w:szCs w:val="22"/>
          <w:lang w:eastAsia="en-US"/>
          <w14:ligatures w14:val="standardContextual"/>
        </w:rPr>
        <w:t>kunnen transacties worden geweigerd, teruggezonden of zelfs worden opgeschort. De zakelijke relatie dient bij herhaaldelijk niet verstrekken van informatie zelfs te worden beperkt of beëindigd door de cryptodienstverlener.</w:t>
      </w:r>
    </w:p>
    <w:p w:rsidR="005A1AFB" w:rsidP="00DE2884" w:rsidRDefault="005A1AFB" w14:paraId="204CA3ED" w14:textId="77777777">
      <w:pPr>
        <w:spacing w:line="240" w:lineRule="exact"/>
        <w:rPr>
          <w:rFonts w:ascii="Verdana" w:hAnsi="Verdana" w:eastAsia="Calibri"/>
          <w:kern w:val="2"/>
          <w:sz w:val="18"/>
          <w:szCs w:val="22"/>
          <w:lang w:eastAsia="en-US"/>
          <w14:ligatures w14:val="standardContextual"/>
        </w:rPr>
      </w:pPr>
    </w:p>
    <w:p w:rsidRPr="002309A3" w:rsidR="002309A3" w:rsidP="00DE2884" w:rsidRDefault="002309A3" w14:paraId="49F46AF5" w14:textId="14DA932B">
      <w:pPr>
        <w:spacing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De normen van </w:t>
      </w:r>
      <w:r w:rsidR="007E1716">
        <w:rPr>
          <w:rFonts w:ascii="Verdana" w:hAnsi="Verdana" w:eastAsia="Calibri"/>
          <w:kern w:val="2"/>
          <w:sz w:val="18"/>
          <w:szCs w:val="22"/>
          <w:lang w:eastAsia="en-US"/>
          <w14:ligatures w14:val="standardContextual"/>
        </w:rPr>
        <w:t>TFR</w:t>
      </w:r>
      <w:r w:rsidRPr="002309A3">
        <w:rPr>
          <w:rFonts w:ascii="Verdana" w:hAnsi="Verdana" w:eastAsia="Calibri"/>
          <w:kern w:val="2"/>
          <w:sz w:val="18"/>
          <w:szCs w:val="22"/>
          <w:lang w:eastAsia="en-US"/>
          <w14:ligatures w14:val="standardContextual"/>
        </w:rPr>
        <w:t xml:space="preserve"> vloeien voort uit de aanbevelingen van de FATF en deze aanbevelingen worden in veel andere jurisdicties die lid zijn van de FATF, waaronder verschillende derde landen, geïmplementeerd. </w:t>
      </w:r>
    </w:p>
    <w:p w:rsidRPr="002309A3" w:rsidR="002309A3" w:rsidP="00DE2884" w:rsidRDefault="002309A3" w14:paraId="40B81684" w14:textId="77777777">
      <w:pPr>
        <w:spacing w:line="240" w:lineRule="exact"/>
        <w:rPr>
          <w:rFonts w:ascii="Verdana" w:hAnsi="Verdana" w:eastAsia="Calibri"/>
          <w:i/>
          <w:iCs/>
          <w:kern w:val="2"/>
          <w:sz w:val="18"/>
          <w:szCs w:val="22"/>
          <w:lang w:eastAsia="en-US"/>
          <w14:ligatures w14:val="standardContextual"/>
        </w:rPr>
      </w:pPr>
    </w:p>
    <w:p w:rsidRPr="002309A3" w:rsidR="002309A3" w:rsidP="00DE2884" w:rsidRDefault="002309A3" w14:paraId="714493CD" w14:textId="77777777">
      <w:pPr>
        <w:spacing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De leden van de GroenLinks-PvdA-fractie vragen </w:t>
      </w:r>
      <w:proofErr w:type="gramStart"/>
      <w:r w:rsidRPr="002309A3">
        <w:rPr>
          <w:rFonts w:ascii="Verdana" w:hAnsi="Verdana" w:eastAsia="Calibri"/>
          <w:i/>
          <w:iCs/>
          <w:kern w:val="2"/>
          <w:sz w:val="18"/>
          <w:szCs w:val="22"/>
          <w:lang w:eastAsia="en-US"/>
          <w14:ligatures w14:val="standardContextual"/>
        </w:rPr>
        <w:t>tevens</w:t>
      </w:r>
      <w:proofErr w:type="gramEnd"/>
      <w:r w:rsidRPr="002309A3">
        <w:rPr>
          <w:rFonts w:ascii="Verdana" w:hAnsi="Verdana" w:eastAsia="Calibri"/>
          <w:i/>
          <w:iCs/>
          <w:kern w:val="2"/>
          <w:sz w:val="18"/>
          <w:szCs w:val="22"/>
          <w:lang w:eastAsia="en-US"/>
          <w14:ligatures w14:val="standardContextual"/>
        </w:rPr>
        <w:t xml:space="preserve"> welk risico op </w:t>
      </w:r>
      <w:proofErr w:type="spellStart"/>
      <w:r w:rsidRPr="002309A3">
        <w:rPr>
          <w:rFonts w:ascii="Verdana" w:hAnsi="Verdana" w:eastAsia="Calibri"/>
          <w:i/>
          <w:iCs/>
          <w:kern w:val="2"/>
          <w:sz w:val="18"/>
          <w:szCs w:val="22"/>
          <w:lang w:eastAsia="en-US"/>
          <w14:ligatures w14:val="standardContextual"/>
        </w:rPr>
        <w:t>smurfing</w:t>
      </w:r>
      <w:proofErr w:type="spellEnd"/>
      <w:r w:rsidRPr="002309A3">
        <w:rPr>
          <w:rFonts w:ascii="Verdana" w:hAnsi="Verdana" w:eastAsia="Calibri"/>
          <w:i/>
          <w:iCs/>
          <w:kern w:val="2"/>
          <w:sz w:val="18"/>
          <w:szCs w:val="22"/>
          <w:lang w:eastAsia="en-US"/>
          <w14:ligatures w14:val="standardContextual"/>
        </w:rPr>
        <w:t xml:space="preserve"> er specifiek is bij geldovermakingen van en naar </w:t>
      </w:r>
      <w:proofErr w:type="spellStart"/>
      <w:r w:rsidRPr="002309A3">
        <w:rPr>
          <w:rFonts w:ascii="Verdana" w:hAnsi="Verdana" w:eastAsia="Calibri"/>
          <w:i/>
          <w:iCs/>
          <w:kern w:val="2"/>
          <w:sz w:val="18"/>
          <w:szCs w:val="22"/>
          <w:lang w:eastAsia="en-US"/>
          <w14:ligatures w14:val="standardContextual"/>
        </w:rPr>
        <w:t>self-hosted</w:t>
      </w:r>
      <w:proofErr w:type="spellEnd"/>
      <w:r w:rsidRPr="002309A3">
        <w:rPr>
          <w:rFonts w:ascii="Verdana" w:hAnsi="Verdana" w:eastAsia="Calibri"/>
          <w:i/>
          <w:iCs/>
          <w:kern w:val="2"/>
          <w:sz w:val="18"/>
          <w:szCs w:val="22"/>
          <w:lang w:eastAsia="en-US"/>
          <w14:ligatures w14:val="standardContextual"/>
        </w:rPr>
        <w:t xml:space="preserve"> </w:t>
      </w:r>
      <w:proofErr w:type="spellStart"/>
      <w:r w:rsidRPr="002309A3">
        <w:rPr>
          <w:rFonts w:ascii="Verdana" w:hAnsi="Verdana" w:eastAsia="Calibri"/>
          <w:i/>
          <w:iCs/>
          <w:kern w:val="2"/>
          <w:sz w:val="18"/>
          <w:szCs w:val="22"/>
          <w:lang w:eastAsia="en-US"/>
          <w14:ligatures w14:val="standardContextual"/>
        </w:rPr>
        <w:t>wallets</w:t>
      </w:r>
      <w:proofErr w:type="spellEnd"/>
      <w:r w:rsidRPr="002309A3">
        <w:rPr>
          <w:rFonts w:ascii="Verdana" w:hAnsi="Verdana" w:eastAsia="Calibri"/>
          <w:i/>
          <w:iCs/>
          <w:kern w:val="2"/>
          <w:sz w:val="18"/>
          <w:szCs w:val="22"/>
          <w:lang w:eastAsia="en-US"/>
          <w14:ligatures w14:val="standardContextual"/>
        </w:rPr>
        <w:t xml:space="preserve"> (omdat hier wel een minimumbedrag van 1.000 euro geldt). </w:t>
      </w:r>
    </w:p>
    <w:p w:rsidRPr="002309A3" w:rsidR="002309A3" w:rsidP="00DE2884" w:rsidRDefault="002309A3" w14:paraId="6EE7151C" w14:textId="77777777">
      <w:pPr>
        <w:spacing w:line="240" w:lineRule="exact"/>
        <w:rPr>
          <w:rFonts w:ascii="Verdana" w:hAnsi="Verdana" w:eastAsia="Calibri"/>
          <w:kern w:val="2"/>
          <w:sz w:val="18"/>
          <w:szCs w:val="22"/>
          <w:lang w:eastAsia="en-US"/>
          <w14:ligatures w14:val="standardContextual"/>
        </w:rPr>
      </w:pPr>
    </w:p>
    <w:p w:rsidRPr="002309A3" w:rsidR="002309A3" w:rsidP="00DE2884" w:rsidRDefault="002309A3" w14:paraId="51FF91F0" w14:textId="3D7FB9A0">
      <w:pPr>
        <w:spacing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In het geval van </w:t>
      </w:r>
      <w:proofErr w:type="spellStart"/>
      <w:r w:rsidRPr="002309A3">
        <w:rPr>
          <w:rFonts w:ascii="Verdana" w:hAnsi="Verdana" w:eastAsia="Calibri"/>
          <w:kern w:val="2"/>
          <w:sz w:val="18"/>
          <w:szCs w:val="22"/>
          <w:lang w:eastAsia="en-US"/>
          <w14:ligatures w14:val="standardContextual"/>
        </w:rPr>
        <w:t>smurfing</w:t>
      </w:r>
      <w:proofErr w:type="spellEnd"/>
      <w:r w:rsidRPr="002309A3">
        <w:rPr>
          <w:rFonts w:ascii="Verdana" w:hAnsi="Verdana" w:eastAsia="Calibri"/>
          <w:kern w:val="2"/>
          <w:sz w:val="18"/>
          <w:szCs w:val="22"/>
          <w:lang w:eastAsia="en-US"/>
          <w14:ligatures w14:val="standardContextual"/>
        </w:rPr>
        <w:t xml:space="preserve"> wordt het te witwassen bedrag opgeknipt in kleinere bedragen en verspreid naar verschillende rekeningen. Op deze manier proberen criminelen onder de wettelijke rapportagelimieten te blijven en daarmee detectie te voorkomen. </w:t>
      </w:r>
      <w:proofErr w:type="spellStart"/>
      <w:r w:rsidRPr="002309A3">
        <w:rPr>
          <w:rFonts w:ascii="Verdana" w:hAnsi="Verdana" w:eastAsia="Calibri"/>
          <w:kern w:val="2"/>
          <w:sz w:val="18"/>
          <w:szCs w:val="22"/>
          <w:lang w:eastAsia="en-US"/>
          <w14:ligatures w14:val="standardContextual"/>
        </w:rPr>
        <w:t>Zelfgehoste</w:t>
      </w:r>
      <w:proofErr w:type="spellEnd"/>
      <w:r w:rsidRPr="002309A3">
        <w:rPr>
          <w:rFonts w:ascii="Verdana" w:hAnsi="Verdana" w:eastAsia="Calibri"/>
          <w:kern w:val="2"/>
          <w:sz w:val="18"/>
          <w:szCs w:val="22"/>
          <w:lang w:eastAsia="en-US"/>
          <w14:ligatures w14:val="standardContextual"/>
        </w:rPr>
        <w:t xml:space="preserve"> </w:t>
      </w:r>
      <w:proofErr w:type="spellStart"/>
      <w:r w:rsidRPr="002309A3">
        <w:rPr>
          <w:rFonts w:ascii="Verdana" w:hAnsi="Verdana" w:eastAsia="Calibri"/>
          <w:kern w:val="2"/>
          <w:sz w:val="18"/>
          <w:szCs w:val="22"/>
          <w:lang w:eastAsia="en-US"/>
          <w14:ligatures w14:val="standardContextual"/>
        </w:rPr>
        <w:t>bewaarportemonees</w:t>
      </w:r>
      <w:proofErr w:type="spellEnd"/>
      <w:r w:rsidRPr="002309A3">
        <w:rPr>
          <w:rFonts w:ascii="Verdana" w:hAnsi="Verdana" w:eastAsia="Calibri"/>
          <w:kern w:val="2"/>
          <w:sz w:val="18"/>
          <w:szCs w:val="22"/>
          <w:lang w:eastAsia="en-US"/>
          <w14:ligatures w14:val="standardContextual"/>
        </w:rPr>
        <w:t xml:space="preserve"> worden volledig beheerd door een gebruiker. </w:t>
      </w:r>
      <w:r w:rsidRPr="002309A3" w:rsidR="002D58D7">
        <w:rPr>
          <w:rFonts w:ascii="Verdana" w:hAnsi="Verdana" w:eastAsia="Calibri"/>
          <w:kern w:val="2"/>
          <w:sz w:val="18"/>
          <w:szCs w:val="22"/>
          <w:lang w:eastAsia="en-US"/>
          <w14:ligatures w14:val="standardContextual"/>
        </w:rPr>
        <w:t xml:space="preserve">Hierdoor zijn transacties van een naar een dergelijk </w:t>
      </w:r>
      <w:proofErr w:type="spellStart"/>
      <w:r w:rsidRPr="002309A3" w:rsidR="002D58D7">
        <w:rPr>
          <w:rFonts w:ascii="Verdana" w:hAnsi="Verdana" w:eastAsia="Calibri"/>
          <w:kern w:val="2"/>
          <w:sz w:val="18"/>
          <w:szCs w:val="22"/>
          <w:lang w:eastAsia="en-US"/>
          <w14:ligatures w14:val="standardContextual"/>
        </w:rPr>
        <w:t>zelfgehost</w:t>
      </w:r>
      <w:proofErr w:type="spellEnd"/>
      <w:r w:rsidRPr="002309A3" w:rsidR="002D58D7">
        <w:rPr>
          <w:rFonts w:ascii="Verdana" w:hAnsi="Verdana" w:eastAsia="Calibri"/>
          <w:kern w:val="2"/>
          <w:sz w:val="18"/>
          <w:szCs w:val="22"/>
          <w:lang w:eastAsia="en-US"/>
          <w14:ligatures w14:val="standardContextual"/>
        </w:rPr>
        <w:t xml:space="preserve"> adres lastiger te achterhalen</w:t>
      </w:r>
      <w:r w:rsidR="002D58D7">
        <w:rPr>
          <w:rFonts w:ascii="Verdana" w:hAnsi="Verdana" w:eastAsia="Calibri"/>
          <w:kern w:val="2"/>
          <w:sz w:val="18"/>
          <w:szCs w:val="22"/>
          <w:lang w:eastAsia="en-US"/>
          <w14:ligatures w14:val="standardContextual"/>
        </w:rPr>
        <w:t xml:space="preserve">. </w:t>
      </w:r>
      <w:r w:rsidRPr="002309A3" w:rsidR="002D58D7">
        <w:rPr>
          <w:rFonts w:ascii="Verdana" w:hAnsi="Verdana" w:eastAsia="Calibri"/>
          <w:kern w:val="2"/>
          <w:sz w:val="18"/>
          <w:szCs w:val="22"/>
          <w:lang w:eastAsia="en-US"/>
          <w14:ligatures w14:val="standardContextual"/>
        </w:rPr>
        <w:t xml:space="preserve">Daar waar het gaat om een </w:t>
      </w:r>
      <w:proofErr w:type="spellStart"/>
      <w:r w:rsidRPr="002309A3" w:rsidR="002D58D7">
        <w:rPr>
          <w:rFonts w:ascii="Verdana" w:hAnsi="Verdana" w:eastAsia="Calibri"/>
          <w:kern w:val="2"/>
          <w:sz w:val="18"/>
          <w:szCs w:val="22"/>
          <w:lang w:eastAsia="en-US"/>
          <w14:ligatures w14:val="standardContextual"/>
        </w:rPr>
        <w:t>zelfgehost</w:t>
      </w:r>
      <w:proofErr w:type="spellEnd"/>
      <w:r w:rsidRPr="002309A3" w:rsidR="002D58D7">
        <w:rPr>
          <w:rFonts w:ascii="Verdana" w:hAnsi="Verdana" w:eastAsia="Calibri"/>
          <w:kern w:val="2"/>
          <w:sz w:val="18"/>
          <w:szCs w:val="22"/>
          <w:lang w:eastAsia="en-US"/>
          <w14:ligatures w14:val="standardContextual"/>
        </w:rPr>
        <w:t xml:space="preserve"> adres is </w:t>
      </w:r>
      <w:r w:rsidR="00850FED">
        <w:rPr>
          <w:rFonts w:ascii="Verdana" w:hAnsi="Verdana" w:eastAsia="Calibri"/>
          <w:kern w:val="2"/>
          <w:sz w:val="18"/>
          <w:szCs w:val="22"/>
          <w:lang w:eastAsia="en-US"/>
          <w14:ligatures w14:val="standardContextual"/>
        </w:rPr>
        <w:t xml:space="preserve">er </w:t>
      </w:r>
      <w:proofErr w:type="gramStart"/>
      <w:r w:rsidR="00850FED">
        <w:rPr>
          <w:rFonts w:ascii="Verdana" w:hAnsi="Verdana" w:eastAsia="Calibri"/>
          <w:kern w:val="2"/>
          <w:sz w:val="18"/>
          <w:szCs w:val="22"/>
          <w:lang w:eastAsia="en-US"/>
          <w14:ligatures w14:val="standardContextual"/>
        </w:rPr>
        <w:t>desalniettemin</w:t>
      </w:r>
      <w:proofErr w:type="gramEnd"/>
      <w:r w:rsidR="00850FED">
        <w:rPr>
          <w:rFonts w:ascii="Verdana" w:hAnsi="Verdana" w:eastAsia="Calibri"/>
          <w:kern w:val="2"/>
          <w:sz w:val="18"/>
          <w:szCs w:val="22"/>
          <w:lang w:eastAsia="en-US"/>
          <w14:ligatures w14:val="standardContextual"/>
        </w:rPr>
        <w:t xml:space="preserve"> </w:t>
      </w:r>
      <w:r w:rsidRPr="002309A3" w:rsidR="002D58D7">
        <w:rPr>
          <w:rFonts w:ascii="Verdana" w:hAnsi="Verdana" w:eastAsia="Calibri"/>
          <w:kern w:val="2"/>
          <w:sz w:val="18"/>
          <w:szCs w:val="22"/>
          <w:lang w:eastAsia="en-US"/>
          <w14:ligatures w14:val="standardContextual"/>
        </w:rPr>
        <w:t>een grensbedrag van 1000 euro ingevoerd</w:t>
      </w:r>
      <w:r w:rsidR="002D58D7">
        <w:rPr>
          <w:rFonts w:ascii="Verdana" w:hAnsi="Verdana" w:eastAsia="Calibri"/>
          <w:kern w:val="2"/>
          <w:sz w:val="18"/>
          <w:szCs w:val="22"/>
          <w:lang w:eastAsia="en-US"/>
          <w14:ligatures w14:val="standardContextual"/>
        </w:rPr>
        <w:t>. Deze grens is getrokken</w:t>
      </w:r>
      <w:r w:rsidRPr="002309A3" w:rsidR="002D58D7">
        <w:rPr>
          <w:rFonts w:ascii="Verdana" w:hAnsi="Verdana" w:eastAsia="Calibri"/>
          <w:kern w:val="2"/>
          <w:sz w:val="18"/>
          <w:szCs w:val="22"/>
          <w:lang w:eastAsia="en-US"/>
          <w14:ligatures w14:val="standardContextual"/>
        </w:rPr>
        <w:t xml:space="preserve"> om </w:t>
      </w:r>
      <w:r w:rsidR="002D58D7">
        <w:rPr>
          <w:rFonts w:ascii="Verdana" w:hAnsi="Verdana" w:eastAsia="Calibri"/>
          <w:kern w:val="2"/>
          <w:sz w:val="18"/>
          <w:szCs w:val="22"/>
          <w:lang w:eastAsia="en-US"/>
          <w14:ligatures w14:val="standardContextual"/>
        </w:rPr>
        <w:t xml:space="preserve">enerzijds </w:t>
      </w:r>
      <w:r w:rsidRPr="002309A3" w:rsidR="002D58D7">
        <w:rPr>
          <w:rFonts w:ascii="Verdana" w:hAnsi="Verdana" w:eastAsia="Calibri"/>
          <w:kern w:val="2"/>
          <w:sz w:val="18"/>
          <w:szCs w:val="22"/>
          <w:lang w:eastAsia="en-US"/>
          <w14:ligatures w14:val="standardContextual"/>
        </w:rPr>
        <w:t xml:space="preserve">de doeltreffendheid van betalingssystemen niet te ondergraven en </w:t>
      </w:r>
      <w:r w:rsidR="002D58D7">
        <w:rPr>
          <w:rFonts w:ascii="Verdana" w:hAnsi="Verdana" w:eastAsia="Calibri"/>
          <w:kern w:val="2"/>
          <w:sz w:val="18"/>
          <w:szCs w:val="22"/>
          <w:lang w:eastAsia="en-US"/>
          <w14:ligatures w14:val="standardContextual"/>
        </w:rPr>
        <w:t>anderzijds om</w:t>
      </w:r>
      <w:r w:rsidRPr="002309A3" w:rsidR="002D58D7">
        <w:rPr>
          <w:rFonts w:ascii="Verdana" w:hAnsi="Verdana" w:eastAsia="Calibri"/>
          <w:kern w:val="2"/>
          <w:sz w:val="18"/>
          <w:szCs w:val="22"/>
          <w:lang w:eastAsia="en-US"/>
          <w14:ligatures w14:val="standardContextual"/>
        </w:rPr>
        <w:t xml:space="preserve"> de potentiële dreiging die van kleine geldovermakingen uitgaat </w:t>
      </w:r>
      <w:r w:rsidR="002D58D7">
        <w:rPr>
          <w:rFonts w:ascii="Verdana" w:hAnsi="Verdana" w:eastAsia="Calibri"/>
          <w:kern w:val="2"/>
          <w:sz w:val="18"/>
          <w:szCs w:val="22"/>
          <w:lang w:eastAsia="en-US"/>
          <w14:ligatures w14:val="standardContextual"/>
        </w:rPr>
        <w:t xml:space="preserve">te ondervangen. </w:t>
      </w:r>
      <w:r w:rsidR="00850FED">
        <w:rPr>
          <w:rFonts w:ascii="Verdana" w:hAnsi="Verdana" w:eastAsia="Calibri"/>
          <w:kern w:val="2"/>
          <w:sz w:val="18"/>
          <w:szCs w:val="22"/>
          <w:lang w:eastAsia="en-US"/>
          <w14:ligatures w14:val="standardContextual"/>
        </w:rPr>
        <w:t xml:space="preserve">Daarnaast zou het de facto onmogelijk worden om nog transacties van of naar </w:t>
      </w:r>
      <w:proofErr w:type="spellStart"/>
      <w:r w:rsidR="00850FED">
        <w:rPr>
          <w:rFonts w:ascii="Verdana" w:hAnsi="Verdana" w:eastAsia="Calibri"/>
          <w:kern w:val="2"/>
          <w:sz w:val="18"/>
          <w:szCs w:val="22"/>
          <w:lang w:eastAsia="en-US"/>
          <w14:ligatures w14:val="standardContextual"/>
        </w:rPr>
        <w:t>zelfgehoste</w:t>
      </w:r>
      <w:proofErr w:type="spellEnd"/>
      <w:r w:rsidR="00850FED">
        <w:rPr>
          <w:rFonts w:ascii="Verdana" w:hAnsi="Verdana" w:eastAsia="Calibri"/>
          <w:kern w:val="2"/>
          <w:sz w:val="18"/>
          <w:szCs w:val="22"/>
          <w:lang w:eastAsia="en-US"/>
          <w14:ligatures w14:val="standardContextual"/>
        </w:rPr>
        <w:t xml:space="preserve"> adressen te sturen, ook als het gaat om legitiem gebruik. Dit wordt ondervangen door extra eisen aan</w:t>
      </w:r>
      <w:r w:rsidRPr="002309A3">
        <w:rPr>
          <w:rFonts w:ascii="Verdana" w:hAnsi="Verdana" w:eastAsia="Calibri"/>
          <w:kern w:val="2"/>
          <w:sz w:val="18"/>
          <w:szCs w:val="22"/>
          <w:lang w:eastAsia="en-US"/>
          <w14:ligatures w14:val="standardContextual"/>
        </w:rPr>
        <w:t xml:space="preserve"> aanbieders van </w:t>
      </w:r>
      <w:proofErr w:type="spellStart"/>
      <w:r w:rsidRPr="002309A3">
        <w:rPr>
          <w:rFonts w:ascii="Verdana" w:hAnsi="Verdana" w:eastAsia="Calibri"/>
          <w:kern w:val="2"/>
          <w:sz w:val="18"/>
          <w:szCs w:val="22"/>
          <w:lang w:eastAsia="en-US"/>
          <w14:ligatures w14:val="standardContextual"/>
        </w:rPr>
        <w:t>cryptoactivadiensten</w:t>
      </w:r>
      <w:proofErr w:type="spellEnd"/>
      <w:r w:rsidR="00850FED">
        <w:rPr>
          <w:rFonts w:ascii="Verdana" w:hAnsi="Verdana" w:eastAsia="Calibri"/>
          <w:kern w:val="2"/>
          <w:sz w:val="18"/>
          <w:szCs w:val="22"/>
          <w:lang w:eastAsia="en-US"/>
          <w14:ligatures w14:val="standardContextual"/>
        </w:rPr>
        <w:t xml:space="preserve"> om</w:t>
      </w:r>
      <w:r w:rsidRPr="002309A3">
        <w:rPr>
          <w:rFonts w:ascii="Verdana" w:hAnsi="Verdana" w:eastAsia="Calibri"/>
          <w:kern w:val="2"/>
          <w:sz w:val="18"/>
          <w:szCs w:val="22"/>
          <w:lang w:eastAsia="en-US"/>
          <w14:ligatures w14:val="standardContextual"/>
        </w:rPr>
        <w:t xml:space="preserve">, in aanvulling op de standaard cliëntenonderzoeksmaatregelen, te beschikken over interne beleidsregels, procedures en controles om het risico op het witwassen van geld en terrorismefinanciering vast te stellen en te beoordelen bij overdrachten van cryptoactiva naar of vanuit een </w:t>
      </w:r>
      <w:proofErr w:type="spellStart"/>
      <w:r w:rsidRPr="002309A3">
        <w:rPr>
          <w:rFonts w:ascii="Verdana" w:hAnsi="Verdana" w:eastAsia="Calibri"/>
          <w:kern w:val="2"/>
          <w:sz w:val="18"/>
          <w:szCs w:val="22"/>
          <w:lang w:eastAsia="en-US"/>
          <w14:ligatures w14:val="standardContextual"/>
        </w:rPr>
        <w:t>zelfgehost</w:t>
      </w:r>
      <w:proofErr w:type="spellEnd"/>
      <w:r w:rsidRPr="002309A3">
        <w:rPr>
          <w:rFonts w:ascii="Verdana" w:hAnsi="Verdana" w:eastAsia="Calibri"/>
          <w:kern w:val="2"/>
          <w:sz w:val="18"/>
          <w:szCs w:val="22"/>
          <w:lang w:eastAsia="en-US"/>
          <w14:ligatures w14:val="standardContextual"/>
        </w:rPr>
        <w:t xml:space="preserve"> adres. Zo moet de </w:t>
      </w:r>
      <w:proofErr w:type="spellStart"/>
      <w:r w:rsidRPr="002309A3">
        <w:rPr>
          <w:rFonts w:ascii="Verdana" w:hAnsi="Verdana" w:eastAsia="Calibri"/>
          <w:kern w:val="2"/>
          <w:sz w:val="18"/>
          <w:szCs w:val="22"/>
          <w:lang w:eastAsia="en-US"/>
          <w14:ligatures w14:val="standardContextual"/>
        </w:rPr>
        <w:t>cryptoactivadienstve</w:t>
      </w:r>
      <w:r w:rsidR="00EC7A86">
        <w:rPr>
          <w:rFonts w:ascii="Verdana" w:hAnsi="Verdana" w:eastAsia="Calibri"/>
          <w:kern w:val="2"/>
          <w:sz w:val="18"/>
          <w:szCs w:val="22"/>
          <w:lang w:eastAsia="en-US"/>
          <w14:ligatures w14:val="standardContextual"/>
        </w:rPr>
        <w:t>rlener</w:t>
      </w:r>
      <w:proofErr w:type="spellEnd"/>
      <w:r w:rsidRPr="002309A3">
        <w:rPr>
          <w:rFonts w:ascii="Verdana" w:hAnsi="Verdana" w:eastAsia="Calibri"/>
          <w:kern w:val="2"/>
          <w:sz w:val="18"/>
          <w:szCs w:val="22"/>
          <w:lang w:eastAsia="en-US"/>
          <w14:ligatures w14:val="standardContextual"/>
        </w:rPr>
        <w:t xml:space="preserve"> die de transactie faciliteert nagaan of dat </w:t>
      </w:r>
      <w:proofErr w:type="spellStart"/>
      <w:r w:rsidRPr="002309A3">
        <w:rPr>
          <w:rFonts w:ascii="Verdana" w:hAnsi="Verdana" w:eastAsia="Calibri"/>
          <w:kern w:val="2"/>
          <w:sz w:val="18"/>
          <w:szCs w:val="22"/>
          <w:lang w:eastAsia="en-US"/>
          <w14:ligatures w14:val="standardContextual"/>
        </w:rPr>
        <w:t>zelfgehoste</w:t>
      </w:r>
      <w:proofErr w:type="spellEnd"/>
      <w:r w:rsidRPr="002309A3">
        <w:rPr>
          <w:rFonts w:ascii="Verdana" w:hAnsi="Verdana" w:eastAsia="Calibri"/>
          <w:kern w:val="2"/>
          <w:sz w:val="18"/>
          <w:szCs w:val="22"/>
          <w:lang w:eastAsia="en-US"/>
          <w14:ligatures w14:val="standardContextual"/>
        </w:rPr>
        <w:t xml:space="preserve"> adres daadwerkelijk eigendom is van die cliënt of daadwerkelijk onder diens zeggenschap staat. Ook dienen er risicobeperkende maatregelen worden getroffen die in verhouding staan tot de vastgestelde risico’s. Deze </w:t>
      </w:r>
      <w:r w:rsidRPr="002309A3">
        <w:rPr>
          <w:rFonts w:ascii="Verdana" w:hAnsi="Verdana" w:eastAsia="Calibri"/>
          <w:kern w:val="2"/>
          <w:sz w:val="18"/>
          <w:szCs w:val="22"/>
          <w:lang w:eastAsia="en-US"/>
          <w14:ligatures w14:val="standardContextual"/>
        </w:rPr>
        <w:lastRenderedPageBreak/>
        <w:t xml:space="preserve">verplichtingen dragen bij aan de mitigatie van de risico’s daar waar het gaat om de overdracht van en/of naar </w:t>
      </w:r>
      <w:proofErr w:type="spellStart"/>
      <w:r w:rsidRPr="002309A3">
        <w:rPr>
          <w:rFonts w:ascii="Verdana" w:hAnsi="Verdana" w:eastAsia="Calibri"/>
          <w:kern w:val="2"/>
          <w:sz w:val="18"/>
          <w:szCs w:val="22"/>
          <w:lang w:eastAsia="en-US"/>
          <w14:ligatures w14:val="standardContextual"/>
        </w:rPr>
        <w:t>zelfgehoste</w:t>
      </w:r>
      <w:proofErr w:type="spellEnd"/>
      <w:r w:rsidRPr="002309A3">
        <w:rPr>
          <w:rFonts w:ascii="Verdana" w:hAnsi="Verdana" w:eastAsia="Calibri"/>
          <w:kern w:val="2"/>
          <w:sz w:val="18"/>
          <w:szCs w:val="22"/>
          <w:lang w:eastAsia="en-US"/>
          <w14:ligatures w14:val="standardContextual"/>
        </w:rPr>
        <w:t xml:space="preserve"> </w:t>
      </w:r>
      <w:proofErr w:type="spellStart"/>
      <w:r w:rsidRPr="002309A3">
        <w:rPr>
          <w:rFonts w:ascii="Verdana" w:hAnsi="Verdana" w:eastAsia="Calibri"/>
          <w:kern w:val="2"/>
          <w:sz w:val="18"/>
          <w:szCs w:val="22"/>
          <w:lang w:eastAsia="en-US"/>
          <w14:ligatures w14:val="standardContextual"/>
        </w:rPr>
        <w:t>bewaarportemonees</w:t>
      </w:r>
      <w:proofErr w:type="spellEnd"/>
      <w:r w:rsidRPr="002309A3">
        <w:rPr>
          <w:rFonts w:ascii="Verdana" w:hAnsi="Verdana" w:eastAsia="Calibri"/>
          <w:kern w:val="2"/>
          <w:sz w:val="18"/>
          <w:szCs w:val="22"/>
          <w:lang w:eastAsia="en-US"/>
          <w14:ligatures w14:val="standardContextual"/>
        </w:rPr>
        <w:t xml:space="preserve">. </w:t>
      </w:r>
    </w:p>
    <w:p w:rsidRPr="002309A3" w:rsidR="002309A3" w:rsidP="00DE2884" w:rsidRDefault="002309A3" w14:paraId="548E890A" w14:textId="77777777">
      <w:pPr>
        <w:spacing w:line="240" w:lineRule="exact"/>
        <w:rPr>
          <w:rFonts w:ascii="Verdana" w:hAnsi="Verdana" w:eastAsia="Calibri"/>
          <w:kern w:val="2"/>
          <w:sz w:val="18"/>
          <w:szCs w:val="22"/>
          <w:lang w:eastAsia="en-US"/>
          <w14:ligatures w14:val="standardContextual"/>
        </w:rPr>
      </w:pPr>
    </w:p>
    <w:p w:rsidRPr="002309A3" w:rsidR="002309A3" w:rsidP="00DE2884" w:rsidRDefault="002309A3" w14:paraId="7B2C3133" w14:textId="77777777">
      <w:pPr>
        <w:spacing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De leden van de NSC-fractie vragen of de TFR-verordening ook leidt tot een wijziging van de Sanctiewet. Zo ja, welke?</w:t>
      </w:r>
    </w:p>
    <w:p w:rsidRPr="002309A3" w:rsidR="002309A3" w:rsidP="00DE2884" w:rsidRDefault="002309A3" w14:paraId="6968794C" w14:textId="77777777">
      <w:pPr>
        <w:spacing w:line="240" w:lineRule="exact"/>
        <w:rPr>
          <w:rFonts w:ascii="Verdana" w:hAnsi="Verdana" w:eastAsia="Calibri"/>
          <w:i/>
          <w:iCs/>
          <w:kern w:val="2"/>
          <w:sz w:val="18"/>
          <w:szCs w:val="22"/>
          <w:lang w:eastAsia="en-US"/>
          <w14:ligatures w14:val="standardContextual"/>
        </w:rPr>
      </w:pPr>
    </w:p>
    <w:p w:rsidR="00691F30" w:rsidP="00DE2884" w:rsidRDefault="00691F30" w14:paraId="25953CA3" w14:textId="1FF6ABBB">
      <w:pPr>
        <w:spacing w:after="160" w:line="240" w:lineRule="exact"/>
        <w:rPr>
          <w:rFonts w:ascii="Verdana" w:hAnsi="Verdana" w:eastAsia="Calibri"/>
          <w:kern w:val="2"/>
          <w:sz w:val="18"/>
          <w:szCs w:val="22"/>
          <w:lang w:eastAsia="en-US"/>
          <w14:ligatures w14:val="standardContextual"/>
        </w:rPr>
      </w:pPr>
      <w:r w:rsidRPr="00691F30">
        <w:rPr>
          <w:rFonts w:ascii="Verdana" w:hAnsi="Verdana" w:eastAsia="Calibri"/>
          <w:kern w:val="2"/>
          <w:sz w:val="18"/>
          <w:szCs w:val="22"/>
          <w:lang w:eastAsia="en-US"/>
          <w14:ligatures w14:val="standardContextual"/>
        </w:rPr>
        <w:t xml:space="preserve">Met </w:t>
      </w:r>
      <w:r>
        <w:rPr>
          <w:rFonts w:ascii="Verdana" w:hAnsi="Verdana" w:eastAsia="Calibri"/>
          <w:kern w:val="2"/>
          <w:sz w:val="18"/>
          <w:szCs w:val="22"/>
          <w:lang w:eastAsia="en-US"/>
          <w14:ligatures w14:val="standardContextual"/>
        </w:rPr>
        <w:t>de Uitvoeringswet</w:t>
      </w:r>
      <w:r w:rsidRPr="00691F30">
        <w:rPr>
          <w:rFonts w:ascii="Verdana" w:hAnsi="Verdana" w:eastAsia="Calibri"/>
          <w:kern w:val="2"/>
          <w:sz w:val="18"/>
          <w:szCs w:val="22"/>
          <w:lang w:eastAsia="en-US"/>
          <w14:ligatures w14:val="standardContextual"/>
        </w:rPr>
        <w:t xml:space="preserve"> worden de partijen die gehouden zijn aan afdeling 5 van de Sanctiewet 1977 uitgebreid naar alle aanbieders van </w:t>
      </w:r>
      <w:proofErr w:type="spellStart"/>
      <w:r w:rsidRPr="00691F30">
        <w:rPr>
          <w:rFonts w:ascii="Verdana" w:hAnsi="Verdana" w:eastAsia="Calibri"/>
          <w:kern w:val="2"/>
          <w:sz w:val="18"/>
          <w:szCs w:val="22"/>
          <w:lang w:eastAsia="en-US"/>
          <w14:ligatures w14:val="standardContextual"/>
        </w:rPr>
        <w:t>cryptoactivadiensten</w:t>
      </w:r>
      <w:proofErr w:type="spellEnd"/>
      <w:r w:rsidRPr="00691F30">
        <w:rPr>
          <w:rFonts w:ascii="Verdana" w:hAnsi="Verdana" w:eastAsia="Calibri"/>
          <w:kern w:val="2"/>
          <w:sz w:val="18"/>
          <w:szCs w:val="22"/>
          <w:lang w:eastAsia="en-US"/>
          <w14:ligatures w14:val="standardContextual"/>
        </w:rPr>
        <w:t xml:space="preserve"> waarop de </w:t>
      </w:r>
      <w:proofErr w:type="spellStart"/>
      <w:r w:rsidRPr="00691F30">
        <w:rPr>
          <w:rFonts w:ascii="Verdana" w:hAnsi="Verdana" w:eastAsia="Calibri"/>
          <w:kern w:val="2"/>
          <w:sz w:val="18"/>
          <w:szCs w:val="22"/>
          <w:lang w:eastAsia="en-US"/>
          <w14:ligatures w14:val="standardContextual"/>
        </w:rPr>
        <w:t>Wwft</w:t>
      </w:r>
      <w:proofErr w:type="spellEnd"/>
      <w:r w:rsidRPr="00691F30">
        <w:rPr>
          <w:rFonts w:ascii="Verdana" w:hAnsi="Verdana" w:eastAsia="Calibri"/>
          <w:kern w:val="2"/>
          <w:sz w:val="18"/>
          <w:szCs w:val="22"/>
          <w:lang w:eastAsia="en-US"/>
          <w14:ligatures w14:val="standardContextual"/>
        </w:rPr>
        <w:t xml:space="preserve"> van toepassing is, waar voorheen afdeling 5 van Sanctiewet 1977 enkel van toepassing was op aanbieders van diensten voor het wisselen tussen virtuele valuta en fiduciaire valuta en van bewaarportemonnees.</w:t>
      </w:r>
      <w:r w:rsidR="00850FED">
        <w:rPr>
          <w:rFonts w:ascii="Verdana" w:hAnsi="Verdana" w:eastAsia="Calibri"/>
          <w:kern w:val="2"/>
          <w:sz w:val="18"/>
          <w:szCs w:val="22"/>
          <w:lang w:eastAsia="en-US"/>
          <w14:ligatures w14:val="standardContextual"/>
        </w:rPr>
        <w:t xml:space="preserve"> Hiermee wordt ervoor gezorgd dat er ook eenduidig wetgevend kader blijft bestaan voor </w:t>
      </w:r>
      <w:proofErr w:type="spellStart"/>
      <w:r w:rsidR="00850FED">
        <w:rPr>
          <w:rFonts w:ascii="Verdana" w:hAnsi="Verdana" w:eastAsia="Calibri"/>
          <w:kern w:val="2"/>
          <w:sz w:val="18"/>
          <w:szCs w:val="22"/>
          <w:lang w:eastAsia="en-US"/>
          <w14:ligatures w14:val="standardContextual"/>
        </w:rPr>
        <w:t>cryptoactivadienstverleners</w:t>
      </w:r>
      <w:proofErr w:type="spellEnd"/>
      <w:r w:rsidR="00850FED">
        <w:rPr>
          <w:rFonts w:ascii="Verdana" w:hAnsi="Verdana" w:eastAsia="Calibri"/>
          <w:kern w:val="2"/>
          <w:sz w:val="18"/>
          <w:szCs w:val="22"/>
          <w:lang w:eastAsia="en-US"/>
          <w14:ligatures w14:val="standardContextual"/>
        </w:rPr>
        <w:t xml:space="preserve"> ten aanzien van de sanctiewetgeving. Daarnaast worden </w:t>
      </w:r>
      <w:proofErr w:type="spellStart"/>
      <w:r w:rsidR="00850FED">
        <w:rPr>
          <w:rFonts w:ascii="Verdana" w:hAnsi="Verdana" w:eastAsia="Calibri"/>
          <w:kern w:val="2"/>
          <w:sz w:val="18"/>
          <w:szCs w:val="22"/>
          <w:lang w:eastAsia="en-US"/>
          <w14:ligatures w14:val="standardContextual"/>
        </w:rPr>
        <w:t>cryptoactivadienstverleners</w:t>
      </w:r>
      <w:proofErr w:type="spellEnd"/>
      <w:r w:rsidR="00850FED">
        <w:rPr>
          <w:rFonts w:ascii="Verdana" w:hAnsi="Verdana" w:eastAsia="Calibri"/>
          <w:kern w:val="2"/>
          <w:sz w:val="18"/>
          <w:szCs w:val="22"/>
          <w:lang w:eastAsia="en-US"/>
          <w14:ligatures w14:val="standardContextual"/>
        </w:rPr>
        <w:t xml:space="preserve"> ook meegenomen in de door het kabinet aangekondigde herziening van de sanctiewetgeving.</w:t>
      </w:r>
    </w:p>
    <w:p w:rsidRPr="002309A3" w:rsidR="002309A3" w:rsidP="00DE2884" w:rsidRDefault="000D0603" w14:paraId="3819AEA8" w14:textId="6E9C4572">
      <w:pPr>
        <w:spacing w:after="160" w:line="240" w:lineRule="exact"/>
        <w:rPr>
          <w:rFonts w:ascii="Verdana" w:hAnsi="Verdana" w:eastAsia="Calibri"/>
          <w:b/>
          <w:bCs/>
          <w:i/>
          <w:iCs/>
          <w:kern w:val="2"/>
          <w:sz w:val="18"/>
          <w:szCs w:val="22"/>
          <w:lang w:eastAsia="en-US"/>
          <w14:ligatures w14:val="standardContextual"/>
        </w:rPr>
      </w:pPr>
      <w:r w:rsidRPr="000D0603">
        <w:rPr>
          <w:rFonts w:eastAsia="Calibri"/>
          <w:b/>
          <w:bCs/>
          <w:i/>
          <w:iCs/>
          <w:color w:val="211D1F"/>
          <w:szCs w:val="22"/>
          <w:lang w:eastAsia="en-US"/>
        </w:rPr>
        <w:t>§</w:t>
      </w:r>
      <w:r w:rsidRPr="000D0603">
        <w:rPr>
          <w:rFonts w:eastAsia="Calibri"/>
          <w:i/>
          <w:iCs/>
          <w:color w:val="211D1F"/>
          <w:szCs w:val="22"/>
          <w:lang w:eastAsia="en-US"/>
        </w:rPr>
        <w:t xml:space="preserve"> </w:t>
      </w:r>
      <w:r w:rsidRPr="002309A3" w:rsidR="002309A3">
        <w:rPr>
          <w:rFonts w:ascii="Verdana" w:hAnsi="Verdana" w:eastAsia="Calibri"/>
          <w:b/>
          <w:bCs/>
          <w:i/>
          <w:iCs/>
          <w:kern w:val="2"/>
          <w:sz w:val="18"/>
          <w:szCs w:val="22"/>
          <w:lang w:eastAsia="en-US"/>
          <w14:ligatures w14:val="standardContextual"/>
        </w:rPr>
        <w:t xml:space="preserve">4.2. </w:t>
      </w:r>
      <w:r w:rsidRPr="002309A3" w:rsidR="005A1AFB">
        <w:rPr>
          <w:rFonts w:ascii="Verdana" w:hAnsi="Verdana" w:eastAsia="Calibri"/>
          <w:b/>
          <w:bCs/>
          <w:i/>
          <w:iCs/>
          <w:kern w:val="2"/>
          <w:sz w:val="18"/>
          <w:szCs w:val="22"/>
          <w:lang w:eastAsia="en-US"/>
          <w14:ligatures w14:val="standardContextual"/>
        </w:rPr>
        <w:t>Verscherpt</w:t>
      </w:r>
      <w:r w:rsidRPr="002309A3" w:rsidR="002309A3">
        <w:rPr>
          <w:rFonts w:ascii="Verdana" w:hAnsi="Verdana" w:eastAsia="Calibri"/>
          <w:b/>
          <w:bCs/>
          <w:i/>
          <w:iCs/>
          <w:kern w:val="2"/>
          <w:sz w:val="18"/>
          <w:szCs w:val="22"/>
          <w:lang w:eastAsia="en-US"/>
          <w14:ligatures w14:val="standardContextual"/>
        </w:rPr>
        <w:t xml:space="preserve"> </w:t>
      </w:r>
      <w:r w:rsidRPr="002309A3" w:rsidR="00F457E5">
        <w:rPr>
          <w:rFonts w:ascii="Verdana" w:hAnsi="Verdana" w:eastAsia="Calibri"/>
          <w:b/>
          <w:bCs/>
          <w:i/>
          <w:iCs/>
          <w:kern w:val="2"/>
          <w:sz w:val="18"/>
          <w:szCs w:val="22"/>
          <w:lang w:eastAsia="en-US"/>
          <w14:ligatures w14:val="standardContextual"/>
        </w:rPr>
        <w:t>cliënten</w:t>
      </w:r>
      <w:r w:rsidRPr="002309A3" w:rsidR="002309A3">
        <w:rPr>
          <w:rFonts w:ascii="Verdana" w:hAnsi="Verdana" w:eastAsia="Calibri"/>
          <w:b/>
          <w:bCs/>
          <w:i/>
          <w:iCs/>
          <w:kern w:val="2"/>
          <w:sz w:val="18"/>
          <w:szCs w:val="22"/>
          <w:lang w:eastAsia="en-US"/>
          <w14:ligatures w14:val="standardContextual"/>
        </w:rPr>
        <w:t>onderzoek</w:t>
      </w:r>
    </w:p>
    <w:p w:rsidRPr="002309A3" w:rsidR="002309A3" w:rsidP="00DE2884" w:rsidRDefault="002309A3" w14:paraId="4C4E30BB"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De leden van de NSC-fractie vragen op welke manier betalingen binnen het criminele circuit hiermee blootgelegd kunnen worden. Hoe waarschijnlijk is het dat criminelen hun (echte) persoonsgegevens gaan opgeven bij een cryptotransactie?</w:t>
      </w:r>
    </w:p>
    <w:p w:rsidRPr="002309A3" w:rsidR="005A1AFB" w:rsidP="00DE2884" w:rsidRDefault="00950BAB" w14:paraId="6CB30626" w14:textId="39F65103">
      <w:pPr>
        <w:spacing w:after="160" w:line="240" w:lineRule="exact"/>
        <w:rPr>
          <w:rFonts w:ascii="Verdana" w:hAnsi="Verdana" w:eastAsia="Calibri"/>
          <w:kern w:val="2"/>
          <w:sz w:val="18"/>
          <w:szCs w:val="22"/>
          <w:lang w:eastAsia="en-US"/>
          <w14:ligatures w14:val="standardContextual"/>
        </w:rPr>
      </w:pPr>
      <w:r w:rsidRPr="007800B6">
        <w:rPr>
          <w:rFonts w:ascii="Verdana" w:hAnsi="Verdana" w:eastAsia="Calibri"/>
          <w:kern w:val="2"/>
          <w:sz w:val="18"/>
          <w:szCs w:val="22"/>
          <w:lang w:eastAsia="en-US"/>
          <w14:ligatures w14:val="standardContextual"/>
        </w:rPr>
        <w:t xml:space="preserve">Met de </w:t>
      </w:r>
      <w:r w:rsidR="00850FED">
        <w:rPr>
          <w:rFonts w:ascii="Verdana" w:hAnsi="Verdana" w:eastAsia="Calibri"/>
          <w:kern w:val="2"/>
          <w:sz w:val="18"/>
          <w:szCs w:val="22"/>
          <w:lang w:eastAsia="en-US"/>
          <w14:ligatures w14:val="standardContextual"/>
        </w:rPr>
        <w:t>implementatie</w:t>
      </w:r>
      <w:r w:rsidRPr="007800B6">
        <w:rPr>
          <w:rFonts w:ascii="Verdana" w:hAnsi="Verdana" w:eastAsia="Calibri"/>
          <w:kern w:val="2"/>
          <w:sz w:val="18"/>
          <w:szCs w:val="22"/>
          <w:lang w:eastAsia="en-US"/>
          <w14:ligatures w14:val="standardContextual"/>
        </w:rPr>
        <w:t xml:space="preserve"> van TFR komen </w:t>
      </w:r>
      <w:r w:rsidR="005A1AFB">
        <w:rPr>
          <w:rFonts w:ascii="Verdana" w:hAnsi="Verdana" w:eastAsia="Calibri"/>
          <w:kern w:val="2"/>
          <w:sz w:val="18"/>
          <w:szCs w:val="22"/>
          <w:lang w:eastAsia="en-US"/>
          <w14:ligatures w14:val="standardContextual"/>
        </w:rPr>
        <w:t xml:space="preserve">alle </w:t>
      </w:r>
      <w:proofErr w:type="spellStart"/>
      <w:r w:rsidRPr="007800B6">
        <w:rPr>
          <w:rFonts w:ascii="Verdana" w:hAnsi="Verdana" w:eastAsia="Calibri"/>
          <w:kern w:val="2"/>
          <w:sz w:val="18"/>
          <w:szCs w:val="22"/>
          <w:lang w:eastAsia="en-US"/>
          <w14:ligatures w14:val="standardContextual"/>
        </w:rPr>
        <w:t>cryptoactivadienstverleners</w:t>
      </w:r>
      <w:proofErr w:type="spellEnd"/>
      <w:r w:rsidRPr="007800B6">
        <w:rPr>
          <w:rFonts w:ascii="Verdana" w:hAnsi="Verdana" w:eastAsia="Calibri"/>
          <w:kern w:val="2"/>
          <w:sz w:val="18"/>
          <w:szCs w:val="22"/>
          <w:lang w:eastAsia="en-US"/>
          <w14:ligatures w14:val="standardContextual"/>
        </w:rPr>
        <w:t xml:space="preserve"> onder de</w:t>
      </w:r>
      <w:r w:rsidR="007800B6">
        <w:rPr>
          <w:rFonts w:ascii="Verdana" w:hAnsi="Verdana" w:eastAsia="Calibri"/>
          <w:kern w:val="2"/>
          <w:sz w:val="18"/>
          <w:szCs w:val="22"/>
          <w:lang w:eastAsia="en-US"/>
          <w14:ligatures w14:val="standardContextual"/>
        </w:rPr>
        <w:t xml:space="preserve"> </w:t>
      </w:r>
      <w:r w:rsidRPr="007800B6">
        <w:rPr>
          <w:rFonts w:ascii="Verdana" w:hAnsi="Verdana" w:eastAsia="Calibri"/>
          <w:kern w:val="2"/>
          <w:sz w:val="18"/>
          <w:szCs w:val="22"/>
          <w:lang w:eastAsia="en-US"/>
          <w14:ligatures w14:val="standardContextual"/>
        </w:rPr>
        <w:t xml:space="preserve">reikwijdte van de </w:t>
      </w:r>
      <w:proofErr w:type="spellStart"/>
      <w:r w:rsidRPr="007800B6">
        <w:rPr>
          <w:rFonts w:ascii="Verdana" w:hAnsi="Verdana" w:eastAsia="Calibri"/>
          <w:kern w:val="2"/>
          <w:sz w:val="18"/>
          <w:szCs w:val="22"/>
          <w:lang w:eastAsia="en-US"/>
          <w14:ligatures w14:val="standardContextual"/>
        </w:rPr>
        <w:t>Wwft</w:t>
      </w:r>
      <w:proofErr w:type="spellEnd"/>
      <w:r w:rsidRPr="007800B6">
        <w:rPr>
          <w:rFonts w:ascii="Verdana" w:hAnsi="Verdana" w:eastAsia="Calibri"/>
          <w:kern w:val="2"/>
          <w:sz w:val="18"/>
          <w:szCs w:val="22"/>
          <w:lang w:eastAsia="en-US"/>
          <w14:ligatures w14:val="standardContextual"/>
        </w:rPr>
        <w:t xml:space="preserve">. Dit betekent onder andere dat deze instellingen cliëntenonderzoek moeten doen. In een cliëntenonderzoek </w:t>
      </w:r>
      <w:r w:rsidR="005A1AFB">
        <w:rPr>
          <w:rFonts w:ascii="Verdana" w:hAnsi="Verdana" w:eastAsia="Calibri"/>
          <w:kern w:val="2"/>
          <w:sz w:val="18"/>
          <w:szCs w:val="22"/>
          <w:lang w:eastAsia="en-US"/>
          <w14:ligatures w14:val="standardContextual"/>
        </w:rPr>
        <w:t xml:space="preserve">moet de instelling de identiteit van hu klant vaststellen en </w:t>
      </w:r>
      <w:r w:rsidRPr="007800B6">
        <w:rPr>
          <w:rFonts w:ascii="Verdana" w:hAnsi="Verdana" w:eastAsia="Calibri"/>
          <w:kern w:val="2"/>
          <w:sz w:val="18"/>
          <w:szCs w:val="22"/>
          <w:lang w:eastAsia="en-US"/>
          <w14:ligatures w14:val="standardContextual"/>
        </w:rPr>
        <w:t xml:space="preserve">kijkt een instelling of er risico’s zijn dat een klant geld witwast of helpt om </w:t>
      </w:r>
      <w:r w:rsidRPr="007800B6" w:rsidR="008C215A">
        <w:rPr>
          <w:rFonts w:ascii="Verdana" w:hAnsi="Verdana" w:eastAsia="Calibri"/>
          <w:kern w:val="2"/>
          <w:sz w:val="18"/>
          <w:szCs w:val="22"/>
          <w:lang w:eastAsia="en-US"/>
          <w14:ligatures w14:val="standardContextual"/>
        </w:rPr>
        <w:t>terrorisme</w:t>
      </w:r>
      <w:r w:rsidRPr="007800B6">
        <w:rPr>
          <w:rFonts w:ascii="Verdana" w:hAnsi="Verdana" w:eastAsia="Calibri"/>
          <w:kern w:val="2"/>
          <w:sz w:val="18"/>
          <w:szCs w:val="22"/>
          <w:lang w:eastAsia="en-US"/>
          <w14:ligatures w14:val="standardContextual"/>
        </w:rPr>
        <w:t xml:space="preserve"> te financieren. </w:t>
      </w:r>
      <w:r w:rsidRPr="007800B6" w:rsidR="005A1AFB">
        <w:rPr>
          <w:rFonts w:ascii="Verdana" w:hAnsi="Verdana" w:eastAsia="Calibri"/>
          <w:kern w:val="2"/>
          <w:sz w:val="18"/>
          <w:szCs w:val="22"/>
          <w:lang w:eastAsia="en-US"/>
          <w14:ligatures w14:val="standardContextual"/>
        </w:rPr>
        <w:t xml:space="preserve">Wanneer de </w:t>
      </w:r>
      <w:proofErr w:type="spellStart"/>
      <w:r w:rsidRPr="007800B6" w:rsidR="005A1AFB">
        <w:rPr>
          <w:rFonts w:ascii="Verdana" w:hAnsi="Verdana" w:eastAsia="Calibri"/>
          <w:kern w:val="2"/>
          <w:sz w:val="18"/>
          <w:szCs w:val="22"/>
          <w:lang w:eastAsia="en-US"/>
          <w14:ligatures w14:val="standardContextual"/>
        </w:rPr>
        <w:t>cryptoactivadienstverlener</w:t>
      </w:r>
      <w:proofErr w:type="spellEnd"/>
      <w:r w:rsidRPr="007800B6" w:rsidR="005A1AFB">
        <w:rPr>
          <w:rFonts w:ascii="Verdana" w:hAnsi="Verdana" w:eastAsia="Calibri"/>
          <w:kern w:val="2"/>
          <w:sz w:val="18"/>
          <w:szCs w:val="22"/>
          <w:lang w:eastAsia="en-US"/>
          <w14:ligatures w14:val="standardContextual"/>
        </w:rPr>
        <w:t xml:space="preserve"> die een </w:t>
      </w:r>
      <w:proofErr w:type="spellStart"/>
      <w:r w:rsidRPr="007800B6" w:rsidR="005A1AFB">
        <w:rPr>
          <w:rFonts w:ascii="Verdana" w:hAnsi="Verdana" w:eastAsia="Calibri"/>
          <w:kern w:val="2"/>
          <w:sz w:val="18"/>
          <w:szCs w:val="22"/>
          <w:lang w:eastAsia="en-US"/>
          <w14:ligatures w14:val="standardContextual"/>
        </w:rPr>
        <w:t>crypto</w:t>
      </w:r>
      <w:r w:rsidR="00850FED">
        <w:rPr>
          <w:rFonts w:ascii="Verdana" w:hAnsi="Verdana" w:eastAsia="Calibri"/>
          <w:kern w:val="2"/>
          <w:sz w:val="18"/>
          <w:szCs w:val="22"/>
          <w:lang w:eastAsia="en-US"/>
          <w14:ligatures w14:val="standardContextual"/>
        </w:rPr>
        <w:t>activa</w:t>
      </w:r>
      <w:r w:rsidRPr="007800B6" w:rsidR="005A1AFB">
        <w:rPr>
          <w:rFonts w:ascii="Verdana" w:hAnsi="Verdana" w:eastAsia="Calibri"/>
          <w:kern w:val="2"/>
          <w:sz w:val="18"/>
          <w:szCs w:val="22"/>
          <w:lang w:eastAsia="en-US"/>
          <w14:ligatures w14:val="standardContextual"/>
        </w:rPr>
        <w:t>transactie</w:t>
      </w:r>
      <w:proofErr w:type="spellEnd"/>
      <w:r w:rsidRPr="007800B6" w:rsidR="005A1AFB">
        <w:rPr>
          <w:rFonts w:ascii="Verdana" w:hAnsi="Verdana" w:eastAsia="Calibri"/>
          <w:kern w:val="2"/>
          <w:sz w:val="18"/>
          <w:szCs w:val="22"/>
          <w:lang w:eastAsia="en-US"/>
          <w14:ligatures w14:val="standardContextual"/>
        </w:rPr>
        <w:t xml:space="preserve"> faciliteert niet alle benodigde informatie heeft </w:t>
      </w:r>
      <w:r w:rsidR="005A1AFB">
        <w:rPr>
          <w:rFonts w:ascii="Verdana" w:hAnsi="Verdana" w:eastAsia="Calibri"/>
          <w:kern w:val="2"/>
          <w:sz w:val="18"/>
          <w:szCs w:val="22"/>
          <w:lang w:eastAsia="en-US"/>
          <w14:ligatures w14:val="standardContextual"/>
        </w:rPr>
        <w:t xml:space="preserve">ontvangen </w:t>
      </w:r>
      <w:r w:rsidRPr="007800B6" w:rsidR="005A1AFB">
        <w:rPr>
          <w:rFonts w:ascii="Verdana" w:hAnsi="Verdana" w:eastAsia="Calibri"/>
          <w:kern w:val="2"/>
          <w:sz w:val="18"/>
          <w:szCs w:val="22"/>
          <w:lang w:eastAsia="en-US"/>
          <w14:ligatures w14:val="standardContextual"/>
        </w:rPr>
        <w:t>en de risico’s niet goed kan beoordelen, of deze te hoog vindt, zou de transactie opgeschort kunnen worden of helemaal niet plaatsvinden.</w:t>
      </w:r>
      <w:r w:rsidR="005A1AFB">
        <w:rPr>
          <w:rFonts w:ascii="Verdana" w:hAnsi="Verdana" w:eastAsia="Calibri"/>
          <w:kern w:val="2"/>
          <w:sz w:val="18"/>
          <w:szCs w:val="22"/>
          <w:lang w:eastAsia="en-US"/>
          <w14:ligatures w14:val="standardContextual"/>
        </w:rPr>
        <w:t xml:space="preserve"> Dit geldt ook als er (mogelijk) sprake is van het opgeven van valse persoonsgegevens. Als </w:t>
      </w:r>
      <w:proofErr w:type="spellStart"/>
      <w:r w:rsidR="005A1AFB">
        <w:rPr>
          <w:rFonts w:ascii="Verdana" w:hAnsi="Verdana" w:eastAsia="Calibri"/>
          <w:kern w:val="2"/>
          <w:sz w:val="18"/>
          <w:szCs w:val="22"/>
          <w:lang w:eastAsia="en-US"/>
          <w14:ligatures w14:val="standardContextual"/>
        </w:rPr>
        <w:t>cryptoactivadienstverleners</w:t>
      </w:r>
      <w:proofErr w:type="spellEnd"/>
      <w:r w:rsidR="005A1AFB">
        <w:rPr>
          <w:rFonts w:ascii="Verdana" w:hAnsi="Verdana" w:eastAsia="Calibri"/>
          <w:kern w:val="2"/>
          <w:sz w:val="18"/>
          <w:szCs w:val="22"/>
          <w:lang w:eastAsia="en-US"/>
          <w14:ligatures w14:val="standardContextual"/>
        </w:rPr>
        <w:t xml:space="preserve"> hun processen voor het cliëntonderzoek goed op orde hebben, zou het risico op het verlenen van diensten op basis van valse persoonsgegevens beperkt moeten zijn. Dit neemt niet weg dat malafide partijen altijd op zoek zullen zijn naar mogelijkheden om de regels te ontwijken. Daarom is het van belang dat cryptodienstverleners hun zaken op orde hebben en dat er goed toezicht op ze wordt gehouden.</w:t>
      </w:r>
    </w:p>
    <w:p w:rsidRPr="002309A3" w:rsidR="002309A3" w:rsidP="00DE2884" w:rsidRDefault="00D67F03" w14:paraId="7F04F8AC" w14:textId="1EE082C4">
      <w:pPr>
        <w:spacing w:after="160" w:line="240" w:lineRule="exact"/>
        <w:rPr>
          <w:rFonts w:ascii="Verdana" w:hAnsi="Verdana" w:eastAsia="Calibri"/>
          <w:b/>
          <w:bCs/>
          <w:i/>
          <w:iCs/>
          <w:kern w:val="2"/>
          <w:sz w:val="18"/>
          <w:szCs w:val="18"/>
          <w:lang w:eastAsia="en-US"/>
          <w14:ligatures w14:val="standardContextual"/>
        </w:rPr>
      </w:pPr>
      <w:r w:rsidRPr="00D67F03">
        <w:rPr>
          <w:rFonts w:eastAsia="Calibri"/>
          <w:b/>
          <w:bCs/>
          <w:i/>
          <w:iCs/>
          <w:color w:val="211D1F"/>
          <w:szCs w:val="22"/>
          <w:lang w:eastAsia="en-US"/>
        </w:rPr>
        <w:t>§</w:t>
      </w:r>
      <w:r>
        <w:rPr>
          <w:rFonts w:eastAsia="Calibri"/>
          <w:i/>
          <w:iCs/>
          <w:color w:val="211D1F"/>
          <w:szCs w:val="22"/>
          <w:lang w:eastAsia="en-US"/>
        </w:rPr>
        <w:t xml:space="preserve"> </w:t>
      </w:r>
      <w:r w:rsidRPr="002309A3" w:rsidR="002309A3">
        <w:rPr>
          <w:rFonts w:ascii="Verdana" w:hAnsi="Verdana" w:eastAsia="Calibri"/>
          <w:b/>
          <w:bCs/>
          <w:i/>
          <w:iCs/>
          <w:kern w:val="2"/>
          <w:sz w:val="18"/>
          <w:szCs w:val="18"/>
          <w:lang w:eastAsia="en-US"/>
          <w14:ligatures w14:val="standardContextual"/>
        </w:rPr>
        <w:t>4.4. Toezichthoudende autoriteiten</w:t>
      </w:r>
    </w:p>
    <w:p w:rsidR="00C14A53" w:rsidP="00DE2884" w:rsidRDefault="002309A3" w14:paraId="60115FCC" w14:textId="6828A807">
      <w:pPr>
        <w:spacing w:after="160" w:line="240" w:lineRule="exact"/>
        <w:rPr>
          <w:rFonts w:ascii="Verdana" w:hAnsi="Verdana" w:eastAsia="Calibri"/>
          <w:kern w:val="2"/>
          <w:sz w:val="18"/>
          <w:szCs w:val="18"/>
          <w:lang w:eastAsia="en-US"/>
          <w14:ligatures w14:val="standardContextual"/>
        </w:rPr>
      </w:pPr>
      <w:bookmarkStart w:name="_Hlk168673580" w:id="0"/>
      <w:r w:rsidRPr="002309A3">
        <w:rPr>
          <w:rFonts w:ascii="Verdana" w:hAnsi="Verdana"/>
          <w:i/>
          <w:iCs/>
          <w:sz w:val="18"/>
          <w:szCs w:val="18"/>
        </w:rPr>
        <w:t>De leden van de NSC-fractie vragen hoe de handhaving en naleving van de TFR-verordening geregeld gaat worden. Kan de regering een nadere toelichting geven op de gevolgen van het wetsvoorstel voor de toezichtcapaciteit van De Nederlandsche Bank (DNB) en de Autoriteit Financiële Markten (AFM)?</w:t>
      </w:r>
    </w:p>
    <w:p w:rsidR="00422AC2" w:rsidP="00DE2884" w:rsidRDefault="00C14A53" w14:paraId="42955087" w14:textId="21627A92">
      <w:pPr>
        <w:spacing w:after="160" w:line="240" w:lineRule="exact"/>
        <w:rPr>
          <w:rFonts w:ascii="Verdana" w:hAnsi="Verdana" w:eastAsia="Calibri"/>
          <w:kern w:val="2"/>
          <w:sz w:val="18"/>
          <w:szCs w:val="18"/>
          <w:lang w:eastAsia="en-US"/>
          <w14:ligatures w14:val="standardContextual"/>
        </w:rPr>
      </w:pPr>
      <w:r>
        <w:rPr>
          <w:rFonts w:ascii="Verdana" w:hAnsi="Verdana" w:eastAsia="Calibri"/>
          <w:kern w:val="2"/>
          <w:sz w:val="18"/>
          <w:szCs w:val="18"/>
          <w:lang w:eastAsia="en-US"/>
          <w14:ligatures w14:val="standardContextual"/>
        </w:rPr>
        <w:t>TFR</w:t>
      </w:r>
      <w:r w:rsidRPr="00C14A53">
        <w:rPr>
          <w:rFonts w:ascii="Verdana" w:hAnsi="Verdana" w:eastAsia="Calibri"/>
          <w:kern w:val="2"/>
          <w:sz w:val="18"/>
          <w:szCs w:val="18"/>
          <w:lang w:eastAsia="en-US"/>
          <w14:ligatures w14:val="standardContextual"/>
        </w:rPr>
        <w:t xml:space="preserve"> </w:t>
      </w:r>
      <w:r w:rsidR="005A1AFB">
        <w:rPr>
          <w:rFonts w:ascii="Verdana" w:hAnsi="Verdana" w:eastAsia="Calibri"/>
          <w:kern w:val="2"/>
          <w:sz w:val="18"/>
          <w:szCs w:val="18"/>
          <w:lang w:eastAsia="en-US"/>
          <w14:ligatures w14:val="standardContextual"/>
        </w:rPr>
        <w:t xml:space="preserve">is een herziening van de bestaande </w:t>
      </w:r>
      <w:proofErr w:type="spellStart"/>
      <w:r w:rsidRPr="00C14A53">
        <w:rPr>
          <w:rFonts w:ascii="Verdana" w:hAnsi="Verdana" w:eastAsia="Calibri"/>
          <w:kern w:val="2"/>
          <w:sz w:val="18"/>
          <w:szCs w:val="18"/>
          <w:lang w:eastAsia="en-US"/>
          <w14:ligatures w14:val="standardContextual"/>
        </w:rPr>
        <w:t>Wire</w:t>
      </w:r>
      <w:proofErr w:type="spellEnd"/>
      <w:r w:rsidRPr="00C14A53">
        <w:rPr>
          <w:rFonts w:ascii="Verdana" w:hAnsi="Verdana" w:eastAsia="Calibri"/>
          <w:kern w:val="2"/>
          <w:sz w:val="18"/>
          <w:szCs w:val="18"/>
          <w:lang w:eastAsia="en-US"/>
          <w14:ligatures w14:val="standardContextual"/>
        </w:rPr>
        <w:t xml:space="preserve"> Transfer </w:t>
      </w:r>
      <w:proofErr w:type="spellStart"/>
      <w:r w:rsidRPr="00C14A53">
        <w:rPr>
          <w:rFonts w:ascii="Verdana" w:hAnsi="Verdana" w:eastAsia="Calibri"/>
          <w:kern w:val="2"/>
          <w:sz w:val="18"/>
          <w:szCs w:val="18"/>
          <w:lang w:eastAsia="en-US"/>
          <w14:ligatures w14:val="standardContextual"/>
        </w:rPr>
        <w:t>Regulation</w:t>
      </w:r>
      <w:proofErr w:type="spellEnd"/>
      <w:r w:rsidRPr="00C14A53">
        <w:rPr>
          <w:rFonts w:ascii="Verdana" w:hAnsi="Verdana" w:eastAsia="Calibri"/>
          <w:kern w:val="2"/>
          <w:sz w:val="18"/>
          <w:szCs w:val="18"/>
          <w:lang w:eastAsia="en-US"/>
          <w14:ligatures w14:val="standardContextual"/>
        </w:rPr>
        <w:t xml:space="preserve"> (WTR2)</w:t>
      </w:r>
      <w:r w:rsidR="001B1B3A">
        <w:rPr>
          <w:rFonts w:ascii="Verdana" w:hAnsi="Verdana" w:eastAsia="Calibri"/>
          <w:kern w:val="2"/>
          <w:sz w:val="18"/>
          <w:szCs w:val="18"/>
          <w:lang w:eastAsia="en-US"/>
          <w14:ligatures w14:val="standardContextual"/>
        </w:rPr>
        <w:t xml:space="preserve">. </w:t>
      </w:r>
      <w:r w:rsidRPr="00C14A53" w:rsidR="001B1B3A">
        <w:rPr>
          <w:rFonts w:ascii="Verdana" w:hAnsi="Verdana" w:eastAsia="Calibri"/>
          <w:kern w:val="2"/>
          <w:sz w:val="18"/>
          <w:szCs w:val="18"/>
          <w:lang w:eastAsia="en-US"/>
          <w14:ligatures w14:val="standardContextual"/>
        </w:rPr>
        <w:t xml:space="preserve">De WTR2 </w:t>
      </w:r>
      <w:r w:rsidR="005A1AFB">
        <w:rPr>
          <w:rFonts w:ascii="Verdana" w:hAnsi="Verdana" w:eastAsia="Calibri"/>
          <w:kern w:val="2"/>
          <w:sz w:val="18"/>
          <w:szCs w:val="18"/>
          <w:lang w:eastAsia="en-US"/>
          <w14:ligatures w14:val="standardContextual"/>
        </w:rPr>
        <w:t xml:space="preserve">bevatte </w:t>
      </w:r>
      <w:proofErr w:type="gramStart"/>
      <w:r w:rsidR="005A1AFB">
        <w:rPr>
          <w:rFonts w:ascii="Verdana" w:hAnsi="Verdana" w:eastAsia="Calibri"/>
          <w:kern w:val="2"/>
          <w:sz w:val="18"/>
          <w:szCs w:val="18"/>
          <w:lang w:eastAsia="en-US"/>
          <w14:ligatures w14:val="standardContextual"/>
        </w:rPr>
        <w:t>reeds</w:t>
      </w:r>
      <w:proofErr w:type="gramEnd"/>
      <w:r w:rsidRPr="00C14A53" w:rsidR="001B1B3A">
        <w:rPr>
          <w:rFonts w:ascii="Verdana" w:hAnsi="Verdana" w:eastAsia="Calibri"/>
          <w:kern w:val="2"/>
          <w:sz w:val="18"/>
          <w:szCs w:val="18"/>
          <w:lang w:eastAsia="en-US"/>
          <w14:ligatures w14:val="standardContextual"/>
        </w:rPr>
        <w:t xml:space="preserve"> verplichtingen ten aanzien van het vastleggen</w:t>
      </w:r>
      <w:r w:rsidR="00D63401">
        <w:rPr>
          <w:rFonts w:ascii="Verdana" w:hAnsi="Verdana" w:eastAsia="Calibri"/>
          <w:kern w:val="2"/>
          <w:sz w:val="18"/>
          <w:szCs w:val="18"/>
          <w:lang w:eastAsia="en-US"/>
          <w14:ligatures w14:val="standardContextual"/>
        </w:rPr>
        <w:t xml:space="preserve"> en uitwisselen</w:t>
      </w:r>
      <w:r w:rsidRPr="00C14A53" w:rsidR="001B1B3A">
        <w:rPr>
          <w:rFonts w:ascii="Verdana" w:hAnsi="Verdana" w:eastAsia="Calibri"/>
          <w:kern w:val="2"/>
          <w:sz w:val="18"/>
          <w:szCs w:val="18"/>
          <w:lang w:eastAsia="en-US"/>
          <w14:ligatures w14:val="standardContextual"/>
        </w:rPr>
        <w:t xml:space="preserve"> van informatie bij </w:t>
      </w:r>
      <w:r w:rsidR="00D63401">
        <w:rPr>
          <w:rFonts w:ascii="Verdana" w:hAnsi="Verdana" w:eastAsia="Calibri"/>
          <w:kern w:val="2"/>
          <w:sz w:val="18"/>
          <w:szCs w:val="18"/>
          <w:lang w:eastAsia="en-US"/>
          <w14:ligatures w14:val="standardContextual"/>
        </w:rPr>
        <w:t xml:space="preserve">girale </w:t>
      </w:r>
      <w:r w:rsidRPr="00C14A53" w:rsidR="001B1B3A">
        <w:rPr>
          <w:rFonts w:ascii="Verdana" w:hAnsi="Verdana" w:eastAsia="Calibri"/>
          <w:kern w:val="2"/>
          <w:sz w:val="18"/>
          <w:szCs w:val="18"/>
          <w:lang w:eastAsia="en-US"/>
          <w14:ligatures w14:val="standardContextual"/>
        </w:rPr>
        <w:t>geldovermakingen</w:t>
      </w:r>
      <w:r w:rsidR="00D63401">
        <w:rPr>
          <w:rFonts w:ascii="Verdana" w:hAnsi="Verdana" w:eastAsia="Calibri"/>
          <w:kern w:val="2"/>
          <w:sz w:val="18"/>
          <w:szCs w:val="18"/>
          <w:lang w:eastAsia="en-US"/>
          <w14:ligatures w14:val="standardContextual"/>
        </w:rPr>
        <w:t xml:space="preserve"> door banken en andere betaaldienstverleners</w:t>
      </w:r>
      <w:r w:rsidRPr="00C14A53" w:rsidR="001B1B3A">
        <w:rPr>
          <w:rFonts w:ascii="Verdana" w:hAnsi="Verdana" w:eastAsia="Calibri"/>
          <w:kern w:val="2"/>
          <w:sz w:val="18"/>
          <w:szCs w:val="18"/>
          <w:lang w:eastAsia="en-US"/>
          <w14:ligatures w14:val="standardContextual"/>
        </w:rPr>
        <w:t xml:space="preserve">. </w:t>
      </w:r>
      <w:r w:rsidR="00D63401">
        <w:rPr>
          <w:rFonts w:ascii="Verdana" w:hAnsi="Verdana" w:eastAsia="Calibri"/>
          <w:kern w:val="2"/>
          <w:sz w:val="18"/>
          <w:szCs w:val="18"/>
          <w:lang w:eastAsia="en-US"/>
          <w14:ligatures w14:val="standardContextual"/>
        </w:rPr>
        <w:t>Deze onderdelen worden niet gewijzigd in TFR en</w:t>
      </w:r>
      <w:r w:rsidRPr="00C14A53">
        <w:rPr>
          <w:rFonts w:ascii="Verdana" w:hAnsi="Verdana" w:eastAsia="Calibri"/>
          <w:kern w:val="2"/>
          <w:sz w:val="18"/>
          <w:szCs w:val="18"/>
          <w:lang w:eastAsia="en-US"/>
          <w14:ligatures w14:val="standardContextual"/>
        </w:rPr>
        <w:t xml:space="preserve"> </w:t>
      </w:r>
      <w:r w:rsidR="00D63401">
        <w:rPr>
          <w:rFonts w:ascii="Verdana" w:hAnsi="Verdana" w:eastAsia="Calibri"/>
          <w:kern w:val="2"/>
          <w:sz w:val="18"/>
          <w:szCs w:val="18"/>
          <w:lang w:eastAsia="en-US"/>
          <w14:ligatures w14:val="standardContextual"/>
        </w:rPr>
        <w:t>o</w:t>
      </w:r>
      <w:r w:rsidRPr="00C14A53">
        <w:rPr>
          <w:rFonts w:ascii="Verdana" w:hAnsi="Verdana" w:eastAsia="Calibri"/>
          <w:kern w:val="2"/>
          <w:sz w:val="18"/>
          <w:szCs w:val="18"/>
          <w:lang w:eastAsia="en-US"/>
          <w14:ligatures w14:val="standardContextual"/>
        </w:rPr>
        <w:t xml:space="preserve">p de naleving van deze verplichtingen wordt dus </w:t>
      </w:r>
      <w:r w:rsidR="00850FED">
        <w:rPr>
          <w:rFonts w:ascii="Verdana" w:hAnsi="Verdana" w:eastAsia="Calibri"/>
          <w:kern w:val="2"/>
          <w:sz w:val="18"/>
          <w:szCs w:val="18"/>
          <w:lang w:eastAsia="en-US"/>
          <w14:ligatures w14:val="standardContextual"/>
        </w:rPr>
        <w:t>al</w:t>
      </w:r>
      <w:r w:rsidRPr="00C14A53">
        <w:rPr>
          <w:rFonts w:ascii="Verdana" w:hAnsi="Verdana" w:eastAsia="Calibri"/>
          <w:kern w:val="2"/>
          <w:sz w:val="18"/>
          <w:szCs w:val="18"/>
          <w:lang w:eastAsia="en-US"/>
          <w14:ligatures w14:val="standardContextual"/>
        </w:rPr>
        <w:t xml:space="preserve"> toezicht gehouden.</w:t>
      </w:r>
      <w:r>
        <w:rPr>
          <w:rFonts w:ascii="Verdana" w:hAnsi="Verdana" w:eastAsia="Calibri"/>
          <w:kern w:val="2"/>
          <w:sz w:val="18"/>
          <w:szCs w:val="18"/>
          <w:lang w:eastAsia="en-US"/>
          <w14:ligatures w14:val="standardContextual"/>
        </w:rPr>
        <w:t xml:space="preserve"> </w:t>
      </w:r>
      <w:r w:rsidRPr="001B1B3A" w:rsidR="001B1B3A">
        <w:rPr>
          <w:rFonts w:ascii="Verdana" w:hAnsi="Verdana" w:eastAsia="Calibri"/>
          <w:kern w:val="2"/>
          <w:sz w:val="18"/>
          <w:szCs w:val="18"/>
          <w:lang w:eastAsia="en-US"/>
          <w14:ligatures w14:val="standardContextual"/>
        </w:rPr>
        <w:t xml:space="preserve">De meest materiele wijziging in TFR is dat </w:t>
      </w:r>
      <w:r w:rsidR="00850FED">
        <w:rPr>
          <w:rFonts w:ascii="Verdana" w:hAnsi="Verdana" w:eastAsia="Calibri"/>
          <w:kern w:val="2"/>
          <w:sz w:val="18"/>
          <w:szCs w:val="18"/>
          <w:lang w:eastAsia="en-US"/>
          <w14:ligatures w14:val="standardContextual"/>
        </w:rPr>
        <w:t xml:space="preserve">cryptoactiva en </w:t>
      </w:r>
      <w:r w:rsidRPr="001B1B3A" w:rsidR="001B1B3A">
        <w:rPr>
          <w:rFonts w:ascii="Verdana" w:hAnsi="Verdana" w:eastAsia="Calibri"/>
          <w:kern w:val="2"/>
          <w:sz w:val="18"/>
          <w:szCs w:val="18"/>
          <w:lang w:eastAsia="en-US"/>
          <w14:ligatures w14:val="standardContextual"/>
        </w:rPr>
        <w:t xml:space="preserve">cryptodienstverleners binnen de reikwijdte worden gebracht. </w:t>
      </w:r>
    </w:p>
    <w:p w:rsidRPr="002309A3" w:rsidR="00C14A53" w:rsidP="00DE2884" w:rsidRDefault="00C14A53" w14:paraId="2E548510" w14:textId="1FA10A14">
      <w:pPr>
        <w:spacing w:after="160" w:line="240" w:lineRule="exact"/>
        <w:rPr>
          <w:rFonts w:ascii="Verdana" w:hAnsi="Verdana" w:eastAsia="Calibri"/>
          <w:kern w:val="2"/>
          <w:sz w:val="18"/>
          <w:szCs w:val="18"/>
          <w:lang w:eastAsia="en-US"/>
          <w14:ligatures w14:val="standardContextual"/>
        </w:rPr>
      </w:pPr>
      <w:bookmarkStart w:name="_Hlk170373947" w:id="1"/>
      <w:r w:rsidRPr="006B5DD4">
        <w:rPr>
          <w:rFonts w:ascii="Verdana" w:hAnsi="Verdana" w:eastAsia="Calibri"/>
          <w:kern w:val="2"/>
          <w:sz w:val="18"/>
          <w:szCs w:val="18"/>
          <w:lang w:eastAsia="en-US"/>
          <w14:ligatures w14:val="standardContextual"/>
        </w:rPr>
        <w:t xml:space="preserve">Met de Uitvoeringswet wordt geregeld dat </w:t>
      </w:r>
      <w:r w:rsidRPr="006B5DD4" w:rsidR="00D63401">
        <w:rPr>
          <w:rFonts w:ascii="Verdana" w:hAnsi="Verdana" w:eastAsia="Calibri"/>
          <w:kern w:val="2"/>
          <w:sz w:val="18"/>
          <w:szCs w:val="18"/>
          <w:lang w:eastAsia="en-US"/>
          <w14:ligatures w14:val="standardContextual"/>
        </w:rPr>
        <w:t xml:space="preserve">de </w:t>
      </w:r>
      <w:r w:rsidRPr="006B5DD4">
        <w:rPr>
          <w:rFonts w:ascii="Verdana" w:hAnsi="Verdana" w:eastAsia="Calibri"/>
          <w:kern w:val="2"/>
          <w:sz w:val="18"/>
          <w:szCs w:val="18"/>
          <w:lang w:eastAsia="en-US"/>
          <w14:ligatures w14:val="standardContextual"/>
        </w:rPr>
        <w:t>bevoegdheid voor het toezicht op de naleving</w:t>
      </w:r>
      <w:r w:rsidRPr="006B5DD4" w:rsidR="0005214A">
        <w:rPr>
          <w:rFonts w:ascii="Verdana" w:hAnsi="Verdana" w:eastAsia="Calibri"/>
          <w:kern w:val="2"/>
          <w:sz w:val="18"/>
          <w:szCs w:val="18"/>
          <w:lang w:eastAsia="en-US"/>
          <w14:ligatures w14:val="standardContextual"/>
        </w:rPr>
        <w:t xml:space="preserve"> van TFR</w:t>
      </w:r>
      <w:r w:rsidRPr="006B5DD4">
        <w:rPr>
          <w:rFonts w:ascii="Verdana" w:hAnsi="Verdana" w:eastAsia="Calibri"/>
          <w:kern w:val="2"/>
          <w:sz w:val="18"/>
          <w:szCs w:val="18"/>
          <w:lang w:eastAsia="en-US"/>
          <w14:ligatures w14:val="standardContextual"/>
        </w:rPr>
        <w:t xml:space="preserve"> </w:t>
      </w:r>
      <w:r w:rsidRPr="006B5DD4" w:rsidR="00D63401">
        <w:rPr>
          <w:rFonts w:ascii="Verdana" w:hAnsi="Verdana" w:eastAsia="Calibri"/>
          <w:kern w:val="2"/>
          <w:sz w:val="18"/>
          <w:szCs w:val="18"/>
          <w:lang w:eastAsia="en-US"/>
          <w14:ligatures w14:val="standardContextual"/>
        </w:rPr>
        <w:t>toebedeeld wordt</w:t>
      </w:r>
      <w:r w:rsidRPr="006B5DD4">
        <w:rPr>
          <w:rFonts w:ascii="Verdana" w:hAnsi="Verdana" w:eastAsia="Calibri"/>
          <w:kern w:val="2"/>
          <w:sz w:val="18"/>
          <w:szCs w:val="18"/>
          <w:lang w:eastAsia="en-US"/>
          <w14:ligatures w14:val="standardContextual"/>
        </w:rPr>
        <w:t xml:space="preserve"> aan De Nederlandsche Bank (DNB) </w:t>
      </w:r>
      <w:proofErr w:type="gramStart"/>
      <w:r w:rsidRPr="006B5DD4">
        <w:rPr>
          <w:rFonts w:ascii="Verdana" w:hAnsi="Verdana" w:eastAsia="Calibri"/>
          <w:kern w:val="2"/>
          <w:sz w:val="18"/>
          <w:szCs w:val="18"/>
          <w:lang w:eastAsia="en-US"/>
          <w14:ligatures w14:val="standardContextual"/>
        </w:rPr>
        <w:t>indien</w:t>
      </w:r>
      <w:proofErr w:type="gramEnd"/>
      <w:r w:rsidRPr="006B5DD4">
        <w:rPr>
          <w:rFonts w:ascii="Verdana" w:hAnsi="Verdana" w:eastAsia="Calibri"/>
          <w:kern w:val="2"/>
          <w:sz w:val="18"/>
          <w:szCs w:val="18"/>
          <w:lang w:eastAsia="en-US"/>
          <w14:ligatures w14:val="standardContextual"/>
        </w:rPr>
        <w:t xml:space="preserve"> het gaat over </w:t>
      </w:r>
      <w:r w:rsidRPr="006B5DD4" w:rsidR="00422AC2">
        <w:rPr>
          <w:rFonts w:ascii="Verdana" w:hAnsi="Verdana" w:eastAsia="Calibri"/>
          <w:kern w:val="2"/>
          <w:sz w:val="18"/>
          <w:szCs w:val="18"/>
          <w:lang w:eastAsia="en-US"/>
          <w14:ligatures w14:val="standardContextual"/>
        </w:rPr>
        <w:t>de verplichtingen voor betalingsdienstaanbieders die voortvloeien uit de verordening</w:t>
      </w:r>
      <w:r w:rsidRPr="006B5DD4" w:rsidR="002B72FF">
        <w:rPr>
          <w:rFonts w:ascii="Verdana" w:hAnsi="Verdana" w:eastAsia="Calibri"/>
          <w:kern w:val="2"/>
          <w:sz w:val="18"/>
          <w:szCs w:val="18"/>
          <w:lang w:eastAsia="en-US"/>
          <w14:ligatures w14:val="standardContextual"/>
        </w:rPr>
        <w:t xml:space="preserve"> en op de verplichtingen uit de </w:t>
      </w:r>
      <w:proofErr w:type="spellStart"/>
      <w:r w:rsidRPr="006B5DD4" w:rsidR="002B72FF">
        <w:rPr>
          <w:rFonts w:ascii="Verdana" w:hAnsi="Verdana" w:eastAsia="Calibri"/>
          <w:kern w:val="2"/>
          <w:sz w:val="18"/>
          <w:szCs w:val="18"/>
          <w:lang w:eastAsia="en-US"/>
          <w14:ligatures w14:val="standardContextual"/>
        </w:rPr>
        <w:t>Wwft</w:t>
      </w:r>
      <w:proofErr w:type="spellEnd"/>
      <w:r w:rsidRPr="006B5DD4" w:rsidR="002B72FF">
        <w:rPr>
          <w:rFonts w:ascii="Verdana" w:hAnsi="Verdana" w:eastAsia="Calibri"/>
          <w:kern w:val="2"/>
          <w:sz w:val="18"/>
          <w:szCs w:val="18"/>
          <w:lang w:eastAsia="en-US"/>
          <w14:ligatures w14:val="standardContextual"/>
        </w:rPr>
        <w:t xml:space="preserve"> voor</w:t>
      </w:r>
      <w:r w:rsidR="00CC0C51">
        <w:rPr>
          <w:rFonts w:ascii="Verdana" w:hAnsi="Verdana" w:eastAsia="Calibri"/>
          <w:kern w:val="2"/>
          <w:sz w:val="18"/>
          <w:szCs w:val="18"/>
          <w:lang w:eastAsia="en-US"/>
          <w14:ligatures w14:val="standardContextual"/>
        </w:rPr>
        <w:t xml:space="preserve"> </w:t>
      </w:r>
      <w:r w:rsidRPr="006B5DD4" w:rsidR="002B72FF">
        <w:rPr>
          <w:rFonts w:ascii="Verdana" w:hAnsi="Verdana" w:eastAsia="Calibri"/>
          <w:kern w:val="2"/>
          <w:sz w:val="18"/>
          <w:szCs w:val="18"/>
          <w:lang w:eastAsia="en-US"/>
          <w14:ligatures w14:val="standardContextual"/>
        </w:rPr>
        <w:t xml:space="preserve">zover het </w:t>
      </w:r>
      <w:r w:rsidRPr="00CC0C51" w:rsidR="002B72FF">
        <w:rPr>
          <w:rFonts w:ascii="Verdana" w:hAnsi="Verdana" w:eastAsia="Calibri"/>
          <w:kern w:val="2"/>
          <w:sz w:val="18"/>
          <w:szCs w:val="18"/>
          <w:lang w:eastAsia="en-US"/>
          <w14:ligatures w14:val="standardContextual"/>
        </w:rPr>
        <w:t xml:space="preserve">een bank of </w:t>
      </w:r>
      <w:proofErr w:type="spellStart"/>
      <w:r w:rsidRPr="00CC0C51" w:rsidR="002B72FF">
        <w:rPr>
          <w:rFonts w:ascii="Verdana" w:hAnsi="Verdana" w:eastAsia="Calibri"/>
          <w:kern w:val="2"/>
          <w:sz w:val="18"/>
          <w:szCs w:val="18"/>
          <w:lang w:eastAsia="en-US"/>
          <w14:ligatures w14:val="standardContextual"/>
        </w:rPr>
        <w:t>elektronischgeldinstelling</w:t>
      </w:r>
      <w:proofErr w:type="spellEnd"/>
      <w:r w:rsidRPr="00CC0C51" w:rsidR="002B72FF">
        <w:rPr>
          <w:rFonts w:ascii="Verdana" w:hAnsi="Verdana" w:eastAsia="Calibri"/>
          <w:kern w:val="2"/>
          <w:sz w:val="18"/>
          <w:szCs w:val="18"/>
          <w:lang w:eastAsia="en-US"/>
          <w14:ligatures w14:val="standardContextual"/>
        </w:rPr>
        <w:t xml:space="preserve"> betreft die </w:t>
      </w:r>
      <w:proofErr w:type="spellStart"/>
      <w:r w:rsidRPr="00CC0C51" w:rsidR="002B72FF">
        <w:rPr>
          <w:rFonts w:ascii="Verdana" w:hAnsi="Verdana" w:eastAsia="Calibri"/>
          <w:kern w:val="2"/>
          <w:sz w:val="18"/>
          <w:szCs w:val="18"/>
          <w:lang w:eastAsia="en-US"/>
          <w14:ligatures w14:val="standardContextual"/>
        </w:rPr>
        <w:t>cryptoactivadiensten</w:t>
      </w:r>
      <w:proofErr w:type="spellEnd"/>
      <w:r w:rsidRPr="00CC0C51" w:rsidR="002B72FF">
        <w:rPr>
          <w:rFonts w:ascii="Verdana" w:hAnsi="Verdana" w:eastAsia="Calibri"/>
          <w:kern w:val="2"/>
          <w:sz w:val="18"/>
          <w:szCs w:val="18"/>
          <w:lang w:eastAsia="en-US"/>
          <w14:ligatures w14:val="standardContextual"/>
        </w:rPr>
        <w:t xml:space="preserve"> aanbiedt</w:t>
      </w:r>
      <w:r w:rsidRPr="006B5DD4" w:rsidR="00D63401">
        <w:rPr>
          <w:rFonts w:ascii="Verdana" w:hAnsi="Verdana" w:eastAsia="Calibri"/>
          <w:kern w:val="2"/>
          <w:sz w:val="18"/>
          <w:szCs w:val="18"/>
          <w:lang w:eastAsia="en-US"/>
          <w14:ligatures w14:val="standardContextual"/>
        </w:rPr>
        <w:t xml:space="preserve">. De </w:t>
      </w:r>
      <w:r w:rsidRPr="006B5DD4">
        <w:rPr>
          <w:rFonts w:ascii="Verdana" w:hAnsi="Verdana" w:eastAsia="Calibri"/>
          <w:kern w:val="2"/>
          <w:sz w:val="18"/>
          <w:szCs w:val="18"/>
          <w:lang w:eastAsia="en-US"/>
          <w14:ligatures w14:val="standardContextual"/>
        </w:rPr>
        <w:t xml:space="preserve">Autoriteit </w:t>
      </w:r>
      <w:r w:rsidRPr="006B5DD4" w:rsidR="00EC7A86">
        <w:rPr>
          <w:rFonts w:ascii="Verdana" w:hAnsi="Verdana" w:eastAsia="Calibri"/>
          <w:kern w:val="2"/>
          <w:sz w:val="18"/>
          <w:szCs w:val="18"/>
          <w:lang w:eastAsia="en-US"/>
          <w14:ligatures w14:val="standardContextual"/>
        </w:rPr>
        <w:t>Financiële</w:t>
      </w:r>
      <w:r w:rsidRPr="006B5DD4">
        <w:rPr>
          <w:rFonts w:ascii="Verdana" w:hAnsi="Verdana" w:eastAsia="Calibri"/>
          <w:kern w:val="2"/>
          <w:sz w:val="18"/>
          <w:szCs w:val="18"/>
          <w:lang w:eastAsia="en-US"/>
          <w14:ligatures w14:val="standardContextual"/>
        </w:rPr>
        <w:t xml:space="preserve"> Markten (AFM) </w:t>
      </w:r>
      <w:r w:rsidRPr="006B5DD4" w:rsidR="00D63401">
        <w:rPr>
          <w:rFonts w:ascii="Verdana" w:hAnsi="Verdana" w:eastAsia="Calibri"/>
          <w:kern w:val="2"/>
          <w:sz w:val="18"/>
          <w:szCs w:val="18"/>
          <w:lang w:eastAsia="en-US"/>
          <w14:ligatures w14:val="standardContextual"/>
        </w:rPr>
        <w:t xml:space="preserve">wordt aangewezen </w:t>
      </w:r>
      <w:r w:rsidRPr="006B5DD4">
        <w:rPr>
          <w:rFonts w:ascii="Verdana" w:hAnsi="Verdana" w:eastAsia="Calibri"/>
          <w:kern w:val="2"/>
          <w:sz w:val="18"/>
          <w:szCs w:val="18"/>
          <w:lang w:eastAsia="en-US"/>
          <w14:ligatures w14:val="standardContextual"/>
        </w:rPr>
        <w:t xml:space="preserve">waar het </w:t>
      </w:r>
      <w:r w:rsidRPr="006B5DD4">
        <w:rPr>
          <w:rFonts w:ascii="Verdana" w:hAnsi="Verdana" w:eastAsia="Calibri"/>
          <w:kern w:val="2"/>
          <w:sz w:val="18"/>
          <w:szCs w:val="18"/>
          <w:lang w:eastAsia="en-US"/>
          <w14:ligatures w14:val="standardContextual"/>
        </w:rPr>
        <w:lastRenderedPageBreak/>
        <w:t>gaat over</w:t>
      </w:r>
      <w:r w:rsidRPr="006B5DD4" w:rsidR="00422AC2">
        <w:rPr>
          <w:rFonts w:ascii="Verdana" w:hAnsi="Verdana" w:eastAsia="Calibri"/>
          <w:kern w:val="2"/>
          <w:sz w:val="18"/>
          <w:szCs w:val="18"/>
          <w:lang w:eastAsia="en-US"/>
          <w14:ligatures w14:val="standardContextual"/>
        </w:rPr>
        <w:t xml:space="preserve"> </w:t>
      </w:r>
      <w:r w:rsidRPr="00CC0C51" w:rsidR="00422AC2">
        <w:rPr>
          <w:rFonts w:ascii="Verdana" w:hAnsi="Verdana" w:eastAsia="Calibri"/>
          <w:kern w:val="2"/>
          <w:sz w:val="18"/>
          <w:szCs w:val="18"/>
          <w:lang w:eastAsia="en-US"/>
          <w14:ligatures w14:val="standardContextual"/>
        </w:rPr>
        <w:t xml:space="preserve">verplichtingen voor aanbieders van </w:t>
      </w:r>
      <w:proofErr w:type="spellStart"/>
      <w:r w:rsidRPr="00CC0C51" w:rsidR="00422AC2">
        <w:rPr>
          <w:rFonts w:ascii="Verdana" w:hAnsi="Verdana" w:eastAsia="Calibri"/>
          <w:kern w:val="2"/>
          <w:sz w:val="18"/>
          <w:szCs w:val="18"/>
          <w:lang w:eastAsia="en-US"/>
          <w14:ligatures w14:val="standardContextual"/>
        </w:rPr>
        <w:t>cryptoactivadiensten</w:t>
      </w:r>
      <w:proofErr w:type="spellEnd"/>
      <w:r w:rsidRPr="00CC0C51" w:rsidR="00422AC2">
        <w:rPr>
          <w:rFonts w:ascii="Verdana" w:hAnsi="Verdana" w:eastAsia="Calibri"/>
          <w:kern w:val="2"/>
          <w:sz w:val="18"/>
          <w:szCs w:val="18"/>
          <w:lang w:eastAsia="en-US"/>
          <w14:ligatures w14:val="standardContextual"/>
        </w:rPr>
        <w:t xml:space="preserve"> die voortvloeien uit de verordening en op de verplichtingen uit de </w:t>
      </w:r>
      <w:proofErr w:type="spellStart"/>
      <w:r w:rsidRPr="00CC0C51" w:rsidR="00422AC2">
        <w:rPr>
          <w:rFonts w:ascii="Verdana" w:hAnsi="Verdana" w:eastAsia="Calibri"/>
          <w:kern w:val="2"/>
          <w:sz w:val="18"/>
          <w:szCs w:val="18"/>
          <w:lang w:eastAsia="en-US"/>
          <w14:ligatures w14:val="standardContextual"/>
        </w:rPr>
        <w:t>Wwft</w:t>
      </w:r>
      <w:proofErr w:type="spellEnd"/>
      <w:r w:rsidRPr="00CC0C51" w:rsidR="00422AC2">
        <w:rPr>
          <w:rFonts w:ascii="Verdana" w:hAnsi="Verdana" w:eastAsia="Calibri"/>
          <w:kern w:val="2"/>
          <w:sz w:val="18"/>
          <w:szCs w:val="18"/>
          <w:lang w:eastAsia="en-US"/>
          <w14:ligatures w14:val="standardContextual"/>
        </w:rPr>
        <w:t xml:space="preserve"> (niet zijnde </w:t>
      </w:r>
      <w:r w:rsidR="00CC0C51">
        <w:rPr>
          <w:rFonts w:ascii="Verdana" w:hAnsi="Verdana" w:eastAsia="Calibri"/>
          <w:kern w:val="2"/>
          <w:sz w:val="18"/>
          <w:szCs w:val="18"/>
          <w:lang w:eastAsia="en-US"/>
          <w14:ligatures w14:val="standardContextual"/>
        </w:rPr>
        <w:t xml:space="preserve">een </w:t>
      </w:r>
      <w:r w:rsidRPr="00CC0C51" w:rsidR="00422AC2">
        <w:rPr>
          <w:rFonts w:ascii="Verdana" w:hAnsi="Verdana" w:eastAsia="Calibri"/>
          <w:kern w:val="2"/>
          <w:sz w:val="18"/>
          <w:szCs w:val="18"/>
          <w:lang w:eastAsia="en-US"/>
          <w14:ligatures w14:val="standardContextual"/>
        </w:rPr>
        <w:t xml:space="preserve">bank of </w:t>
      </w:r>
      <w:proofErr w:type="spellStart"/>
      <w:r w:rsidRPr="00CC0C51" w:rsidR="00422AC2">
        <w:rPr>
          <w:rFonts w:ascii="Verdana" w:hAnsi="Verdana" w:eastAsia="Calibri"/>
          <w:kern w:val="2"/>
          <w:sz w:val="18"/>
          <w:szCs w:val="18"/>
          <w:lang w:eastAsia="en-US"/>
          <w14:ligatures w14:val="standardContextual"/>
        </w:rPr>
        <w:t>elektronischgeldinstelling</w:t>
      </w:r>
      <w:proofErr w:type="spellEnd"/>
      <w:r w:rsidRPr="00CC0C51" w:rsidR="00422AC2">
        <w:rPr>
          <w:rFonts w:ascii="Verdana" w:hAnsi="Verdana" w:eastAsia="Calibri"/>
          <w:kern w:val="2"/>
          <w:sz w:val="18"/>
          <w:szCs w:val="18"/>
          <w:lang w:eastAsia="en-US"/>
          <w14:ligatures w14:val="standardContextual"/>
        </w:rPr>
        <w:t xml:space="preserve"> die </w:t>
      </w:r>
      <w:proofErr w:type="spellStart"/>
      <w:r w:rsidRPr="00CC0C51" w:rsidR="00422AC2">
        <w:rPr>
          <w:rFonts w:ascii="Verdana" w:hAnsi="Verdana" w:eastAsia="Calibri"/>
          <w:kern w:val="2"/>
          <w:sz w:val="18"/>
          <w:szCs w:val="18"/>
          <w:lang w:eastAsia="en-US"/>
          <w14:ligatures w14:val="standardContextual"/>
        </w:rPr>
        <w:t>cryptoactivadiensten</w:t>
      </w:r>
      <w:proofErr w:type="spellEnd"/>
      <w:r w:rsidRPr="00CC0C51" w:rsidR="00422AC2">
        <w:rPr>
          <w:rFonts w:ascii="Verdana" w:hAnsi="Verdana" w:eastAsia="Calibri"/>
          <w:kern w:val="2"/>
          <w:sz w:val="18"/>
          <w:szCs w:val="18"/>
          <w:lang w:eastAsia="en-US"/>
          <w14:ligatures w14:val="standardContextual"/>
        </w:rPr>
        <w:t xml:space="preserve"> aanbiedt</w:t>
      </w:r>
      <w:r w:rsidRPr="006B5DD4" w:rsidR="002B72FF">
        <w:rPr>
          <w:rFonts w:ascii="Verdana" w:hAnsi="Verdana" w:eastAsia="Calibri"/>
          <w:kern w:val="2"/>
          <w:sz w:val="18"/>
          <w:szCs w:val="18"/>
          <w:lang w:eastAsia="en-US"/>
          <w14:ligatures w14:val="standardContextual"/>
        </w:rPr>
        <w:t xml:space="preserve">). </w:t>
      </w:r>
      <w:r w:rsidRPr="006B5DD4">
        <w:rPr>
          <w:rFonts w:ascii="Verdana" w:hAnsi="Verdana" w:eastAsia="Calibri"/>
          <w:kern w:val="2"/>
          <w:sz w:val="18"/>
          <w:szCs w:val="18"/>
          <w:lang w:eastAsia="en-US"/>
          <w14:ligatures w14:val="standardContextual"/>
        </w:rPr>
        <w:t xml:space="preserve">Het toezicht op de naleving van TFR en eventuele handhavende optreden van DNB of de AFM zal worden ingelijfd in het bestaande </w:t>
      </w:r>
      <w:proofErr w:type="spellStart"/>
      <w:r w:rsidRPr="006B5DD4">
        <w:rPr>
          <w:rFonts w:ascii="Verdana" w:hAnsi="Verdana" w:eastAsia="Calibri"/>
          <w:kern w:val="2"/>
          <w:sz w:val="18"/>
          <w:szCs w:val="18"/>
          <w:lang w:eastAsia="en-US"/>
          <w14:ligatures w14:val="standardContextual"/>
        </w:rPr>
        <w:t>Wwft</w:t>
      </w:r>
      <w:proofErr w:type="spellEnd"/>
      <w:r w:rsidRPr="006B5DD4">
        <w:rPr>
          <w:rFonts w:ascii="Verdana" w:hAnsi="Verdana" w:eastAsia="Calibri"/>
          <w:kern w:val="2"/>
          <w:sz w:val="18"/>
          <w:szCs w:val="18"/>
          <w:lang w:eastAsia="en-US"/>
          <w14:ligatures w14:val="standardContextual"/>
        </w:rPr>
        <w:t>-toezicht van deze toezichthouders, met gebruikmaking van hun bestaande toezicht- en handhavingsinstrumentarium</w:t>
      </w:r>
      <w:r w:rsidRPr="006B5DD4" w:rsidR="00D63401">
        <w:rPr>
          <w:rFonts w:ascii="Verdana" w:hAnsi="Verdana" w:eastAsia="Calibri"/>
          <w:kern w:val="2"/>
          <w:sz w:val="18"/>
          <w:szCs w:val="18"/>
          <w:lang w:eastAsia="en-US"/>
          <w14:ligatures w14:val="standardContextual"/>
        </w:rPr>
        <w:t>,</w:t>
      </w:r>
      <w:r w:rsidRPr="006B5DD4">
        <w:rPr>
          <w:rFonts w:ascii="Verdana" w:hAnsi="Verdana" w:eastAsia="Calibri"/>
          <w:kern w:val="2"/>
          <w:sz w:val="18"/>
          <w:szCs w:val="18"/>
          <w:lang w:eastAsia="en-US"/>
          <w14:ligatures w14:val="standardContextual"/>
        </w:rPr>
        <w:t xml:space="preserve"> </w:t>
      </w:r>
      <w:r w:rsidRPr="006B5DD4" w:rsidR="00D63401">
        <w:rPr>
          <w:rFonts w:ascii="Verdana" w:hAnsi="Verdana" w:eastAsia="Calibri"/>
          <w:kern w:val="2"/>
          <w:sz w:val="18"/>
          <w:szCs w:val="18"/>
          <w:lang w:eastAsia="en-US"/>
          <w14:ligatures w14:val="standardContextual"/>
        </w:rPr>
        <w:t>waaronder</w:t>
      </w:r>
      <w:r w:rsidRPr="006B5DD4">
        <w:rPr>
          <w:rFonts w:ascii="Verdana" w:hAnsi="Verdana" w:eastAsia="Calibri"/>
          <w:kern w:val="2"/>
          <w:sz w:val="18"/>
          <w:szCs w:val="18"/>
          <w:lang w:eastAsia="en-US"/>
          <w14:ligatures w14:val="standardContextual"/>
        </w:rPr>
        <w:t xml:space="preserve"> het doen van onderzoek, het opvragen van informatie en het opleggen van een (bestuurlijke) boete.</w:t>
      </w:r>
      <w:r w:rsidRPr="002309A3">
        <w:rPr>
          <w:rFonts w:ascii="Verdana" w:hAnsi="Verdana" w:eastAsia="Calibri"/>
          <w:kern w:val="2"/>
          <w:sz w:val="18"/>
          <w:szCs w:val="18"/>
          <w:lang w:eastAsia="en-US"/>
          <w14:ligatures w14:val="standardContextual"/>
        </w:rPr>
        <w:t xml:space="preserve">  </w:t>
      </w:r>
    </w:p>
    <w:bookmarkEnd w:id="1"/>
    <w:p w:rsidRPr="002309A3" w:rsidR="002309A3" w:rsidP="00DE2884" w:rsidRDefault="002309A3" w14:paraId="5FEC209E" w14:textId="77C0C449">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 xml:space="preserve">Met de komst van </w:t>
      </w:r>
      <w:r w:rsidR="007E1716">
        <w:rPr>
          <w:rFonts w:ascii="Verdana" w:hAnsi="Verdana" w:eastAsia="Calibri"/>
          <w:kern w:val="2"/>
          <w:sz w:val="18"/>
          <w:szCs w:val="18"/>
          <w:lang w:eastAsia="en-US"/>
          <w14:ligatures w14:val="standardContextual"/>
        </w:rPr>
        <w:t>TFR</w:t>
      </w:r>
      <w:r w:rsidRPr="002309A3">
        <w:rPr>
          <w:rFonts w:ascii="Verdana" w:hAnsi="Verdana" w:eastAsia="Calibri"/>
          <w:kern w:val="2"/>
          <w:sz w:val="18"/>
          <w:szCs w:val="18"/>
          <w:lang w:eastAsia="en-US"/>
          <w14:ligatures w14:val="standardContextual"/>
        </w:rPr>
        <w:t xml:space="preserve"> worden </w:t>
      </w:r>
      <w:r w:rsidR="00D63401">
        <w:rPr>
          <w:rFonts w:ascii="Verdana" w:hAnsi="Verdana" w:eastAsia="Calibri"/>
          <w:kern w:val="2"/>
          <w:sz w:val="18"/>
          <w:szCs w:val="18"/>
          <w:lang w:eastAsia="en-US"/>
          <w14:ligatures w14:val="standardContextual"/>
        </w:rPr>
        <w:t xml:space="preserve">alle </w:t>
      </w:r>
      <w:proofErr w:type="spellStart"/>
      <w:r w:rsidRPr="002309A3">
        <w:rPr>
          <w:rFonts w:ascii="Verdana" w:hAnsi="Verdana" w:eastAsia="Calibri"/>
          <w:kern w:val="2"/>
          <w:sz w:val="18"/>
          <w:szCs w:val="18"/>
          <w:lang w:eastAsia="en-US"/>
          <w14:ligatures w14:val="standardContextual"/>
        </w:rPr>
        <w:t>cryptoactivadienstverleners</w:t>
      </w:r>
      <w:proofErr w:type="spellEnd"/>
      <w:r w:rsidRPr="002309A3">
        <w:rPr>
          <w:rFonts w:ascii="Verdana" w:hAnsi="Verdana" w:eastAsia="Calibri"/>
          <w:kern w:val="2"/>
          <w:sz w:val="18"/>
          <w:szCs w:val="18"/>
          <w:lang w:eastAsia="en-US"/>
          <w14:ligatures w14:val="standardContextual"/>
        </w:rPr>
        <w:t xml:space="preserve"> onderworpen aan de bestaande regels ter voorkoming van witwassen en terrorismefinanciering zoals opgenomen in de </w:t>
      </w:r>
      <w:proofErr w:type="spellStart"/>
      <w:r w:rsidRPr="002309A3">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 Dit betekent dat er nieuwe kennis en ervaring opgedaan moet worden door toezichthouders en ook ingezet wordt op internationale samenwerking. De </w:t>
      </w:r>
      <w:proofErr w:type="spellStart"/>
      <w:r w:rsidRPr="002309A3">
        <w:rPr>
          <w:rFonts w:ascii="Verdana" w:hAnsi="Verdana" w:eastAsia="Calibri"/>
          <w:kern w:val="2"/>
          <w:sz w:val="18"/>
          <w:szCs w:val="18"/>
          <w:lang w:eastAsia="en-US"/>
          <w14:ligatures w14:val="standardContextual"/>
        </w:rPr>
        <w:t>cryptoactivamarkt</w:t>
      </w:r>
      <w:proofErr w:type="spellEnd"/>
      <w:r w:rsidRPr="002309A3">
        <w:rPr>
          <w:rFonts w:ascii="Verdana" w:hAnsi="Verdana" w:eastAsia="Calibri"/>
          <w:kern w:val="2"/>
          <w:sz w:val="18"/>
          <w:szCs w:val="18"/>
          <w:lang w:eastAsia="en-US"/>
          <w14:ligatures w14:val="standardContextual"/>
        </w:rPr>
        <w:t xml:space="preserve"> is bovendien een bewegelijke markt, waarbij veel </w:t>
      </w:r>
      <w:proofErr w:type="spellStart"/>
      <w:r w:rsidRPr="002309A3">
        <w:rPr>
          <w:rFonts w:ascii="Verdana" w:hAnsi="Verdana" w:eastAsia="Calibri"/>
          <w:kern w:val="2"/>
          <w:sz w:val="18"/>
          <w:szCs w:val="18"/>
          <w:lang w:eastAsia="en-US"/>
          <w14:ligatures w14:val="standardContextual"/>
        </w:rPr>
        <w:t>cryptocactivadienstverleners</w:t>
      </w:r>
      <w:proofErr w:type="spellEnd"/>
      <w:r w:rsidRPr="002309A3">
        <w:rPr>
          <w:rFonts w:ascii="Verdana" w:hAnsi="Verdana" w:eastAsia="Calibri"/>
          <w:kern w:val="2"/>
          <w:sz w:val="18"/>
          <w:szCs w:val="18"/>
          <w:lang w:eastAsia="en-US"/>
          <w14:ligatures w14:val="standardContextual"/>
        </w:rPr>
        <w:t xml:space="preserve"> nog geen ervaring hebben met toezicht. Dit samengenomen verwachten de toezichthouders een substantiële groei ten aanzien van de benodigde capaciteit. Voor het toezicht dat de AFM zal gaan uitvoeren op de cryptosector is de inschatting dat voor het jaar 2025 36 FTE nodig zal zijn. Vanaf 2026 is de inschatting dat zij 33 fte (6,4 miljoen) nodig zullen hebben voor het doorlopend toezicht, waarvan 7 fte gereserveerd is voor TFR.</w:t>
      </w:r>
      <w:r w:rsidR="00850FED">
        <w:rPr>
          <w:rFonts w:ascii="Verdana" w:hAnsi="Verdana" w:eastAsia="Calibri"/>
          <w:kern w:val="2"/>
          <w:sz w:val="18"/>
          <w:szCs w:val="18"/>
          <w:lang w:eastAsia="en-US"/>
          <w14:ligatures w14:val="standardContextual"/>
        </w:rPr>
        <w:t xml:space="preserve"> </w:t>
      </w:r>
      <w:r w:rsidRPr="002309A3">
        <w:rPr>
          <w:rFonts w:ascii="Verdana" w:hAnsi="Verdana" w:eastAsia="Calibri"/>
          <w:kern w:val="2"/>
          <w:sz w:val="18"/>
          <w:szCs w:val="18"/>
          <w:lang w:eastAsia="en-US"/>
          <w14:ligatures w14:val="standardContextual"/>
        </w:rPr>
        <w:t xml:space="preserve">DNB heeft in 2023-2024 voor het </w:t>
      </w:r>
      <w:proofErr w:type="spellStart"/>
      <w:r w:rsidRPr="002309A3">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-toezicht op de </w:t>
      </w:r>
      <w:proofErr w:type="spellStart"/>
      <w:r w:rsidRPr="002309A3">
        <w:rPr>
          <w:rFonts w:ascii="Verdana" w:hAnsi="Verdana" w:eastAsia="Calibri"/>
          <w:kern w:val="2"/>
          <w:sz w:val="18"/>
          <w:szCs w:val="18"/>
          <w:lang w:eastAsia="en-US"/>
          <w14:ligatures w14:val="standardContextual"/>
        </w:rPr>
        <w:t>cryptoactivadienstverleners</w:t>
      </w:r>
      <w:proofErr w:type="spellEnd"/>
      <w:r w:rsidRPr="002309A3">
        <w:rPr>
          <w:rFonts w:ascii="Verdana" w:hAnsi="Verdana" w:eastAsia="Calibri"/>
          <w:kern w:val="2"/>
          <w:sz w:val="18"/>
          <w:szCs w:val="18"/>
          <w:lang w:eastAsia="en-US"/>
          <w14:ligatures w14:val="standardContextual"/>
        </w:rPr>
        <w:t xml:space="preserve"> 14 fte (4,1 miljoen) begroot. DNB zal deze capaciteit voor de opvolgende jaren behouden</w:t>
      </w:r>
      <w:r w:rsidR="00850FED">
        <w:rPr>
          <w:rFonts w:ascii="Verdana" w:hAnsi="Verdana" w:eastAsia="Calibri"/>
          <w:kern w:val="2"/>
          <w:sz w:val="18"/>
          <w:szCs w:val="18"/>
          <w:lang w:eastAsia="en-US"/>
          <w14:ligatures w14:val="standardContextual"/>
        </w:rPr>
        <w:t xml:space="preserve"> </w:t>
      </w:r>
      <w:r w:rsidRPr="002309A3" w:rsidR="00850FED">
        <w:rPr>
          <w:rFonts w:ascii="Verdana" w:hAnsi="Verdana" w:eastAsia="Calibri"/>
          <w:kern w:val="2"/>
          <w:sz w:val="18"/>
          <w:szCs w:val="18"/>
          <w:lang w:eastAsia="en-US"/>
          <w14:ligatures w14:val="standardContextual"/>
        </w:rPr>
        <w:t>voor het toezicht op</w:t>
      </w:r>
      <w:r w:rsidRPr="005B362C" w:rsidR="00850FED">
        <w:rPr>
          <w:rFonts w:ascii="Verdana" w:hAnsi="Verdana" w:eastAsia="Calibri"/>
          <w:kern w:val="2"/>
          <w:sz w:val="18"/>
          <w:szCs w:val="18"/>
          <w:lang w:eastAsia="en-US"/>
          <w14:ligatures w14:val="standardContextual"/>
        </w:rPr>
        <w:t xml:space="preserve"> </w:t>
      </w:r>
      <w:r w:rsidR="00850FED">
        <w:rPr>
          <w:rFonts w:ascii="Verdana" w:hAnsi="Verdana" w:eastAsia="Calibri"/>
          <w:kern w:val="2"/>
          <w:sz w:val="18"/>
          <w:szCs w:val="18"/>
          <w:lang w:eastAsia="en-US"/>
          <w14:ligatures w14:val="standardContextual"/>
        </w:rPr>
        <w:t xml:space="preserve">zowel </w:t>
      </w:r>
      <w:r w:rsidRPr="005B362C" w:rsidR="00850FED">
        <w:rPr>
          <w:rFonts w:ascii="Verdana" w:hAnsi="Verdana" w:eastAsia="Calibri"/>
          <w:kern w:val="2"/>
          <w:sz w:val="18"/>
          <w:szCs w:val="18"/>
          <w:lang w:eastAsia="en-US"/>
          <w14:ligatures w14:val="standardContextual"/>
        </w:rPr>
        <w:t xml:space="preserve">TFR en </w:t>
      </w:r>
      <w:proofErr w:type="spellStart"/>
      <w:r w:rsidRPr="002309A3" w:rsidR="00850FED">
        <w:rPr>
          <w:rFonts w:ascii="Verdana" w:hAnsi="Verdana" w:eastAsia="Calibri"/>
          <w:kern w:val="2"/>
          <w:sz w:val="18"/>
          <w:szCs w:val="18"/>
          <w:lang w:eastAsia="en-US"/>
          <w14:ligatures w14:val="standardContextual"/>
        </w:rPr>
        <w:t>MiCA</w:t>
      </w:r>
      <w:proofErr w:type="spellEnd"/>
      <w:r w:rsidRPr="002309A3">
        <w:rPr>
          <w:rFonts w:ascii="Verdana" w:hAnsi="Verdana" w:eastAsia="Calibri"/>
          <w:kern w:val="2"/>
          <w:sz w:val="18"/>
          <w:szCs w:val="18"/>
          <w:lang w:eastAsia="en-US"/>
          <w14:ligatures w14:val="standardContextual"/>
        </w:rPr>
        <w:t xml:space="preserve">. Hiervan is 6,4 fte gereserveerd voor het </w:t>
      </w:r>
      <w:r w:rsidR="00020B86">
        <w:rPr>
          <w:rFonts w:ascii="Verdana" w:hAnsi="Verdana" w:eastAsia="Calibri"/>
          <w:kern w:val="2"/>
          <w:sz w:val="18"/>
          <w:szCs w:val="18"/>
          <w:lang w:eastAsia="en-US"/>
          <w14:ligatures w14:val="standardContextual"/>
        </w:rPr>
        <w:t>toezicht op de instellingen</w:t>
      </w:r>
      <w:r w:rsidRPr="002309A3">
        <w:rPr>
          <w:rFonts w:ascii="Verdana" w:hAnsi="Verdana" w:eastAsia="Calibri"/>
          <w:kern w:val="2"/>
          <w:sz w:val="18"/>
          <w:szCs w:val="18"/>
          <w:lang w:eastAsia="en-US"/>
          <w14:ligatures w14:val="standardContextual"/>
        </w:rPr>
        <w:t xml:space="preserve">. Het </w:t>
      </w:r>
      <w:r w:rsidR="00020B86">
        <w:rPr>
          <w:rFonts w:ascii="Verdana" w:hAnsi="Verdana" w:eastAsia="Calibri"/>
          <w:kern w:val="2"/>
          <w:sz w:val="18"/>
          <w:szCs w:val="18"/>
          <w:lang w:eastAsia="en-US"/>
          <w14:ligatures w14:val="standardContextual"/>
        </w:rPr>
        <w:t>toezicht</w:t>
      </w:r>
      <w:r w:rsidRPr="002309A3" w:rsidR="00020B86">
        <w:rPr>
          <w:rFonts w:ascii="Verdana" w:hAnsi="Verdana" w:eastAsia="Calibri"/>
          <w:kern w:val="2"/>
          <w:sz w:val="18"/>
          <w:szCs w:val="18"/>
          <w:lang w:eastAsia="en-US"/>
          <w14:ligatures w14:val="standardContextual"/>
        </w:rPr>
        <w:t xml:space="preserve"> </w:t>
      </w:r>
      <w:r w:rsidRPr="002309A3">
        <w:rPr>
          <w:rFonts w:ascii="Verdana" w:hAnsi="Verdana" w:eastAsia="Calibri"/>
          <w:kern w:val="2"/>
          <w:sz w:val="18"/>
          <w:szCs w:val="18"/>
          <w:lang w:eastAsia="en-US"/>
          <w14:ligatures w14:val="standardContextual"/>
        </w:rPr>
        <w:t>in het kader van TFR zal met name zien op het uitwisselen van informatie tussen de initiator en de begunstigden van de crypto-overmakingen. Ook het integriteitstoezicht valt hieronder. De kosten die aan de sector worden doorberekend worden opgenomen in het Besluit bekostiging financieel toezicht 2019.</w:t>
      </w:r>
    </w:p>
    <w:p w:rsidRPr="002309A3" w:rsidR="002309A3" w:rsidP="00DE2884" w:rsidRDefault="002309A3" w14:paraId="694FEAF9" w14:textId="77777777">
      <w:pPr>
        <w:spacing w:line="240" w:lineRule="exact"/>
        <w:rPr>
          <w:rFonts w:ascii="Verdana" w:hAnsi="Verdana" w:eastAsia="Calibri"/>
          <w:kern w:val="2"/>
          <w:sz w:val="18"/>
          <w:szCs w:val="18"/>
          <w:lang w:eastAsia="en-US"/>
          <w14:ligatures w14:val="standardContextual"/>
        </w:rPr>
      </w:pPr>
      <w:r w:rsidRPr="002309A3">
        <w:rPr>
          <w:rFonts w:ascii="Verdana" w:hAnsi="Verdana"/>
          <w:i/>
          <w:iCs/>
          <w:sz w:val="18"/>
          <w:szCs w:val="18"/>
        </w:rPr>
        <w:t xml:space="preserve">De leden van de NSC-fractie vragen of de regering voornemens is om de ervaringen met het nieuwe regime en mogelijke veranderingen in </w:t>
      </w:r>
      <w:proofErr w:type="spellStart"/>
      <w:r w:rsidRPr="002309A3">
        <w:rPr>
          <w:rFonts w:ascii="Verdana" w:hAnsi="Verdana"/>
          <w:i/>
          <w:iCs/>
          <w:sz w:val="18"/>
          <w:szCs w:val="18"/>
        </w:rPr>
        <w:t>toezichtskosten</w:t>
      </w:r>
      <w:proofErr w:type="spellEnd"/>
      <w:r w:rsidRPr="002309A3">
        <w:rPr>
          <w:rFonts w:ascii="Verdana" w:hAnsi="Verdana"/>
          <w:i/>
          <w:iCs/>
          <w:sz w:val="18"/>
          <w:szCs w:val="18"/>
        </w:rPr>
        <w:t xml:space="preserve"> te monitoren en zo ja, op welke manier. </w:t>
      </w:r>
    </w:p>
    <w:p w:rsidRPr="002309A3" w:rsidR="002309A3" w:rsidP="00DE2884" w:rsidRDefault="002309A3" w14:paraId="39F64C4B" w14:textId="77777777">
      <w:pPr>
        <w:spacing w:line="240" w:lineRule="exact"/>
        <w:ind w:hanging="708"/>
        <w:rPr>
          <w:rFonts w:ascii="Verdana" w:hAnsi="Verdana"/>
          <w:i/>
          <w:iCs/>
          <w:sz w:val="18"/>
          <w:szCs w:val="18"/>
        </w:rPr>
      </w:pPr>
    </w:p>
    <w:p w:rsidRPr="00E26165" w:rsidR="008B25B2" w:rsidP="00DE2884" w:rsidRDefault="002309A3" w14:paraId="2D07569F" w14:textId="5B232A45">
      <w:pPr>
        <w:spacing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 xml:space="preserve">Verschillende onderdelen van </w:t>
      </w:r>
      <w:r w:rsidR="007E1716">
        <w:rPr>
          <w:rFonts w:ascii="Verdana" w:hAnsi="Verdana" w:eastAsia="Calibri"/>
          <w:kern w:val="2"/>
          <w:sz w:val="18"/>
          <w:szCs w:val="18"/>
          <w:lang w:eastAsia="en-US"/>
          <w14:ligatures w14:val="standardContextual"/>
        </w:rPr>
        <w:t>TFR</w:t>
      </w:r>
      <w:r w:rsidRPr="002309A3">
        <w:rPr>
          <w:rFonts w:ascii="Verdana" w:hAnsi="Verdana" w:eastAsia="Calibri"/>
          <w:kern w:val="2"/>
          <w:sz w:val="18"/>
          <w:szCs w:val="18"/>
          <w:lang w:eastAsia="en-US"/>
          <w14:ligatures w14:val="standardContextual"/>
        </w:rPr>
        <w:t xml:space="preserve"> worden door de Europese Commissie geëvalueerd. Uiterlijk op 1 juli 2026 brengt de Commissie een verslag uit met een beoordeling van de risico’s van overmakingen of overdrachten naar of vanuit </w:t>
      </w:r>
      <w:proofErr w:type="spellStart"/>
      <w:r w:rsidRPr="002309A3">
        <w:rPr>
          <w:rFonts w:ascii="Verdana" w:hAnsi="Verdana" w:eastAsia="Calibri"/>
          <w:kern w:val="2"/>
          <w:sz w:val="18"/>
          <w:szCs w:val="18"/>
          <w:lang w:eastAsia="en-US"/>
          <w14:ligatures w14:val="standardContextual"/>
        </w:rPr>
        <w:t>zelfgehoste</w:t>
      </w:r>
      <w:proofErr w:type="spellEnd"/>
      <w:r w:rsidRPr="002309A3">
        <w:rPr>
          <w:rFonts w:ascii="Verdana" w:hAnsi="Verdana" w:eastAsia="Calibri"/>
          <w:kern w:val="2"/>
          <w:sz w:val="18"/>
          <w:szCs w:val="18"/>
          <w:lang w:eastAsia="en-US"/>
          <w14:ligatures w14:val="standardContextual"/>
        </w:rPr>
        <w:t xml:space="preserve"> adressen. Op uiterlijk 30 juni 2027 zal de Commissie een verslag indienen over de handhaving van deze verordening. </w:t>
      </w:r>
      <w:r w:rsidRPr="007F2DD4" w:rsidR="008B25B2">
        <w:rPr>
          <w:rFonts w:ascii="Verdana" w:hAnsi="Verdana" w:cs="Arial"/>
          <w:sz w:val="18"/>
          <w:szCs w:val="18"/>
        </w:rPr>
        <w:t xml:space="preserve">Daarnaast zal mijn ministerie zelf ook de ontwikkelingen op de </w:t>
      </w:r>
      <w:proofErr w:type="spellStart"/>
      <w:r w:rsidRPr="007F2DD4" w:rsidR="008B25B2">
        <w:rPr>
          <w:rFonts w:ascii="Verdana" w:hAnsi="Verdana" w:cs="Arial"/>
          <w:sz w:val="18"/>
          <w:szCs w:val="18"/>
        </w:rPr>
        <w:t>cryptoactivamarkten</w:t>
      </w:r>
      <w:proofErr w:type="spellEnd"/>
      <w:r w:rsidRPr="007F2DD4" w:rsidR="008B25B2">
        <w:rPr>
          <w:rFonts w:ascii="Verdana" w:hAnsi="Verdana" w:cs="Arial"/>
          <w:sz w:val="18"/>
          <w:szCs w:val="18"/>
        </w:rPr>
        <w:t xml:space="preserve"> blijven volgen. De toezichtkosten zijn </w:t>
      </w:r>
      <w:r w:rsidR="008B25B2">
        <w:rPr>
          <w:rFonts w:ascii="Verdana" w:hAnsi="Verdana" w:cs="Arial"/>
          <w:sz w:val="18"/>
          <w:szCs w:val="18"/>
        </w:rPr>
        <w:t>voor een belangrijk deel</w:t>
      </w:r>
      <w:r w:rsidRPr="007F2DD4" w:rsidR="008B25B2">
        <w:rPr>
          <w:rFonts w:ascii="Verdana" w:hAnsi="Verdana" w:cs="Arial"/>
          <w:sz w:val="18"/>
          <w:szCs w:val="18"/>
        </w:rPr>
        <w:t xml:space="preserve"> afhankelijk van </w:t>
      </w:r>
      <w:r w:rsidR="008B25B2">
        <w:rPr>
          <w:rFonts w:ascii="Verdana" w:hAnsi="Verdana" w:cs="Arial"/>
          <w:sz w:val="18"/>
          <w:szCs w:val="18"/>
        </w:rPr>
        <w:t>de</w:t>
      </w:r>
      <w:r w:rsidRPr="007F2DD4" w:rsidR="008B25B2">
        <w:rPr>
          <w:rFonts w:ascii="Verdana" w:hAnsi="Verdana" w:cs="Arial"/>
          <w:sz w:val="18"/>
          <w:szCs w:val="18"/>
        </w:rPr>
        <w:t xml:space="preserve"> hoeveelheid instellingen die een vergunningsaanvraag </w:t>
      </w:r>
      <w:r w:rsidRPr="007F2DD4" w:rsidR="00811ED5">
        <w:rPr>
          <w:rFonts w:ascii="Verdana" w:hAnsi="Verdana" w:cs="Arial"/>
          <w:sz w:val="18"/>
          <w:szCs w:val="18"/>
        </w:rPr>
        <w:t>doet</w:t>
      </w:r>
      <w:r w:rsidRPr="007F2DD4" w:rsidR="008B25B2">
        <w:rPr>
          <w:rFonts w:ascii="Verdana" w:hAnsi="Verdana" w:cs="Arial"/>
          <w:sz w:val="18"/>
          <w:szCs w:val="18"/>
        </w:rPr>
        <w:t xml:space="preserve">. Wanneer </w:t>
      </w:r>
      <w:r w:rsidR="008B25B2">
        <w:rPr>
          <w:rFonts w:ascii="Verdana" w:hAnsi="Verdana" w:cs="Arial"/>
          <w:sz w:val="18"/>
          <w:szCs w:val="18"/>
        </w:rPr>
        <w:t>er bijvoorbeeld</w:t>
      </w:r>
      <w:r w:rsidRPr="007F2DD4" w:rsidR="008B25B2">
        <w:rPr>
          <w:rFonts w:ascii="Verdana" w:hAnsi="Verdana" w:cs="Arial"/>
          <w:sz w:val="18"/>
          <w:szCs w:val="18"/>
        </w:rPr>
        <w:t xml:space="preserve"> veel meer of minder </w:t>
      </w:r>
      <w:r w:rsidR="00811ED5">
        <w:rPr>
          <w:rFonts w:ascii="Verdana" w:hAnsi="Verdana" w:cs="Arial"/>
          <w:sz w:val="18"/>
          <w:szCs w:val="18"/>
        </w:rPr>
        <w:t xml:space="preserve">vergunningsaanvragen </w:t>
      </w:r>
      <w:r w:rsidRPr="007F2DD4" w:rsidR="008B25B2">
        <w:rPr>
          <w:rFonts w:ascii="Verdana" w:hAnsi="Verdana" w:cs="Arial"/>
          <w:sz w:val="18"/>
          <w:szCs w:val="18"/>
        </w:rPr>
        <w:t xml:space="preserve">zijn dan in eerste instantie voorzien, </w:t>
      </w:r>
      <w:r w:rsidR="00811ED5">
        <w:rPr>
          <w:rFonts w:ascii="Verdana" w:hAnsi="Verdana" w:cs="Arial"/>
          <w:sz w:val="18"/>
          <w:szCs w:val="18"/>
        </w:rPr>
        <w:t>kunnen de gealloceerde kosten en toezichtinzet mogelijk te laag of te hoog zijn</w:t>
      </w:r>
      <w:r w:rsidRPr="007F2DD4" w:rsidR="008B25B2">
        <w:rPr>
          <w:rFonts w:ascii="Verdana" w:hAnsi="Verdana" w:cs="Arial"/>
          <w:sz w:val="18"/>
          <w:szCs w:val="18"/>
        </w:rPr>
        <w:t>. Omdat er voor de AFM veel nieuwe taken bijkomen</w:t>
      </w:r>
      <w:r w:rsidR="00811ED5">
        <w:rPr>
          <w:rFonts w:ascii="Verdana" w:hAnsi="Verdana" w:cs="Arial"/>
          <w:sz w:val="18"/>
          <w:szCs w:val="18"/>
        </w:rPr>
        <w:t xml:space="preserve"> en er veel onzekerheid is over het aantal vergunningaanvragen</w:t>
      </w:r>
      <w:r w:rsidRPr="007F2DD4" w:rsidR="008B25B2">
        <w:rPr>
          <w:rFonts w:ascii="Verdana" w:hAnsi="Verdana" w:cs="Arial"/>
          <w:sz w:val="18"/>
          <w:szCs w:val="18"/>
        </w:rPr>
        <w:t xml:space="preserve">, </w:t>
      </w:r>
      <w:r w:rsidR="00811ED5">
        <w:rPr>
          <w:rFonts w:ascii="Verdana" w:hAnsi="Verdana" w:cs="Arial"/>
          <w:sz w:val="18"/>
          <w:szCs w:val="18"/>
        </w:rPr>
        <w:t>is met de AFM</w:t>
      </w:r>
      <w:r w:rsidRPr="007F2DD4" w:rsidR="008B25B2">
        <w:rPr>
          <w:rFonts w:ascii="Verdana" w:hAnsi="Verdana" w:cs="Arial"/>
          <w:sz w:val="18"/>
          <w:szCs w:val="18"/>
        </w:rPr>
        <w:t xml:space="preserve"> </w:t>
      </w:r>
      <w:r w:rsidR="00811ED5">
        <w:rPr>
          <w:rFonts w:ascii="Verdana" w:hAnsi="Verdana" w:cs="Arial"/>
          <w:sz w:val="18"/>
          <w:szCs w:val="18"/>
        </w:rPr>
        <w:t xml:space="preserve">medio 2025 </w:t>
      </w:r>
      <w:r w:rsidRPr="007F2DD4" w:rsidR="008B25B2">
        <w:rPr>
          <w:rFonts w:ascii="Verdana" w:hAnsi="Verdana" w:cs="Arial"/>
          <w:sz w:val="18"/>
          <w:szCs w:val="18"/>
        </w:rPr>
        <w:t xml:space="preserve">een evaluatiemoment </w:t>
      </w:r>
      <w:r w:rsidR="00811ED5">
        <w:rPr>
          <w:rFonts w:ascii="Verdana" w:hAnsi="Verdana" w:cs="Arial"/>
          <w:sz w:val="18"/>
          <w:szCs w:val="18"/>
        </w:rPr>
        <w:t>afgesproken</w:t>
      </w:r>
      <w:r w:rsidRPr="007F2DD4" w:rsidR="008B25B2">
        <w:rPr>
          <w:rFonts w:ascii="Verdana" w:hAnsi="Verdana" w:cs="Arial"/>
          <w:sz w:val="18"/>
          <w:szCs w:val="18"/>
        </w:rPr>
        <w:t xml:space="preserve"> </w:t>
      </w:r>
      <w:r w:rsidR="00811ED5">
        <w:rPr>
          <w:rFonts w:ascii="Verdana" w:hAnsi="Verdana" w:cs="Arial"/>
          <w:sz w:val="18"/>
          <w:szCs w:val="18"/>
        </w:rPr>
        <w:t>waar wordt gekeken naar de benodigde toezichtinzet.</w:t>
      </w:r>
      <w:r w:rsidRPr="007F2DD4" w:rsidR="008B25B2">
        <w:rPr>
          <w:rFonts w:ascii="Verdana" w:hAnsi="Verdana" w:cs="Arial"/>
          <w:sz w:val="18"/>
          <w:szCs w:val="18"/>
        </w:rPr>
        <w:t xml:space="preserve"> </w:t>
      </w:r>
      <w:r w:rsidRPr="006B6209" w:rsidR="006B6209">
        <w:rPr>
          <w:rFonts w:ascii="Verdana" w:hAnsi="Verdana" w:cs="Arial"/>
          <w:sz w:val="18"/>
          <w:szCs w:val="18"/>
        </w:rPr>
        <w:t xml:space="preserve">Daarnaast lichten DNB en de AFM de toezichtkosten toe in hun jaarlijkse begrotingen en verantwoordingen. Ik let bij de beoordeling van deze stukken ook op de toezichtinzet voor </w:t>
      </w:r>
      <w:r w:rsidR="00BB2CFC">
        <w:rPr>
          <w:rFonts w:ascii="Verdana" w:hAnsi="Verdana" w:cs="Arial"/>
          <w:sz w:val="18"/>
          <w:szCs w:val="18"/>
        </w:rPr>
        <w:t>TFR</w:t>
      </w:r>
      <w:r w:rsidRPr="006B6209" w:rsidR="006B6209">
        <w:rPr>
          <w:rFonts w:ascii="Verdana" w:hAnsi="Verdana" w:cs="Arial"/>
          <w:sz w:val="18"/>
          <w:szCs w:val="18"/>
        </w:rPr>
        <w:t>, mede in het licht van ontwikkelingen op de cryptomarkten en in het toezicht daarop.</w:t>
      </w:r>
    </w:p>
    <w:p w:rsidRPr="00E26165" w:rsidR="00BB49AB" w:rsidP="00DE2884" w:rsidRDefault="00BB49AB" w14:paraId="330AAD09" w14:textId="7204B787">
      <w:pPr>
        <w:spacing w:line="240" w:lineRule="exact"/>
        <w:rPr>
          <w:rFonts w:ascii="Verdana" w:hAnsi="Verdana" w:eastAsia="Calibri"/>
          <w:kern w:val="2"/>
          <w:sz w:val="18"/>
          <w:szCs w:val="18"/>
          <w:lang w:eastAsia="en-US"/>
          <w14:ligatures w14:val="standardContextual"/>
        </w:rPr>
      </w:pPr>
    </w:p>
    <w:p w:rsidRPr="002309A3" w:rsidR="002309A3" w:rsidP="00DE2884" w:rsidRDefault="002309A3" w14:paraId="459A88F0" w14:textId="2B172C49">
      <w:pPr>
        <w:spacing w:line="240" w:lineRule="exact"/>
        <w:rPr>
          <w:rFonts w:ascii="Verdana" w:hAnsi="Verdana" w:eastAsia="Calibri"/>
          <w:i/>
          <w:iCs/>
          <w:color w:val="FF0000"/>
          <w:kern w:val="2"/>
          <w:sz w:val="18"/>
          <w:szCs w:val="18"/>
          <w:lang w:eastAsia="en-US"/>
          <w14:ligatures w14:val="standardContextual"/>
        </w:rPr>
      </w:pPr>
      <w:r w:rsidRPr="002309A3">
        <w:rPr>
          <w:rFonts w:ascii="Verdana" w:hAnsi="Verdana"/>
          <w:i/>
          <w:iCs/>
          <w:sz w:val="18"/>
          <w:szCs w:val="18"/>
        </w:rPr>
        <w:t xml:space="preserve">De leden van de NSC-fractie </w:t>
      </w:r>
      <w:r w:rsidRPr="002309A3">
        <w:rPr>
          <w:rFonts w:ascii="Verdana" w:hAnsi="Verdana" w:eastAsia="Calibri"/>
          <w:i/>
          <w:iCs/>
          <w:kern w:val="2"/>
          <w:sz w:val="18"/>
          <w:szCs w:val="18"/>
          <w:lang w:eastAsia="en-US"/>
          <w14:ligatures w14:val="standardContextual"/>
        </w:rPr>
        <w:t>vragen verder of de ATR een advies heeft uitgebracht. Zo ja, hoe luidt dit advies?</w:t>
      </w:r>
      <w:r w:rsidRPr="002309A3">
        <w:rPr>
          <w:rFonts w:ascii="Verdana" w:hAnsi="Verdana" w:eastAsia="Calibri"/>
          <w:i/>
          <w:iCs/>
          <w:kern w:val="2"/>
          <w:sz w:val="18"/>
          <w:szCs w:val="18"/>
          <w:lang w:eastAsia="en-US"/>
          <w14:ligatures w14:val="standardContextual"/>
        </w:rPr>
        <w:br/>
      </w:r>
    </w:p>
    <w:p w:rsidRPr="002309A3" w:rsidR="002309A3" w:rsidP="00DE2884" w:rsidRDefault="002309A3" w14:paraId="54843654" w14:textId="77777777">
      <w:pPr>
        <w:spacing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Het wetsvoorstel is voor advies voorgelegd aan het Adviescollege toetsing regeldruk (ATR). Het adviescollege heeft het dossier niet geselecteerd voor een formeel advies, omdat er geen grote gevolgen voor de regeldruk zijn.</w:t>
      </w:r>
    </w:p>
    <w:p w:rsidRPr="002309A3" w:rsidR="002309A3" w:rsidP="00DE2884" w:rsidRDefault="002309A3" w14:paraId="6F2517DE" w14:textId="77777777">
      <w:pPr>
        <w:spacing w:line="240" w:lineRule="exact"/>
        <w:rPr>
          <w:rFonts w:ascii="Verdana" w:hAnsi="Verdana" w:eastAsia="Calibri"/>
          <w:kern w:val="2"/>
          <w:sz w:val="18"/>
          <w:szCs w:val="18"/>
          <w:lang w:eastAsia="en-US"/>
          <w14:ligatures w14:val="standardContextual"/>
        </w:rPr>
      </w:pPr>
    </w:p>
    <w:p w:rsidRPr="002309A3" w:rsidR="002309A3" w:rsidP="00DE2884" w:rsidRDefault="00D67F03" w14:paraId="7D119A4D" w14:textId="1FAD83D1">
      <w:pPr>
        <w:spacing w:after="160" w:line="240" w:lineRule="exact"/>
        <w:rPr>
          <w:rFonts w:ascii="Verdana" w:hAnsi="Verdana" w:eastAsia="Calibri"/>
          <w:b/>
          <w:bCs/>
          <w:i/>
          <w:iCs/>
          <w:kern w:val="2"/>
          <w:sz w:val="18"/>
          <w:szCs w:val="18"/>
          <w:lang w:eastAsia="en-US"/>
          <w14:ligatures w14:val="standardContextual"/>
        </w:rPr>
      </w:pPr>
      <w:r w:rsidRPr="00D67F03">
        <w:rPr>
          <w:rFonts w:eastAsia="Calibri"/>
          <w:b/>
          <w:bCs/>
          <w:i/>
          <w:iCs/>
          <w:color w:val="211D1F"/>
          <w:szCs w:val="22"/>
          <w:lang w:eastAsia="en-US"/>
        </w:rPr>
        <w:lastRenderedPageBreak/>
        <w:t>§</w:t>
      </w:r>
      <w:r>
        <w:rPr>
          <w:rFonts w:eastAsia="Calibri"/>
          <w:i/>
          <w:iCs/>
          <w:color w:val="211D1F"/>
          <w:szCs w:val="22"/>
          <w:lang w:eastAsia="en-US"/>
        </w:rPr>
        <w:t xml:space="preserve"> </w:t>
      </w:r>
      <w:r w:rsidRPr="002309A3" w:rsidR="002309A3">
        <w:rPr>
          <w:rFonts w:ascii="Verdana" w:hAnsi="Verdana" w:eastAsia="Calibri"/>
          <w:b/>
          <w:bCs/>
          <w:i/>
          <w:iCs/>
          <w:kern w:val="2"/>
          <w:sz w:val="18"/>
          <w:szCs w:val="18"/>
          <w:lang w:eastAsia="en-US"/>
          <w14:ligatures w14:val="standardContextual"/>
        </w:rPr>
        <w:t>5. Gegevensbescherming</w:t>
      </w:r>
    </w:p>
    <w:p w:rsidRPr="002309A3" w:rsidR="002309A3" w:rsidP="00DE2884" w:rsidRDefault="002309A3" w14:paraId="27598984" w14:textId="77777777">
      <w:pPr>
        <w:spacing w:after="160" w:line="240" w:lineRule="exact"/>
        <w:rPr>
          <w:rFonts w:ascii="Verdana" w:hAnsi="Verdana" w:eastAsia="Calibri"/>
          <w:i/>
          <w:iCs/>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De leden van de NSC-fractie vragen of de Autoriteit Persoonsgegevens een advies heeft uitgebracht. Zo ja, hoe luidt dit advies?</w:t>
      </w:r>
    </w:p>
    <w:p w:rsidRPr="002309A3" w:rsidR="002309A3" w:rsidP="00DE2884" w:rsidRDefault="002309A3" w14:paraId="30FD4513" w14:textId="77777777">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 xml:space="preserve">De voorontwerpen van het wetsvoorstel en de memorie van toelichting zijn </w:t>
      </w:r>
      <w:proofErr w:type="gramStart"/>
      <w:r w:rsidRPr="002309A3">
        <w:rPr>
          <w:rFonts w:ascii="Verdana" w:hAnsi="Verdana" w:eastAsia="Calibri"/>
          <w:kern w:val="2"/>
          <w:sz w:val="18"/>
          <w:szCs w:val="18"/>
          <w:lang w:eastAsia="en-US"/>
          <w14:ligatures w14:val="standardContextual"/>
        </w:rPr>
        <w:t>conform</w:t>
      </w:r>
      <w:proofErr w:type="gramEnd"/>
      <w:r w:rsidRPr="002309A3">
        <w:rPr>
          <w:rFonts w:ascii="Verdana" w:hAnsi="Verdana" w:eastAsia="Calibri"/>
          <w:kern w:val="2"/>
          <w:sz w:val="18"/>
          <w:szCs w:val="18"/>
          <w:lang w:eastAsia="en-US"/>
          <w14:ligatures w14:val="standardContextual"/>
        </w:rPr>
        <w:t xml:space="preserve"> artikel 36, vierde lid, van de Algemene Verordening Gegevensbescherming (AVG) voor advies voorgelegd aan de Autoriteit Persoonsgegevens (AP). De Autoriteit Persoonsgegevens heeft op 26 september 2023 advies uitgebracht.</w:t>
      </w:r>
      <w:r w:rsidRPr="002309A3">
        <w:rPr>
          <w:rFonts w:ascii="Verdana" w:hAnsi="Verdana" w:eastAsia="Calibri"/>
          <w:kern w:val="2"/>
          <w:sz w:val="18"/>
          <w:szCs w:val="18"/>
          <w:vertAlign w:val="superscript"/>
          <w:lang w:eastAsia="en-US"/>
          <w14:ligatures w14:val="standardContextual"/>
        </w:rPr>
        <w:footnoteReference w:id="5"/>
      </w:r>
      <w:r w:rsidRPr="002309A3">
        <w:rPr>
          <w:rFonts w:ascii="Verdana" w:hAnsi="Verdana" w:eastAsia="Calibri"/>
          <w:kern w:val="2"/>
          <w:sz w:val="18"/>
          <w:szCs w:val="18"/>
          <w:lang w:eastAsia="en-US"/>
          <w14:ligatures w14:val="standardContextual"/>
        </w:rPr>
        <w:t xml:space="preserve"> Zij heeft daarin aangegeven dat het wetsvoorstel haar geen aanleiding geeft tot het maken van opmerkingen.</w:t>
      </w:r>
    </w:p>
    <w:p w:rsidRPr="002309A3" w:rsidR="002309A3" w:rsidP="00DE2884" w:rsidRDefault="00D67F03" w14:paraId="7F4FC59C" w14:textId="0A9DAF30">
      <w:pPr>
        <w:spacing w:after="160" w:line="240" w:lineRule="exact"/>
        <w:rPr>
          <w:rFonts w:ascii="Verdana" w:hAnsi="Verdana" w:eastAsia="Calibri"/>
          <w:b/>
          <w:bCs/>
          <w:i/>
          <w:iCs/>
          <w:kern w:val="2"/>
          <w:sz w:val="18"/>
          <w:szCs w:val="18"/>
          <w:lang w:eastAsia="en-US"/>
          <w14:ligatures w14:val="standardContextual"/>
        </w:rPr>
      </w:pPr>
      <w:r w:rsidRPr="00D67F03">
        <w:rPr>
          <w:rFonts w:eastAsia="Calibri"/>
          <w:b/>
          <w:bCs/>
          <w:i/>
          <w:iCs/>
          <w:color w:val="211D1F"/>
          <w:szCs w:val="22"/>
          <w:lang w:eastAsia="en-US"/>
        </w:rPr>
        <w:t>§</w:t>
      </w:r>
      <w:r>
        <w:rPr>
          <w:rFonts w:eastAsia="Calibri"/>
          <w:i/>
          <w:iCs/>
          <w:color w:val="211D1F"/>
          <w:szCs w:val="22"/>
          <w:lang w:eastAsia="en-US"/>
        </w:rPr>
        <w:t xml:space="preserve"> </w:t>
      </w:r>
      <w:r w:rsidRPr="002309A3" w:rsidR="002309A3">
        <w:rPr>
          <w:rFonts w:ascii="Verdana" w:hAnsi="Verdana" w:eastAsia="Calibri"/>
          <w:b/>
          <w:bCs/>
          <w:i/>
          <w:iCs/>
          <w:kern w:val="2"/>
          <w:sz w:val="18"/>
          <w:szCs w:val="18"/>
          <w:lang w:eastAsia="en-US"/>
          <w14:ligatures w14:val="standardContextual"/>
        </w:rPr>
        <w:t>6.1. Gevolgen voor het bedrijfsleven</w:t>
      </w:r>
    </w:p>
    <w:p w:rsidRPr="002309A3" w:rsidR="002309A3" w:rsidP="00DE2884" w:rsidRDefault="002309A3" w14:paraId="325CFE77" w14:textId="61DA271C">
      <w:pPr>
        <w:spacing w:after="160" w:line="240" w:lineRule="exact"/>
        <w:rPr>
          <w:rFonts w:ascii="Verdana" w:hAnsi="Verdana" w:eastAsia="Calibri"/>
          <w:i/>
          <w:iCs/>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 xml:space="preserve">De leden van de NSC-fractie vragen of het klopt dat de TFR-verordening leidt tot een flinke uitbreiding van het toezicht </w:t>
      </w:r>
      <w:proofErr w:type="gramStart"/>
      <w:r w:rsidRPr="002309A3">
        <w:rPr>
          <w:rFonts w:ascii="Verdana" w:hAnsi="Verdana" w:eastAsia="Calibri"/>
          <w:i/>
          <w:iCs/>
          <w:kern w:val="2"/>
          <w:sz w:val="18"/>
          <w:szCs w:val="18"/>
          <w:lang w:eastAsia="en-US"/>
          <w14:ligatures w14:val="standardContextual"/>
        </w:rPr>
        <w:t>ingevolge</w:t>
      </w:r>
      <w:proofErr w:type="gramEnd"/>
      <w:r w:rsidRPr="002309A3">
        <w:rPr>
          <w:rFonts w:ascii="Verdana" w:hAnsi="Verdana" w:eastAsia="Calibri"/>
          <w:i/>
          <w:iCs/>
          <w:kern w:val="2"/>
          <w:sz w:val="18"/>
          <w:szCs w:val="18"/>
          <w:lang w:eastAsia="en-US"/>
          <w14:ligatures w14:val="standardContextual"/>
        </w:rPr>
        <w:t xml:space="preserve"> de Wet ter voorkoming van witwassen en financieren van terrorisme (</w:t>
      </w:r>
      <w:proofErr w:type="spellStart"/>
      <w:r w:rsidRPr="002309A3">
        <w:rPr>
          <w:rFonts w:ascii="Verdana" w:hAnsi="Verdana" w:eastAsia="Calibri"/>
          <w:i/>
          <w:iCs/>
          <w:kern w:val="2"/>
          <w:sz w:val="18"/>
          <w:szCs w:val="18"/>
          <w:lang w:eastAsia="en-US"/>
          <w14:ligatures w14:val="standardContextual"/>
        </w:rPr>
        <w:t>Wwft</w:t>
      </w:r>
      <w:proofErr w:type="spellEnd"/>
      <w:r w:rsidRPr="002309A3">
        <w:rPr>
          <w:rFonts w:ascii="Verdana" w:hAnsi="Verdana" w:eastAsia="Calibri"/>
          <w:i/>
          <w:iCs/>
          <w:kern w:val="2"/>
          <w:sz w:val="18"/>
          <w:szCs w:val="18"/>
          <w:lang w:eastAsia="en-US"/>
          <w14:ligatures w14:val="standardContextual"/>
        </w:rPr>
        <w:t xml:space="preserve">) op crypto-activa transacties (van twee naar negen categorieën). </w:t>
      </w:r>
    </w:p>
    <w:p w:rsidRPr="002309A3" w:rsidR="002309A3" w:rsidP="00DE2884" w:rsidRDefault="002309A3" w14:paraId="349ADA65" w14:textId="6A99B6B8">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 xml:space="preserve">De leden van de NSC-fractie merken terecht op dat </w:t>
      </w:r>
      <w:r w:rsidR="000B592E">
        <w:rPr>
          <w:rFonts w:ascii="Verdana" w:hAnsi="Verdana" w:eastAsia="Calibri"/>
          <w:kern w:val="2"/>
          <w:sz w:val="18"/>
          <w:szCs w:val="18"/>
          <w:lang w:eastAsia="en-US"/>
          <w14:ligatures w14:val="standardContextual"/>
        </w:rPr>
        <w:t>TFR</w:t>
      </w:r>
      <w:r w:rsidRPr="002309A3">
        <w:rPr>
          <w:rFonts w:ascii="Verdana" w:hAnsi="Verdana" w:eastAsia="Calibri"/>
          <w:kern w:val="2"/>
          <w:sz w:val="18"/>
          <w:szCs w:val="18"/>
          <w:lang w:eastAsia="en-US"/>
          <w14:ligatures w14:val="standardContextual"/>
        </w:rPr>
        <w:t xml:space="preserve"> een flinke uitbreiding is van het toezicht. Het huidige </w:t>
      </w:r>
      <w:r w:rsidR="00811ED5">
        <w:rPr>
          <w:rFonts w:ascii="Verdana" w:hAnsi="Verdana" w:eastAsia="Calibri"/>
          <w:kern w:val="2"/>
          <w:sz w:val="18"/>
          <w:szCs w:val="18"/>
          <w:lang w:eastAsia="en-US"/>
          <w14:ligatures w14:val="standardContextual"/>
        </w:rPr>
        <w:t xml:space="preserve">registratiekader voor aanbieders van wisseldiensten en bewaarportemonnees, dat opgenomen is in de </w:t>
      </w:r>
      <w:proofErr w:type="spellStart"/>
      <w:r w:rsidR="00811ED5">
        <w:rPr>
          <w:rFonts w:ascii="Verdana" w:hAnsi="Verdana" w:eastAsia="Calibri"/>
          <w:kern w:val="2"/>
          <w:sz w:val="18"/>
          <w:szCs w:val="18"/>
          <w:lang w:eastAsia="en-US"/>
          <w14:ligatures w14:val="standardContextual"/>
        </w:rPr>
        <w:t>Wwft</w:t>
      </w:r>
      <w:proofErr w:type="spellEnd"/>
      <w:r w:rsidR="00811ED5">
        <w:rPr>
          <w:rFonts w:ascii="Verdana" w:hAnsi="Verdana" w:eastAsia="Calibri"/>
          <w:kern w:val="2"/>
          <w:sz w:val="18"/>
          <w:szCs w:val="18"/>
          <w:lang w:eastAsia="en-US"/>
          <w14:ligatures w14:val="standardContextual"/>
        </w:rPr>
        <w:t xml:space="preserve"> op basis van de herziene vierde anti-witwasrichtlijn, </w:t>
      </w:r>
      <w:r w:rsidRPr="002309A3">
        <w:rPr>
          <w:rFonts w:ascii="Verdana" w:hAnsi="Verdana" w:eastAsia="Calibri"/>
          <w:kern w:val="2"/>
          <w:sz w:val="18"/>
          <w:szCs w:val="18"/>
          <w:lang w:eastAsia="en-US"/>
          <w14:ligatures w14:val="standardContextual"/>
        </w:rPr>
        <w:t xml:space="preserve">wordt vervangen door een omvattender Europees stelsel voor een bredere groep </w:t>
      </w:r>
      <w:proofErr w:type="spellStart"/>
      <w:r w:rsidR="00811ED5">
        <w:rPr>
          <w:rFonts w:ascii="Verdana" w:hAnsi="Verdana" w:eastAsia="Calibri"/>
          <w:kern w:val="2"/>
          <w:sz w:val="18"/>
          <w:szCs w:val="18"/>
          <w:lang w:eastAsia="en-US"/>
          <w14:ligatures w14:val="standardContextual"/>
        </w:rPr>
        <w:t>cryptoactivadienstverleners</w:t>
      </w:r>
      <w:proofErr w:type="spellEnd"/>
      <w:r w:rsidR="00811ED5">
        <w:rPr>
          <w:rFonts w:ascii="Verdana" w:hAnsi="Verdana" w:eastAsia="Calibri"/>
          <w:kern w:val="2"/>
          <w:sz w:val="18"/>
          <w:szCs w:val="18"/>
          <w:lang w:eastAsia="en-US"/>
          <w14:ligatures w14:val="standardContextual"/>
        </w:rPr>
        <w:t>,</w:t>
      </w:r>
      <w:r w:rsidRPr="002309A3">
        <w:rPr>
          <w:rFonts w:ascii="Verdana" w:hAnsi="Verdana" w:eastAsia="Calibri"/>
          <w:kern w:val="2"/>
          <w:sz w:val="18"/>
          <w:szCs w:val="18"/>
          <w:lang w:eastAsia="en-US"/>
          <w14:ligatures w14:val="standardContextual"/>
        </w:rPr>
        <w:t xml:space="preserve"> waarbij de markttoegang en </w:t>
      </w:r>
      <w:proofErr w:type="spellStart"/>
      <w:r w:rsidRPr="002309A3">
        <w:rPr>
          <w:rFonts w:ascii="Verdana" w:hAnsi="Verdana" w:eastAsia="Calibri"/>
          <w:kern w:val="2"/>
          <w:sz w:val="18"/>
          <w:szCs w:val="18"/>
          <w:lang w:eastAsia="en-US"/>
          <w14:ligatures w14:val="standardContextual"/>
        </w:rPr>
        <w:t>governance</w:t>
      </w:r>
      <w:proofErr w:type="spellEnd"/>
      <w:r w:rsidRPr="002309A3">
        <w:rPr>
          <w:rFonts w:ascii="Verdana" w:hAnsi="Verdana" w:eastAsia="Calibri"/>
          <w:kern w:val="2"/>
          <w:sz w:val="18"/>
          <w:szCs w:val="18"/>
          <w:lang w:eastAsia="en-US"/>
          <w14:ligatures w14:val="standardContextual"/>
        </w:rPr>
        <w:t xml:space="preserve"> worden gereguleerd </w:t>
      </w:r>
      <w:r w:rsidRPr="002309A3" w:rsidR="009C012F">
        <w:rPr>
          <w:rFonts w:ascii="Verdana" w:hAnsi="Verdana" w:eastAsia="Calibri"/>
          <w:kern w:val="2"/>
          <w:sz w:val="18"/>
          <w:szCs w:val="18"/>
          <w:lang w:eastAsia="en-US"/>
          <w14:ligatures w14:val="standardContextual"/>
        </w:rPr>
        <w:t xml:space="preserve">middels </w:t>
      </w:r>
      <w:proofErr w:type="spellStart"/>
      <w:r w:rsidR="009C012F">
        <w:rPr>
          <w:rFonts w:ascii="Verdana" w:hAnsi="Verdana" w:eastAsia="Calibri"/>
          <w:kern w:val="2"/>
          <w:sz w:val="18"/>
          <w:szCs w:val="18"/>
          <w:lang w:eastAsia="en-US"/>
          <w14:ligatures w14:val="standardContextual"/>
        </w:rPr>
        <w:t>MiC</w:t>
      </w:r>
      <w:r w:rsidR="003B6312">
        <w:rPr>
          <w:rFonts w:ascii="Verdana" w:hAnsi="Verdana" w:eastAsia="Calibri"/>
          <w:kern w:val="2"/>
          <w:sz w:val="18"/>
          <w:szCs w:val="18"/>
          <w:lang w:eastAsia="en-US"/>
          <w14:ligatures w14:val="standardContextual"/>
        </w:rPr>
        <w:t>A</w:t>
      </w:r>
      <w:proofErr w:type="spellEnd"/>
      <w:r w:rsidRPr="002309A3" w:rsidR="009C012F">
        <w:rPr>
          <w:rFonts w:ascii="Verdana" w:hAnsi="Verdana" w:eastAsia="Calibri"/>
          <w:kern w:val="2"/>
          <w:sz w:val="18"/>
          <w:szCs w:val="18"/>
          <w:lang w:eastAsia="en-US"/>
          <w14:ligatures w14:val="standardContextual"/>
        </w:rPr>
        <w:t xml:space="preserve"> </w:t>
      </w:r>
      <w:r w:rsidRPr="002309A3">
        <w:rPr>
          <w:rFonts w:ascii="Verdana" w:hAnsi="Verdana" w:eastAsia="Calibri"/>
          <w:kern w:val="2"/>
          <w:sz w:val="18"/>
          <w:szCs w:val="18"/>
          <w:lang w:eastAsia="en-US"/>
          <w14:ligatures w14:val="standardContextual"/>
        </w:rPr>
        <w:t xml:space="preserve">en de materiële voorschriften ter voorkoming van witwassen en het financieren van terrorisme </w:t>
      </w:r>
      <w:r w:rsidR="0067171D">
        <w:rPr>
          <w:rFonts w:ascii="Verdana" w:hAnsi="Verdana" w:eastAsia="Calibri"/>
          <w:kern w:val="2"/>
          <w:sz w:val="18"/>
          <w:szCs w:val="18"/>
          <w:lang w:eastAsia="en-US"/>
          <w14:ligatures w14:val="standardContextual"/>
        </w:rPr>
        <w:t>worden gereguleerd middels</w:t>
      </w:r>
      <w:r w:rsidR="000219A6">
        <w:rPr>
          <w:rFonts w:ascii="Verdana" w:hAnsi="Verdana" w:eastAsia="Calibri"/>
          <w:kern w:val="2"/>
          <w:sz w:val="18"/>
          <w:szCs w:val="18"/>
          <w:lang w:eastAsia="en-US"/>
          <w14:ligatures w14:val="standardContextual"/>
        </w:rPr>
        <w:t xml:space="preserve"> </w:t>
      </w:r>
      <w:r w:rsidR="0067171D">
        <w:rPr>
          <w:rFonts w:ascii="Verdana" w:hAnsi="Verdana" w:eastAsia="Calibri"/>
          <w:kern w:val="2"/>
          <w:sz w:val="18"/>
          <w:szCs w:val="18"/>
          <w:lang w:eastAsia="en-US"/>
          <w14:ligatures w14:val="standardContextual"/>
        </w:rPr>
        <w:t>T</w:t>
      </w:r>
      <w:r w:rsidR="00CC7EE2">
        <w:rPr>
          <w:rFonts w:ascii="Verdana" w:hAnsi="Verdana" w:eastAsia="Calibri"/>
          <w:kern w:val="2"/>
          <w:sz w:val="18"/>
          <w:szCs w:val="18"/>
          <w:lang w:eastAsia="en-US"/>
          <w14:ligatures w14:val="standardContextual"/>
        </w:rPr>
        <w:t>FR</w:t>
      </w:r>
      <w:r w:rsidR="00811ED5">
        <w:rPr>
          <w:rFonts w:ascii="Verdana" w:hAnsi="Verdana" w:eastAsia="Calibri"/>
          <w:kern w:val="2"/>
          <w:sz w:val="18"/>
          <w:szCs w:val="18"/>
          <w:lang w:eastAsia="en-US"/>
          <w14:ligatures w14:val="standardContextual"/>
        </w:rPr>
        <w:t xml:space="preserve"> en de implementatie daarvan in de </w:t>
      </w:r>
      <w:proofErr w:type="spellStart"/>
      <w:r w:rsidR="00811ED5">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 Alle categorieën aanbieders van </w:t>
      </w:r>
      <w:proofErr w:type="spellStart"/>
      <w:r w:rsidRPr="002309A3">
        <w:rPr>
          <w:rFonts w:ascii="Verdana" w:hAnsi="Verdana" w:eastAsia="Calibri"/>
          <w:kern w:val="2"/>
          <w:sz w:val="18"/>
          <w:szCs w:val="18"/>
          <w:lang w:eastAsia="en-US"/>
          <w14:ligatures w14:val="standardContextual"/>
        </w:rPr>
        <w:t>cryptoactivadiensten</w:t>
      </w:r>
      <w:proofErr w:type="spellEnd"/>
      <w:r w:rsidRPr="002309A3">
        <w:rPr>
          <w:rFonts w:ascii="Verdana" w:hAnsi="Verdana" w:eastAsia="Calibri"/>
          <w:kern w:val="2"/>
          <w:sz w:val="18"/>
          <w:szCs w:val="18"/>
          <w:lang w:eastAsia="en-US"/>
          <w14:ligatures w14:val="standardContextual"/>
        </w:rPr>
        <w:t xml:space="preserve"> die worden gereguleerd door </w:t>
      </w:r>
      <w:proofErr w:type="spellStart"/>
      <w:r w:rsidRPr="002309A3">
        <w:rPr>
          <w:rFonts w:ascii="Verdana" w:hAnsi="Verdana" w:eastAsia="Calibri"/>
          <w:kern w:val="2"/>
          <w:sz w:val="18"/>
          <w:szCs w:val="18"/>
          <w:lang w:eastAsia="en-US"/>
          <w14:ligatures w14:val="standardContextual"/>
        </w:rPr>
        <w:t>MiCA</w:t>
      </w:r>
      <w:proofErr w:type="spellEnd"/>
      <w:r w:rsidRPr="002309A3">
        <w:rPr>
          <w:rFonts w:ascii="Verdana" w:hAnsi="Verdana" w:eastAsia="Calibri"/>
          <w:kern w:val="2"/>
          <w:sz w:val="18"/>
          <w:szCs w:val="18"/>
          <w:lang w:eastAsia="en-US"/>
          <w14:ligatures w14:val="standardContextual"/>
        </w:rPr>
        <w:t xml:space="preserve">, behalve de aanbieders die advies verlenen over cryptoactiva, worden onder het bereik gebracht van de </w:t>
      </w:r>
      <w:proofErr w:type="spellStart"/>
      <w:r w:rsidR="00811ED5">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w:t>
      </w:r>
    </w:p>
    <w:p w:rsidR="00996AC6" w:rsidP="00DE2884" w:rsidRDefault="00996AC6" w14:paraId="768A03B2" w14:textId="4AEABBF6">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 xml:space="preserve">Welke gevolgen heeft dit voor de </w:t>
      </w:r>
      <w:proofErr w:type="spellStart"/>
      <w:r w:rsidRPr="002309A3">
        <w:rPr>
          <w:rFonts w:ascii="Verdana" w:hAnsi="Verdana" w:eastAsia="Calibri"/>
          <w:i/>
          <w:iCs/>
          <w:kern w:val="2"/>
          <w:sz w:val="18"/>
          <w:szCs w:val="18"/>
          <w:lang w:eastAsia="en-US"/>
          <w14:ligatures w14:val="standardContextual"/>
        </w:rPr>
        <w:t>toezichtskosten</w:t>
      </w:r>
      <w:proofErr w:type="spellEnd"/>
      <w:r w:rsidRPr="002309A3">
        <w:rPr>
          <w:rFonts w:ascii="Verdana" w:hAnsi="Verdana" w:eastAsia="Calibri"/>
          <w:i/>
          <w:iCs/>
          <w:kern w:val="2"/>
          <w:sz w:val="18"/>
          <w:szCs w:val="18"/>
          <w:lang w:eastAsia="en-US"/>
          <w14:ligatures w14:val="standardContextual"/>
        </w:rPr>
        <w:t>, regeldruk en administratieve lasten? Hoeveel extra fte’s zal de AFM moeten inzetten om deze wet te handhaven?</w:t>
      </w:r>
    </w:p>
    <w:p w:rsidRPr="002309A3" w:rsidR="002309A3" w:rsidP="00DE2884" w:rsidRDefault="002309A3" w14:paraId="33B93341" w14:textId="1C165FB6">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 xml:space="preserve">De vraag over de toezichtkosten wordt beantwoord </w:t>
      </w:r>
      <w:r w:rsidR="00922326">
        <w:rPr>
          <w:rFonts w:ascii="Verdana" w:hAnsi="Verdana" w:eastAsia="Calibri"/>
          <w:kern w:val="2"/>
          <w:sz w:val="18"/>
          <w:szCs w:val="18"/>
          <w:lang w:eastAsia="en-US"/>
          <w14:ligatures w14:val="standardContextual"/>
        </w:rPr>
        <w:t>in paragraaf</w:t>
      </w:r>
      <w:r w:rsidRPr="002309A3">
        <w:rPr>
          <w:rFonts w:ascii="Verdana" w:hAnsi="Verdana" w:eastAsia="Calibri"/>
          <w:kern w:val="2"/>
          <w:sz w:val="18"/>
          <w:szCs w:val="18"/>
          <w:lang w:eastAsia="en-US"/>
          <w14:ligatures w14:val="standardContextual"/>
        </w:rPr>
        <w:t xml:space="preserve"> 4.4., evenals de vraag over de hoeveelheid extra fte</w:t>
      </w:r>
      <w:r w:rsidR="005A0257">
        <w:rPr>
          <w:rFonts w:ascii="Verdana" w:hAnsi="Verdana" w:eastAsia="Calibri"/>
          <w:kern w:val="2"/>
          <w:sz w:val="18"/>
          <w:szCs w:val="18"/>
          <w:lang w:eastAsia="en-US"/>
          <w14:ligatures w14:val="standardContextual"/>
        </w:rPr>
        <w:t>’</w:t>
      </w:r>
      <w:r w:rsidRPr="002309A3">
        <w:rPr>
          <w:rFonts w:ascii="Verdana" w:hAnsi="Verdana" w:eastAsia="Calibri"/>
          <w:kern w:val="2"/>
          <w:sz w:val="18"/>
          <w:szCs w:val="18"/>
          <w:lang w:eastAsia="en-US"/>
          <w14:ligatures w14:val="standardContextual"/>
        </w:rPr>
        <w:t>s</w:t>
      </w:r>
      <w:r w:rsidR="005A0257">
        <w:rPr>
          <w:rFonts w:ascii="Verdana" w:hAnsi="Verdana" w:eastAsia="Calibri"/>
          <w:kern w:val="2"/>
          <w:sz w:val="18"/>
          <w:szCs w:val="18"/>
          <w:lang w:eastAsia="en-US"/>
          <w14:ligatures w14:val="standardContextual"/>
        </w:rPr>
        <w:t xml:space="preserve"> bij AFM</w:t>
      </w:r>
      <w:r w:rsidRPr="002309A3">
        <w:rPr>
          <w:rFonts w:ascii="Verdana" w:hAnsi="Verdana" w:eastAsia="Calibri"/>
          <w:kern w:val="2"/>
          <w:sz w:val="18"/>
          <w:szCs w:val="18"/>
          <w:lang w:eastAsia="en-US"/>
          <w14:ligatures w14:val="standardContextual"/>
        </w:rPr>
        <w:t>.</w:t>
      </w:r>
    </w:p>
    <w:p w:rsidRPr="002309A3" w:rsidR="002309A3" w:rsidP="00DE2884" w:rsidRDefault="002309A3" w14:paraId="62F000EE" w14:textId="7013F184">
      <w:pPr>
        <w:spacing w:after="160" w:line="240" w:lineRule="exact"/>
        <w:rPr>
          <w:rFonts w:ascii="Verdana" w:hAnsi="Verdana" w:eastAsia="Calibri"/>
          <w:kern w:val="2"/>
          <w:sz w:val="18"/>
          <w:szCs w:val="18"/>
          <w:lang w:eastAsia="en-US"/>
          <w14:ligatures w14:val="standardContextual"/>
        </w:rPr>
      </w:pPr>
      <w:r w:rsidRPr="002309A3">
        <w:rPr>
          <w:rFonts w:ascii="Verdana" w:hAnsi="Verdana" w:eastAsia="Calibri"/>
          <w:kern w:val="2"/>
          <w:sz w:val="18"/>
          <w:szCs w:val="18"/>
          <w:lang w:eastAsia="en-US"/>
          <w14:ligatures w14:val="standardContextual"/>
        </w:rPr>
        <w:t xml:space="preserve">De wijzigingen van </w:t>
      </w:r>
      <w:r w:rsidR="000B592E">
        <w:rPr>
          <w:rFonts w:ascii="Verdana" w:hAnsi="Verdana" w:eastAsia="Calibri"/>
          <w:kern w:val="2"/>
          <w:sz w:val="18"/>
          <w:szCs w:val="18"/>
          <w:lang w:eastAsia="en-US"/>
          <w14:ligatures w14:val="standardContextual"/>
        </w:rPr>
        <w:t xml:space="preserve">TFR </w:t>
      </w:r>
      <w:r w:rsidRPr="002309A3">
        <w:rPr>
          <w:rFonts w:ascii="Verdana" w:hAnsi="Verdana" w:eastAsia="Calibri"/>
          <w:kern w:val="2"/>
          <w:sz w:val="18"/>
          <w:szCs w:val="18"/>
          <w:lang w:eastAsia="en-US"/>
          <w14:ligatures w14:val="standardContextual"/>
        </w:rPr>
        <w:t xml:space="preserve">hebben veelal directe werking en behoeven geen nadere implementatie, </w:t>
      </w:r>
      <w:proofErr w:type="gramStart"/>
      <w:r w:rsidRPr="002309A3">
        <w:rPr>
          <w:rFonts w:ascii="Verdana" w:hAnsi="Verdana" w:eastAsia="Calibri"/>
          <w:kern w:val="2"/>
          <w:sz w:val="18"/>
          <w:szCs w:val="18"/>
          <w:lang w:eastAsia="en-US"/>
          <w14:ligatures w14:val="standardContextual"/>
        </w:rPr>
        <w:t>behoudens</w:t>
      </w:r>
      <w:proofErr w:type="gramEnd"/>
      <w:r w:rsidRPr="002309A3">
        <w:rPr>
          <w:rFonts w:ascii="Verdana" w:hAnsi="Verdana" w:eastAsia="Calibri"/>
          <w:kern w:val="2"/>
          <w:sz w:val="18"/>
          <w:szCs w:val="18"/>
          <w:lang w:eastAsia="en-US"/>
          <w14:ligatures w14:val="standardContextual"/>
        </w:rPr>
        <w:t xml:space="preserve"> enkele aanpassingen van verwijzingen in bestaande regelgeving. De regeldrukeffecten van deze bepalingen komen </w:t>
      </w:r>
      <w:proofErr w:type="gramStart"/>
      <w:r w:rsidRPr="002309A3">
        <w:rPr>
          <w:rFonts w:ascii="Verdana" w:hAnsi="Verdana" w:eastAsia="Calibri"/>
          <w:kern w:val="2"/>
          <w:sz w:val="18"/>
          <w:szCs w:val="18"/>
          <w:lang w:eastAsia="en-US"/>
          <w14:ligatures w14:val="standardContextual"/>
        </w:rPr>
        <w:t>derhalve</w:t>
      </w:r>
      <w:proofErr w:type="gramEnd"/>
      <w:r w:rsidRPr="002309A3">
        <w:rPr>
          <w:rFonts w:ascii="Verdana" w:hAnsi="Verdana" w:eastAsia="Calibri"/>
          <w:kern w:val="2"/>
          <w:sz w:val="18"/>
          <w:szCs w:val="18"/>
          <w:lang w:eastAsia="en-US"/>
          <w14:ligatures w14:val="standardContextual"/>
        </w:rPr>
        <w:t xml:space="preserve"> niet voort uit nationale regelgeving, </w:t>
      </w:r>
      <w:r w:rsidR="00811ED5">
        <w:rPr>
          <w:rFonts w:ascii="Verdana" w:hAnsi="Verdana" w:eastAsia="Calibri"/>
          <w:kern w:val="2"/>
          <w:sz w:val="18"/>
          <w:szCs w:val="18"/>
          <w:lang w:eastAsia="en-US"/>
          <w14:ligatures w14:val="standardContextual"/>
        </w:rPr>
        <w:t>en daarom</w:t>
      </w:r>
      <w:r w:rsidRPr="002309A3">
        <w:rPr>
          <w:rFonts w:ascii="Verdana" w:hAnsi="Verdana" w:eastAsia="Calibri"/>
          <w:kern w:val="2"/>
          <w:sz w:val="18"/>
          <w:szCs w:val="18"/>
          <w:lang w:eastAsia="en-US"/>
          <w14:ligatures w14:val="standardContextual"/>
        </w:rPr>
        <w:t xml:space="preserve"> worden de effecten voor regeldruk niet in beeld gebracht. </w:t>
      </w:r>
      <w:r w:rsidR="007E1716">
        <w:rPr>
          <w:rFonts w:ascii="Verdana" w:hAnsi="Verdana" w:eastAsia="Calibri"/>
          <w:kern w:val="2"/>
          <w:sz w:val="18"/>
          <w:szCs w:val="18"/>
          <w:lang w:eastAsia="en-US"/>
          <w14:ligatures w14:val="standardContextual"/>
        </w:rPr>
        <w:t>TFR</w:t>
      </w:r>
      <w:r w:rsidRPr="002309A3">
        <w:rPr>
          <w:rFonts w:ascii="Verdana" w:hAnsi="Verdana" w:eastAsia="Calibri"/>
          <w:kern w:val="2"/>
          <w:sz w:val="18"/>
          <w:szCs w:val="18"/>
          <w:lang w:eastAsia="en-US"/>
          <w14:ligatures w14:val="standardContextual"/>
        </w:rPr>
        <w:t xml:space="preserve"> wijzigt echter ook de vierde anti-witwasrichtlijn waarvan de nationale implementatie wel regeldrukeffecten in zich draagt. Zo wordt de reikwijdte </w:t>
      </w:r>
      <w:r w:rsidR="00811ED5">
        <w:rPr>
          <w:rFonts w:ascii="Verdana" w:hAnsi="Verdana" w:eastAsia="Calibri"/>
          <w:kern w:val="2"/>
          <w:sz w:val="18"/>
          <w:szCs w:val="18"/>
          <w:lang w:eastAsia="en-US"/>
          <w14:ligatures w14:val="standardContextual"/>
        </w:rPr>
        <w:t xml:space="preserve">van de </w:t>
      </w:r>
      <w:proofErr w:type="spellStart"/>
      <w:r w:rsidR="00811ED5">
        <w:rPr>
          <w:rFonts w:ascii="Verdana" w:hAnsi="Verdana" w:eastAsia="Calibri"/>
          <w:kern w:val="2"/>
          <w:sz w:val="18"/>
          <w:szCs w:val="18"/>
          <w:lang w:eastAsia="en-US"/>
          <w14:ligatures w14:val="standardContextual"/>
        </w:rPr>
        <w:t>Wwft</w:t>
      </w:r>
      <w:proofErr w:type="spellEnd"/>
      <w:r w:rsidR="00811ED5">
        <w:rPr>
          <w:rFonts w:ascii="Verdana" w:hAnsi="Verdana" w:eastAsia="Calibri"/>
          <w:kern w:val="2"/>
          <w:sz w:val="18"/>
          <w:szCs w:val="18"/>
          <w:lang w:eastAsia="en-US"/>
          <w14:ligatures w14:val="standardContextual"/>
        </w:rPr>
        <w:t xml:space="preserve"> </w:t>
      </w:r>
      <w:r w:rsidRPr="002309A3">
        <w:rPr>
          <w:rFonts w:ascii="Verdana" w:hAnsi="Verdana" w:eastAsia="Calibri"/>
          <w:kern w:val="2"/>
          <w:sz w:val="18"/>
          <w:szCs w:val="18"/>
          <w:lang w:eastAsia="en-US"/>
          <w14:ligatures w14:val="standardContextual"/>
        </w:rPr>
        <w:t xml:space="preserve">uitgebreid </w:t>
      </w:r>
      <w:r w:rsidR="00811ED5">
        <w:rPr>
          <w:rFonts w:ascii="Verdana" w:hAnsi="Verdana" w:eastAsia="Calibri"/>
          <w:kern w:val="2"/>
          <w:sz w:val="18"/>
          <w:szCs w:val="18"/>
          <w:lang w:eastAsia="en-US"/>
          <w14:ligatures w14:val="standardContextual"/>
        </w:rPr>
        <w:t xml:space="preserve">naar alle </w:t>
      </w:r>
      <w:proofErr w:type="spellStart"/>
      <w:r w:rsidR="00811ED5">
        <w:rPr>
          <w:rFonts w:ascii="Verdana" w:hAnsi="Verdana" w:eastAsia="Calibri"/>
          <w:kern w:val="2"/>
          <w:sz w:val="18"/>
          <w:szCs w:val="18"/>
          <w:lang w:eastAsia="en-US"/>
          <w14:ligatures w14:val="standardContextual"/>
        </w:rPr>
        <w:t>cryptoactivadienstverleners</w:t>
      </w:r>
      <w:proofErr w:type="spellEnd"/>
      <w:r w:rsidR="00811ED5">
        <w:rPr>
          <w:rFonts w:ascii="Verdana" w:hAnsi="Verdana" w:eastAsia="Calibri"/>
          <w:kern w:val="2"/>
          <w:sz w:val="18"/>
          <w:szCs w:val="18"/>
          <w:lang w:eastAsia="en-US"/>
          <w14:ligatures w14:val="standardContextual"/>
        </w:rPr>
        <w:t xml:space="preserve"> (behalve partijen die advies verlenen)</w:t>
      </w:r>
      <w:r w:rsidRPr="002309A3">
        <w:rPr>
          <w:rFonts w:ascii="Verdana" w:hAnsi="Verdana" w:eastAsia="Calibri"/>
          <w:kern w:val="2"/>
          <w:sz w:val="18"/>
          <w:szCs w:val="18"/>
          <w:lang w:eastAsia="en-US"/>
          <w14:ligatures w14:val="standardContextual"/>
        </w:rPr>
        <w:t xml:space="preserve">. Op dit moment vallen enkel de aanbieders van bewaarportemonnees en aanbieders van wisseldiensten tussen virtuele en fiduciaire valuta onder de </w:t>
      </w:r>
      <w:proofErr w:type="spellStart"/>
      <w:r w:rsidRPr="002309A3">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 en de Sanctiewet 1977. Voor deze partijen geldt dat zij aan een aantal nieuwe verplichtingen uit de </w:t>
      </w:r>
      <w:proofErr w:type="spellStart"/>
      <w:r w:rsidRPr="002309A3">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 zullen moeten voldoen die regeldruk opleveren. Voor de nieuwe aanbieders van </w:t>
      </w:r>
      <w:proofErr w:type="spellStart"/>
      <w:r w:rsidRPr="002309A3">
        <w:rPr>
          <w:rFonts w:ascii="Verdana" w:hAnsi="Verdana" w:eastAsia="Calibri"/>
          <w:kern w:val="2"/>
          <w:sz w:val="18"/>
          <w:szCs w:val="18"/>
          <w:lang w:eastAsia="en-US"/>
          <w14:ligatures w14:val="standardContextual"/>
        </w:rPr>
        <w:t>cryptoactivadiensten</w:t>
      </w:r>
      <w:proofErr w:type="spellEnd"/>
      <w:r w:rsidRPr="002309A3">
        <w:rPr>
          <w:rFonts w:ascii="Verdana" w:hAnsi="Verdana" w:eastAsia="Calibri"/>
          <w:kern w:val="2"/>
          <w:sz w:val="18"/>
          <w:szCs w:val="18"/>
          <w:lang w:eastAsia="en-US"/>
          <w14:ligatures w14:val="standardContextual"/>
        </w:rPr>
        <w:t xml:space="preserve"> die onder het bereik van de </w:t>
      </w:r>
      <w:proofErr w:type="spellStart"/>
      <w:r w:rsidRPr="002309A3">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 en Sanctiewet 1977 komen te vallen, geldt dat zij straks </w:t>
      </w:r>
      <w:r w:rsidR="009E3F3A">
        <w:rPr>
          <w:rFonts w:ascii="Verdana" w:hAnsi="Verdana" w:eastAsia="Calibri"/>
          <w:kern w:val="2"/>
          <w:sz w:val="18"/>
          <w:szCs w:val="18"/>
          <w:lang w:eastAsia="en-US"/>
          <w14:ligatures w14:val="standardContextual"/>
        </w:rPr>
        <w:t>zowel</w:t>
      </w:r>
      <w:r w:rsidRPr="002309A3">
        <w:rPr>
          <w:rFonts w:ascii="Verdana" w:hAnsi="Verdana" w:eastAsia="Calibri"/>
          <w:kern w:val="2"/>
          <w:sz w:val="18"/>
          <w:szCs w:val="18"/>
          <w:lang w:eastAsia="en-US"/>
          <w14:ligatures w14:val="standardContextual"/>
        </w:rPr>
        <w:t xml:space="preserve"> aan voor hen nieuwe verplichtingen uit de </w:t>
      </w:r>
      <w:proofErr w:type="spellStart"/>
      <w:r w:rsidRPr="002309A3">
        <w:rPr>
          <w:rFonts w:ascii="Verdana" w:hAnsi="Verdana" w:eastAsia="Calibri"/>
          <w:kern w:val="2"/>
          <w:sz w:val="18"/>
          <w:szCs w:val="18"/>
          <w:lang w:eastAsia="en-US"/>
          <w14:ligatures w14:val="standardContextual"/>
        </w:rPr>
        <w:t>Wwft</w:t>
      </w:r>
      <w:proofErr w:type="spellEnd"/>
      <w:r w:rsidRPr="002309A3">
        <w:rPr>
          <w:rFonts w:ascii="Verdana" w:hAnsi="Verdana" w:eastAsia="Calibri"/>
          <w:kern w:val="2"/>
          <w:sz w:val="18"/>
          <w:szCs w:val="18"/>
          <w:lang w:eastAsia="en-US"/>
          <w14:ligatures w14:val="standardContextual"/>
        </w:rPr>
        <w:t xml:space="preserve"> </w:t>
      </w:r>
      <w:r w:rsidR="009E3F3A">
        <w:rPr>
          <w:rFonts w:ascii="Verdana" w:hAnsi="Verdana" w:eastAsia="Calibri"/>
          <w:kern w:val="2"/>
          <w:sz w:val="18"/>
          <w:szCs w:val="18"/>
          <w:lang w:eastAsia="en-US"/>
          <w14:ligatures w14:val="standardContextual"/>
        </w:rPr>
        <w:t>als</w:t>
      </w:r>
      <w:r w:rsidRPr="002309A3">
        <w:rPr>
          <w:rFonts w:ascii="Verdana" w:hAnsi="Verdana" w:eastAsia="Calibri"/>
          <w:kern w:val="2"/>
          <w:sz w:val="18"/>
          <w:szCs w:val="18"/>
          <w:lang w:eastAsia="en-US"/>
          <w14:ligatures w14:val="standardContextual"/>
        </w:rPr>
        <w:t xml:space="preserve"> </w:t>
      </w:r>
      <w:r w:rsidR="009E3F3A">
        <w:rPr>
          <w:rFonts w:ascii="Verdana" w:hAnsi="Verdana" w:eastAsia="Calibri"/>
          <w:kern w:val="2"/>
          <w:sz w:val="18"/>
          <w:szCs w:val="18"/>
          <w:lang w:eastAsia="en-US"/>
          <w14:ligatures w14:val="standardContextual"/>
        </w:rPr>
        <w:t xml:space="preserve">uit de </w:t>
      </w:r>
      <w:r w:rsidRPr="002309A3">
        <w:rPr>
          <w:rFonts w:ascii="Verdana" w:hAnsi="Verdana" w:eastAsia="Calibri"/>
          <w:kern w:val="2"/>
          <w:sz w:val="18"/>
          <w:szCs w:val="18"/>
          <w:lang w:eastAsia="en-US"/>
          <w14:ligatures w14:val="standardContextual"/>
        </w:rPr>
        <w:t xml:space="preserve">Sanctiewet 1977 moeten voldoen. </w:t>
      </w:r>
    </w:p>
    <w:p w:rsidRPr="00996AC6" w:rsidR="00996AC6" w:rsidP="00DE2884" w:rsidRDefault="00996AC6" w14:paraId="21BBBC36" w14:textId="746CD53C">
      <w:pPr>
        <w:spacing w:after="160" w:line="240" w:lineRule="exact"/>
        <w:rPr>
          <w:rFonts w:ascii="Verdana" w:hAnsi="Verdana" w:eastAsia="Calibri"/>
          <w:i/>
          <w:iCs/>
          <w:kern w:val="2"/>
          <w:sz w:val="18"/>
          <w:szCs w:val="18"/>
          <w:lang w:eastAsia="en-US"/>
          <w14:ligatures w14:val="standardContextual"/>
        </w:rPr>
      </w:pPr>
      <w:r w:rsidRPr="002309A3">
        <w:rPr>
          <w:rFonts w:ascii="Verdana" w:hAnsi="Verdana" w:eastAsia="Calibri"/>
          <w:i/>
          <w:iCs/>
          <w:kern w:val="2"/>
          <w:sz w:val="18"/>
          <w:szCs w:val="18"/>
          <w:lang w:eastAsia="en-US"/>
          <w14:ligatures w14:val="standardContextual"/>
        </w:rPr>
        <w:t>Kan de regering deze vragen ook beantwoorden voor de Uitvoeringswet verordening cryptoactiva (Kamerstuk 36527)?</w:t>
      </w:r>
    </w:p>
    <w:p w:rsidRPr="003013C6" w:rsidR="00E23C6B" w:rsidP="00DE2884" w:rsidRDefault="00E23C6B" w14:paraId="5F53F42F" w14:textId="37843E83">
      <w:pPr>
        <w:spacing w:after="160" w:line="240" w:lineRule="exact"/>
        <w:rPr>
          <w:rFonts w:ascii="Verdana" w:hAnsi="Verdana" w:eastAsia="Calibri"/>
          <w:bCs/>
          <w:kern w:val="2"/>
          <w:sz w:val="18"/>
          <w:szCs w:val="18"/>
          <w:lang w:eastAsia="en-US"/>
          <w14:ligatures w14:val="standardContextual"/>
        </w:rPr>
      </w:pPr>
      <w:r>
        <w:rPr>
          <w:rFonts w:ascii="Verdana" w:hAnsi="Verdana" w:eastAsia="Calibri"/>
          <w:kern w:val="2"/>
          <w:sz w:val="18"/>
          <w:szCs w:val="18"/>
          <w:lang w:eastAsia="en-US"/>
          <w14:ligatures w14:val="standardContextual"/>
        </w:rPr>
        <w:lastRenderedPageBreak/>
        <w:t xml:space="preserve">Voor het antwoord op deze gestelde vragen in het kader van de </w:t>
      </w:r>
      <w:r w:rsidRPr="002309A3" w:rsidR="002309A3">
        <w:rPr>
          <w:rFonts w:ascii="Verdana" w:hAnsi="Verdana" w:eastAsia="Calibri"/>
          <w:kern w:val="2"/>
          <w:sz w:val="18"/>
          <w:szCs w:val="18"/>
          <w:lang w:eastAsia="en-US"/>
          <w14:ligatures w14:val="standardContextual"/>
        </w:rPr>
        <w:t>Uitvoeringswet verordening cryptoactiva</w:t>
      </w:r>
      <w:r>
        <w:rPr>
          <w:rFonts w:ascii="Verdana" w:hAnsi="Verdana" w:eastAsia="Calibri"/>
          <w:kern w:val="2"/>
          <w:sz w:val="18"/>
          <w:szCs w:val="18"/>
          <w:lang w:eastAsia="en-US"/>
          <w14:ligatures w14:val="standardContextual"/>
        </w:rPr>
        <w:t xml:space="preserve"> verwijs ik u graag naar </w:t>
      </w:r>
      <w:bookmarkEnd w:id="0"/>
      <w:r>
        <w:rPr>
          <w:rFonts w:ascii="Verdana" w:hAnsi="Verdana" w:eastAsia="Calibri"/>
          <w:kern w:val="2"/>
          <w:sz w:val="18"/>
          <w:szCs w:val="18"/>
          <w:lang w:eastAsia="en-US"/>
          <w14:ligatures w14:val="standardContextual"/>
        </w:rPr>
        <w:t xml:space="preserve">paragraaf 2 en 2.6. </w:t>
      </w:r>
      <w:proofErr w:type="gramStart"/>
      <w:r>
        <w:rPr>
          <w:rFonts w:ascii="Verdana" w:hAnsi="Verdana" w:eastAsia="Calibri"/>
          <w:kern w:val="2"/>
          <w:sz w:val="18"/>
          <w:szCs w:val="18"/>
          <w:lang w:eastAsia="en-US"/>
          <w14:ligatures w14:val="standardContextual"/>
        </w:rPr>
        <w:t>van</w:t>
      </w:r>
      <w:proofErr w:type="gramEnd"/>
      <w:r>
        <w:rPr>
          <w:rFonts w:ascii="Verdana" w:hAnsi="Verdana" w:eastAsia="Calibri"/>
          <w:kern w:val="2"/>
          <w:sz w:val="18"/>
          <w:szCs w:val="18"/>
          <w:lang w:eastAsia="en-US"/>
          <w14:ligatures w14:val="standardContextual"/>
        </w:rPr>
        <w:t xml:space="preserve"> de nota naar aanleiding van het verslag </w:t>
      </w:r>
      <w:r w:rsidRPr="00E23C6B">
        <w:rPr>
          <w:rFonts w:ascii="Verdana" w:hAnsi="Verdana" w:eastAsia="Calibri"/>
          <w:bCs/>
          <w:kern w:val="2"/>
          <w:sz w:val="18"/>
          <w:szCs w:val="18"/>
          <w:lang w:eastAsia="en-US"/>
          <w14:ligatures w14:val="standardContextual"/>
        </w:rPr>
        <w:t>Uitvoeringswet verordening cryptoactiva.</w:t>
      </w:r>
    </w:p>
    <w:p w:rsidRPr="002309A3" w:rsidR="002309A3" w:rsidP="00DE2884" w:rsidRDefault="002309A3" w14:paraId="0F052109" w14:textId="6A65D2C6">
      <w:pPr>
        <w:spacing w:after="160" w:line="240" w:lineRule="exact"/>
        <w:rPr>
          <w:rFonts w:ascii="Verdana" w:hAnsi="Verdana" w:eastAsia="Calibri"/>
          <w:b/>
          <w:bCs/>
          <w:i/>
          <w:iCs/>
          <w:kern w:val="2"/>
          <w:sz w:val="18"/>
          <w:szCs w:val="22"/>
          <w:lang w:eastAsia="en-US"/>
          <w14:ligatures w14:val="standardContextual"/>
        </w:rPr>
      </w:pPr>
      <w:r w:rsidRPr="002309A3">
        <w:rPr>
          <w:rFonts w:ascii="Verdana" w:hAnsi="Verdana" w:eastAsia="Calibri"/>
          <w:b/>
          <w:bCs/>
          <w:i/>
          <w:iCs/>
          <w:kern w:val="2"/>
          <w:sz w:val="18"/>
          <w:szCs w:val="22"/>
          <w:lang w:eastAsia="en-US"/>
          <w14:ligatures w14:val="standardContextual"/>
        </w:rPr>
        <w:t>Overig</w:t>
      </w:r>
    </w:p>
    <w:p w:rsidRPr="002309A3" w:rsidR="002309A3" w:rsidP="00DE2884" w:rsidRDefault="002309A3" w14:paraId="52D103FA"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De leden van de PVV-fractie vragen de regering om op de volgende vragen te reflecteren. Ten eerste vragen deze leden met betrekking tot transparantie en privacy hoe de balans tussen effectieve witwasbestrijding en de bescherming van de privacy van betrokkenen wordt gewaarborgd binnen de nieuwe regelgeving.      </w:t>
      </w:r>
    </w:p>
    <w:p w:rsidRPr="002309A3" w:rsidR="002309A3" w:rsidP="00DE2884" w:rsidRDefault="002309A3" w14:paraId="37926004" w14:textId="1107E8BD">
      <w:pPr>
        <w:spacing w:after="160"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De verschillende verwerkingen van persoonsgegevens op grond van het onderhavige wetsvoorstel volgen rechtstreeks uit verplichtingen uit de vierde anti-witwasrichtlijn. Bij de totstandkoming van de vierde anti-witwasrichtlijn is overwogen dat het belang van het voorkomen van witwassen en financieren van terrorisme het verwerken van persoonsgegevens rechtvaardigt. Tegelijkertijd dient het verwerken van persoonsgegevens beperkt te blijven tot hetgeen noodzakelijk is voor de naleving van de verplichtingen uit de vierde anti-witwasrichtlijn. Dit is ook uitdrukkelijk overwogen bij de totstandkoming van de vierde anti-witwasrichtlijn en komt terug in artikel 34a van de </w:t>
      </w:r>
      <w:proofErr w:type="spellStart"/>
      <w:r w:rsidRPr="002309A3">
        <w:rPr>
          <w:rFonts w:ascii="Verdana" w:hAnsi="Verdana" w:eastAsia="Calibri"/>
          <w:kern w:val="2"/>
          <w:sz w:val="18"/>
          <w:szCs w:val="22"/>
          <w:lang w:eastAsia="en-US"/>
          <w14:ligatures w14:val="standardContextual"/>
        </w:rPr>
        <w:t>Wwft</w:t>
      </w:r>
      <w:proofErr w:type="spellEnd"/>
      <w:r w:rsidRPr="002309A3">
        <w:rPr>
          <w:rFonts w:ascii="Verdana" w:hAnsi="Verdana" w:eastAsia="Calibri"/>
          <w:kern w:val="2"/>
          <w:sz w:val="18"/>
          <w:szCs w:val="22"/>
          <w:lang w:eastAsia="en-US"/>
          <w14:ligatures w14:val="standardContextual"/>
        </w:rPr>
        <w:t xml:space="preserve">. Persoonsgegevens die zijn verzameld in het kader van het cliëntenonderzoek mogen niet verder worden verwerkt voor een doel dat onverenigbaar is met dit nalevingsdoel. In artikel 34a </w:t>
      </w:r>
      <w:proofErr w:type="spellStart"/>
      <w:r w:rsidRPr="002309A3">
        <w:rPr>
          <w:rFonts w:ascii="Verdana" w:hAnsi="Verdana" w:eastAsia="Calibri"/>
          <w:kern w:val="2"/>
          <w:sz w:val="18"/>
          <w:szCs w:val="22"/>
          <w:lang w:eastAsia="en-US"/>
          <w14:ligatures w14:val="standardContextual"/>
        </w:rPr>
        <w:t>Wwft</w:t>
      </w:r>
      <w:proofErr w:type="spellEnd"/>
      <w:r w:rsidRPr="002309A3">
        <w:rPr>
          <w:rFonts w:ascii="Verdana" w:hAnsi="Verdana" w:eastAsia="Calibri"/>
          <w:kern w:val="2"/>
          <w:sz w:val="18"/>
          <w:szCs w:val="22"/>
          <w:lang w:eastAsia="en-US"/>
          <w14:ligatures w14:val="standardContextual"/>
        </w:rPr>
        <w:t xml:space="preserve"> zijn ook andere waarborgen verankerd ter bescherming van persoonsgegevens van cliënten. Zo dient een instelling een cliënt vooraf te informeren over het verwerken van de persoonsgegevens en gelden er bewaartermijnen en de plicht tot vernietiging van persoonsgegevens na verstrijking daarvan. Ook is de Algemene </w:t>
      </w:r>
      <w:r w:rsidR="00850FED">
        <w:rPr>
          <w:rFonts w:ascii="Verdana" w:hAnsi="Verdana" w:eastAsia="Calibri"/>
          <w:kern w:val="2"/>
          <w:sz w:val="18"/>
          <w:szCs w:val="22"/>
          <w:lang w:eastAsia="en-US"/>
          <w14:ligatures w14:val="standardContextual"/>
        </w:rPr>
        <w:t>V</w:t>
      </w:r>
      <w:r w:rsidRPr="002309A3">
        <w:rPr>
          <w:rFonts w:ascii="Verdana" w:hAnsi="Verdana" w:eastAsia="Calibri"/>
          <w:kern w:val="2"/>
          <w:sz w:val="18"/>
          <w:szCs w:val="22"/>
          <w:lang w:eastAsia="en-US"/>
          <w14:ligatures w14:val="standardContextual"/>
        </w:rPr>
        <w:t xml:space="preserve">erordening </w:t>
      </w:r>
      <w:r w:rsidR="00850FED">
        <w:rPr>
          <w:rFonts w:ascii="Verdana" w:hAnsi="Verdana" w:eastAsia="Calibri"/>
          <w:kern w:val="2"/>
          <w:sz w:val="18"/>
          <w:szCs w:val="22"/>
          <w:lang w:eastAsia="en-US"/>
          <w14:ligatures w14:val="standardContextual"/>
        </w:rPr>
        <w:t>G</w:t>
      </w:r>
      <w:r w:rsidRPr="002309A3">
        <w:rPr>
          <w:rFonts w:ascii="Verdana" w:hAnsi="Verdana" w:eastAsia="Calibri"/>
          <w:kern w:val="2"/>
          <w:sz w:val="18"/>
          <w:szCs w:val="22"/>
          <w:lang w:eastAsia="en-US"/>
          <w14:ligatures w14:val="standardContextual"/>
        </w:rPr>
        <w:t xml:space="preserve">egevensbescherming van toepassing wanneer er persoonsgegevens verwerkt worden. De Autoriteit Persoonsgegevens heeft op 26 september 2023 advies uitgebracht over het onderhavige wetsvoorstel. Zij heeft daarin aangegeven dat het wetsvoorstel haar geen aanleiding geeft tot het maken van opmerkingen. Hieruit kan ook worden opgemaakt dat in het onderhavig wetsvoorstel de bescherming van privacy afdoende is gewaarborgd. </w:t>
      </w:r>
    </w:p>
    <w:p w:rsidRPr="002309A3" w:rsidR="002309A3" w:rsidP="00DE2884" w:rsidRDefault="002309A3" w14:paraId="057A5D43"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Ten aanzien van de internationale vergelijking vragen de leden van de PVV-fractie hoe de striktheid van de Nederlandse implementatie van deze EU-verordening zich verhoudt tot die in andere EU-lidstaten, zoals Duitsland, waar strengere regels zijn opgelegd.      </w:t>
      </w:r>
    </w:p>
    <w:p w:rsidRPr="002309A3" w:rsidR="002309A3" w:rsidP="00DE2884" w:rsidRDefault="002309A3" w14:paraId="425884B8" w14:textId="1F453749">
      <w:pPr>
        <w:spacing w:after="160"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Het onderhavige wetsvoorstel ziet op implementatie van </w:t>
      </w:r>
      <w:r w:rsidR="004E639D">
        <w:rPr>
          <w:rFonts w:ascii="Verdana" w:hAnsi="Verdana" w:eastAsia="Calibri"/>
          <w:kern w:val="2"/>
          <w:sz w:val="18"/>
          <w:szCs w:val="22"/>
          <w:lang w:eastAsia="en-US"/>
          <w14:ligatures w14:val="standardContextual"/>
        </w:rPr>
        <w:t>een verordening</w:t>
      </w:r>
      <w:r w:rsidRPr="002309A3">
        <w:rPr>
          <w:rFonts w:ascii="Verdana" w:hAnsi="Verdana" w:eastAsia="Calibri"/>
          <w:kern w:val="2"/>
          <w:sz w:val="18"/>
          <w:szCs w:val="22"/>
          <w:lang w:eastAsia="en-US"/>
          <w14:ligatures w14:val="standardContextual"/>
        </w:rPr>
        <w:t xml:space="preserve">, wat weinig tot geen </w:t>
      </w:r>
      <w:r w:rsidR="004E639D">
        <w:rPr>
          <w:rFonts w:ascii="Verdana" w:hAnsi="Verdana" w:eastAsia="Calibri"/>
          <w:kern w:val="2"/>
          <w:sz w:val="18"/>
          <w:szCs w:val="22"/>
          <w:lang w:eastAsia="en-US"/>
          <w14:ligatures w14:val="standardContextual"/>
        </w:rPr>
        <w:t xml:space="preserve">nationale </w:t>
      </w:r>
      <w:r w:rsidRPr="002309A3">
        <w:rPr>
          <w:rFonts w:ascii="Verdana" w:hAnsi="Verdana" w:eastAsia="Calibri"/>
          <w:kern w:val="2"/>
          <w:sz w:val="18"/>
          <w:szCs w:val="22"/>
          <w:lang w:eastAsia="en-US"/>
          <w14:ligatures w14:val="standardContextual"/>
        </w:rPr>
        <w:t xml:space="preserve">beleidsruimte met zich meebrengt. In alle lidstaten, ook in Duitsland, gelden dezelfde inhoudelijke normen. Er waren een aantal lidstaatopties, waaronder een optie om langere bewaartermijnen aan te houden. Hiervan is geen gebruik gemaakt, omdat dit niet nodig werd geacht. Graag verwijs ik naar paragraaf 1 dat uitgebreider ingaat op de lidstaatopties en de keuzes die hierin zijn gemaakt.  </w:t>
      </w:r>
    </w:p>
    <w:p w:rsidRPr="002309A3" w:rsidR="002309A3" w:rsidP="00DE2884" w:rsidRDefault="002309A3" w14:paraId="58E85538" w14:textId="0AC14771">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De leden van de PVV-fractie vragen met betrekking tot toezicht en handhaving welke specifieke maatregelen er zijn genomen om te zorgen voor effectief toezicht en handhaving van deze regelgeving. En hoe zijn deze maatregelen afgestemd met bestaande structuren binnen de Wet op het financieel toezicht? </w:t>
      </w:r>
    </w:p>
    <w:p w:rsidRPr="002309A3" w:rsidR="002309A3" w:rsidP="00DE2884" w:rsidRDefault="002309A3" w14:paraId="641A1F08" w14:textId="7872420D">
      <w:pPr>
        <w:spacing w:after="160" w:line="240" w:lineRule="exact"/>
        <w:rPr>
          <w:rFonts w:ascii="Verdana" w:hAnsi="Verdana" w:eastAsia="Calibri"/>
          <w:bCs/>
          <w:i/>
          <w:iCs/>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Het toezicht op de naleving van </w:t>
      </w:r>
      <w:r w:rsidR="00AC4D94">
        <w:rPr>
          <w:rFonts w:ascii="Verdana" w:hAnsi="Verdana" w:eastAsia="Calibri"/>
          <w:kern w:val="2"/>
          <w:sz w:val="18"/>
          <w:szCs w:val="22"/>
          <w:lang w:eastAsia="en-US"/>
          <w14:ligatures w14:val="standardContextual"/>
        </w:rPr>
        <w:t>TFR</w:t>
      </w:r>
      <w:r w:rsidRPr="002309A3">
        <w:rPr>
          <w:rFonts w:ascii="Verdana" w:hAnsi="Verdana" w:eastAsia="Calibri"/>
          <w:kern w:val="2"/>
          <w:sz w:val="18"/>
          <w:szCs w:val="22"/>
          <w:lang w:eastAsia="en-US"/>
          <w14:ligatures w14:val="standardContextual"/>
        </w:rPr>
        <w:t xml:space="preserve"> en eventuele handhavende optreden van DNB of de AFM zal worden ingelijfd in het bestaande </w:t>
      </w:r>
      <w:r w:rsidR="00C027A0">
        <w:rPr>
          <w:rFonts w:ascii="Verdana" w:hAnsi="Verdana" w:eastAsia="Calibri"/>
          <w:kern w:val="2"/>
          <w:sz w:val="18"/>
          <w:szCs w:val="22"/>
          <w:lang w:eastAsia="en-US"/>
          <w14:ligatures w14:val="standardContextual"/>
        </w:rPr>
        <w:t xml:space="preserve">toezicht op de </w:t>
      </w:r>
      <w:r w:rsidRPr="002309A3">
        <w:rPr>
          <w:rFonts w:ascii="Verdana" w:hAnsi="Verdana" w:eastAsia="Calibri"/>
          <w:kern w:val="2"/>
          <w:sz w:val="18"/>
          <w:szCs w:val="22"/>
          <w:lang w:eastAsia="en-US"/>
          <w14:ligatures w14:val="standardContextual"/>
        </w:rPr>
        <w:t>W</w:t>
      </w:r>
      <w:r w:rsidR="00C027A0">
        <w:rPr>
          <w:rFonts w:ascii="Verdana" w:hAnsi="Verdana" w:eastAsia="Calibri"/>
          <w:kern w:val="2"/>
          <w:sz w:val="18"/>
          <w:szCs w:val="22"/>
          <w:lang w:eastAsia="en-US"/>
          <w14:ligatures w14:val="standardContextual"/>
        </w:rPr>
        <w:t xml:space="preserve">et ter voorkoming van </w:t>
      </w:r>
      <w:r w:rsidRPr="002309A3">
        <w:rPr>
          <w:rFonts w:ascii="Verdana" w:hAnsi="Verdana" w:eastAsia="Calibri"/>
          <w:kern w:val="2"/>
          <w:sz w:val="18"/>
          <w:szCs w:val="22"/>
          <w:lang w:eastAsia="en-US"/>
          <w14:ligatures w14:val="standardContextual"/>
        </w:rPr>
        <w:t>w</w:t>
      </w:r>
      <w:r w:rsidR="00C027A0">
        <w:rPr>
          <w:rFonts w:ascii="Verdana" w:hAnsi="Verdana" w:eastAsia="Calibri"/>
          <w:kern w:val="2"/>
          <w:sz w:val="18"/>
          <w:szCs w:val="22"/>
          <w:lang w:eastAsia="en-US"/>
          <w14:ligatures w14:val="standardContextual"/>
        </w:rPr>
        <w:t xml:space="preserve">itwassen en </w:t>
      </w:r>
      <w:r w:rsidRPr="002309A3">
        <w:rPr>
          <w:rFonts w:ascii="Verdana" w:hAnsi="Verdana" w:eastAsia="Calibri"/>
          <w:kern w:val="2"/>
          <w:sz w:val="18"/>
          <w:szCs w:val="22"/>
          <w:lang w:eastAsia="en-US"/>
          <w14:ligatures w14:val="standardContextual"/>
        </w:rPr>
        <w:t>f</w:t>
      </w:r>
      <w:r w:rsidR="00C027A0">
        <w:rPr>
          <w:rFonts w:ascii="Verdana" w:hAnsi="Verdana" w:eastAsia="Calibri"/>
          <w:kern w:val="2"/>
          <w:sz w:val="18"/>
          <w:szCs w:val="22"/>
          <w:lang w:eastAsia="en-US"/>
          <w14:ligatures w14:val="standardContextual"/>
        </w:rPr>
        <w:t xml:space="preserve">inancieren van </w:t>
      </w:r>
      <w:r w:rsidRPr="002309A3">
        <w:rPr>
          <w:rFonts w:ascii="Verdana" w:hAnsi="Verdana" w:eastAsia="Calibri"/>
          <w:kern w:val="2"/>
          <w:sz w:val="18"/>
          <w:szCs w:val="22"/>
          <w:lang w:eastAsia="en-US"/>
          <w14:ligatures w14:val="standardContextual"/>
        </w:rPr>
        <w:t>t</w:t>
      </w:r>
      <w:r w:rsidR="00C027A0">
        <w:rPr>
          <w:rFonts w:ascii="Verdana" w:hAnsi="Verdana" w:eastAsia="Calibri"/>
          <w:kern w:val="2"/>
          <w:sz w:val="18"/>
          <w:szCs w:val="22"/>
          <w:lang w:eastAsia="en-US"/>
          <w14:ligatures w14:val="standardContextual"/>
        </w:rPr>
        <w:t xml:space="preserve">errorisme, en </w:t>
      </w:r>
      <w:r w:rsidRPr="002309A3">
        <w:rPr>
          <w:rFonts w:ascii="Verdana" w:hAnsi="Verdana" w:eastAsia="Calibri"/>
          <w:kern w:val="2"/>
          <w:sz w:val="18"/>
          <w:szCs w:val="22"/>
          <w:lang w:eastAsia="en-US"/>
          <w14:ligatures w14:val="standardContextual"/>
        </w:rPr>
        <w:t>niet het toezicht</w:t>
      </w:r>
      <w:r w:rsidR="00C027A0">
        <w:rPr>
          <w:rFonts w:ascii="Verdana" w:hAnsi="Verdana" w:eastAsia="Calibri"/>
          <w:kern w:val="2"/>
          <w:sz w:val="18"/>
          <w:szCs w:val="22"/>
          <w:lang w:eastAsia="en-US"/>
          <w14:ligatures w14:val="standardContextual"/>
        </w:rPr>
        <w:t xml:space="preserve"> op de Wet op het financieel toezicht.</w:t>
      </w:r>
      <w:r w:rsidRPr="002309A3">
        <w:rPr>
          <w:rFonts w:ascii="Verdana" w:hAnsi="Verdana" w:eastAsia="Calibri"/>
          <w:kern w:val="2"/>
          <w:sz w:val="18"/>
          <w:szCs w:val="22"/>
          <w:lang w:eastAsia="en-US"/>
          <w14:ligatures w14:val="standardContextual"/>
        </w:rPr>
        <w:t xml:space="preserve"> </w:t>
      </w:r>
      <w:r w:rsidR="00C027A0">
        <w:rPr>
          <w:rFonts w:ascii="Verdana" w:hAnsi="Verdana" w:eastAsia="Calibri"/>
          <w:kern w:val="2"/>
          <w:sz w:val="18"/>
          <w:szCs w:val="22"/>
          <w:lang w:eastAsia="en-US"/>
          <w14:ligatures w14:val="standardContextual"/>
        </w:rPr>
        <w:t>Hierbij wordt aangesloten bij het</w:t>
      </w:r>
      <w:r w:rsidRPr="002309A3">
        <w:rPr>
          <w:rFonts w:ascii="Verdana" w:hAnsi="Verdana" w:eastAsia="Calibri"/>
          <w:kern w:val="2"/>
          <w:sz w:val="18"/>
          <w:szCs w:val="22"/>
          <w:lang w:eastAsia="en-US"/>
          <w14:ligatures w14:val="standardContextual"/>
        </w:rPr>
        <w:t xml:space="preserve"> bestaande toezicht- en handhavingsinstrumentarium</w:t>
      </w:r>
      <w:r w:rsidR="00C027A0">
        <w:rPr>
          <w:rFonts w:ascii="Verdana" w:hAnsi="Verdana" w:eastAsia="Calibri"/>
          <w:kern w:val="2"/>
          <w:sz w:val="18"/>
          <w:szCs w:val="22"/>
          <w:lang w:eastAsia="en-US"/>
          <w14:ligatures w14:val="standardContextual"/>
        </w:rPr>
        <w:t>, waaronder</w:t>
      </w:r>
      <w:r w:rsidRPr="002309A3">
        <w:rPr>
          <w:rFonts w:ascii="Verdana" w:hAnsi="Verdana" w:eastAsia="Calibri"/>
          <w:kern w:val="2"/>
          <w:sz w:val="18"/>
          <w:szCs w:val="22"/>
          <w:lang w:eastAsia="en-US"/>
          <w14:ligatures w14:val="standardContextual"/>
        </w:rPr>
        <w:t xml:space="preserve"> het doen van onderzoek, het opvragen van informatie en het opleggen van een (bestuurlijke) boete. </w:t>
      </w:r>
      <w:r w:rsidR="000B592E">
        <w:rPr>
          <w:rFonts w:ascii="Verdana" w:hAnsi="Verdana" w:eastAsia="Calibri"/>
          <w:kern w:val="2"/>
          <w:sz w:val="18"/>
          <w:szCs w:val="22"/>
          <w:lang w:eastAsia="en-US"/>
          <w14:ligatures w14:val="standardContextual"/>
        </w:rPr>
        <w:t>Graag verwijs ik ook naar paragraaf</w:t>
      </w:r>
      <w:r w:rsidRPr="002309A3">
        <w:rPr>
          <w:rFonts w:ascii="Verdana" w:hAnsi="Verdana" w:eastAsia="Calibri"/>
          <w:kern w:val="2"/>
          <w:sz w:val="18"/>
          <w:szCs w:val="22"/>
          <w:lang w:eastAsia="en-US"/>
          <w14:ligatures w14:val="standardContextual"/>
        </w:rPr>
        <w:t xml:space="preserve"> 4.4.</w:t>
      </w:r>
    </w:p>
    <w:p w:rsidRPr="002309A3" w:rsidR="002309A3" w:rsidP="00DE2884" w:rsidRDefault="002309A3" w14:paraId="59256001"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lastRenderedPageBreak/>
        <w:t xml:space="preserve">Voorts vragen de leden van de PVV-fractie ten aanzien van de impact op innovatie of de regering kan aangeven welke overwegingen zijn gemaakt om te zorgen dat de regelgeving innovatie binnen de sector van cryptoactiva niet onnodig belemmert.  </w:t>
      </w:r>
    </w:p>
    <w:p w:rsidRPr="002309A3" w:rsidR="002309A3" w:rsidP="00DE2884" w:rsidRDefault="002309A3" w14:paraId="1430EF1E" w14:textId="0FBA032C">
      <w:pPr>
        <w:spacing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Het onderhavig wetsvoorstel leidt ertoe dat cryptopartijen gelijke normen dienen na te leven op het gebied van het tegengaan van witwassen en terrorismefinanciering als andere dienstverleners in de financiële sector zoals banken, verzekeraars en vermogensbeheerders. Daarnaast dienen cryptopartijen op basis van </w:t>
      </w:r>
      <w:r w:rsidR="007E1716">
        <w:rPr>
          <w:rFonts w:ascii="Verdana" w:hAnsi="Verdana" w:eastAsia="Calibri"/>
          <w:kern w:val="2"/>
          <w:sz w:val="18"/>
          <w:szCs w:val="22"/>
          <w:lang w:eastAsia="en-US"/>
          <w14:ligatures w14:val="standardContextual"/>
        </w:rPr>
        <w:t>TFR</w:t>
      </w:r>
      <w:r w:rsidRPr="002309A3">
        <w:rPr>
          <w:rFonts w:ascii="Verdana" w:hAnsi="Verdana" w:eastAsia="Calibri"/>
          <w:kern w:val="2"/>
          <w:sz w:val="18"/>
          <w:szCs w:val="22"/>
          <w:lang w:eastAsia="en-US"/>
          <w14:ligatures w14:val="standardContextual"/>
        </w:rPr>
        <w:t xml:space="preserve"> informatie toe te voegen over de initiator en de begunstigde bij overdracht van cryptoactiva. Een soortgelijke verplichting geldt ook voor betaaldienstverleners</w:t>
      </w:r>
      <w:r w:rsidR="00C027A0">
        <w:rPr>
          <w:rFonts w:ascii="Verdana" w:hAnsi="Verdana" w:eastAsia="Calibri"/>
          <w:kern w:val="2"/>
          <w:sz w:val="18"/>
          <w:szCs w:val="22"/>
          <w:lang w:eastAsia="en-US"/>
          <w14:ligatures w14:val="standardContextual"/>
        </w:rPr>
        <w:t xml:space="preserve"> als het gaat om girale geldovermakingen</w:t>
      </w:r>
      <w:r w:rsidRPr="002309A3">
        <w:rPr>
          <w:rFonts w:ascii="Verdana" w:hAnsi="Verdana" w:eastAsia="Calibri"/>
          <w:kern w:val="2"/>
          <w:sz w:val="18"/>
          <w:szCs w:val="22"/>
          <w:lang w:eastAsia="en-US"/>
          <w14:ligatures w14:val="standardContextual"/>
        </w:rPr>
        <w:t>.</w:t>
      </w:r>
      <w:r w:rsidR="00C027A0">
        <w:rPr>
          <w:rFonts w:ascii="Verdana" w:hAnsi="Verdana" w:eastAsia="Calibri"/>
          <w:kern w:val="2"/>
          <w:sz w:val="18"/>
          <w:szCs w:val="22"/>
          <w:lang w:eastAsia="en-US"/>
          <w14:ligatures w14:val="standardContextual"/>
        </w:rPr>
        <w:t xml:space="preserve"> </w:t>
      </w:r>
      <w:r w:rsidRPr="002309A3">
        <w:rPr>
          <w:rFonts w:ascii="Verdana" w:hAnsi="Verdana" w:eastAsia="Calibri"/>
          <w:kern w:val="2"/>
          <w:sz w:val="18"/>
          <w:szCs w:val="22"/>
          <w:lang w:eastAsia="en-US"/>
          <w14:ligatures w14:val="standardContextual"/>
        </w:rPr>
        <w:t>Kortom, met onderhavig wetsvoorstel worden al bestaande normen ook opgelegd aan cryptopartijen. Deze verplichtingen zijn minimaal nodig om een integere financiële sector te waarborgen. De nieuwe eisen zullen ertoe leiden dat aanbieders van cryptodienstverleners meer informatie zullen moeten verzamelen en analyseren, wat zal zorgen voor meer werk aan de kant van deze partijen. Dit hoeft innovatie echter niet in de weg te liggen</w:t>
      </w:r>
      <w:r w:rsidR="00C027A0">
        <w:rPr>
          <w:rFonts w:ascii="Verdana" w:hAnsi="Verdana" w:eastAsia="Calibri"/>
          <w:kern w:val="2"/>
          <w:sz w:val="18"/>
          <w:szCs w:val="22"/>
          <w:lang w:eastAsia="en-US"/>
          <w14:ligatures w14:val="standardContextual"/>
        </w:rPr>
        <w:t xml:space="preserve"> – voor innovatie is het immers ook belangrijk dat men vertrouwen heeft in de sector, en daar draagt deze regelgeving aan bij.</w:t>
      </w:r>
    </w:p>
    <w:p w:rsidRPr="002309A3" w:rsidR="002309A3" w:rsidP="00DE2884" w:rsidRDefault="002309A3" w14:paraId="3451FE55" w14:textId="77777777">
      <w:pPr>
        <w:spacing w:line="240" w:lineRule="exact"/>
        <w:rPr>
          <w:rFonts w:ascii="Verdana" w:hAnsi="Verdana" w:eastAsia="Calibri"/>
          <w:kern w:val="2"/>
          <w:sz w:val="18"/>
          <w:szCs w:val="22"/>
          <w:lang w:eastAsia="en-US"/>
          <w14:ligatures w14:val="standardContextual"/>
        </w:rPr>
      </w:pPr>
    </w:p>
    <w:p w:rsidRPr="002309A3" w:rsidR="002309A3" w:rsidP="00DE2884" w:rsidRDefault="002309A3" w14:paraId="4896D1B4"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Ten aanzien van de risico's en veiligheid vragen de leden van de PVV-fractie welke stappen zijn ondernomen om de consumenten en investeerders te beschermen tegen de volatiliteit en de veiligheidsrisico's die gepaard gaan met cryptoactiva.      </w:t>
      </w:r>
    </w:p>
    <w:p w:rsidRPr="002309A3" w:rsidR="002309A3" w:rsidP="00DE2884" w:rsidRDefault="002309A3" w14:paraId="5CF7C386" w14:textId="1DB148EC">
      <w:pPr>
        <w:spacing w:after="160"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Onderhavig wetsvoorstel bevat enkel de maatregelen die gelden voor </w:t>
      </w:r>
      <w:proofErr w:type="spellStart"/>
      <w:r w:rsidRPr="002309A3">
        <w:rPr>
          <w:rFonts w:ascii="Verdana" w:hAnsi="Verdana" w:eastAsia="Calibri"/>
          <w:kern w:val="2"/>
          <w:sz w:val="18"/>
          <w:szCs w:val="22"/>
          <w:lang w:eastAsia="en-US"/>
          <w14:ligatures w14:val="standardContextual"/>
        </w:rPr>
        <w:t>cryptoactivadienstverleners</w:t>
      </w:r>
      <w:proofErr w:type="spellEnd"/>
      <w:r w:rsidRPr="002309A3">
        <w:rPr>
          <w:rFonts w:ascii="Verdana" w:hAnsi="Verdana" w:eastAsia="Calibri"/>
          <w:kern w:val="2"/>
          <w:sz w:val="18"/>
          <w:szCs w:val="22"/>
          <w:lang w:eastAsia="en-US"/>
          <w14:ligatures w14:val="standardContextual"/>
        </w:rPr>
        <w:t xml:space="preserve"> voor het tegenaan van witwassen en terrorismefinanciering, alle overige regels die gelden voor aanbieders van cryptoactiva en </w:t>
      </w:r>
      <w:proofErr w:type="spellStart"/>
      <w:r w:rsidRPr="002309A3">
        <w:rPr>
          <w:rFonts w:ascii="Verdana" w:hAnsi="Verdana" w:eastAsia="Calibri"/>
          <w:kern w:val="2"/>
          <w:sz w:val="18"/>
          <w:szCs w:val="22"/>
          <w:lang w:eastAsia="en-US"/>
          <w14:ligatures w14:val="standardContextual"/>
        </w:rPr>
        <w:t>cryptoactivadienstverleners</w:t>
      </w:r>
      <w:proofErr w:type="spellEnd"/>
      <w:r w:rsidRPr="002309A3">
        <w:rPr>
          <w:rFonts w:ascii="Verdana" w:hAnsi="Verdana" w:eastAsia="Calibri"/>
          <w:kern w:val="2"/>
          <w:sz w:val="18"/>
          <w:szCs w:val="22"/>
          <w:lang w:eastAsia="en-US"/>
          <w14:ligatures w14:val="standardContextual"/>
        </w:rPr>
        <w:t xml:space="preserve"> zijn vastgelegd in </w:t>
      </w:r>
      <w:proofErr w:type="spellStart"/>
      <w:r w:rsidR="005B362C">
        <w:rPr>
          <w:rFonts w:ascii="Verdana" w:hAnsi="Verdana" w:eastAsia="Calibri"/>
          <w:kern w:val="2"/>
          <w:sz w:val="18"/>
          <w:szCs w:val="22"/>
          <w:lang w:eastAsia="en-US"/>
          <w14:ligatures w14:val="standardContextual"/>
        </w:rPr>
        <w:t>MiCA</w:t>
      </w:r>
      <w:proofErr w:type="spellEnd"/>
      <w:r w:rsidR="005B362C">
        <w:rPr>
          <w:rFonts w:ascii="Verdana" w:hAnsi="Verdana" w:eastAsia="Calibri"/>
          <w:kern w:val="2"/>
          <w:sz w:val="18"/>
          <w:szCs w:val="22"/>
          <w:lang w:eastAsia="en-US"/>
          <w14:ligatures w14:val="standardContextual"/>
        </w:rPr>
        <w:t xml:space="preserve">. </w:t>
      </w:r>
      <w:r w:rsidRPr="002309A3">
        <w:rPr>
          <w:rFonts w:ascii="Verdana" w:hAnsi="Verdana" w:eastAsia="Calibri"/>
          <w:kern w:val="2"/>
          <w:sz w:val="18"/>
          <w:szCs w:val="22"/>
          <w:lang w:eastAsia="en-US"/>
          <w14:ligatures w14:val="standardContextual"/>
        </w:rPr>
        <w:t xml:space="preserve">Zo bevat </w:t>
      </w:r>
      <w:proofErr w:type="spellStart"/>
      <w:r w:rsidRPr="002309A3">
        <w:rPr>
          <w:rFonts w:ascii="Verdana" w:hAnsi="Verdana" w:eastAsia="Calibri"/>
          <w:kern w:val="2"/>
          <w:sz w:val="18"/>
          <w:szCs w:val="22"/>
          <w:lang w:eastAsia="en-US"/>
          <w14:ligatures w14:val="standardContextual"/>
        </w:rPr>
        <w:t>MiCA</w:t>
      </w:r>
      <w:proofErr w:type="spellEnd"/>
      <w:r w:rsidRPr="002309A3">
        <w:rPr>
          <w:rFonts w:ascii="Verdana" w:hAnsi="Verdana" w:eastAsia="Calibri"/>
          <w:kern w:val="2"/>
          <w:sz w:val="18"/>
          <w:szCs w:val="22"/>
          <w:lang w:eastAsia="en-US"/>
          <w14:ligatures w14:val="standardContextual"/>
        </w:rPr>
        <w:t xml:space="preserve"> regels over het informeren van consumenten over de aard van de cryptoactiva en risico’s die hiermee gepaard gaan en regels die erop toezien dat bij (bepaalde) cryptoactiva de volledige inleg ten alle tijden teruggevorderd kan worden door de consument. Graag verwijs ik de PVV-fractie naar de Uitvoeringswet </w:t>
      </w:r>
      <w:r w:rsidR="00691F30">
        <w:rPr>
          <w:rFonts w:ascii="Verdana" w:hAnsi="Verdana" w:eastAsia="Calibri"/>
          <w:kern w:val="2"/>
          <w:sz w:val="18"/>
          <w:szCs w:val="22"/>
          <w:lang w:eastAsia="en-US"/>
          <w14:ligatures w14:val="standardContextual"/>
        </w:rPr>
        <w:t>verordening cryptoactiva</w:t>
      </w:r>
      <w:r w:rsidRPr="002309A3">
        <w:rPr>
          <w:rFonts w:ascii="Verdana" w:hAnsi="Verdana" w:eastAsia="Calibri"/>
          <w:kern w:val="2"/>
          <w:sz w:val="18"/>
          <w:szCs w:val="22"/>
          <w:lang w:eastAsia="en-US"/>
          <w14:ligatures w14:val="standardContextual"/>
        </w:rPr>
        <w:t xml:space="preserve"> voor deze regels. </w:t>
      </w:r>
    </w:p>
    <w:p w:rsidRPr="002309A3" w:rsidR="002309A3" w:rsidP="00DE2884" w:rsidRDefault="002309A3" w14:paraId="2814E36B"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Op het gebied van internationale samenwerking vragen de leden van de PVV-fractie op welke manier samengewerkt wordt met internationale partners om de regelgeving rondom cryptoactiva te harmoniseren, gezien het internationale karakter van deze markten.      </w:t>
      </w:r>
    </w:p>
    <w:p w:rsidRPr="002309A3" w:rsidR="002309A3" w:rsidP="00DE2884" w:rsidRDefault="002309A3" w14:paraId="44653D63" w14:textId="206DA3B6">
      <w:pPr>
        <w:spacing w:after="160" w:line="240" w:lineRule="exact"/>
        <w:rPr>
          <w:rFonts w:ascii="Verdana" w:hAnsi="Verdana" w:eastAsia="Calibri"/>
          <w:kern w:val="2"/>
          <w:sz w:val="18"/>
          <w:szCs w:val="22"/>
          <w:lang w:eastAsia="en-US"/>
          <w14:ligatures w14:val="standardContextual"/>
        </w:rPr>
      </w:pPr>
      <w:r w:rsidRPr="002309A3">
        <w:rPr>
          <w:rFonts w:ascii="Verdana" w:hAnsi="Verdana" w:eastAsia="Calibri"/>
          <w:kern w:val="2"/>
          <w:sz w:val="18"/>
          <w:szCs w:val="22"/>
          <w:lang w:eastAsia="en-US"/>
          <w14:ligatures w14:val="standardContextual"/>
        </w:rPr>
        <w:t xml:space="preserve">Nederland neemt actief deel aan de Financial Action </w:t>
      </w:r>
      <w:proofErr w:type="spellStart"/>
      <w:r w:rsidRPr="002309A3">
        <w:rPr>
          <w:rFonts w:ascii="Verdana" w:hAnsi="Verdana" w:eastAsia="Calibri"/>
          <w:kern w:val="2"/>
          <w:sz w:val="18"/>
          <w:szCs w:val="22"/>
          <w:lang w:eastAsia="en-US"/>
          <w14:ligatures w14:val="standardContextual"/>
        </w:rPr>
        <w:t>Task</w:t>
      </w:r>
      <w:proofErr w:type="spellEnd"/>
      <w:r w:rsidRPr="002309A3">
        <w:rPr>
          <w:rFonts w:ascii="Verdana" w:hAnsi="Verdana" w:eastAsia="Calibri"/>
          <w:kern w:val="2"/>
          <w:sz w:val="18"/>
          <w:szCs w:val="22"/>
          <w:lang w:eastAsia="en-US"/>
          <w14:ligatures w14:val="standardContextual"/>
        </w:rPr>
        <w:t xml:space="preserve"> Force. In dit verband wordt internationaal nagedacht over maatregelen om witwassen en terrorismefinanciering tegen te gaan, ook met betrekking tot cryptoactiva. </w:t>
      </w:r>
      <w:r w:rsidR="004E639D">
        <w:rPr>
          <w:rFonts w:ascii="Verdana" w:hAnsi="Verdana" w:eastAsia="Calibri"/>
          <w:kern w:val="2"/>
          <w:sz w:val="18"/>
          <w:szCs w:val="22"/>
          <w:lang w:eastAsia="en-US"/>
          <w14:ligatures w14:val="standardContextual"/>
        </w:rPr>
        <w:t xml:space="preserve">De regels die voortvloeien uit TFR zijn dan ook gestoeld op de FATF-standaarden en sluiten daarmee aan op het internationaal afgesproken standaarden waar ook landen buiten de EU zich aan hebben gecommitteerd. </w:t>
      </w:r>
      <w:r w:rsidRPr="002309A3">
        <w:rPr>
          <w:rFonts w:ascii="Verdana" w:hAnsi="Verdana" w:eastAsia="Calibri"/>
          <w:kern w:val="2"/>
          <w:sz w:val="18"/>
          <w:szCs w:val="22"/>
          <w:lang w:eastAsia="en-US"/>
          <w14:ligatures w14:val="standardContextual"/>
        </w:rPr>
        <w:t>Daarnaast wordt in IMF, G20 en FSB verband de ontwikkelingen in cryptomarkten gemonitor</w:t>
      </w:r>
      <w:r w:rsidR="0015085C">
        <w:rPr>
          <w:rFonts w:ascii="Verdana" w:hAnsi="Verdana" w:eastAsia="Calibri"/>
          <w:kern w:val="2"/>
          <w:sz w:val="18"/>
          <w:szCs w:val="22"/>
          <w:lang w:eastAsia="en-US"/>
          <w14:ligatures w14:val="standardContextual"/>
        </w:rPr>
        <w:t>d</w:t>
      </w:r>
      <w:r w:rsidRPr="002309A3">
        <w:rPr>
          <w:rFonts w:ascii="Verdana" w:hAnsi="Verdana" w:eastAsia="Calibri"/>
          <w:kern w:val="2"/>
          <w:sz w:val="18"/>
          <w:szCs w:val="22"/>
          <w:lang w:eastAsia="en-US"/>
          <w14:ligatures w14:val="standardContextual"/>
        </w:rPr>
        <w:t xml:space="preserve"> waarbij en ook gesproken over de (</w:t>
      </w:r>
      <w:proofErr w:type="spellStart"/>
      <w:r w:rsidRPr="002309A3">
        <w:rPr>
          <w:rFonts w:ascii="Verdana" w:hAnsi="Verdana" w:eastAsia="Calibri"/>
          <w:kern w:val="2"/>
          <w:sz w:val="18"/>
          <w:szCs w:val="22"/>
          <w:lang w:eastAsia="en-US"/>
          <w14:ligatures w14:val="standardContextual"/>
        </w:rPr>
        <w:t>stabiliteits</w:t>
      </w:r>
      <w:proofErr w:type="spellEnd"/>
      <w:r w:rsidRPr="002309A3">
        <w:rPr>
          <w:rFonts w:ascii="Verdana" w:hAnsi="Verdana" w:eastAsia="Calibri"/>
          <w:kern w:val="2"/>
          <w:sz w:val="18"/>
          <w:szCs w:val="22"/>
          <w:lang w:eastAsia="en-US"/>
          <w14:ligatures w14:val="standardContextual"/>
        </w:rPr>
        <w:t xml:space="preserve">)risico’s, toezicht, en de regulering van cryptoactiva in verscheidene jurisdicties. Nederland draagt ook in deze samenwerkingsverbanden actief bij aan deze discussies, juist gezien de internationale aard van </w:t>
      </w:r>
      <w:proofErr w:type="spellStart"/>
      <w:r w:rsidRPr="002309A3">
        <w:rPr>
          <w:rFonts w:ascii="Verdana" w:hAnsi="Verdana" w:eastAsia="Calibri"/>
          <w:kern w:val="2"/>
          <w:sz w:val="18"/>
          <w:szCs w:val="22"/>
          <w:lang w:eastAsia="en-US"/>
          <w14:ligatures w14:val="standardContextual"/>
        </w:rPr>
        <w:t>cryptoactivamarkten</w:t>
      </w:r>
      <w:proofErr w:type="spellEnd"/>
      <w:r w:rsidRPr="002309A3">
        <w:rPr>
          <w:rFonts w:ascii="Verdana" w:hAnsi="Verdana" w:eastAsia="Calibri"/>
          <w:kern w:val="2"/>
          <w:sz w:val="18"/>
          <w:szCs w:val="22"/>
          <w:lang w:eastAsia="en-US"/>
          <w14:ligatures w14:val="standardContextual"/>
        </w:rPr>
        <w:t>.</w:t>
      </w:r>
    </w:p>
    <w:p w:rsidRPr="002309A3" w:rsidR="002309A3" w:rsidP="00DE2884" w:rsidRDefault="002309A3" w14:paraId="7AF0DDAC" w14:textId="0175AD2E">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De leden van de PVV-fractie vragen voorts in het kader van evaluatie en aanpassing hoe de regering de effectiviteit van deze wetgeving zal evalueren. En welke mechanismen zijn ingebouwd om de wetgeving indien nodig aan te passen aan snel veranderende technologische ontwikkelingen?                                       </w:t>
      </w:r>
    </w:p>
    <w:p w:rsidRPr="002309A3" w:rsidR="002309A3" w:rsidP="00DE2884" w:rsidRDefault="00CE2C6F" w14:paraId="0575001B" w14:textId="5D923E74">
      <w:pPr>
        <w:spacing w:after="160" w:line="240" w:lineRule="exact"/>
        <w:rPr>
          <w:rFonts w:ascii="Verdana" w:hAnsi="Verdana" w:eastAsia="Calibri"/>
          <w:kern w:val="2"/>
          <w:sz w:val="18"/>
          <w:szCs w:val="22"/>
          <w:lang w:eastAsia="en-US"/>
          <w14:ligatures w14:val="standardContextual"/>
        </w:rPr>
      </w:pPr>
      <w:r>
        <w:rPr>
          <w:rFonts w:ascii="Verdana" w:hAnsi="Verdana" w:eastAsia="Calibri"/>
          <w:kern w:val="2"/>
          <w:sz w:val="18"/>
          <w:szCs w:val="22"/>
          <w:lang w:eastAsia="en-US"/>
          <w14:ligatures w14:val="standardContextual"/>
        </w:rPr>
        <w:lastRenderedPageBreak/>
        <w:t>Voor het antwoord op d</w:t>
      </w:r>
      <w:r w:rsidRPr="002309A3" w:rsidR="002309A3">
        <w:rPr>
          <w:rFonts w:ascii="Verdana" w:hAnsi="Verdana" w:eastAsia="Calibri"/>
          <w:kern w:val="2"/>
          <w:sz w:val="18"/>
          <w:szCs w:val="22"/>
          <w:lang w:eastAsia="en-US"/>
          <w14:ligatures w14:val="standardContextual"/>
        </w:rPr>
        <w:t xml:space="preserve">e vraag van de PVV-fractie over hoe de regering de effectiviteit van de wetgeving zal evalueren, </w:t>
      </w:r>
      <w:r>
        <w:rPr>
          <w:rFonts w:ascii="Verdana" w:hAnsi="Verdana" w:eastAsia="Calibri"/>
          <w:kern w:val="2"/>
          <w:sz w:val="18"/>
          <w:szCs w:val="22"/>
          <w:lang w:eastAsia="en-US"/>
          <w14:ligatures w14:val="standardContextual"/>
        </w:rPr>
        <w:t xml:space="preserve">verwijs ik graag naar paragraaf </w:t>
      </w:r>
      <w:r w:rsidRPr="002309A3" w:rsidR="002309A3">
        <w:rPr>
          <w:rFonts w:ascii="Verdana" w:hAnsi="Verdana" w:eastAsia="Calibri"/>
          <w:kern w:val="2"/>
          <w:sz w:val="18"/>
          <w:szCs w:val="22"/>
          <w:lang w:eastAsia="en-US"/>
          <w14:ligatures w14:val="standardContextual"/>
        </w:rPr>
        <w:t xml:space="preserve">4.4. </w:t>
      </w:r>
      <w:proofErr w:type="gramStart"/>
      <w:r w:rsidR="005E7C4E">
        <w:rPr>
          <w:rFonts w:ascii="Verdana" w:hAnsi="Verdana" w:eastAsia="Calibri"/>
          <w:kern w:val="2"/>
          <w:sz w:val="18"/>
          <w:szCs w:val="22"/>
          <w:lang w:eastAsia="en-US"/>
          <w14:ligatures w14:val="standardContextual"/>
        </w:rPr>
        <w:t>waar</w:t>
      </w:r>
      <w:proofErr w:type="gramEnd"/>
      <w:r w:rsidR="005E7C4E">
        <w:rPr>
          <w:rFonts w:ascii="Verdana" w:hAnsi="Verdana" w:eastAsia="Calibri"/>
          <w:kern w:val="2"/>
          <w:sz w:val="18"/>
          <w:szCs w:val="22"/>
          <w:lang w:eastAsia="en-US"/>
          <w14:ligatures w14:val="standardContextual"/>
        </w:rPr>
        <w:t xml:space="preserve"> door de NSC</w:t>
      </w:r>
      <w:r w:rsidR="00C027A0">
        <w:rPr>
          <w:rFonts w:ascii="Verdana" w:hAnsi="Verdana" w:eastAsia="Calibri"/>
          <w:kern w:val="2"/>
          <w:sz w:val="18"/>
          <w:szCs w:val="22"/>
          <w:lang w:eastAsia="en-US"/>
          <w14:ligatures w14:val="standardContextual"/>
        </w:rPr>
        <w:t>-fractie</w:t>
      </w:r>
      <w:r w:rsidR="005E7C4E">
        <w:rPr>
          <w:rFonts w:ascii="Verdana" w:hAnsi="Verdana" w:eastAsia="Calibri"/>
          <w:kern w:val="2"/>
          <w:sz w:val="18"/>
          <w:szCs w:val="22"/>
          <w:lang w:eastAsia="en-US"/>
          <w14:ligatures w14:val="standardContextual"/>
        </w:rPr>
        <w:t xml:space="preserve"> een vraag van soortgelijke strekking is gesteld.</w:t>
      </w:r>
    </w:p>
    <w:p w:rsidRPr="002309A3" w:rsidR="002309A3" w:rsidP="00DE2884" w:rsidRDefault="007E1716" w14:paraId="7491BF95" w14:textId="08DAEC9A">
      <w:pPr>
        <w:spacing w:after="160" w:line="240" w:lineRule="exact"/>
        <w:rPr>
          <w:rFonts w:ascii="Verdana" w:hAnsi="Verdana" w:eastAsia="Calibri"/>
          <w:kern w:val="2"/>
          <w:sz w:val="18"/>
          <w:szCs w:val="22"/>
          <w:lang w:eastAsia="en-US"/>
          <w14:ligatures w14:val="standardContextual"/>
        </w:rPr>
      </w:pP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verwijst naar </w:t>
      </w:r>
      <w:proofErr w:type="spellStart"/>
      <w:r w:rsidRPr="002309A3" w:rsidR="002309A3">
        <w:rPr>
          <w:rFonts w:ascii="Verdana" w:hAnsi="Verdana" w:eastAsia="Calibri"/>
          <w:kern w:val="2"/>
          <w:sz w:val="18"/>
          <w:szCs w:val="22"/>
          <w:lang w:eastAsia="en-US"/>
          <w14:ligatures w14:val="standardContextual"/>
        </w:rPr>
        <w:t>MiCA</w:t>
      </w:r>
      <w:proofErr w:type="spellEnd"/>
      <w:r w:rsidRPr="002309A3" w:rsidR="002309A3">
        <w:rPr>
          <w:rFonts w:ascii="Verdana" w:hAnsi="Verdana" w:eastAsia="Calibri"/>
          <w:kern w:val="2"/>
          <w:sz w:val="18"/>
          <w:szCs w:val="22"/>
          <w:lang w:eastAsia="en-US"/>
          <w14:ligatures w14:val="standardContextual"/>
        </w:rPr>
        <w:t xml:space="preserve"> voor haar toepassingsbereik. Zodra de reikwijdte van </w:t>
      </w:r>
      <w:proofErr w:type="spellStart"/>
      <w:r w:rsidRPr="002309A3" w:rsidR="002309A3">
        <w:rPr>
          <w:rFonts w:ascii="Verdana" w:hAnsi="Verdana" w:eastAsia="Calibri"/>
          <w:kern w:val="2"/>
          <w:sz w:val="18"/>
          <w:szCs w:val="22"/>
          <w:lang w:eastAsia="en-US"/>
          <w14:ligatures w14:val="standardContextual"/>
        </w:rPr>
        <w:t>MiCA</w:t>
      </w:r>
      <w:proofErr w:type="spellEnd"/>
      <w:r w:rsidRPr="002309A3" w:rsidR="002309A3">
        <w:rPr>
          <w:rFonts w:ascii="Verdana" w:hAnsi="Verdana" w:eastAsia="Calibri"/>
          <w:kern w:val="2"/>
          <w:sz w:val="18"/>
          <w:szCs w:val="22"/>
          <w:lang w:eastAsia="en-US"/>
          <w14:ligatures w14:val="standardContextual"/>
        </w:rPr>
        <w:t xml:space="preserve"> uitbreidt, zal </w:t>
      </w: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automatisch van toepassing worden op nieuwe partijen. Dit omdat </w:t>
      </w:r>
      <w:r>
        <w:rPr>
          <w:rFonts w:ascii="Verdana" w:hAnsi="Verdana" w:eastAsia="Calibri"/>
          <w:kern w:val="2"/>
          <w:sz w:val="18"/>
          <w:szCs w:val="22"/>
          <w:lang w:eastAsia="en-US"/>
          <w14:ligatures w14:val="standardContextual"/>
        </w:rPr>
        <w:t>TFR</w:t>
      </w:r>
      <w:r w:rsidRPr="002309A3" w:rsidR="002309A3">
        <w:rPr>
          <w:rFonts w:ascii="Verdana" w:hAnsi="Verdana" w:eastAsia="Calibri"/>
          <w:kern w:val="2"/>
          <w:sz w:val="18"/>
          <w:szCs w:val="22"/>
          <w:lang w:eastAsia="en-US"/>
          <w14:ligatures w14:val="standardContextual"/>
        </w:rPr>
        <w:t xml:space="preserve"> rechtstreekse werking kent. Daarbij is </w:t>
      </w:r>
      <w:proofErr w:type="spellStart"/>
      <w:r w:rsidRPr="002309A3" w:rsidR="002309A3">
        <w:rPr>
          <w:rFonts w:ascii="Verdana" w:hAnsi="Verdana" w:eastAsia="Calibri"/>
          <w:kern w:val="2"/>
          <w:sz w:val="18"/>
          <w:szCs w:val="22"/>
          <w:lang w:eastAsia="en-US"/>
          <w14:ligatures w14:val="standardContextual"/>
        </w:rPr>
        <w:t>MiCA</w:t>
      </w:r>
      <w:proofErr w:type="spellEnd"/>
      <w:r w:rsidRPr="002309A3" w:rsidR="002309A3">
        <w:rPr>
          <w:rFonts w:ascii="Verdana" w:hAnsi="Verdana" w:eastAsia="Calibri"/>
          <w:kern w:val="2"/>
          <w:sz w:val="18"/>
          <w:szCs w:val="22"/>
          <w:lang w:eastAsia="en-US"/>
          <w14:ligatures w14:val="standardContextual"/>
        </w:rPr>
        <w:t xml:space="preserve"> zo technisch neutraal mogelijk ingestoken</w:t>
      </w:r>
      <w:r w:rsidR="00A87DD3">
        <w:rPr>
          <w:rFonts w:ascii="Verdana" w:hAnsi="Verdana" w:eastAsia="Calibri"/>
          <w:kern w:val="2"/>
          <w:sz w:val="18"/>
          <w:szCs w:val="22"/>
          <w:lang w:eastAsia="en-US"/>
          <w14:ligatures w14:val="standardContextual"/>
        </w:rPr>
        <w:t xml:space="preserve"> en is </w:t>
      </w:r>
      <w:r w:rsidRPr="002309A3" w:rsidR="002309A3">
        <w:rPr>
          <w:rFonts w:ascii="Verdana" w:hAnsi="Verdana" w:eastAsia="Calibri"/>
          <w:kern w:val="2"/>
          <w:sz w:val="18"/>
          <w:szCs w:val="22"/>
          <w:lang w:eastAsia="en-US"/>
          <w14:ligatures w14:val="standardContextual"/>
        </w:rPr>
        <w:t>geprobeerd rekening te houden met snel veranderende technologische ontwikkelingen</w:t>
      </w:r>
      <w:r w:rsidR="00A87DD3">
        <w:rPr>
          <w:rFonts w:ascii="Verdana" w:hAnsi="Verdana" w:eastAsia="Calibri"/>
          <w:kern w:val="2"/>
          <w:sz w:val="18"/>
          <w:szCs w:val="22"/>
          <w:lang w:eastAsia="en-US"/>
          <w14:ligatures w14:val="standardContextual"/>
        </w:rPr>
        <w:t xml:space="preserve"> bij het opstellen van definities</w:t>
      </w:r>
      <w:r w:rsidRPr="002309A3" w:rsidR="002309A3">
        <w:rPr>
          <w:rFonts w:ascii="Verdana" w:hAnsi="Verdana" w:eastAsia="Calibri"/>
          <w:kern w:val="2"/>
          <w:sz w:val="18"/>
          <w:szCs w:val="22"/>
          <w:lang w:eastAsia="en-US"/>
          <w14:ligatures w14:val="standardContextual"/>
        </w:rPr>
        <w:t>.</w:t>
      </w:r>
    </w:p>
    <w:p w:rsidRPr="002309A3" w:rsidR="002309A3" w:rsidP="00DE2884" w:rsidRDefault="002309A3" w14:paraId="166FA4AD"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 xml:space="preserve">Ook vragen de leden van de PVV-fractie wat de verwachte impact van deze regelgeving op de Nederlandse financiële markten en de bredere economie is.   </w:t>
      </w:r>
    </w:p>
    <w:p w:rsidR="002309A3" w:rsidP="00DE2884" w:rsidRDefault="002309A3" w14:paraId="540D49E7" w14:textId="58F2F3F4">
      <w:pPr>
        <w:spacing w:line="240" w:lineRule="exact"/>
        <w:rPr>
          <w:rFonts w:ascii="Verdana" w:hAnsi="Verdana"/>
          <w:sz w:val="18"/>
          <w:szCs w:val="18"/>
        </w:rPr>
      </w:pPr>
      <w:r w:rsidRPr="00A467A1">
        <w:rPr>
          <w:rFonts w:ascii="Verdana" w:hAnsi="Verdana" w:eastAsia="Calibri"/>
          <w:sz w:val="18"/>
          <w:szCs w:val="18"/>
        </w:rPr>
        <w:t>Voor de financiële markten geldt dat er meer gereguleerde partijen bijkomen die kosten zullen maken i.v.m. naleving van de regels. Er wordt geen significante impact verwacht op de bredere economie</w:t>
      </w:r>
      <w:r w:rsidRPr="00A467A1" w:rsidR="004E639D">
        <w:rPr>
          <w:rFonts w:ascii="Verdana" w:hAnsi="Verdana" w:eastAsia="Calibri"/>
          <w:sz w:val="18"/>
          <w:szCs w:val="18"/>
        </w:rPr>
        <w:t>,</w:t>
      </w:r>
      <w:r w:rsidRPr="00A467A1">
        <w:rPr>
          <w:rFonts w:ascii="Verdana" w:hAnsi="Verdana" w:eastAsia="Calibri"/>
          <w:sz w:val="18"/>
          <w:szCs w:val="18"/>
        </w:rPr>
        <w:t xml:space="preserve"> anders dan dat er meer criminele geldstromen onderschept </w:t>
      </w:r>
      <w:r w:rsidRPr="00A467A1" w:rsidR="004E639D">
        <w:rPr>
          <w:rFonts w:ascii="Verdana" w:hAnsi="Verdana" w:eastAsia="Calibri"/>
          <w:sz w:val="18"/>
          <w:szCs w:val="18"/>
        </w:rPr>
        <w:t xml:space="preserve">en gestopt </w:t>
      </w:r>
      <w:r w:rsidRPr="00A467A1">
        <w:rPr>
          <w:rFonts w:ascii="Verdana" w:hAnsi="Verdana" w:eastAsia="Calibri"/>
          <w:sz w:val="18"/>
          <w:szCs w:val="18"/>
        </w:rPr>
        <w:t>zullen worden.</w:t>
      </w:r>
      <w:r w:rsidRPr="00A467A1" w:rsidR="004E639D">
        <w:rPr>
          <w:rFonts w:ascii="Verdana" w:hAnsi="Verdana" w:eastAsia="Calibri"/>
          <w:sz w:val="18"/>
          <w:szCs w:val="18"/>
        </w:rPr>
        <w:t xml:space="preserve"> Daarnaast leidt het tot meer en betere informatie die cryptodienstverleners kunnen gebruiken om effectief en efficiënt te voldoen aan de eisen van hun poortwachtersfunctie. De informatie kan daarnaast ook door opsporingsdiensten gebruikt worden om criminele transacties op te sporen.</w:t>
      </w:r>
      <w:r w:rsidRPr="00A467A1" w:rsidR="005D4688">
        <w:rPr>
          <w:rFonts w:ascii="Verdana" w:hAnsi="Verdana" w:eastAsia="Calibri"/>
          <w:sz w:val="18"/>
          <w:szCs w:val="18"/>
        </w:rPr>
        <w:t xml:space="preserve"> Daarnaast zijn er derde partij dienstverleners die technische oplossingen voor het </w:t>
      </w:r>
      <w:r w:rsidR="00A467A1">
        <w:rPr>
          <w:rFonts w:ascii="Verdana" w:hAnsi="Verdana" w:eastAsia="Calibri"/>
          <w:sz w:val="18"/>
          <w:szCs w:val="18"/>
        </w:rPr>
        <w:t xml:space="preserve">onderling uitwisselen van informatie </w:t>
      </w:r>
      <w:r w:rsidR="00A87DD3">
        <w:rPr>
          <w:rFonts w:ascii="Verdana" w:hAnsi="Verdana" w:eastAsia="Calibri"/>
          <w:sz w:val="18"/>
          <w:szCs w:val="18"/>
        </w:rPr>
        <w:t>ontwikkelen</w:t>
      </w:r>
      <w:r w:rsidRPr="00A467A1" w:rsidR="005D4688">
        <w:rPr>
          <w:rFonts w:ascii="Verdana" w:hAnsi="Verdana" w:eastAsia="Calibri"/>
          <w:sz w:val="18"/>
          <w:szCs w:val="18"/>
        </w:rPr>
        <w:t>.</w:t>
      </w:r>
    </w:p>
    <w:p w:rsidRPr="00A467A1" w:rsidR="00A467A1" w:rsidP="00DE2884" w:rsidRDefault="00A467A1" w14:paraId="5159E967" w14:textId="77777777">
      <w:pPr>
        <w:spacing w:line="240" w:lineRule="exact"/>
        <w:rPr>
          <w:rFonts w:ascii="Verdana" w:hAnsi="Verdana"/>
          <w:sz w:val="18"/>
          <w:szCs w:val="18"/>
        </w:rPr>
      </w:pPr>
    </w:p>
    <w:p w:rsidRPr="002309A3" w:rsidR="002309A3" w:rsidP="00DE2884" w:rsidRDefault="002309A3" w14:paraId="1CD90095" w14:textId="77777777">
      <w:pPr>
        <w:spacing w:after="160" w:line="240" w:lineRule="exact"/>
        <w:rPr>
          <w:rFonts w:ascii="Verdana" w:hAnsi="Verdana" w:eastAsia="Calibri"/>
          <w:i/>
          <w:iCs/>
          <w:kern w:val="2"/>
          <w:sz w:val="18"/>
          <w:szCs w:val="22"/>
          <w:lang w:eastAsia="en-US"/>
          <w14:ligatures w14:val="standardContextual"/>
        </w:rPr>
      </w:pPr>
      <w:r w:rsidRPr="002309A3">
        <w:rPr>
          <w:rFonts w:ascii="Verdana" w:hAnsi="Verdana" w:eastAsia="Calibri"/>
          <w:i/>
          <w:iCs/>
          <w:kern w:val="2"/>
          <w:sz w:val="18"/>
          <w:szCs w:val="22"/>
          <w:lang w:eastAsia="en-US"/>
          <w14:ligatures w14:val="standardContextual"/>
        </w:rPr>
        <w:t>Tot slot vragen de leden van de PVV-fractie welke specifieke maatregelen in de wetgeving zijn opgenomen om bijvoorbeeld marktmanipulatie te voorkomen.</w:t>
      </w:r>
    </w:p>
    <w:p w:rsidRPr="002309A3" w:rsidR="00A467A1" w:rsidP="00DE2884" w:rsidRDefault="002D7934" w14:paraId="5AC83F93" w14:textId="77777777">
      <w:pPr>
        <w:spacing w:after="160" w:line="240" w:lineRule="exact"/>
        <w:rPr>
          <w:rFonts w:ascii="Verdana" w:hAnsi="Verdana" w:eastAsia="Calibri"/>
          <w:kern w:val="2"/>
          <w:sz w:val="18"/>
          <w:szCs w:val="22"/>
          <w:lang w:eastAsia="en-US"/>
          <w14:ligatures w14:val="standardContextual"/>
        </w:rPr>
      </w:pPr>
      <w:proofErr w:type="spellStart"/>
      <w:r>
        <w:rPr>
          <w:rFonts w:ascii="Verdana" w:hAnsi="Verdana" w:eastAsia="Calibri"/>
          <w:kern w:val="2"/>
          <w:sz w:val="18"/>
          <w:szCs w:val="22"/>
          <w:lang w:eastAsia="en-US"/>
          <w14:ligatures w14:val="standardContextual"/>
        </w:rPr>
        <w:t>MiCA</w:t>
      </w:r>
      <w:proofErr w:type="spellEnd"/>
      <w:r w:rsidRPr="002309A3" w:rsidR="002309A3">
        <w:rPr>
          <w:rFonts w:ascii="Verdana" w:hAnsi="Verdana" w:eastAsia="Calibri"/>
          <w:kern w:val="2"/>
          <w:sz w:val="18"/>
          <w:szCs w:val="22"/>
          <w:lang w:eastAsia="en-US"/>
          <w14:ligatures w14:val="standardContextual"/>
        </w:rPr>
        <w:t xml:space="preserve"> bevat een verbod op marktmanipulatie. Om marktmanipulatie te voorkomen moet iedereen die beroepshalve transacties in cryptoactiva tot stand brengt of uitvoert, beschikken over systemen en procedures voor de preventie en opsporing van marktmisbruik. Zo is er een meldingsplicht wanneer er een vermoeden is van marktmanipulatie.</w:t>
      </w:r>
      <w:r w:rsidR="00A467A1">
        <w:rPr>
          <w:rFonts w:ascii="Verdana" w:hAnsi="Verdana" w:eastAsia="Calibri"/>
          <w:kern w:val="2"/>
          <w:sz w:val="18"/>
          <w:szCs w:val="22"/>
          <w:lang w:eastAsia="en-US"/>
          <w14:ligatures w14:val="standardContextual"/>
        </w:rPr>
        <w:t xml:space="preserve"> </w:t>
      </w:r>
      <w:r w:rsidRPr="002309A3" w:rsidR="00A467A1">
        <w:rPr>
          <w:rFonts w:ascii="Verdana" w:hAnsi="Verdana" w:eastAsia="Calibri"/>
          <w:kern w:val="2"/>
          <w:sz w:val="18"/>
          <w:szCs w:val="22"/>
          <w:lang w:eastAsia="en-US"/>
          <w14:ligatures w14:val="standardContextual"/>
        </w:rPr>
        <w:t xml:space="preserve">Graag verwijs ik de PVV-fractie naar de Uitvoeringswet </w:t>
      </w:r>
      <w:r w:rsidR="00A467A1">
        <w:rPr>
          <w:rFonts w:ascii="Verdana" w:hAnsi="Verdana" w:eastAsia="Calibri"/>
          <w:kern w:val="2"/>
          <w:sz w:val="18"/>
          <w:szCs w:val="22"/>
          <w:lang w:eastAsia="en-US"/>
          <w14:ligatures w14:val="standardContextual"/>
        </w:rPr>
        <w:t>verordening cryptoactiva</w:t>
      </w:r>
      <w:r w:rsidRPr="002309A3" w:rsidR="00A467A1">
        <w:rPr>
          <w:rFonts w:ascii="Verdana" w:hAnsi="Verdana" w:eastAsia="Calibri"/>
          <w:kern w:val="2"/>
          <w:sz w:val="18"/>
          <w:szCs w:val="22"/>
          <w:lang w:eastAsia="en-US"/>
          <w14:ligatures w14:val="standardContextual"/>
        </w:rPr>
        <w:t xml:space="preserve"> voor deze regels. </w:t>
      </w:r>
    </w:p>
    <w:p w:rsidR="00DB522E" w:rsidP="00DE2884" w:rsidRDefault="00DB522E" w14:paraId="3D1F89F1" w14:textId="77777777">
      <w:pPr>
        <w:widowControl w:val="0"/>
        <w:tabs>
          <w:tab w:val="num" w:pos="720"/>
        </w:tabs>
        <w:spacing w:line="240" w:lineRule="exact"/>
        <w:rPr>
          <w:rFonts w:ascii="Verdana" w:hAnsi="Verdana" w:cs="Arial"/>
          <w:sz w:val="18"/>
          <w:szCs w:val="18"/>
        </w:rPr>
      </w:pPr>
    </w:p>
    <w:p w:rsidR="00CD5E79" w:rsidP="00CD5E79" w:rsidRDefault="00CD5E79" w14:paraId="77E36DDB" w14:textId="77777777">
      <w:pPr>
        <w:widowControl w:val="0"/>
        <w:tabs>
          <w:tab w:val="num" w:pos="720"/>
        </w:tabs>
        <w:spacing w:line="240" w:lineRule="atLeast"/>
        <w:rPr>
          <w:rFonts w:ascii="Verdana" w:hAnsi="Verdana" w:cs="Arial"/>
          <w:sz w:val="18"/>
          <w:szCs w:val="18"/>
        </w:rPr>
      </w:pPr>
      <w:r>
        <w:rPr>
          <w:rFonts w:ascii="Verdana" w:hAnsi="Verdana" w:cs="Arial"/>
          <w:sz w:val="18"/>
          <w:szCs w:val="18"/>
        </w:rPr>
        <w:t>De Minister van Financiën,</w:t>
      </w:r>
    </w:p>
    <w:p w:rsidR="00A467A1" w:rsidP="00DE2884" w:rsidRDefault="00A467A1" w14:paraId="4F36BB41" w14:textId="77777777">
      <w:pPr>
        <w:widowControl w:val="0"/>
        <w:tabs>
          <w:tab w:val="num" w:pos="720"/>
        </w:tabs>
        <w:spacing w:line="240" w:lineRule="exact"/>
        <w:rPr>
          <w:rFonts w:ascii="Verdana" w:hAnsi="Verdana" w:cs="Arial"/>
          <w:sz w:val="18"/>
          <w:szCs w:val="18"/>
        </w:rPr>
      </w:pPr>
    </w:p>
    <w:p w:rsidR="00A467A1" w:rsidP="00DE2884" w:rsidRDefault="00A467A1" w14:paraId="6B6BC5D2" w14:textId="77777777">
      <w:pPr>
        <w:widowControl w:val="0"/>
        <w:tabs>
          <w:tab w:val="num" w:pos="720"/>
        </w:tabs>
        <w:spacing w:line="240" w:lineRule="exact"/>
        <w:rPr>
          <w:rFonts w:ascii="Verdana" w:hAnsi="Verdana" w:cs="Arial"/>
          <w:sz w:val="18"/>
          <w:szCs w:val="18"/>
        </w:rPr>
      </w:pPr>
    </w:p>
    <w:p w:rsidR="00A467A1" w:rsidP="00DE2884" w:rsidRDefault="00A467A1" w14:paraId="733ADCA8" w14:textId="77777777">
      <w:pPr>
        <w:widowControl w:val="0"/>
        <w:tabs>
          <w:tab w:val="num" w:pos="720"/>
        </w:tabs>
        <w:spacing w:line="240" w:lineRule="exact"/>
        <w:rPr>
          <w:rFonts w:ascii="Verdana" w:hAnsi="Verdana" w:cs="Arial"/>
          <w:sz w:val="18"/>
          <w:szCs w:val="18"/>
        </w:rPr>
      </w:pPr>
    </w:p>
    <w:p w:rsidR="00A467A1" w:rsidP="00DE2884" w:rsidRDefault="00A467A1" w14:paraId="07537343" w14:textId="77777777">
      <w:pPr>
        <w:widowControl w:val="0"/>
        <w:tabs>
          <w:tab w:val="num" w:pos="720"/>
        </w:tabs>
        <w:spacing w:line="240" w:lineRule="exact"/>
        <w:rPr>
          <w:rFonts w:ascii="Verdana" w:hAnsi="Verdana" w:cs="Arial"/>
          <w:sz w:val="18"/>
          <w:szCs w:val="18"/>
        </w:rPr>
      </w:pPr>
    </w:p>
    <w:p w:rsidR="00CA1DBE" w:rsidP="00DE2884" w:rsidRDefault="00CA1DBE" w14:paraId="7BA63AD5" w14:textId="77777777">
      <w:pPr>
        <w:widowControl w:val="0"/>
        <w:tabs>
          <w:tab w:val="num" w:pos="720"/>
        </w:tabs>
        <w:spacing w:line="240" w:lineRule="exact"/>
        <w:rPr>
          <w:rFonts w:ascii="Verdana" w:hAnsi="Verdana" w:cs="Arial"/>
          <w:sz w:val="18"/>
          <w:szCs w:val="18"/>
        </w:rPr>
      </w:pPr>
    </w:p>
    <w:p w:rsidRPr="007021E8" w:rsidR="00A467A1" w:rsidP="00DE2884" w:rsidRDefault="007253E0" w14:paraId="3E582DF5" w14:textId="1BC0BF22">
      <w:pPr>
        <w:widowControl w:val="0"/>
        <w:tabs>
          <w:tab w:val="num" w:pos="720"/>
        </w:tabs>
        <w:spacing w:line="240" w:lineRule="exact"/>
        <w:rPr>
          <w:rFonts w:ascii="Verdana" w:hAnsi="Verdana" w:cs="Arial"/>
          <w:sz w:val="18"/>
          <w:szCs w:val="18"/>
        </w:rPr>
      </w:pPr>
      <w:r>
        <w:rPr>
          <w:rFonts w:ascii="Verdana" w:hAnsi="Verdana" w:cs="Arial"/>
          <w:sz w:val="18"/>
          <w:szCs w:val="18"/>
        </w:rPr>
        <w:t>E. Heinen</w:t>
      </w:r>
    </w:p>
    <w:sectPr w:rsidRPr="007021E8" w:rsidR="00A467A1"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6F6C" w14:textId="77777777" w:rsidR="003145AC" w:rsidRDefault="003145AC" w:rsidP="00CA7D6D">
      <w:r>
        <w:separator/>
      </w:r>
    </w:p>
  </w:endnote>
  <w:endnote w:type="continuationSeparator" w:id="0">
    <w:p w14:paraId="4F06EA18" w14:textId="77777777" w:rsidR="003145AC" w:rsidRDefault="003145AC" w:rsidP="00CA7D6D">
      <w:r>
        <w:continuationSeparator/>
      </w:r>
    </w:p>
  </w:endnote>
  <w:endnote w:type="continuationNotice" w:id="1">
    <w:p w14:paraId="1E63F1A8" w14:textId="77777777" w:rsidR="003145AC" w:rsidRDefault="00314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89FB"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3D1F89FC"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635B" w14:textId="77777777" w:rsidR="003145AC" w:rsidRDefault="003145AC" w:rsidP="00CA7D6D">
      <w:r>
        <w:separator/>
      </w:r>
    </w:p>
  </w:footnote>
  <w:footnote w:type="continuationSeparator" w:id="0">
    <w:p w14:paraId="6A73FD7D" w14:textId="77777777" w:rsidR="003145AC" w:rsidRDefault="003145AC" w:rsidP="00CA7D6D">
      <w:r>
        <w:continuationSeparator/>
      </w:r>
    </w:p>
  </w:footnote>
  <w:footnote w:type="continuationNotice" w:id="1">
    <w:p w14:paraId="22E68820" w14:textId="77777777" w:rsidR="003145AC" w:rsidRDefault="003145AC"/>
  </w:footnote>
  <w:footnote w:id="2">
    <w:p w14:paraId="0EC2B73A" w14:textId="7879CA59" w:rsidR="00C44308" w:rsidRPr="00C44308" w:rsidRDefault="00C44308">
      <w:pPr>
        <w:pStyle w:val="Voetnoottekst"/>
        <w:rPr>
          <w:rFonts w:ascii="Verdana" w:hAnsi="Verdana"/>
          <w:sz w:val="16"/>
          <w:szCs w:val="16"/>
        </w:rPr>
      </w:pPr>
      <w:r w:rsidRPr="00C44308">
        <w:rPr>
          <w:rStyle w:val="Voetnootmarkering"/>
          <w:rFonts w:ascii="Verdana" w:hAnsi="Verdana"/>
          <w:sz w:val="16"/>
          <w:szCs w:val="16"/>
        </w:rPr>
        <w:footnoteRef/>
      </w:r>
      <w:r w:rsidRPr="00C44308">
        <w:rPr>
          <w:rFonts w:ascii="Verdana" w:hAnsi="Verdana"/>
          <w:sz w:val="16"/>
          <w:szCs w:val="16"/>
        </w:rPr>
        <w:t xml:space="preserve"> Kamerstukken II, 2021-2022, 22122 nr. 320</w:t>
      </w:r>
      <w:r>
        <w:rPr>
          <w:rFonts w:ascii="Verdana" w:hAnsi="Verdana"/>
          <w:sz w:val="16"/>
          <w:szCs w:val="16"/>
        </w:rPr>
        <w:t>5</w:t>
      </w:r>
      <w:r w:rsidRPr="00C44308">
        <w:rPr>
          <w:rFonts w:ascii="Verdana" w:hAnsi="Verdana"/>
          <w:sz w:val="16"/>
          <w:szCs w:val="16"/>
        </w:rPr>
        <w:t>.</w:t>
      </w:r>
    </w:p>
  </w:footnote>
  <w:footnote w:id="3">
    <w:p w14:paraId="5621D14D" w14:textId="3A1E896F" w:rsidR="00296E27" w:rsidRPr="00C44308" w:rsidRDefault="00296E27">
      <w:pPr>
        <w:pStyle w:val="Voetnoottekst"/>
        <w:rPr>
          <w:rFonts w:ascii="Verdana" w:eastAsia="Calibri" w:hAnsi="Verdana"/>
          <w:kern w:val="2"/>
          <w:sz w:val="16"/>
          <w:szCs w:val="16"/>
          <w14:ligatures w14:val="standardContextual"/>
        </w:rPr>
      </w:pPr>
      <w:r w:rsidRPr="00C44308">
        <w:rPr>
          <w:rStyle w:val="Voetnootmarkering"/>
          <w:rFonts w:ascii="Verdana" w:hAnsi="Verdana"/>
          <w:sz w:val="16"/>
          <w:szCs w:val="16"/>
        </w:rPr>
        <w:footnoteRef/>
      </w:r>
      <w:r w:rsidRPr="00C44308">
        <w:rPr>
          <w:rFonts w:ascii="Verdana" w:hAnsi="Verdana"/>
          <w:sz w:val="16"/>
          <w:szCs w:val="16"/>
        </w:rPr>
        <w:t xml:space="preserve"> </w:t>
      </w:r>
      <w:proofErr w:type="gramStart"/>
      <w:r w:rsidRPr="00C44308">
        <w:rPr>
          <w:rFonts w:ascii="Verdana" w:eastAsia="Calibri" w:hAnsi="Verdana"/>
          <w:kern w:val="2"/>
          <w:sz w:val="16"/>
          <w:szCs w:val="16"/>
          <w14:ligatures w14:val="standardContextual"/>
        </w:rPr>
        <w:t>https://www.fatf-gafi.org/en/publications/Fatfrecommendations/Fatf-recommendations.html</w:t>
      </w:r>
      <w:proofErr w:type="gramEnd"/>
      <w:r w:rsidRPr="00C44308">
        <w:rPr>
          <w:rFonts w:ascii="Verdana" w:eastAsia="Calibri" w:hAnsi="Verdana"/>
          <w:kern w:val="2"/>
          <w:sz w:val="16"/>
          <w:szCs w:val="16"/>
          <w14:ligatures w14:val="standardContextual"/>
        </w:rPr>
        <w:t>.</w:t>
      </w:r>
    </w:p>
  </w:footnote>
  <w:footnote w:id="4">
    <w:p w14:paraId="401B7BD0" w14:textId="5705B3DA" w:rsidR="00296E27" w:rsidRPr="00020B86" w:rsidRDefault="00296E27">
      <w:pPr>
        <w:pStyle w:val="Voetnoottekst"/>
      </w:pPr>
      <w:r w:rsidRPr="00C44308">
        <w:rPr>
          <w:rStyle w:val="Voetnootmarkering"/>
          <w:rFonts w:ascii="Verdana" w:hAnsi="Verdana"/>
          <w:sz w:val="16"/>
          <w:szCs w:val="16"/>
        </w:rPr>
        <w:footnoteRef/>
      </w:r>
      <w:r w:rsidRPr="00020B86">
        <w:rPr>
          <w:rFonts w:ascii="Verdana" w:hAnsi="Verdana"/>
          <w:sz w:val="16"/>
          <w:szCs w:val="16"/>
        </w:rPr>
        <w:t xml:space="preserve"> </w:t>
      </w:r>
      <w:proofErr w:type="gramStart"/>
      <w:r w:rsidRPr="00020B86">
        <w:rPr>
          <w:rFonts w:ascii="Verdana" w:hAnsi="Verdana"/>
          <w:sz w:val="16"/>
          <w:szCs w:val="16"/>
        </w:rPr>
        <w:t>https://www.rijksoverheid.nl/documenten/publicaties/2021/09/24/fiche-3-verordening-betreffende-bij-geldovermaking-te-voegen-informatie</w:t>
      </w:r>
      <w:proofErr w:type="gramEnd"/>
      <w:r w:rsidRPr="00020B86">
        <w:rPr>
          <w:rFonts w:ascii="Verdana" w:hAnsi="Verdana"/>
          <w:sz w:val="16"/>
          <w:szCs w:val="16"/>
        </w:rPr>
        <w:t>.</w:t>
      </w:r>
    </w:p>
  </w:footnote>
  <w:footnote w:id="5">
    <w:p w14:paraId="0AC9F8BB" w14:textId="2297A19C" w:rsidR="002309A3" w:rsidRPr="00020B86" w:rsidRDefault="002309A3" w:rsidP="002309A3">
      <w:pPr>
        <w:pStyle w:val="Voetnoottekst"/>
        <w:rPr>
          <w:rFonts w:ascii="Verdana" w:hAnsi="Verdana"/>
          <w:sz w:val="16"/>
          <w:szCs w:val="16"/>
        </w:rPr>
      </w:pPr>
      <w:r w:rsidRPr="007E04CF">
        <w:rPr>
          <w:rStyle w:val="Voetnootmarkering"/>
          <w:rFonts w:ascii="Verdana" w:hAnsi="Verdana"/>
          <w:sz w:val="16"/>
          <w:szCs w:val="16"/>
        </w:rPr>
        <w:footnoteRef/>
      </w:r>
      <w:r w:rsidRPr="00020B86">
        <w:rPr>
          <w:rFonts w:ascii="Verdana" w:hAnsi="Verdana"/>
          <w:sz w:val="16"/>
          <w:szCs w:val="16"/>
        </w:rPr>
        <w:t xml:space="preserve"> </w:t>
      </w:r>
      <w:proofErr w:type="gramStart"/>
      <w:r w:rsidRPr="00020B86">
        <w:rPr>
          <w:rFonts w:ascii="Verdana" w:hAnsi="Verdana"/>
          <w:sz w:val="16"/>
          <w:szCs w:val="16"/>
        </w:rPr>
        <w:t>https://autoriteitpersoonsgegevens.nl/documenten/advies-uitvoeringswet-vo-tfr</w:t>
      </w:r>
      <w:proofErr w:type="gramEnd"/>
      <w:r w:rsidR="0095104A" w:rsidRPr="00020B86">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0"/>
  </w:num>
  <w:num w:numId="4" w16cid:durableId="1200389277">
    <w:abstractNumId w:val="9"/>
  </w:num>
  <w:num w:numId="5" w16cid:durableId="621771480">
    <w:abstractNumId w:val="13"/>
  </w:num>
  <w:num w:numId="6" w16cid:durableId="1245651400">
    <w:abstractNumId w:val="6"/>
  </w:num>
  <w:num w:numId="7" w16cid:durableId="1167549736">
    <w:abstractNumId w:val="5"/>
  </w:num>
  <w:num w:numId="8" w16cid:durableId="927426745">
    <w:abstractNumId w:val="2"/>
  </w:num>
  <w:num w:numId="9" w16cid:durableId="1186361687">
    <w:abstractNumId w:val="8"/>
  </w:num>
  <w:num w:numId="10" w16cid:durableId="1382246539">
    <w:abstractNumId w:val="11"/>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8"/>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7"/>
  </w:num>
  <w:num w:numId="14" w16cid:durableId="1225869049">
    <w:abstractNumId w:val="3"/>
  </w:num>
  <w:num w:numId="15" w16cid:durableId="1614822683">
    <w:abstractNumId w:val="1"/>
  </w:num>
  <w:num w:numId="16" w16cid:durableId="112323349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202AB"/>
    <w:rsid w:val="00020B86"/>
    <w:rsid w:val="0002172C"/>
    <w:rsid w:val="000219A6"/>
    <w:rsid w:val="00024443"/>
    <w:rsid w:val="00025142"/>
    <w:rsid w:val="0002524E"/>
    <w:rsid w:val="00026C8F"/>
    <w:rsid w:val="00034351"/>
    <w:rsid w:val="00034FC9"/>
    <w:rsid w:val="0003523F"/>
    <w:rsid w:val="000503AB"/>
    <w:rsid w:val="0005214A"/>
    <w:rsid w:val="00054E3C"/>
    <w:rsid w:val="000575E2"/>
    <w:rsid w:val="00057A79"/>
    <w:rsid w:val="000610C1"/>
    <w:rsid w:val="00061B86"/>
    <w:rsid w:val="0006448C"/>
    <w:rsid w:val="0006473D"/>
    <w:rsid w:val="00064EDD"/>
    <w:rsid w:val="00065A2A"/>
    <w:rsid w:val="00065C16"/>
    <w:rsid w:val="00067015"/>
    <w:rsid w:val="0007130F"/>
    <w:rsid w:val="00073441"/>
    <w:rsid w:val="00076564"/>
    <w:rsid w:val="000765D1"/>
    <w:rsid w:val="000773B9"/>
    <w:rsid w:val="00080A6C"/>
    <w:rsid w:val="00082026"/>
    <w:rsid w:val="00082D05"/>
    <w:rsid w:val="00082F60"/>
    <w:rsid w:val="000841EF"/>
    <w:rsid w:val="000862E1"/>
    <w:rsid w:val="0008781D"/>
    <w:rsid w:val="00087D5A"/>
    <w:rsid w:val="0009055C"/>
    <w:rsid w:val="0009097E"/>
    <w:rsid w:val="0009315E"/>
    <w:rsid w:val="00094527"/>
    <w:rsid w:val="000A0550"/>
    <w:rsid w:val="000A1C98"/>
    <w:rsid w:val="000A3D6D"/>
    <w:rsid w:val="000A3D8E"/>
    <w:rsid w:val="000A46E2"/>
    <w:rsid w:val="000A7B3E"/>
    <w:rsid w:val="000B2AF0"/>
    <w:rsid w:val="000B35D2"/>
    <w:rsid w:val="000B36D2"/>
    <w:rsid w:val="000B3ABD"/>
    <w:rsid w:val="000B4824"/>
    <w:rsid w:val="000B592E"/>
    <w:rsid w:val="000C098E"/>
    <w:rsid w:val="000C0E4F"/>
    <w:rsid w:val="000C520B"/>
    <w:rsid w:val="000C57FC"/>
    <w:rsid w:val="000C5CE9"/>
    <w:rsid w:val="000C6404"/>
    <w:rsid w:val="000C6E45"/>
    <w:rsid w:val="000D01AD"/>
    <w:rsid w:val="000D0603"/>
    <w:rsid w:val="000D2C35"/>
    <w:rsid w:val="000D2DEE"/>
    <w:rsid w:val="000E0443"/>
    <w:rsid w:val="000E17D5"/>
    <w:rsid w:val="000E1938"/>
    <w:rsid w:val="000E4550"/>
    <w:rsid w:val="000E74D2"/>
    <w:rsid w:val="000F1B7B"/>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52A5"/>
    <w:rsid w:val="001366DE"/>
    <w:rsid w:val="0014199E"/>
    <w:rsid w:val="001443FE"/>
    <w:rsid w:val="001450D0"/>
    <w:rsid w:val="001461F3"/>
    <w:rsid w:val="00146574"/>
    <w:rsid w:val="0015085C"/>
    <w:rsid w:val="00150BBE"/>
    <w:rsid w:val="00153250"/>
    <w:rsid w:val="00156256"/>
    <w:rsid w:val="00160D7C"/>
    <w:rsid w:val="00161EE8"/>
    <w:rsid w:val="00163A06"/>
    <w:rsid w:val="00165ED2"/>
    <w:rsid w:val="00166CBF"/>
    <w:rsid w:val="00166E2A"/>
    <w:rsid w:val="0017062D"/>
    <w:rsid w:val="00172495"/>
    <w:rsid w:val="0017270E"/>
    <w:rsid w:val="00174363"/>
    <w:rsid w:val="00174A3F"/>
    <w:rsid w:val="00176F4D"/>
    <w:rsid w:val="00177056"/>
    <w:rsid w:val="00177E16"/>
    <w:rsid w:val="0018055B"/>
    <w:rsid w:val="00180850"/>
    <w:rsid w:val="00184489"/>
    <w:rsid w:val="001850C5"/>
    <w:rsid w:val="00191CCC"/>
    <w:rsid w:val="00192973"/>
    <w:rsid w:val="00195472"/>
    <w:rsid w:val="001A45C8"/>
    <w:rsid w:val="001A7738"/>
    <w:rsid w:val="001A7E09"/>
    <w:rsid w:val="001B1B3A"/>
    <w:rsid w:val="001B31EB"/>
    <w:rsid w:val="001B6003"/>
    <w:rsid w:val="001B75E8"/>
    <w:rsid w:val="001C1802"/>
    <w:rsid w:val="001C1C8A"/>
    <w:rsid w:val="001C1D6E"/>
    <w:rsid w:val="001C37BE"/>
    <w:rsid w:val="001D0773"/>
    <w:rsid w:val="001D7C97"/>
    <w:rsid w:val="001E1405"/>
    <w:rsid w:val="001E79CD"/>
    <w:rsid w:val="001F04B0"/>
    <w:rsid w:val="001F0E50"/>
    <w:rsid w:val="001F4FAA"/>
    <w:rsid w:val="001F6A5B"/>
    <w:rsid w:val="00203AAD"/>
    <w:rsid w:val="002051C9"/>
    <w:rsid w:val="00205280"/>
    <w:rsid w:val="0021016D"/>
    <w:rsid w:val="0021725A"/>
    <w:rsid w:val="00221FCA"/>
    <w:rsid w:val="00221FDB"/>
    <w:rsid w:val="0022361C"/>
    <w:rsid w:val="00223E06"/>
    <w:rsid w:val="00223FB2"/>
    <w:rsid w:val="002262B5"/>
    <w:rsid w:val="00226993"/>
    <w:rsid w:val="002309A3"/>
    <w:rsid w:val="002317E9"/>
    <w:rsid w:val="00232F2D"/>
    <w:rsid w:val="00235880"/>
    <w:rsid w:val="00240647"/>
    <w:rsid w:val="00242AC1"/>
    <w:rsid w:val="00243251"/>
    <w:rsid w:val="002436D5"/>
    <w:rsid w:val="002441D6"/>
    <w:rsid w:val="002441F7"/>
    <w:rsid w:val="0024559D"/>
    <w:rsid w:val="00246084"/>
    <w:rsid w:val="00250CAC"/>
    <w:rsid w:val="00251887"/>
    <w:rsid w:val="00254565"/>
    <w:rsid w:val="00254A1D"/>
    <w:rsid w:val="00261762"/>
    <w:rsid w:val="0026438F"/>
    <w:rsid w:val="00264A8C"/>
    <w:rsid w:val="00266142"/>
    <w:rsid w:val="00267581"/>
    <w:rsid w:val="00270524"/>
    <w:rsid w:val="00271978"/>
    <w:rsid w:val="0027287F"/>
    <w:rsid w:val="00272896"/>
    <w:rsid w:val="002729FD"/>
    <w:rsid w:val="00272DD6"/>
    <w:rsid w:val="0027360F"/>
    <w:rsid w:val="002740A8"/>
    <w:rsid w:val="002802A5"/>
    <w:rsid w:val="00280CC0"/>
    <w:rsid w:val="00281CFD"/>
    <w:rsid w:val="00282F36"/>
    <w:rsid w:val="00283585"/>
    <w:rsid w:val="00285232"/>
    <w:rsid w:val="002855C1"/>
    <w:rsid w:val="00285FA5"/>
    <w:rsid w:val="002910E8"/>
    <w:rsid w:val="00295281"/>
    <w:rsid w:val="00295A08"/>
    <w:rsid w:val="002963EE"/>
    <w:rsid w:val="00296E27"/>
    <w:rsid w:val="0029762A"/>
    <w:rsid w:val="002A0B5E"/>
    <w:rsid w:val="002A2364"/>
    <w:rsid w:val="002A4DC8"/>
    <w:rsid w:val="002A52A4"/>
    <w:rsid w:val="002B14C0"/>
    <w:rsid w:val="002B1630"/>
    <w:rsid w:val="002B30E5"/>
    <w:rsid w:val="002B4B5B"/>
    <w:rsid w:val="002B55D3"/>
    <w:rsid w:val="002B72FF"/>
    <w:rsid w:val="002B744B"/>
    <w:rsid w:val="002C246B"/>
    <w:rsid w:val="002C4DAD"/>
    <w:rsid w:val="002C530D"/>
    <w:rsid w:val="002C7D43"/>
    <w:rsid w:val="002D0BE0"/>
    <w:rsid w:val="002D0C8F"/>
    <w:rsid w:val="002D0E4B"/>
    <w:rsid w:val="002D4C94"/>
    <w:rsid w:val="002D58D7"/>
    <w:rsid w:val="002D75C9"/>
    <w:rsid w:val="002D7934"/>
    <w:rsid w:val="002E01C6"/>
    <w:rsid w:val="002E1735"/>
    <w:rsid w:val="002E2AEB"/>
    <w:rsid w:val="002E5BA2"/>
    <w:rsid w:val="002F1571"/>
    <w:rsid w:val="002F25AE"/>
    <w:rsid w:val="002F5603"/>
    <w:rsid w:val="00300C98"/>
    <w:rsid w:val="003013C6"/>
    <w:rsid w:val="00302232"/>
    <w:rsid w:val="0030435A"/>
    <w:rsid w:val="00305328"/>
    <w:rsid w:val="0030577F"/>
    <w:rsid w:val="00311E96"/>
    <w:rsid w:val="00312F6B"/>
    <w:rsid w:val="00313594"/>
    <w:rsid w:val="003145AC"/>
    <w:rsid w:val="00320FB0"/>
    <w:rsid w:val="00322785"/>
    <w:rsid w:val="003227EA"/>
    <w:rsid w:val="00326290"/>
    <w:rsid w:val="00331660"/>
    <w:rsid w:val="003325B0"/>
    <w:rsid w:val="0033726A"/>
    <w:rsid w:val="00342292"/>
    <w:rsid w:val="0034258F"/>
    <w:rsid w:val="003528FA"/>
    <w:rsid w:val="00353FF0"/>
    <w:rsid w:val="00356228"/>
    <w:rsid w:val="003570BA"/>
    <w:rsid w:val="00357715"/>
    <w:rsid w:val="00357C3C"/>
    <w:rsid w:val="0036159E"/>
    <w:rsid w:val="00363838"/>
    <w:rsid w:val="00363B06"/>
    <w:rsid w:val="00365040"/>
    <w:rsid w:val="003670EF"/>
    <w:rsid w:val="00371A42"/>
    <w:rsid w:val="00373748"/>
    <w:rsid w:val="00374A0F"/>
    <w:rsid w:val="0037623F"/>
    <w:rsid w:val="00377E5B"/>
    <w:rsid w:val="003843F6"/>
    <w:rsid w:val="00386288"/>
    <w:rsid w:val="00386364"/>
    <w:rsid w:val="00395835"/>
    <w:rsid w:val="00395FD6"/>
    <w:rsid w:val="00396365"/>
    <w:rsid w:val="003A2702"/>
    <w:rsid w:val="003A2FD2"/>
    <w:rsid w:val="003B0C55"/>
    <w:rsid w:val="003B1BC0"/>
    <w:rsid w:val="003B1FE3"/>
    <w:rsid w:val="003B3C8A"/>
    <w:rsid w:val="003B475C"/>
    <w:rsid w:val="003B5C4A"/>
    <w:rsid w:val="003B6312"/>
    <w:rsid w:val="003C1B65"/>
    <w:rsid w:val="003C379E"/>
    <w:rsid w:val="003C3E28"/>
    <w:rsid w:val="003C4182"/>
    <w:rsid w:val="003C41E5"/>
    <w:rsid w:val="003D0413"/>
    <w:rsid w:val="003D508F"/>
    <w:rsid w:val="003D71D4"/>
    <w:rsid w:val="003E38D6"/>
    <w:rsid w:val="003E4511"/>
    <w:rsid w:val="003E561F"/>
    <w:rsid w:val="003F5F26"/>
    <w:rsid w:val="003F7619"/>
    <w:rsid w:val="003F7E0F"/>
    <w:rsid w:val="0040357F"/>
    <w:rsid w:val="00405DAD"/>
    <w:rsid w:val="00411C72"/>
    <w:rsid w:val="004128D8"/>
    <w:rsid w:val="004131CA"/>
    <w:rsid w:val="00413A61"/>
    <w:rsid w:val="004141C5"/>
    <w:rsid w:val="004162BF"/>
    <w:rsid w:val="0041708D"/>
    <w:rsid w:val="00421018"/>
    <w:rsid w:val="00421C69"/>
    <w:rsid w:val="00422106"/>
    <w:rsid w:val="00422666"/>
    <w:rsid w:val="00422AC2"/>
    <w:rsid w:val="004253EA"/>
    <w:rsid w:val="00425B47"/>
    <w:rsid w:val="004264A6"/>
    <w:rsid w:val="00426557"/>
    <w:rsid w:val="004270A0"/>
    <w:rsid w:val="00432DEF"/>
    <w:rsid w:val="00433C66"/>
    <w:rsid w:val="0043564D"/>
    <w:rsid w:val="0043797A"/>
    <w:rsid w:val="00441382"/>
    <w:rsid w:val="00441FA3"/>
    <w:rsid w:val="0044583D"/>
    <w:rsid w:val="00452580"/>
    <w:rsid w:val="004567D2"/>
    <w:rsid w:val="00457A8E"/>
    <w:rsid w:val="0047197B"/>
    <w:rsid w:val="004723FB"/>
    <w:rsid w:val="00472521"/>
    <w:rsid w:val="004728AC"/>
    <w:rsid w:val="00473BB1"/>
    <w:rsid w:val="00477D7B"/>
    <w:rsid w:val="00482BB0"/>
    <w:rsid w:val="004836F7"/>
    <w:rsid w:val="00483944"/>
    <w:rsid w:val="004840F8"/>
    <w:rsid w:val="00484ECF"/>
    <w:rsid w:val="00485226"/>
    <w:rsid w:val="00486807"/>
    <w:rsid w:val="00487C4D"/>
    <w:rsid w:val="00492187"/>
    <w:rsid w:val="00492A68"/>
    <w:rsid w:val="00493399"/>
    <w:rsid w:val="00496843"/>
    <w:rsid w:val="00496BF1"/>
    <w:rsid w:val="004A079D"/>
    <w:rsid w:val="004A0F83"/>
    <w:rsid w:val="004A40A4"/>
    <w:rsid w:val="004A46EC"/>
    <w:rsid w:val="004A5BFE"/>
    <w:rsid w:val="004A5F03"/>
    <w:rsid w:val="004B06E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BA3"/>
    <w:rsid w:val="004E639D"/>
    <w:rsid w:val="004F2629"/>
    <w:rsid w:val="004F266A"/>
    <w:rsid w:val="004F3705"/>
    <w:rsid w:val="004F6155"/>
    <w:rsid w:val="004F7158"/>
    <w:rsid w:val="005011F4"/>
    <w:rsid w:val="00502664"/>
    <w:rsid w:val="00503579"/>
    <w:rsid w:val="00507F99"/>
    <w:rsid w:val="00510075"/>
    <w:rsid w:val="005115E4"/>
    <w:rsid w:val="005172C5"/>
    <w:rsid w:val="0052160F"/>
    <w:rsid w:val="005242E3"/>
    <w:rsid w:val="0052638F"/>
    <w:rsid w:val="005269F8"/>
    <w:rsid w:val="00527F7B"/>
    <w:rsid w:val="0053066B"/>
    <w:rsid w:val="00533791"/>
    <w:rsid w:val="0053580D"/>
    <w:rsid w:val="005428B6"/>
    <w:rsid w:val="00542FF3"/>
    <w:rsid w:val="0054332F"/>
    <w:rsid w:val="00543707"/>
    <w:rsid w:val="00545950"/>
    <w:rsid w:val="00546359"/>
    <w:rsid w:val="0054698E"/>
    <w:rsid w:val="00546F67"/>
    <w:rsid w:val="00555237"/>
    <w:rsid w:val="00555895"/>
    <w:rsid w:val="005561D8"/>
    <w:rsid w:val="00561D42"/>
    <w:rsid w:val="00563ED1"/>
    <w:rsid w:val="005702EE"/>
    <w:rsid w:val="00572727"/>
    <w:rsid w:val="00576AC2"/>
    <w:rsid w:val="00580AC4"/>
    <w:rsid w:val="00583533"/>
    <w:rsid w:val="00586453"/>
    <w:rsid w:val="00591921"/>
    <w:rsid w:val="00595041"/>
    <w:rsid w:val="00596CB0"/>
    <w:rsid w:val="00597CD4"/>
    <w:rsid w:val="005A0257"/>
    <w:rsid w:val="005A1284"/>
    <w:rsid w:val="005A1AFB"/>
    <w:rsid w:val="005A4D61"/>
    <w:rsid w:val="005A7D3A"/>
    <w:rsid w:val="005B2720"/>
    <w:rsid w:val="005B362C"/>
    <w:rsid w:val="005B38F7"/>
    <w:rsid w:val="005B3E6E"/>
    <w:rsid w:val="005B5417"/>
    <w:rsid w:val="005B6063"/>
    <w:rsid w:val="005B62D0"/>
    <w:rsid w:val="005B6644"/>
    <w:rsid w:val="005C1329"/>
    <w:rsid w:val="005C16B8"/>
    <w:rsid w:val="005C22C5"/>
    <w:rsid w:val="005C6A43"/>
    <w:rsid w:val="005D189E"/>
    <w:rsid w:val="005D1B4D"/>
    <w:rsid w:val="005D3DE8"/>
    <w:rsid w:val="005D3E97"/>
    <w:rsid w:val="005D4688"/>
    <w:rsid w:val="005D4E37"/>
    <w:rsid w:val="005D55BE"/>
    <w:rsid w:val="005E429D"/>
    <w:rsid w:val="005E4E55"/>
    <w:rsid w:val="005E67E8"/>
    <w:rsid w:val="005E7C4E"/>
    <w:rsid w:val="005F0163"/>
    <w:rsid w:val="005F7A68"/>
    <w:rsid w:val="005F7B86"/>
    <w:rsid w:val="005F7BFF"/>
    <w:rsid w:val="00600207"/>
    <w:rsid w:val="00600E47"/>
    <w:rsid w:val="006017D0"/>
    <w:rsid w:val="0060273A"/>
    <w:rsid w:val="00602C58"/>
    <w:rsid w:val="00606CE1"/>
    <w:rsid w:val="0061790C"/>
    <w:rsid w:val="006218E7"/>
    <w:rsid w:val="0062478E"/>
    <w:rsid w:val="006277D3"/>
    <w:rsid w:val="00630E9A"/>
    <w:rsid w:val="0063393A"/>
    <w:rsid w:val="0063456C"/>
    <w:rsid w:val="006365AD"/>
    <w:rsid w:val="006420E2"/>
    <w:rsid w:val="006421E1"/>
    <w:rsid w:val="00651310"/>
    <w:rsid w:val="00652250"/>
    <w:rsid w:val="0065341E"/>
    <w:rsid w:val="00657177"/>
    <w:rsid w:val="0066055D"/>
    <w:rsid w:val="00662115"/>
    <w:rsid w:val="00666B7F"/>
    <w:rsid w:val="006707E9"/>
    <w:rsid w:val="00670F57"/>
    <w:rsid w:val="0067128C"/>
    <w:rsid w:val="0067171D"/>
    <w:rsid w:val="00672E45"/>
    <w:rsid w:val="00674D57"/>
    <w:rsid w:val="0068139B"/>
    <w:rsid w:val="00682118"/>
    <w:rsid w:val="0068214B"/>
    <w:rsid w:val="00682169"/>
    <w:rsid w:val="00682469"/>
    <w:rsid w:val="00685966"/>
    <w:rsid w:val="006906D2"/>
    <w:rsid w:val="006910DF"/>
    <w:rsid w:val="0069160F"/>
    <w:rsid w:val="00691F30"/>
    <w:rsid w:val="006941EF"/>
    <w:rsid w:val="00695237"/>
    <w:rsid w:val="00695DEA"/>
    <w:rsid w:val="006971EE"/>
    <w:rsid w:val="006A0887"/>
    <w:rsid w:val="006A09BB"/>
    <w:rsid w:val="006A2FBE"/>
    <w:rsid w:val="006A5729"/>
    <w:rsid w:val="006A7593"/>
    <w:rsid w:val="006B362A"/>
    <w:rsid w:val="006B4CB2"/>
    <w:rsid w:val="006B58FE"/>
    <w:rsid w:val="006B5DD4"/>
    <w:rsid w:val="006B6209"/>
    <w:rsid w:val="006B7BD9"/>
    <w:rsid w:val="006C665D"/>
    <w:rsid w:val="006C66BB"/>
    <w:rsid w:val="006C70E5"/>
    <w:rsid w:val="006C7C6A"/>
    <w:rsid w:val="006D2229"/>
    <w:rsid w:val="006D306B"/>
    <w:rsid w:val="006D38AE"/>
    <w:rsid w:val="006D4387"/>
    <w:rsid w:val="006D4CB6"/>
    <w:rsid w:val="006D7917"/>
    <w:rsid w:val="006E1670"/>
    <w:rsid w:val="006E4FAB"/>
    <w:rsid w:val="006E65BD"/>
    <w:rsid w:val="006E732F"/>
    <w:rsid w:val="006E7783"/>
    <w:rsid w:val="006F02C4"/>
    <w:rsid w:val="006F1467"/>
    <w:rsid w:val="006F3E78"/>
    <w:rsid w:val="00700EDD"/>
    <w:rsid w:val="007021E8"/>
    <w:rsid w:val="0070450E"/>
    <w:rsid w:val="00705246"/>
    <w:rsid w:val="007070D1"/>
    <w:rsid w:val="00710770"/>
    <w:rsid w:val="0071103C"/>
    <w:rsid w:val="0071474C"/>
    <w:rsid w:val="007160F6"/>
    <w:rsid w:val="00716337"/>
    <w:rsid w:val="007168E8"/>
    <w:rsid w:val="00716CCC"/>
    <w:rsid w:val="00722843"/>
    <w:rsid w:val="007244A9"/>
    <w:rsid w:val="007248A2"/>
    <w:rsid w:val="007253E0"/>
    <w:rsid w:val="00730FC1"/>
    <w:rsid w:val="00733CB4"/>
    <w:rsid w:val="007342D6"/>
    <w:rsid w:val="007425A0"/>
    <w:rsid w:val="00742E90"/>
    <w:rsid w:val="0074383D"/>
    <w:rsid w:val="007449F1"/>
    <w:rsid w:val="00744AB2"/>
    <w:rsid w:val="00751F5D"/>
    <w:rsid w:val="00753016"/>
    <w:rsid w:val="007547C6"/>
    <w:rsid w:val="00755F4D"/>
    <w:rsid w:val="007577A8"/>
    <w:rsid w:val="00763F83"/>
    <w:rsid w:val="007651D4"/>
    <w:rsid w:val="00766C00"/>
    <w:rsid w:val="00766E75"/>
    <w:rsid w:val="007800B6"/>
    <w:rsid w:val="00781F69"/>
    <w:rsid w:val="0078257F"/>
    <w:rsid w:val="00782BEC"/>
    <w:rsid w:val="00785159"/>
    <w:rsid w:val="00786589"/>
    <w:rsid w:val="007907D8"/>
    <w:rsid w:val="00791773"/>
    <w:rsid w:val="00794EE7"/>
    <w:rsid w:val="007A228F"/>
    <w:rsid w:val="007A2479"/>
    <w:rsid w:val="007A7863"/>
    <w:rsid w:val="007B31F6"/>
    <w:rsid w:val="007C26AF"/>
    <w:rsid w:val="007C276F"/>
    <w:rsid w:val="007D0CEB"/>
    <w:rsid w:val="007D573F"/>
    <w:rsid w:val="007D66EB"/>
    <w:rsid w:val="007D69A5"/>
    <w:rsid w:val="007D6B56"/>
    <w:rsid w:val="007E04CF"/>
    <w:rsid w:val="007E1716"/>
    <w:rsid w:val="007E1768"/>
    <w:rsid w:val="007E22F9"/>
    <w:rsid w:val="007E6E76"/>
    <w:rsid w:val="007F501B"/>
    <w:rsid w:val="007F676D"/>
    <w:rsid w:val="007F7FEB"/>
    <w:rsid w:val="00801428"/>
    <w:rsid w:val="00801DD5"/>
    <w:rsid w:val="008024D9"/>
    <w:rsid w:val="00806A26"/>
    <w:rsid w:val="00811ED5"/>
    <w:rsid w:val="008164CF"/>
    <w:rsid w:val="008177A9"/>
    <w:rsid w:val="00822171"/>
    <w:rsid w:val="008231F5"/>
    <w:rsid w:val="00825986"/>
    <w:rsid w:val="00825B26"/>
    <w:rsid w:val="00832099"/>
    <w:rsid w:val="00832410"/>
    <w:rsid w:val="0083343E"/>
    <w:rsid w:val="00833491"/>
    <w:rsid w:val="00835653"/>
    <w:rsid w:val="008369FB"/>
    <w:rsid w:val="008418C9"/>
    <w:rsid w:val="00841BFC"/>
    <w:rsid w:val="00841F5B"/>
    <w:rsid w:val="008454FB"/>
    <w:rsid w:val="00845EB2"/>
    <w:rsid w:val="00850FED"/>
    <w:rsid w:val="008534AC"/>
    <w:rsid w:val="00855DD1"/>
    <w:rsid w:val="00856624"/>
    <w:rsid w:val="00856A8D"/>
    <w:rsid w:val="00856F48"/>
    <w:rsid w:val="0086291C"/>
    <w:rsid w:val="00865A01"/>
    <w:rsid w:val="00865FC0"/>
    <w:rsid w:val="00867207"/>
    <w:rsid w:val="00872049"/>
    <w:rsid w:val="008743CF"/>
    <w:rsid w:val="008761AE"/>
    <w:rsid w:val="00881DAC"/>
    <w:rsid w:val="0089185D"/>
    <w:rsid w:val="00891F7F"/>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5B2"/>
    <w:rsid w:val="008B2A86"/>
    <w:rsid w:val="008B2CA4"/>
    <w:rsid w:val="008B2CBC"/>
    <w:rsid w:val="008B4572"/>
    <w:rsid w:val="008B664C"/>
    <w:rsid w:val="008B7374"/>
    <w:rsid w:val="008C1C43"/>
    <w:rsid w:val="008C215A"/>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6716"/>
    <w:rsid w:val="008F089D"/>
    <w:rsid w:val="008F134D"/>
    <w:rsid w:val="008F68B7"/>
    <w:rsid w:val="008F6B7E"/>
    <w:rsid w:val="008F6C1A"/>
    <w:rsid w:val="009033A7"/>
    <w:rsid w:val="00903A18"/>
    <w:rsid w:val="00904431"/>
    <w:rsid w:val="009061DB"/>
    <w:rsid w:val="009066CF"/>
    <w:rsid w:val="009072FD"/>
    <w:rsid w:val="00907552"/>
    <w:rsid w:val="009104EC"/>
    <w:rsid w:val="00911271"/>
    <w:rsid w:val="00916A02"/>
    <w:rsid w:val="00922326"/>
    <w:rsid w:val="00924B13"/>
    <w:rsid w:val="00926245"/>
    <w:rsid w:val="00932D99"/>
    <w:rsid w:val="00936B93"/>
    <w:rsid w:val="00940541"/>
    <w:rsid w:val="0094128E"/>
    <w:rsid w:val="00941A2F"/>
    <w:rsid w:val="0094248C"/>
    <w:rsid w:val="00944214"/>
    <w:rsid w:val="00944498"/>
    <w:rsid w:val="00946373"/>
    <w:rsid w:val="009469B5"/>
    <w:rsid w:val="00950BAB"/>
    <w:rsid w:val="00950C39"/>
    <w:rsid w:val="0095104A"/>
    <w:rsid w:val="00957086"/>
    <w:rsid w:val="009609AE"/>
    <w:rsid w:val="009630CB"/>
    <w:rsid w:val="00964F68"/>
    <w:rsid w:val="0097053E"/>
    <w:rsid w:val="00971E2E"/>
    <w:rsid w:val="00971FBC"/>
    <w:rsid w:val="00971FDE"/>
    <w:rsid w:val="009749A3"/>
    <w:rsid w:val="009753FC"/>
    <w:rsid w:val="009773C7"/>
    <w:rsid w:val="0098052C"/>
    <w:rsid w:val="009807C7"/>
    <w:rsid w:val="009826BC"/>
    <w:rsid w:val="0098295A"/>
    <w:rsid w:val="0098703A"/>
    <w:rsid w:val="00990447"/>
    <w:rsid w:val="0099348A"/>
    <w:rsid w:val="00993AE6"/>
    <w:rsid w:val="00994AF5"/>
    <w:rsid w:val="00996AC6"/>
    <w:rsid w:val="009A3429"/>
    <w:rsid w:val="009A3E5D"/>
    <w:rsid w:val="009A45D2"/>
    <w:rsid w:val="009B0571"/>
    <w:rsid w:val="009B062D"/>
    <w:rsid w:val="009B55E7"/>
    <w:rsid w:val="009C012F"/>
    <w:rsid w:val="009C1CD3"/>
    <w:rsid w:val="009C3347"/>
    <w:rsid w:val="009C5FB5"/>
    <w:rsid w:val="009C7917"/>
    <w:rsid w:val="009D0E84"/>
    <w:rsid w:val="009D236E"/>
    <w:rsid w:val="009D39FF"/>
    <w:rsid w:val="009D4FAD"/>
    <w:rsid w:val="009D59B4"/>
    <w:rsid w:val="009E13E7"/>
    <w:rsid w:val="009E2A99"/>
    <w:rsid w:val="009E3F3A"/>
    <w:rsid w:val="009E3FAE"/>
    <w:rsid w:val="009E49B6"/>
    <w:rsid w:val="009E5B68"/>
    <w:rsid w:val="009F21F8"/>
    <w:rsid w:val="009F268F"/>
    <w:rsid w:val="009F33CC"/>
    <w:rsid w:val="009F370B"/>
    <w:rsid w:val="009F59D9"/>
    <w:rsid w:val="009F67EA"/>
    <w:rsid w:val="00A02C95"/>
    <w:rsid w:val="00A03333"/>
    <w:rsid w:val="00A03A20"/>
    <w:rsid w:val="00A06135"/>
    <w:rsid w:val="00A062F0"/>
    <w:rsid w:val="00A11198"/>
    <w:rsid w:val="00A1138E"/>
    <w:rsid w:val="00A12696"/>
    <w:rsid w:val="00A12A63"/>
    <w:rsid w:val="00A12F21"/>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87B"/>
    <w:rsid w:val="00A36DB7"/>
    <w:rsid w:val="00A4412B"/>
    <w:rsid w:val="00A453B7"/>
    <w:rsid w:val="00A467A1"/>
    <w:rsid w:val="00A47D4A"/>
    <w:rsid w:val="00A500C3"/>
    <w:rsid w:val="00A50361"/>
    <w:rsid w:val="00A53A69"/>
    <w:rsid w:val="00A54375"/>
    <w:rsid w:val="00A558BB"/>
    <w:rsid w:val="00A57CA9"/>
    <w:rsid w:val="00A602EA"/>
    <w:rsid w:val="00A60DAE"/>
    <w:rsid w:val="00A622BA"/>
    <w:rsid w:val="00A66114"/>
    <w:rsid w:val="00A6646F"/>
    <w:rsid w:val="00A67D22"/>
    <w:rsid w:val="00A72BAD"/>
    <w:rsid w:val="00A7304C"/>
    <w:rsid w:val="00A73298"/>
    <w:rsid w:val="00A76A40"/>
    <w:rsid w:val="00A7748E"/>
    <w:rsid w:val="00A813A6"/>
    <w:rsid w:val="00A8774C"/>
    <w:rsid w:val="00A87D08"/>
    <w:rsid w:val="00A87DD3"/>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4682"/>
    <w:rsid w:val="00AC4D94"/>
    <w:rsid w:val="00AC6BB8"/>
    <w:rsid w:val="00AC7CDA"/>
    <w:rsid w:val="00AD0B8F"/>
    <w:rsid w:val="00AD1429"/>
    <w:rsid w:val="00AD357F"/>
    <w:rsid w:val="00AD736C"/>
    <w:rsid w:val="00AE3A78"/>
    <w:rsid w:val="00AF168F"/>
    <w:rsid w:val="00AF399F"/>
    <w:rsid w:val="00AF4813"/>
    <w:rsid w:val="00AF4A52"/>
    <w:rsid w:val="00B00602"/>
    <w:rsid w:val="00B06DEF"/>
    <w:rsid w:val="00B13B16"/>
    <w:rsid w:val="00B1418D"/>
    <w:rsid w:val="00B143B0"/>
    <w:rsid w:val="00B1762D"/>
    <w:rsid w:val="00B20B02"/>
    <w:rsid w:val="00B22D38"/>
    <w:rsid w:val="00B2373D"/>
    <w:rsid w:val="00B23964"/>
    <w:rsid w:val="00B24951"/>
    <w:rsid w:val="00B2536A"/>
    <w:rsid w:val="00B25F3A"/>
    <w:rsid w:val="00B30AC5"/>
    <w:rsid w:val="00B31347"/>
    <w:rsid w:val="00B331DB"/>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63"/>
    <w:rsid w:val="00B669F7"/>
    <w:rsid w:val="00B67BAC"/>
    <w:rsid w:val="00B71A08"/>
    <w:rsid w:val="00B71E0D"/>
    <w:rsid w:val="00B73059"/>
    <w:rsid w:val="00B8011B"/>
    <w:rsid w:val="00B83B5A"/>
    <w:rsid w:val="00B90895"/>
    <w:rsid w:val="00B90F77"/>
    <w:rsid w:val="00B931A3"/>
    <w:rsid w:val="00B93B57"/>
    <w:rsid w:val="00B95105"/>
    <w:rsid w:val="00B9557E"/>
    <w:rsid w:val="00B958F8"/>
    <w:rsid w:val="00BA2714"/>
    <w:rsid w:val="00BA7E52"/>
    <w:rsid w:val="00BB02E1"/>
    <w:rsid w:val="00BB2CFC"/>
    <w:rsid w:val="00BB328F"/>
    <w:rsid w:val="00BB49AB"/>
    <w:rsid w:val="00BB5F1B"/>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01B4F"/>
    <w:rsid w:val="00C027A0"/>
    <w:rsid w:val="00C10C8A"/>
    <w:rsid w:val="00C1106F"/>
    <w:rsid w:val="00C12BD4"/>
    <w:rsid w:val="00C14A53"/>
    <w:rsid w:val="00C14C32"/>
    <w:rsid w:val="00C1506F"/>
    <w:rsid w:val="00C16F64"/>
    <w:rsid w:val="00C22FF8"/>
    <w:rsid w:val="00C238DB"/>
    <w:rsid w:val="00C30A39"/>
    <w:rsid w:val="00C3218E"/>
    <w:rsid w:val="00C323DC"/>
    <w:rsid w:val="00C33CC9"/>
    <w:rsid w:val="00C34536"/>
    <w:rsid w:val="00C44308"/>
    <w:rsid w:val="00C44462"/>
    <w:rsid w:val="00C50552"/>
    <w:rsid w:val="00C50C63"/>
    <w:rsid w:val="00C560AD"/>
    <w:rsid w:val="00C56CE7"/>
    <w:rsid w:val="00C57FC5"/>
    <w:rsid w:val="00C61EAD"/>
    <w:rsid w:val="00C63503"/>
    <w:rsid w:val="00C644D1"/>
    <w:rsid w:val="00C648FF"/>
    <w:rsid w:val="00C6587A"/>
    <w:rsid w:val="00C71816"/>
    <w:rsid w:val="00C71900"/>
    <w:rsid w:val="00C74536"/>
    <w:rsid w:val="00C74766"/>
    <w:rsid w:val="00C76D37"/>
    <w:rsid w:val="00C76D8F"/>
    <w:rsid w:val="00C77F65"/>
    <w:rsid w:val="00C8633F"/>
    <w:rsid w:val="00C87023"/>
    <w:rsid w:val="00C87D61"/>
    <w:rsid w:val="00C91383"/>
    <w:rsid w:val="00C92DAD"/>
    <w:rsid w:val="00C96B33"/>
    <w:rsid w:val="00CA1DBE"/>
    <w:rsid w:val="00CA370C"/>
    <w:rsid w:val="00CA56B4"/>
    <w:rsid w:val="00CA6953"/>
    <w:rsid w:val="00CA7D6D"/>
    <w:rsid w:val="00CB099A"/>
    <w:rsid w:val="00CB1622"/>
    <w:rsid w:val="00CB19DD"/>
    <w:rsid w:val="00CB49E0"/>
    <w:rsid w:val="00CB4A3B"/>
    <w:rsid w:val="00CC0C51"/>
    <w:rsid w:val="00CC6A52"/>
    <w:rsid w:val="00CC7354"/>
    <w:rsid w:val="00CC79B6"/>
    <w:rsid w:val="00CC7EE2"/>
    <w:rsid w:val="00CD23B0"/>
    <w:rsid w:val="00CD3CEA"/>
    <w:rsid w:val="00CD5E79"/>
    <w:rsid w:val="00CD6F00"/>
    <w:rsid w:val="00CD7BEF"/>
    <w:rsid w:val="00CE0A32"/>
    <w:rsid w:val="00CE1C78"/>
    <w:rsid w:val="00CE23BB"/>
    <w:rsid w:val="00CE2C6F"/>
    <w:rsid w:val="00CE6E98"/>
    <w:rsid w:val="00CF0B87"/>
    <w:rsid w:val="00CF35EC"/>
    <w:rsid w:val="00D02E52"/>
    <w:rsid w:val="00D03249"/>
    <w:rsid w:val="00D061AD"/>
    <w:rsid w:val="00D10C90"/>
    <w:rsid w:val="00D10CEE"/>
    <w:rsid w:val="00D14991"/>
    <w:rsid w:val="00D16C0D"/>
    <w:rsid w:val="00D17968"/>
    <w:rsid w:val="00D21427"/>
    <w:rsid w:val="00D225CA"/>
    <w:rsid w:val="00D22B25"/>
    <w:rsid w:val="00D23E84"/>
    <w:rsid w:val="00D24464"/>
    <w:rsid w:val="00D265B6"/>
    <w:rsid w:val="00D276C8"/>
    <w:rsid w:val="00D27E1E"/>
    <w:rsid w:val="00D30B03"/>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3401"/>
    <w:rsid w:val="00D643F3"/>
    <w:rsid w:val="00D65D1F"/>
    <w:rsid w:val="00D67800"/>
    <w:rsid w:val="00D67EE3"/>
    <w:rsid w:val="00D67F03"/>
    <w:rsid w:val="00D72FC1"/>
    <w:rsid w:val="00D73F8C"/>
    <w:rsid w:val="00D742F0"/>
    <w:rsid w:val="00D747F6"/>
    <w:rsid w:val="00D7488F"/>
    <w:rsid w:val="00D75EAC"/>
    <w:rsid w:val="00D81A2A"/>
    <w:rsid w:val="00D84B24"/>
    <w:rsid w:val="00D859A1"/>
    <w:rsid w:val="00D930D3"/>
    <w:rsid w:val="00D962C1"/>
    <w:rsid w:val="00D97029"/>
    <w:rsid w:val="00DA444E"/>
    <w:rsid w:val="00DA773F"/>
    <w:rsid w:val="00DB08CD"/>
    <w:rsid w:val="00DB37DB"/>
    <w:rsid w:val="00DB522E"/>
    <w:rsid w:val="00DB6230"/>
    <w:rsid w:val="00DB780E"/>
    <w:rsid w:val="00DC01DE"/>
    <w:rsid w:val="00DD06A0"/>
    <w:rsid w:val="00DD0F98"/>
    <w:rsid w:val="00DD329C"/>
    <w:rsid w:val="00DD3651"/>
    <w:rsid w:val="00DE03F0"/>
    <w:rsid w:val="00DE27D9"/>
    <w:rsid w:val="00DE2884"/>
    <w:rsid w:val="00DE2910"/>
    <w:rsid w:val="00DE2E24"/>
    <w:rsid w:val="00DE436E"/>
    <w:rsid w:val="00DE5A8F"/>
    <w:rsid w:val="00DF0559"/>
    <w:rsid w:val="00DF1295"/>
    <w:rsid w:val="00DF19A4"/>
    <w:rsid w:val="00DF202A"/>
    <w:rsid w:val="00DF2238"/>
    <w:rsid w:val="00DF413B"/>
    <w:rsid w:val="00E013EC"/>
    <w:rsid w:val="00E057D3"/>
    <w:rsid w:val="00E07066"/>
    <w:rsid w:val="00E07FEA"/>
    <w:rsid w:val="00E110A1"/>
    <w:rsid w:val="00E14150"/>
    <w:rsid w:val="00E165B0"/>
    <w:rsid w:val="00E176D8"/>
    <w:rsid w:val="00E22864"/>
    <w:rsid w:val="00E23212"/>
    <w:rsid w:val="00E23C6B"/>
    <w:rsid w:val="00E26165"/>
    <w:rsid w:val="00E32B82"/>
    <w:rsid w:val="00E32F5C"/>
    <w:rsid w:val="00E4221A"/>
    <w:rsid w:val="00E422CE"/>
    <w:rsid w:val="00E42BE8"/>
    <w:rsid w:val="00E4606A"/>
    <w:rsid w:val="00E53EC3"/>
    <w:rsid w:val="00E558E8"/>
    <w:rsid w:val="00E61448"/>
    <w:rsid w:val="00E61D89"/>
    <w:rsid w:val="00E6389B"/>
    <w:rsid w:val="00E65357"/>
    <w:rsid w:val="00E66C22"/>
    <w:rsid w:val="00E671C2"/>
    <w:rsid w:val="00E74652"/>
    <w:rsid w:val="00E757B0"/>
    <w:rsid w:val="00E76D0E"/>
    <w:rsid w:val="00E83C93"/>
    <w:rsid w:val="00E83D56"/>
    <w:rsid w:val="00E86456"/>
    <w:rsid w:val="00E87F02"/>
    <w:rsid w:val="00E906F9"/>
    <w:rsid w:val="00E91C64"/>
    <w:rsid w:val="00E963F9"/>
    <w:rsid w:val="00EA1E30"/>
    <w:rsid w:val="00EA2F26"/>
    <w:rsid w:val="00EA444F"/>
    <w:rsid w:val="00EA5DDA"/>
    <w:rsid w:val="00EB4694"/>
    <w:rsid w:val="00EB6044"/>
    <w:rsid w:val="00EB6B47"/>
    <w:rsid w:val="00EC3656"/>
    <w:rsid w:val="00EC795B"/>
    <w:rsid w:val="00EC7A86"/>
    <w:rsid w:val="00ED0E76"/>
    <w:rsid w:val="00ED22C0"/>
    <w:rsid w:val="00ED656C"/>
    <w:rsid w:val="00ED66F7"/>
    <w:rsid w:val="00EE0056"/>
    <w:rsid w:val="00EE2D06"/>
    <w:rsid w:val="00EE3E5F"/>
    <w:rsid w:val="00EE5D19"/>
    <w:rsid w:val="00EE6D22"/>
    <w:rsid w:val="00EE7BB7"/>
    <w:rsid w:val="00EE7BBC"/>
    <w:rsid w:val="00EF40F5"/>
    <w:rsid w:val="00EF468C"/>
    <w:rsid w:val="00EF4A1F"/>
    <w:rsid w:val="00EF613C"/>
    <w:rsid w:val="00F034BC"/>
    <w:rsid w:val="00F052D6"/>
    <w:rsid w:val="00F06EB4"/>
    <w:rsid w:val="00F07BFB"/>
    <w:rsid w:val="00F12BB7"/>
    <w:rsid w:val="00F12D54"/>
    <w:rsid w:val="00F1309F"/>
    <w:rsid w:val="00F13288"/>
    <w:rsid w:val="00F13944"/>
    <w:rsid w:val="00F145AA"/>
    <w:rsid w:val="00F217E9"/>
    <w:rsid w:val="00F222ED"/>
    <w:rsid w:val="00F24DF3"/>
    <w:rsid w:val="00F304FF"/>
    <w:rsid w:val="00F32BBF"/>
    <w:rsid w:val="00F33C07"/>
    <w:rsid w:val="00F354E0"/>
    <w:rsid w:val="00F45211"/>
    <w:rsid w:val="00F457E5"/>
    <w:rsid w:val="00F5098E"/>
    <w:rsid w:val="00F50BFA"/>
    <w:rsid w:val="00F51A6E"/>
    <w:rsid w:val="00F53327"/>
    <w:rsid w:val="00F53B32"/>
    <w:rsid w:val="00F55DE6"/>
    <w:rsid w:val="00F6221A"/>
    <w:rsid w:val="00F63F35"/>
    <w:rsid w:val="00F648B8"/>
    <w:rsid w:val="00F65FD0"/>
    <w:rsid w:val="00F66E2E"/>
    <w:rsid w:val="00F7114D"/>
    <w:rsid w:val="00F71954"/>
    <w:rsid w:val="00F737E5"/>
    <w:rsid w:val="00F74B42"/>
    <w:rsid w:val="00F7591E"/>
    <w:rsid w:val="00F80CDD"/>
    <w:rsid w:val="00F84236"/>
    <w:rsid w:val="00F853B8"/>
    <w:rsid w:val="00F913DE"/>
    <w:rsid w:val="00F931FB"/>
    <w:rsid w:val="00FA0A27"/>
    <w:rsid w:val="00FA14D3"/>
    <w:rsid w:val="00FA3AED"/>
    <w:rsid w:val="00FA495A"/>
    <w:rsid w:val="00FA5F0D"/>
    <w:rsid w:val="00FA754B"/>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611B"/>
    <w:rsid w:val="00FD653F"/>
    <w:rsid w:val="00FD69CC"/>
    <w:rsid w:val="00FE33B2"/>
    <w:rsid w:val="00FE4CD0"/>
    <w:rsid w:val="00FF1CE6"/>
    <w:rsid w:val="00FF38F9"/>
    <w:rsid w:val="00FF3E8D"/>
    <w:rsid w:val="00FF442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F89DF"/>
  <w15:docId w15:val="{F888263B-EA83-4F44-B85E-037A6C4A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Onopgelostemelding">
    <w:name w:val="Unresolved Mention"/>
    <w:basedOn w:val="Standaardalinea-lettertype"/>
    <w:uiPriority w:val="99"/>
    <w:semiHidden/>
    <w:unhideWhenUsed/>
    <w:rsid w:val="007E1716"/>
    <w:rPr>
      <w:color w:val="605E5C"/>
      <w:shd w:val="clear" w:color="auto" w:fill="E1DFDD"/>
    </w:rPr>
  </w:style>
  <w:style w:type="character" w:customStyle="1" w:styleId="cf01">
    <w:name w:val="cf01"/>
    <w:basedOn w:val="Standaardalinea-lettertype"/>
    <w:rsid w:val="00950BAB"/>
    <w:rPr>
      <w:rFonts w:ascii="Segoe UI" w:hAnsi="Segoe UI" w:cs="Segoe UI" w:hint="default"/>
      <w:sz w:val="18"/>
      <w:szCs w:val="18"/>
    </w:rPr>
  </w:style>
  <w:style w:type="paragraph" w:customStyle="1" w:styleId="pf0">
    <w:name w:val="pf0"/>
    <w:basedOn w:val="Standaard"/>
    <w:rsid w:val="005D46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913901784">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452165442">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744982055">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4627</ap:Words>
  <ap:Characters>25450</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2013-01-25T07:38:00.0000000Z</lastPrinted>
  <dcterms:created xsi:type="dcterms:W3CDTF">2024-09-03T14:57:00.0000000Z</dcterms:created>
  <dcterms:modified xsi:type="dcterms:W3CDTF">2024-09-03T14:57:00.0000000Z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2024-03-16T17:03:34Z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d5c5fe10-74ae-4341-bbb7-8028e1f1ac36</vt:lpwstr>
  </property>
  <property fmtid="{D5CDD505-2E9C-101B-9397-08002B2CF9AE}" pid="8" name="MSIP_Label_6800fede-0e59-47ad-af95-4e63bbdb932d_ContentBits">
    <vt:lpwstr>0</vt:lpwstr>
  </property>
</Properties>
</file>