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9CE" w:rsidP="004649CE" w:rsidRDefault="004649CE" w14:paraId="2EC21F0B" w14:textId="77777777">
      <w:bookmarkStart w:name="_Hlk166502335" w:id="0"/>
      <w:r>
        <w:t>Met deze brief informeer ik u over de voortgang van de uitvoering van de gewijzigde motie van de leden Kröger en Thijssen inzake het verzoek aan de regering er naar te laten streven dat per 2025 alle openbare verlichting en alle verlichting van Rijksgebouwen bestaat uit ledverlichting. Het Rijk is aan het werk om alle openbare verlichting en alle verlichting van Rijksgebouwen zo snel mogelijk te voorzien van ledverlichting</w:t>
      </w:r>
      <w:r w:rsidR="00F1435E">
        <w:t>. H</w:t>
      </w:r>
      <w:r>
        <w:t>ierbij</w:t>
      </w:r>
      <w:r w:rsidR="00F1435E">
        <w:t xml:space="preserve"> moet</w:t>
      </w:r>
      <w:r>
        <w:t xml:space="preserve"> wel rekening houden met de technische, economische en circulaire haalbaarheid. Het is helaas praktisch gezien niet haalbaar om dit voor 2025 voor alle Rijksgebouwen en alle openbare verlichting geregeld te hebben. Het streven is dat we dit voor </w:t>
      </w:r>
      <w:r w:rsidR="00F1435E">
        <w:t xml:space="preserve">nagenoeg </w:t>
      </w:r>
      <w:r>
        <w:t>alle gebouwen, openbare ruimtes en wegen in 2028 kunnen realiseren</w:t>
      </w:r>
      <w:r>
        <w:rPr>
          <w:rStyle w:val="Voetnootmarkering"/>
        </w:rPr>
        <w:footnoteReference w:id="1"/>
      </w:r>
      <w:r>
        <w:t>. Middels deze brief wordt een stand van zaken geschetst ten aanzien van deze motie. Deze brief wordt mede namens de minister van Infrastructuur en Waterstaat en de minister v</w:t>
      </w:r>
      <w:r w:rsidR="009B5492">
        <w:t>an</w:t>
      </w:r>
      <w:r>
        <w:t xml:space="preserve"> </w:t>
      </w:r>
      <w:r w:rsidR="009B5492">
        <w:t xml:space="preserve">Klimaat en Groene Groei </w:t>
      </w:r>
      <w:r>
        <w:t>verstuurd.</w:t>
      </w:r>
    </w:p>
    <w:p w:rsidR="004649CE" w:rsidP="004649CE" w:rsidRDefault="004649CE" w14:paraId="682DB652" w14:textId="77777777"/>
    <w:p w:rsidR="004649CE" w:rsidP="004649CE" w:rsidRDefault="004649CE" w14:paraId="3CB85303" w14:textId="77777777">
      <w:r>
        <w:rPr>
          <w:b/>
          <w:bCs/>
        </w:rPr>
        <w:t>Aanleiding</w:t>
      </w:r>
    </w:p>
    <w:p w:rsidR="004649CE" w:rsidP="004649CE" w:rsidRDefault="004649CE" w14:paraId="06557129" w14:textId="77777777">
      <w:r>
        <w:t xml:space="preserve">De urgentie om duurzamer, slimmer en efficiënter om te gaan met energie is hoger dan ooit. Netcongestie, gestegen energiekosten, het gebrek aan capaciteit en schaarse materialen maken dat energie besparen een van de grootste prioriteiten is voor zowel de infrastructuur als de vastgoed opgave. Vanuit de voorbeeldrol van de Rijksoverheid jaagt het Rijk de markt aan om bedrijven en particulieren te stimuleren over te gaan op duurzamere, slimmere en efficiëntere technieken en producten. </w:t>
      </w:r>
    </w:p>
    <w:p w:rsidR="004649CE" w:rsidP="004649CE" w:rsidRDefault="004649CE" w14:paraId="16E2E7EC" w14:textId="77777777"/>
    <w:p w:rsidR="004649CE" w:rsidP="004649CE" w:rsidRDefault="004649CE" w14:paraId="19E7FACA" w14:textId="77777777">
      <w:r>
        <w:rPr>
          <w:b/>
          <w:bCs/>
        </w:rPr>
        <w:t>Stand van zaken</w:t>
      </w:r>
    </w:p>
    <w:p w:rsidR="004649CE" w:rsidP="004649CE" w:rsidRDefault="004649CE" w14:paraId="738CD7BE" w14:textId="77777777">
      <w:r>
        <w:t>In de reactie is, net als bij de motie, onderscheid gemaakt tussen openbare verlichting en de Rijksgebouwen. De voortgang van ledverlichting is getoetst bij het ministerie van Infrastructuur en Waterstaat (IenW), het Interprovinciaal Overleg (IPO) en de Vereniging van Nederlandse Gemeenten (VNG). De voortgang van ledverlichting bij de Rijksgebouwen is getoetst bij Defensie, Rijksvastgoedbedrijf en Rijkswaterstaat.</w:t>
      </w:r>
    </w:p>
    <w:p w:rsidR="004649CE" w:rsidP="004649CE" w:rsidRDefault="004649CE" w14:paraId="7D3D9559" w14:textId="77777777"/>
    <w:p w:rsidR="004649CE" w:rsidP="004649CE" w:rsidRDefault="004649CE" w14:paraId="3E9764F4" w14:textId="77777777">
      <w:r>
        <w:rPr>
          <w:i/>
          <w:iCs/>
        </w:rPr>
        <w:t>Openbare verlichting</w:t>
      </w:r>
    </w:p>
    <w:p w:rsidR="004649CE" w:rsidP="004649CE" w:rsidRDefault="004649CE" w14:paraId="5108B497" w14:textId="77777777">
      <w:pPr>
        <w:rPr>
          <w:u w:val="single"/>
        </w:rPr>
      </w:pPr>
      <w:r>
        <w:rPr>
          <w:u w:val="single"/>
        </w:rPr>
        <w:t>Provinciale wegen</w:t>
      </w:r>
    </w:p>
    <w:p w:rsidR="004649CE" w:rsidP="004649CE" w:rsidRDefault="004649CE" w14:paraId="5604D76D" w14:textId="77777777">
      <w:r>
        <w:t>Via het IPO en de VNG is vanuit de verschillende provincies data aangeleverd over wat de vordering is met het vervangen van de openbare verlichting voor ledverlichting. In onderstaand schema is de voortgang te zien m.b.t. de provinciale wegen. Hierbij is een percentage opgenomen voor zover bekend.</w:t>
      </w:r>
    </w:p>
    <w:tbl>
      <w:tblPr>
        <w:tblStyle w:val="Tabelraster"/>
        <w:tblW w:w="7618" w:type="dxa"/>
        <w:tblInd w:w="0" w:type="dxa"/>
        <w:tblLook w:val="04A0" w:firstRow="1" w:lastRow="0" w:firstColumn="1" w:lastColumn="0" w:noHBand="0" w:noVBand="1"/>
      </w:tblPr>
      <w:tblGrid>
        <w:gridCol w:w="1555"/>
        <w:gridCol w:w="6063"/>
      </w:tblGrid>
      <w:tr w:rsidR="004649CE" w:rsidTr="004649CE" w14:paraId="770C4168"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12C950E2" w14:textId="77777777">
            <w:pPr>
              <w:rPr>
                <w:b/>
                <w:bCs/>
              </w:rPr>
            </w:pPr>
            <w:r>
              <w:rPr>
                <w:b/>
                <w:bCs/>
              </w:rPr>
              <w:lastRenderedPageBreak/>
              <w:t>Provincie</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5030B13D" w14:textId="77777777">
            <w:pPr>
              <w:rPr>
                <w:b/>
                <w:bCs/>
              </w:rPr>
            </w:pPr>
            <w:r>
              <w:rPr>
                <w:b/>
                <w:bCs/>
              </w:rPr>
              <w:t>Voortgang</w:t>
            </w:r>
          </w:p>
        </w:tc>
      </w:tr>
      <w:tr w:rsidR="004649CE" w:rsidTr="004649CE" w14:paraId="6EE05863" w14:textId="77777777">
        <w:trPr>
          <w:trHeight w:val="160"/>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2C36213A" w14:textId="77777777">
            <w:r>
              <w:t>Zeeland</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33A57E05" w14:textId="77777777">
            <w:r>
              <w:t>83,4% ledarmaturen</w:t>
            </w:r>
            <w:r>
              <w:rPr>
                <w:rStyle w:val="Voetnootmarkering"/>
              </w:rPr>
              <w:footnoteReference w:id="2"/>
            </w:r>
            <w:r>
              <w:t xml:space="preserve"> in 2024, uiterlijk 2029 alle openbare verlichting vervangen door ledverlichting.</w:t>
            </w:r>
          </w:p>
        </w:tc>
      </w:tr>
      <w:tr w:rsidR="004649CE" w:rsidTr="004649CE" w14:paraId="42DAD615"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2FABAE40" w14:textId="77777777">
            <w:r>
              <w:t>Limburg</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68489075" w14:textId="77777777">
            <w:r>
              <w:t>Ca. 95% ledarmaturen begin 2024, uiterlijk eind 2028 alle openbare verlichting vervangen voor ledverlichting.</w:t>
            </w:r>
          </w:p>
        </w:tc>
      </w:tr>
      <w:tr w:rsidR="004649CE" w:rsidTr="004649CE" w14:paraId="4380E80A" w14:textId="77777777">
        <w:trPr>
          <w:trHeight w:val="31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6053CDF3" w14:textId="77777777">
            <w:r>
              <w:t>Friesland</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0A10D9D1" w14:textId="77777777">
            <w:r>
              <w:t>Percentage onbekend, uiterlijk begin 2025 alle openbare verlichting vervangen door ledverlichting.</w:t>
            </w:r>
          </w:p>
        </w:tc>
      </w:tr>
      <w:tr w:rsidR="004649CE" w:rsidTr="004649CE" w14:paraId="0177FC85" w14:textId="77777777">
        <w:trPr>
          <w:trHeight w:val="31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43529B8D" w14:textId="77777777">
            <w:r>
              <w:t>Noord-Holland</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53265AD8" w14:textId="77777777">
            <w:r>
              <w:t>Ca. 50% ledarmaturen begin 2024, uiterlijk eind 2026 alle openbare verlichting vervangen door ledverlichting.</w:t>
            </w:r>
          </w:p>
        </w:tc>
      </w:tr>
      <w:tr w:rsidR="004649CE" w:rsidTr="004649CE" w14:paraId="011FB3F5"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731F2AF1" w14:textId="77777777">
            <w:r>
              <w:t>Noord-Brabant</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0DBF5B56" w14:textId="77777777">
            <w:r>
              <w:t>Onbekend, uiterlijk eind 2032 alle openbare verlichting vervangen door ledverlichting.</w:t>
            </w:r>
          </w:p>
        </w:tc>
      </w:tr>
      <w:tr w:rsidR="004649CE" w:rsidTr="004649CE" w14:paraId="3E8ECA2F"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38477CF2" w14:textId="77777777">
            <w:r>
              <w:t>Overijssel</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29911992" w14:textId="77777777">
            <w:r>
              <w:t>Onbekend</w:t>
            </w:r>
          </w:p>
        </w:tc>
      </w:tr>
      <w:tr w:rsidR="004649CE" w:rsidTr="004649CE" w14:paraId="092A4397"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06EF463E" w14:textId="77777777">
            <w:r>
              <w:t>Gelderland</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246671D8" w14:textId="77777777">
            <w:r>
              <w:t>Onbekend</w:t>
            </w:r>
          </w:p>
        </w:tc>
      </w:tr>
      <w:tr w:rsidR="004649CE" w:rsidTr="004649CE" w14:paraId="1268197C"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356F9C59" w14:textId="77777777">
            <w:r>
              <w:t>Zuid-Holland</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15CDC76B" w14:textId="77777777">
            <w:r>
              <w:t>Onbekend</w:t>
            </w:r>
          </w:p>
        </w:tc>
      </w:tr>
      <w:tr w:rsidR="004649CE" w:rsidTr="004649CE" w14:paraId="5071B968"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3EA653B5" w14:textId="77777777">
            <w:r>
              <w:t>Flevoland</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0DE6204C" w14:textId="77777777">
            <w:r>
              <w:t>Onbekend</w:t>
            </w:r>
          </w:p>
        </w:tc>
      </w:tr>
      <w:tr w:rsidR="004649CE" w:rsidTr="004649CE" w14:paraId="14CEB552"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35E2B4A8" w14:textId="77777777">
            <w:r>
              <w:t>Drenthe</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55395DC2" w14:textId="77777777">
            <w:r>
              <w:t>Onbekend</w:t>
            </w:r>
          </w:p>
        </w:tc>
      </w:tr>
      <w:tr w:rsidR="004649CE" w:rsidTr="004649CE" w14:paraId="79A10E2E"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590EB619" w14:textId="77777777">
            <w:r>
              <w:t>Groningen</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246CB679" w14:textId="77777777">
            <w:r>
              <w:t>Onbekend</w:t>
            </w:r>
          </w:p>
        </w:tc>
      </w:tr>
      <w:tr w:rsidR="004649CE" w:rsidTr="004649CE" w14:paraId="666C6D06" w14:textId="77777777">
        <w:trPr>
          <w:trHeight w:val="236"/>
        </w:trPr>
        <w:tc>
          <w:tcPr>
            <w:tcW w:w="1555" w:type="dxa"/>
            <w:tcBorders>
              <w:top w:val="single" w:color="000000" w:sz="4" w:space="0"/>
              <w:left w:val="single" w:color="000000" w:sz="4" w:space="0"/>
              <w:bottom w:val="single" w:color="000000" w:sz="4" w:space="0"/>
              <w:right w:val="single" w:color="000000" w:sz="4" w:space="0"/>
            </w:tcBorders>
            <w:hideMark/>
          </w:tcPr>
          <w:p w:rsidR="004649CE" w:rsidRDefault="004649CE" w14:paraId="32A9ECD4" w14:textId="77777777">
            <w:r>
              <w:t>Utrecht</w:t>
            </w:r>
          </w:p>
        </w:tc>
        <w:tc>
          <w:tcPr>
            <w:tcW w:w="6063" w:type="dxa"/>
            <w:tcBorders>
              <w:top w:val="single" w:color="000000" w:sz="4" w:space="0"/>
              <w:left w:val="single" w:color="000000" w:sz="4" w:space="0"/>
              <w:bottom w:val="single" w:color="000000" w:sz="4" w:space="0"/>
              <w:right w:val="single" w:color="000000" w:sz="4" w:space="0"/>
            </w:tcBorders>
            <w:hideMark/>
          </w:tcPr>
          <w:p w:rsidR="004649CE" w:rsidRDefault="004649CE" w14:paraId="3BEF4D12" w14:textId="77777777">
            <w:r>
              <w:t>Onbekend</w:t>
            </w:r>
          </w:p>
        </w:tc>
      </w:tr>
    </w:tbl>
    <w:p w:rsidR="004649CE" w:rsidP="004649CE" w:rsidRDefault="004649CE" w14:paraId="689F75F0" w14:textId="77777777"/>
    <w:p w:rsidR="004649CE" w:rsidP="004649CE" w:rsidRDefault="004649CE" w14:paraId="487C7491" w14:textId="77777777">
      <w:r>
        <w:rPr>
          <w:u w:val="single"/>
        </w:rPr>
        <w:t>Hoofdwegennet</w:t>
      </w:r>
    </w:p>
    <w:p w:rsidR="004649CE" w:rsidP="004649CE" w:rsidRDefault="004649CE" w14:paraId="6990CC98" w14:textId="77777777">
      <w:r>
        <w:t>Het ministerie van Infrastructuur en Waterstaat heeft de afgelopen jaren stappen gezet om de verlichting van het hoofdwegennet te verduurzamen. Eind 2024 is ca. 45% van de lichtmasten op het hoofdwegennet van ledverlichting voorzien. Zo vervangt Rijkswaterstaat momenteel in Noord-Holland 12.000 conventionele verlichting door ledverlichting. In 2030 zal minimaal 70% van het hoofdwegennet over ledverlichting beschikken. Voor het vervangen van de openbare verlichting wordt aangesloten bij de natuurlijke vervangingsmomenten, waarbij altijd ledverlichting wordt toegepast. Dit is vastgelegd in het basiskwaliteitsniveau (BKN) van de RWS netwerken</w:t>
      </w:r>
      <w:r>
        <w:rPr>
          <w:rStyle w:val="Voetnootmarkering"/>
        </w:rPr>
        <w:footnoteReference w:id="3"/>
      </w:r>
      <w:r>
        <w:t xml:space="preserve">. Door de natuurlijke vervangingsmomenten te benutten, voorkomt het ministerie van IenW kapitaalvernietiging en houdt het rekening met de uitgangspunten van circulaire economie. </w:t>
      </w:r>
    </w:p>
    <w:p w:rsidR="004649CE" w:rsidP="004649CE" w:rsidRDefault="004649CE" w14:paraId="7305CEF6" w14:textId="77777777"/>
    <w:p w:rsidR="004649CE" w:rsidP="004649CE" w:rsidRDefault="004649CE" w14:paraId="40E1BB36" w14:textId="77777777">
      <w:pPr>
        <w:rPr>
          <w:u w:val="single"/>
        </w:rPr>
      </w:pPr>
      <w:r>
        <w:rPr>
          <w:u w:val="single"/>
        </w:rPr>
        <w:t>Gemeentewegen</w:t>
      </w:r>
    </w:p>
    <w:p w:rsidR="004649CE" w:rsidP="004649CE" w:rsidRDefault="004649CE" w14:paraId="2ED7EC99" w14:textId="77777777">
      <w:r>
        <w:t>Door de VNG zijn alle gemeenten benaderd om te kijken hoe het staat met de ledverlichting van hun openbare straatverlichting. Inmiddels hebben 42 gemeenten gereageerd en aangegeven dat zij allemaal met led bij openbare verlichting bezig zijn en vaak al alles hebben voorzien van ledverlichting. De indruk is dat gemeenten hiermee actief aan de slag te zijn. De VNG overweegt nog of ze samen met BNG en marktpartijen de gemeenten gaan informeren met aanvullende informatie over het nut om over te gaan op ledverlichting, gunstige financieringsconstructies en inhoudelijke kennis over het omschakelen naar ledverlichting.</w:t>
      </w:r>
    </w:p>
    <w:p w:rsidR="004649CE" w:rsidP="004649CE" w:rsidRDefault="004649CE" w14:paraId="2C9C653A" w14:textId="77777777">
      <w:pPr>
        <w:rPr>
          <w:i/>
          <w:iCs/>
        </w:rPr>
      </w:pPr>
    </w:p>
    <w:p w:rsidR="004649CE" w:rsidP="004649CE" w:rsidRDefault="004649CE" w14:paraId="06E42C07" w14:textId="77777777">
      <w:r>
        <w:rPr>
          <w:i/>
          <w:iCs/>
        </w:rPr>
        <w:t>Rijksgebouwen</w:t>
      </w:r>
    </w:p>
    <w:p w:rsidR="004649CE" w:rsidP="004649CE" w:rsidRDefault="004649CE" w14:paraId="7A79C6BB" w14:textId="77777777">
      <w:pPr>
        <w:rPr>
          <w:u w:val="single"/>
        </w:rPr>
      </w:pPr>
      <w:r>
        <w:rPr>
          <w:u w:val="single"/>
        </w:rPr>
        <w:t>Wettelijk kader (algemeen)</w:t>
      </w:r>
    </w:p>
    <w:p w:rsidR="004649CE" w:rsidP="004649CE" w:rsidRDefault="004649CE" w14:paraId="2CC9EAFF" w14:textId="77777777">
      <w:r>
        <w:t xml:space="preserve">Ledverlichting valt onder de energiebesparingsplicht waar </w:t>
      </w:r>
      <w:r w:rsidR="009B5492">
        <w:t xml:space="preserve">het </w:t>
      </w:r>
      <w:r>
        <w:t>minister</w:t>
      </w:r>
      <w:r w:rsidR="009B5492">
        <w:t>ie</w:t>
      </w:r>
      <w:r>
        <w:t xml:space="preserve"> v</w:t>
      </w:r>
      <w:r w:rsidR="009B5492">
        <w:t>an</w:t>
      </w:r>
      <w:r>
        <w:t xml:space="preserve"> Klimaat en </w:t>
      </w:r>
      <w:r w:rsidR="009B5492">
        <w:t>Groene Groei</w:t>
      </w:r>
      <w:r>
        <w:t xml:space="preserve"> verantwoordelijk </w:t>
      </w:r>
      <w:r w:rsidR="009B5492">
        <w:t xml:space="preserve">voor </w:t>
      </w:r>
      <w:r>
        <w:t xml:space="preserve">is. De energiebesparingsplicht </w:t>
      </w:r>
      <w:r>
        <w:lastRenderedPageBreak/>
        <w:t>verplicht bedrijven en instellingen (dus ook het Rijk) om alle energiebesparende maatregelen met een terugverdientijd van 5 jaar of minder uit te voeren. De energiebesparingsplicht geldt voor locaties van bedrijven en instellingen die per jaar vanaf 50.000 kWh elektriciteit of 25.000 m3 aardgas(equivalent) gebruiken. Deze bedrijven moeten elke vier jaar rapporteren over hun maatregelen met een terugverdientijd van 5 jaar. Overheidsgebouwen vallen meestal onder de energiebesparingsplicht. Ledverlichting verdient zich vaak binnen 5 jaar terug en valt dus voor deze gebouwen onder de plicht.</w:t>
      </w:r>
    </w:p>
    <w:p w:rsidR="004649CE" w:rsidP="004649CE" w:rsidRDefault="004649CE" w14:paraId="5949043D" w14:textId="77777777"/>
    <w:p w:rsidR="004649CE" w:rsidP="004649CE" w:rsidRDefault="004649CE" w14:paraId="61347C90" w14:textId="77777777">
      <w:r>
        <w:rPr>
          <w:u w:val="single"/>
        </w:rPr>
        <w:t>Rijksvastgoedbedrijf</w:t>
      </w:r>
    </w:p>
    <w:p w:rsidR="004649CE" w:rsidP="004649CE" w:rsidRDefault="004649CE" w14:paraId="359B8970" w14:textId="77777777">
      <w:r>
        <w:t xml:space="preserve">In de meeste Rijkskantoren wordt </w:t>
      </w:r>
      <w:r w:rsidR="006C3BF8">
        <w:t xml:space="preserve">op dit moment </w:t>
      </w:r>
      <w:r>
        <w:t>de verlichting geregeld via ledverlichting. Het Rijksvastgoedbedrijf is dan ook blij met de aandacht voor ledverlichting binnen de bestaande wettelijke kaders. Deze motie wordt dan ook gezien als aanmoediging om de huidige wetgeving, een combinatie van nieuwbouweisen en erkende maatregelen uit de energiebesparingsplicht, uit te voeren. De bestaande wetgeving vereist namelijk al ledverlichting indien zicht dit dus terugverdiend binnen 5 jaar. Ook zet het Rijksvastgoedbedrijf vanuit de portefeuilleaanpak</w:t>
      </w:r>
      <w:r>
        <w:rPr>
          <w:rStyle w:val="Voetnootmarkering"/>
        </w:rPr>
        <w:footnoteReference w:id="4"/>
      </w:r>
      <w:r>
        <w:rPr>
          <w:rStyle w:val="Voetnootmarkering"/>
        </w:rPr>
        <w:footnoteReference w:id="5"/>
      </w:r>
      <w:r>
        <w:t xml:space="preserve"> in om uiterlijk eind 2026 te voldoen aan de energielabel-C-verplichting voor kantoren en de energiebesparingsplicht. Dit is dus ruimschoots binnen de voorgestelde realisatie termijn van 2028.</w:t>
      </w:r>
    </w:p>
    <w:p w:rsidR="004649CE" w:rsidP="004649CE" w:rsidRDefault="004649CE" w14:paraId="2AF46175" w14:textId="77777777"/>
    <w:p w:rsidR="004649CE" w:rsidP="004649CE" w:rsidRDefault="004649CE" w14:paraId="7C4BA230" w14:textId="77777777">
      <w:r>
        <w:rPr>
          <w:u w:val="single"/>
        </w:rPr>
        <w:t>Defensie</w:t>
      </w:r>
    </w:p>
    <w:p w:rsidR="004649CE" w:rsidP="004649CE" w:rsidRDefault="004649CE" w14:paraId="7C99FFB9" w14:textId="77777777">
      <w:r>
        <w:t>Een andere grote vastgoedeigenaar binnen het Rijk is het ministerie van Defensie. Over het verduurzamen en energiezuiniger maken van het vastgoed, de processen en de faciliteiten wordt elke vier jaar gerapporteerd. In 2019 had deze rapportage in het kader van de informatieplicht betrekking op 1700 van de ongeveer 10.000 gebouwen van Defensie. Eind 2023 was de scope uitgebreid naar 3314 gebouwen, verdeeld over 127 defensielocaties. Op dit moment voldoet een groot deel van het Defensievastgoed niet aan de wettelijke kaders op het gebied van verduurzaming. Defensie is hiertoe met een inhaalslag bezig.</w:t>
      </w:r>
      <w:r w:rsidR="00B231C6">
        <w:t xml:space="preserve"> Uw Kamer is op 30 mei jl. hierover geinformeerd</w:t>
      </w:r>
      <w:r w:rsidR="00343ADC">
        <w:t>.</w:t>
      </w:r>
      <w:r w:rsidR="00343ADC">
        <w:rPr>
          <w:rStyle w:val="Voetnootmarkering"/>
        </w:rPr>
        <w:footnoteReference w:id="6"/>
      </w:r>
    </w:p>
    <w:p w:rsidR="004649CE" w:rsidP="004649CE" w:rsidRDefault="004649CE" w14:paraId="3AF458D0" w14:textId="77777777"/>
    <w:p w:rsidR="004649CE" w:rsidP="004649CE" w:rsidRDefault="004649CE" w14:paraId="4B000019" w14:textId="77777777">
      <w:r>
        <w:t>De inhaalslag behelst ook het aanbrengen van ledverlichting op de bovengenoemde 127 defensielocaties. Op andere defensielocaties wordt ook, daar waar mogelijk, ledverlichting aangebracht als onderdeel van het Strategisch Vastgoedplan 2022 en de Routekaart 2.0</w:t>
      </w:r>
      <w:r>
        <w:rPr>
          <w:rStyle w:val="Voetnootmarkering"/>
        </w:rPr>
        <w:footnoteReference w:id="7"/>
      </w:r>
      <w:r>
        <w:t>.</w:t>
      </w:r>
    </w:p>
    <w:p w:rsidR="004649CE" w:rsidP="004649CE" w:rsidRDefault="004649CE" w14:paraId="5A10A56F" w14:textId="77777777"/>
    <w:p w:rsidR="004649CE" w:rsidP="004649CE" w:rsidRDefault="004649CE" w14:paraId="4BA771CF" w14:textId="77777777"/>
    <w:p w:rsidR="004649CE" w:rsidP="004649CE" w:rsidRDefault="004649CE" w14:paraId="71C5EDE9" w14:textId="77777777">
      <w:r>
        <w:t>De minister v</w:t>
      </w:r>
      <w:r w:rsidR="004763B6">
        <w:t>an</w:t>
      </w:r>
      <w:r w:rsidR="00C34B21">
        <w:t xml:space="preserve"> Volkshuisvesting en Ruimtelijke Ordening</w:t>
      </w:r>
      <w:r w:rsidR="0087000A">
        <w:t>,</w:t>
      </w:r>
    </w:p>
    <w:p w:rsidR="004649CE" w:rsidP="004649CE" w:rsidRDefault="004649CE" w14:paraId="5144EA12" w14:textId="77777777"/>
    <w:p w:rsidR="004649CE" w:rsidP="004649CE" w:rsidRDefault="004649CE" w14:paraId="5BD49A11" w14:textId="77777777"/>
    <w:p w:rsidR="004649CE" w:rsidP="004649CE" w:rsidRDefault="004649CE" w14:paraId="06275CBD" w14:textId="77777777"/>
    <w:p w:rsidR="004649CE" w:rsidP="004649CE" w:rsidRDefault="004649CE" w14:paraId="2F1D7AFB" w14:textId="77777777"/>
    <w:p w:rsidR="00C34B21" w:rsidP="004649CE" w:rsidRDefault="00C34B21" w14:paraId="1903AB21" w14:textId="77777777"/>
    <w:p w:rsidR="004649CE" w:rsidP="004649CE" w:rsidRDefault="00C34B21" w14:paraId="3CC8D074" w14:textId="77777777">
      <w:r>
        <w:t>Mona Keijzer</w:t>
      </w:r>
      <w:bookmarkEnd w:id="0"/>
    </w:p>
    <w:sectPr w:rsidR="004649C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A510" w14:textId="77777777" w:rsidR="00AB32FB" w:rsidRDefault="00AB32FB">
      <w:pPr>
        <w:spacing w:line="240" w:lineRule="auto"/>
      </w:pPr>
      <w:r>
        <w:separator/>
      </w:r>
    </w:p>
  </w:endnote>
  <w:endnote w:type="continuationSeparator" w:id="0">
    <w:p w14:paraId="6884DB97" w14:textId="77777777" w:rsidR="00AB32FB" w:rsidRDefault="00AB3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8B58" w14:textId="77777777" w:rsidR="00343ADC" w:rsidRDefault="00343A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E39A" w14:textId="77777777" w:rsidR="00343ADC" w:rsidRDefault="00343A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6737" w14:textId="77777777" w:rsidR="00343ADC" w:rsidRDefault="00343A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E582" w14:textId="77777777" w:rsidR="00AB32FB" w:rsidRDefault="00AB32FB">
      <w:pPr>
        <w:spacing w:line="240" w:lineRule="auto"/>
      </w:pPr>
      <w:r>
        <w:separator/>
      </w:r>
    </w:p>
  </w:footnote>
  <w:footnote w:type="continuationSeparator" w:id="0">
    <w:p w14:paraId="243D8715" w14:textId="77777777" w:rsidR="00AB32FB" w:rsidRDefault="00AB32FB">
      <w:pPr>
        <w:spacing w:line="240" w:lineRule="auto"/>
      </w:pPr>
      <w:r>
        <w:continuationSeparator/>
      </w:r>
    </w:p>
  </w:footnote>
  <w:footnote w:id="1">
    <w:p w14:paraId="53F9CA4E" w14:textId="77777777" w:rsidR="004649CE" w:rsidRDefault="004649CE" w:rsidP="004649CE">
      <w:pPr>
        <w:pStyle w:val="Voetnoottekst"/>
      </w:pPr>
      <w:r>
        <w:rPr>
          <w:rStyle w:val="Voetnootmarkering"/>
          <w:sz w:val="14"/>
          <w:szCs w:val="14"/>
        </w:rPr>
        <w:footnoteRef/>
      </w:r>
      <w:r>
        <w:t xml:space="preserve"> </w:t>
      </w:r>
      <w:r>
        <w:rPr>
          <w:sz w:val="14"/>
          <w:szCs w:val="14"/>
        </w:rPr>
        <w:t>36410 XIII nr. 78 (17 oktober 2023)</w:t>
      </w:r>
    </w:p>
  </w:footnote>
  <w:footnote w:id="2">
    <w:p w14:paraId="30D307D3" w14:textId="77777777" w:rsidR="004649CE" w:rsidRDefault="004649CE" w:rsidP="004649CE">
      <w:pPr>
        <w:pStyle w:val="Voetnoottekst"/>
        <w:rPr>
          <w:sz w:val="14"/>
          <w:szCs w:val="14"/>
        </w:rPr>
      </w:pPr>
      <w:r>
        <w:rPr>
          <w:rStyle w:val="Voetnootmarkering"/>
          <w:sz w:val="14"/>
          <w:szCs w:val="14"/>
        </w:rPr>
        <w:footnoteRef/>
      </w:r>
      <w:r>
        <w:rPr>
          <w:sz w:val="14"/>
          <w:szCs w:val="14"/>
        </w:rPr>
        <w:t xml:space="preserve"> Een ledarmatuur is niet alleen het licht zelf, maar ook de behuizing en aansluiting.</w:t>
      </w:r>
    </w:p>
  </w:footnote>
  <w:footnote w:id="3">
    <w:p w14:paraId="2ADFFC4D" w14:textId="77777777" w:rsidR="004649CE" w:rsidRDefault="004649CE" w:rsidP="004649CE">
      <w:pPr>
        <w:pStyle w:val="Voetnoottekst"/>
        <w:rPr>
          <w:sz w:val="14"/>
          <w:szCs w:val="14"/>
        </w:rPr>
      </w:pPr>
      <w:r>
        <w:rPr>
          <w:rStyle w:val="Voetnootmarkering"/>
          <w:sz w:val="14"/>
          <w:szCs w:val="14"/>
        </w:rPr>
        <w:footnoteRef/>
      </w:r>
      <w:r>
        <w:rPr>
          <w:sz w:val="14"/>
          <w:szCs w:val="14"/>
        </w:rPr>
        <w:t xml:space="preserve"> </w:t>
      </w:r>
      <w:r w:rsidR="00343ADC">
        <w:rPr>
          <w:sz w:val="14"/>
          <w:szCs w:val="14"/>
        </w:rPr>
        <w:t>Kamerstuk II, 2023-2024, 29 385, nr. 119</w:t>
      </w:r>
    </w:p>
  </w:footnote>
  <w:footnote w:id="4">
    <w:p w14:paraId="6DDED6DC" w14:textId="77777777" w:rsidR="004649CE" w:rsidRDefault="004649CE" w:rsidP="004649CE">
      <w:pPr>
        <w:pStyle w:val="Voetnoottekst"/>
        <w:rPr>
          <w:sz w:val="16"/>
          <w:szCs w:val="16"/>
        </w:rPr>
      </w:pPr>
      <w:r>
        <w:rPr>
          <w:rStyle w:val="Voetnootmarkering"/>
          <w:sz w:val="14"/>
          <w:szCs w:val="14"/>
        </w:rPr>
        <w:footnoteRef/>
      </w:r>
      <w:r>
        <w:rPr>
          <w:sz w:val="14"/>
          <w:szCs w:val="14"/>
        </w:rPr>
        <w:t xml:space="preserve"> </w:t>
      </w:r>
      <w:hyperlink r:id="rId1" w:history="1">
        <w:r>
          <w:rPr>
            <w:rStyle w:val="Hyperlink"/>
            <w:color w:val="0070C0"/>
            <w:sz w:val="14"/>
            <w:szCs w:val="14"/>
          </w:rPr>
          <w:t>Portefeuilleaanpak (rvo.nl)</w:t>
        </w:r>
      </w:hyperlink>
    </w:p>
  </w:footnote>
  <w:footnote w:id="5">
    <w:p w14:paraId="18E59B4D" w14:textId="77777777" w:rsidR="004649CE" w:rsidRDefault="004649CE" w:rsidP="004649CE">
      <w:pPr>
        <w:pStyle w:val="Voetnoottekst"/>
      </w:pPr>
      <w:r>
        <w:rPr>
          <w:rStyle w:val="Voetnootmarkering"/>
          <w:sz w:val="14"/>
          <w:szCs w:val="14"/>
        </w:rPr>
        <w:footnoteRef/>
      </w:r>
      <w:r>
        <w:rPr>
          <w:sz w:val="14"/>
          <w:szCs w:val="14"/>
        </w:rPr>
        <w:t xml:space="preserve"> 32813-1177 nr. 1320 (13 maart 2023)</w:t>
      </w:r>
    </w:p>
  </w:footnote>
  <w:footnote w:id="6">
    <w:p w14:paraId="3B83A9AC" w14:textId="77777777" w:rsidR="00343ADC" w:rsidRPr="00197C3F" w:rsidRDefault="00343ADC" w:rsidP="00343ADC">
      <w:pPr>
        <w:spacing w:line="240" w:lineRule="auto"/>
        <w:rPr>
          <w:sz w:val="14"/>
          <w:szCs w:val="14"/>
        </w:rPr>
      </w:pPr>
      <w:r w:rsidRPr="00197C3F">
        <w:rPr>
          <w:sz w:val="14"/>
          <w:szCs w:val="14"/>
        </w:rPr>
        <w:footnoteRef/>
      </w:r>
      <w:r w:rsidRPr="00197C3F">
        <w:rPr>
          <w:sz w:val="14"/>
          <w:szCs w:val="14"/>
        </w:rPr>
        <w:t xml:space="preserve"> Kamerstukken II</w:t>
      </w:r>
      <w:r>
        <w:rPr>
          <w:sz w:val="14"/>
          <w:szCs w:val="14"/>
        </w:rPr>
        <w:t>, 2023-2024,</w:t>
      </w:r>
      <w:r w:rsidRPr="00197C3F">
        <w:rPr>
          <w:sz w:val="14"/>
          <w:szCs w:val="14"/>
        </w:rPr>
        <w:t xml:space="preserve"> 36 124, nr.43 </w:t>
      </w:r>
    </w:p>
  </w:footnote>
  <w:footnote w:id="7">
    <w:p w14:paraId="4510F703" w14:textId="77777777" w:rsidR="004649CE" w:rsidRDefault="004649CE" w:rsidP="004649CE">
      <w:pPr>
        <w:pStyle w:val="Voetnoottekst"/>
        <w:rPr>
          <w:sz w:val="14"/>
          <w:szCs w:val="14"/>
        </w:rPr>
      </w:pPr>
      <w:r>
        <w:rPr>
          <w:rStyle w:val="Voetnootmarkering"/>
          <w:sz w:val="14"/>
          <w:szCs w:val="14"/>
        </w:rPr>
        <w:footnoteRef/>
      </w:r>
      <w:r>
        <w:rPr>
          <w:sz w:val="14"/>
          <w:szCs w:val="14"/>
        </w:rPr>
        <w:t xml:space="preserve"> </w:t>
      </w:r>
      <w:hyperlink r:id="rId2" w:history="1">
        <w:r>
          <w:rPr>
            <w:rStyle w:val="Hyperlink"/>
            <w:color w:val="0070C0"/>
            <w:sz w:val="14"/>
            <w:szCs w:val="14"/>
          </w:rPr>
          <w:t>Routekaart 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1EEC" w14:textId="77777777" w:rsidR="00343ADC" w:rsidRDefault="00343A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9E24" w14:textId="77777777" w:rsidR="008B5435" w:rsidRDefault="004E5D83">
    <w:r>
      <w:rPr>
        <w:noProof/>
      </w:rPr>
      <mc:AlternateContent>
        <mc:Choice Requires="wps">
          <w:drawing>
            <wp:anchor distT="0" distB="0" distL="0" distR="0" simplePos="0" relativeHeight="251652096" behindDoc="0" locked="1" layoutInCell="1" allowOverlap="1" wp14:anchorId="207C5BCF" wp14:editId="5DDAD32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8400EC" w14:textId="77777777" w:rsidR="007621B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07C5BC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28400EC" w14:textId="77777777" w:rsidR="007621B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E2D5BC" wp14:editId="4F2E55F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3D5D0F" w14:textId="77777777" w:rsidR="008B5435" w:rsidRDefault="004E5D83">
                          <w:pPr>
                            <w:pStyle w:val="Referentiegegevensbold"/>
                          </w:pPr>
                          <w:r>
                            <w:t>DG Volkshuisvesting en Bouwen</w:t>
                          </w:r>
                        </w:p>
                        <w:p w14:paraId="7B27CB95" w14:textId="77777777" w:rsidR="008B5435" w:rsidRDefault="008B5435">
                          <w:pPr>
                            <w:pStyle w:val="WitregelW2"/>
                          </w:pPr>
                        </w:p>
                        <w:p w14:paraId="40BA09BE" w14:textId="77777777" w:rsidR="008B5435" w:rsidRDefault="004E5D83">
                          <w:pPr>
                            <w:pStyle w:val="Referentiegegevensbold"/>
                          </w:pPr>
                          <w:r>
                            <w:t>Datum</w:t>
                          </w:r>
                        </w:p>
                        <w:p w14:paraId="3C14862E" w14:textId="7F241F8D" w:rsidR="007621BD" w:rsidRDefault="008F08D8">
                          <w:pPr>
                            <w:pStyle w:val="Referentiegegevens"/>
                          </w:pPr>
                          <w:r>
                            <w:t>03 september 2024</w:t>
                          </w:r>
                        </w:p>
                        <w:p w14:paraId="7A6C697A" w14:textId="77777777" w:rsidR="008B5435" w:rsidRDefault="008B5435">
                          <w:pPr>
                            <w:pStyle w:val="WitregelW1"/>
                          </w:pPr>
                        </w:p>
                        <w:p w14:paraId="2C175433" w14:textId="77777777" w:rsidR="008B5435" w:rsidRDefault="004E5D83">
                          <w:pPr>
                            <w:pStyle w:val="Referentiegegevensbold"/>
                          </w:pPr>
                          <w:r>
                            <w:t>Onze referentie</w:t>
                          </w:r>
                        </w:p>
                        <w:p w14:paraId="1605EB24" w14:textId="77777777" w:rsidR="007621BD" w:rsidRDefault="00000000">
                          <w:pPr>
                            <w:pStyle w:val="Referentiegegevens"/>
                          </w:pPr>
                          <w:fldSimple w:instr=" DOCPROPERTY  &quot;Kenmerk&quot;  \* MERGEFORMAT ">
                            <w:r w:rsidR="008F08D8">
                              <w:t>2024-0000617377</w:t>
                            </w:r>
                          </w:fldSimple>
                        </w:p>
                      </w:txbxContent>
                    </wps:txbx>
                    <wps:bodyPr vert="horz" wrap="square" lIns="0" tIns="0" rIns="0" bIns="0" anchor="t" anchorCtr="0"/>
                  </wps:wsp>
                </a:graphicData>
              </a:graphic>
            </wp:anchor>
          </w:drawing>
        </mc:Choice>
        <mc:Fallback>
          <w:pict>
            <v:shape w14:anchorId="2EE2D5B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63D5D0F" w14:textId="77777777" w:rsidR="008B5435" w:rsidRDefault="004E5D83">
                    <w:pPr>
                      <w:pStyle w:val="Referentiegegevensbold"/>
                    </w:pPr>
                    <w:r>
                      <w:t>DG Volkshuisvesting en Bouwen</w:t>
                    </w:r>
                  </w:p>
                  <w:p w14:paraId="7B27CB95" w14:textId="77777777" w:rsidR="008B5435" w:rsidRDefault="008B5435">
                    <w:pPr>
                      <w:pStyle w:val="WitregelW2"/>
                    </w:pPr>
                  </w:p>
                  <w:p w14:paraId="40BA09BE" w14:textId="77777777" w:rsidR="008B5435" w:rsidRDefault="004E5D83">
                    <w:pPr>
                      <w:pStyle w:val="Referentiegegevensbold"/>
                    </w:pPr>
                    <w:r>
                      <w:t>Datum</w:t>
                    </w:r>
                  </w:p>
                  <w:p w14:paraId="3C14862E" w14:textId="7F241F8D" w:rsidR="007621BD" w:rsidRDefault="008F08D8">
                    <w:pPr>
                      <w:pStyle w:val="Referentiegegevens"/>
                    </w:pPr>
                    <w:r>
                      <w:t>03 september 2024</w:t>
                    </w:r>
                  </w:p>
                  <w:p w14:paraId="7A6C697A" w14:textId="77777777" w:rsidR="008B5435" w:rsidRDefault="008B5435">
                    <w:pPr>
                      <w:pStyle w:val="WitregelW1"/>
                    </w:pPr>
                  </w:p>
                  <w:p w14:paraId="2C175433" w14:textId="77777777" w:rsidR="008B5435" w:rsidRDefault="004E5D83">
                    <w:pPr>
                      <w:pStyle w:val="Referentiegegevensbold"/>
                    </w:pPr>
                    <w:r>
                      <w:t>Onze referentie</w:t>
                    </w:r>
                  </w:p>
                  <w:p w14:paraId="1605EB24" w14:textId="77777777" w:rsidR="007621BD" w:rsidRDefault="00000000">
                    <w:pPr>
                      <w:pStyle w:val="Referentiegegevens"/>
                    </w:pPr>
                    <w:fldSimple w:instr=" DOCPROPERTY  &quot;Kenmerk&quot;  \* MERGEFORMAT ">
                      <w:r w:rsidR="008F08D8">
                        <w:t>2024-0000617377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A53901" wp14:editId="4088A56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299493" w14:textId="77777777" w:rsidR="007621B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FA5390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1299493" w14:textId="77777777" w:rsidR="007621B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3DD8D9" wp14:editId="40B4EFC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2E22EC" w14:textId="77777777" w:rsidR="007621B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3DD8D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A2E22EC" w14:textId="77777777" w:rsidR="007621B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A60F" w14:textId="77777777" w:rsidR="008B5435" w:rsidRDefault="004E5D83">
    <w:pPr>
      <w:spacing w:after="6377" w:line="14" w:lineRule="exact"/>
    </w:pPr>
    <w:r>
      <w:rPr>
        <w:noProof/>
      </w:rPr>
      <mc:AlternateContent>
        <mc:Choice Requires="wps">
          <w:drawing>
            <wp:anchor distT="0" distB="0" distL="0" distR="0" simplePos="0" relativeHeight="251656192" behindDoc="0" locked="1" layoutInCell="1" allowOverlap="1" wp14:anchorId="785F4AD4" wp14:editId="7AC6A74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F5743BF" w14:textId="77777777" w:rsidR="008B5435" w:rsidRDefault="004E5D83">
                          <w:pPr>
                            <w:spacing w:line="240" w:lineRule="auto"/>
                          </w:pPr>
                          <w:r>
                            <w:rPr>
                              <w:noProof/>
                            </w:rPr>
                            <w:drawing>
                              <wp:inline distT="0" distB="0" distL="0" distR="0" wp14:anchorId="25AD6CA8" wp14:editId="092E27C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85F4A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F5743BF" w14:textId="77777777" w:rsidR="008B5435" w:rsidRDefault="004E5D83">
                    <w:pPr>
                      <w:spacing w:line="240" w:lineRule="auto"/>
                    </w:pPr>
                    <w:r>
                      <w:rPr>
                        <w:noProof/>
                      </w:rPr>
                      <w:drawing>
                        <wp:inline distT="0" distB="0" distL="0" distR="0" wp14:anchorId="25AD6CA8" wp14:editId="092E27C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20CC0E3" wp14:editId="2E5099C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678F1F" w14:textId="77777777" w:rsidR="008B5435" w:rsidRDefault="008B5435">
                          <w:pPr>
                            <w:spacing w:line="240" w:lineRule="auto"/>
                          </w:pPr>
                        </w:p>
                        <w:p w14:paraId="5DEA715A" w14:textId="77777777" w:rsidR="004A3651" w:rsidRDefault="004A3651">
                          <w:pPr>
                            <w:spacing w:line="240" w:lineRule="auto"/>
                          </w:pPr>
                        </w:p>
                        <w:p w14:paraId="060B626A" w14:textId="77777777" w:rsidR="004A3651" w:rsidRDefault="004A3651">
                          <w:pPr>
                            <w:spacing w:line="240" w:lineRule="auto"/>
                          </w:pPr>
                        </w:p>
                        <w:p w14:paraId="7DCB3261" w14:textId="77777777" w:rsidR="004A3651" w:rsidRDefault="004A3651">
                          <w:pPr>
                            <w:spacing w:line="240" w:lineRule="auto"/>
                          </w:pPr>
                        </w:p>
                        <w:p w14:paraId="7758A414" w14:textId="77777777" w:rsidR="004A3651" w:rsidRDefault="004A3651">
                          <w:pPr>
                            <w:spacing w:line="240" w:lineRule="auto"/>
                          </w:pPr>
                        </w:p>
                        <w:p w14:paraId="1E9B8263" w14:textId="77777777" w:rsidR="004A3651" w:rsidRDefault="004A3651">
                          <w:pPr>
                            <w:spacing w:line="240" w:lineRule="auto"/>
                          </w:pPr>
                        </w:p>
                        <w:p w14:paraId="4EE5D1D4" w14:textId="77777777" w:rsidR="004A3651" w:rsidRPr="004A3651" w:rsidRDefault="004A3651">
                          <w:pPr>
                            <w:spacing w:line="240" w:lineRule="auto"/>
                            <w:rPr>
                              <w:rFonts w:ascii="Times New Roman" w:hAnsi="Times New Roman" w:cs="Times New Roman"/>
                              <w:sz w:val="24"/>
                              <w:szCs w:val="24"/>
                            </w:rPr>
                          </w:pPr>
                          <w:r>
                            <w:t xml:space="preserve">  </w:t>
                          </w:r>
                          <w:r w:rsidRPr="004A3651">
                            <w:rPr>
                              <w:rFonts w:ascii="Times New Roman" w:hAnsi="Times New Roman" w:cs="Times New Roman"/>
                              <w:sz w:val="24"/>
                              <w:szCs w:val="24"/>
                            </w:rPr>
                            <w:t xml:space="preserve"> Ministerie van Volkshuisvesting en </w:t>
                          </w:r>
                        </w:p>
                        <w:p w14:paraId="61AF7EE4" w14:textId="77777777" w:rsidR="004A3651" w:rsidRPr="004A3651" w:rsidRDefault="004A3651">
                          <w:pPr>
                            <w:spacing w:line="240" w:lineRule="auto"/>
                            <w:rPr>
                              <w:rFonts w:ascii="Times New Roman" w:hAnsi="Times New Roman" w:cs="Times New Roman"/>
                              <w:sz w:val="24"/>
                              <w:szCs w:val="24"/>
                            </w:rPr>
                          </w:pPr>
                          <w:r w:rsidRPr="004A3651">
                            <w:rPr>
                              <w:rFonts w:ascii="Times New Roman" w:hAnsi="Times New Roman" w:cs="Times New Roman"/>
                              <w:sz w:val="24"/>
                              <w:szCs w:val="24"/>
                            </w:rPr>
                            <w:t xml:space="preserve">   Ruimtelijke Ordening</w:t>
                          </w:r>
                        </w:p>
                      </w:txbxContent>
                    </wps:txbx>
                    <wps:bodyPr vert="horz" wrap="square" lIns="0" tIns="0" rIns="0" bIns="0" anchor="t" anchorCtr="0"/>
                  </wps:wsp>
                </a:graphicData>
              </a:graphic>
            </wp:anchor>
          </w:drawing>
        </mc:Choice>
        <mc:Fallback>
          <w:pict>
            <v:shape w14:anchorId="320CC0E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6678F1F" w14:textId="77777777" w:rsidR="008B5435" w:rsidRDefault="008B5435">
                    <w:pPr>
                      <w:spacing w:line="240" w:lineRule="auto"/>
                    </w:pPr>
                  </w:p>
                  <w:p w14:paraId="5DEA715A" w14:textId="77777777" w:rsidR="004A3651" w:rsidRDefault="004A3651">
                    <w:pPr>
                      <w:spacing w:line="240" w:lineRule="auto"/>
                    </w:pPr>
                  </w:p>
                  <w:p w14:paraId="060B626A" w14:textId="77777777" w:rsidR="004A3651" w:rsidRDefault="004A3651">
                    <w:pPr>
                      <w:spacing w:line="240" w:lineRule="auto"/>
                    </w:pPr>
                  </w:p>
                  <w:p w14:paraId="7DCB3261" w14:textId="77777777" w:rsidR="004A3651" w:rsidRDefault="004A3651">
                    <w:pPr>
                      <w:spacing w:line="240" w:lineRule="auto"/>
                    </w:pPr>
                  </w:p>
                  <w:p w14:paraId="7758A414" w14:textId="77777777" w:rsidR="004A3651" w:rsidRDefault="004A3651">
                    <w:pPr>
                      <w:spacing w:line="240" w:lineRule="auto"/>
                    </w:pPr>
                  </w:p>
                  <w:p w14:paraId="1E9B8263" w14:textId="77777777" w:rsidR="004A3651" w:rsidRDefault="004A3651">
                    <w:pPr>
                      <w:spacing w:line="240" w:lineRule="auto"/>
                    </w:pPr>
                  </w:p>
                  <w:p w14:paraId="4EE5D1D4" w14:textId="77777777" w:rsidR="004A3651" w:rsidRPr="004A3651" w:rsidRDefault="004A3651">
                    <w:pPr>
                      <w:spacing w:line="240" w:lineRule="auto"/>
                      <w:rPr>
                        <w:rFonts w:ascii="Times New Roman" w:hAnsi="Times New Roman" w:cs="Times New Roman"/>
                        <w:sz w:val="24"/>
                        <w:szCs w:val="24"/>
                      </w:rPr>
                    </w:pPr>
                    <w:r>
                      <w:t xml:space="preserve">  </w:t>
                    </w:r>
                    <w:r w:rsidRPr="004A3651">
                      <w:rPr>
                        <w:rFonts w:ascii="Times New Roman" w:hAnsi="Times New Roman" w:cs="Times New Roman"/>
                        <w:sz w:val="24"/>
                        <w:szCs w:val="24"/>
                      </w:rPr>
                      <w:t xml:space="preserve"> Ministerie van Volkshuisvesting en </w:t>
                    </w:r>
                  </w:p>
                  <w:p w14:paraId="61AF7EE4" w14:textId="77777777" w:rsidR="004A3651" w:rsidRPr="004A3651" w:rsidRDefault="004A3651">
                    <w:pPr>
                      <w:spacing w:line="240" w:lineRule="auto"/>
                      <w:rPr>
                        <w:rFonts w:ascii="Times New Roman" w:hAnsi="Times New Roman" w:cs="Times New Roman"/>
                        <w:sz w:val="24"/>
                        <w:szCs w:val="24"/>
                      </w:rPr>
                    </w:pPr>
                    <w:r w:rsidRPr="004A3651">
                      <w:rPr>
                        <w:rFonts w:ascii="Times New Roman" w:hAnsi="Times New Roman" w:cs="Times New Roman"/>
                        <w:sz w:val="24"/>
                        <w:szCs w:val="24"/>
                      </w:rPr>
                      <w:t xml:space="preserve">   Ruimtelijke Ordening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296FC4" wp14:editId="01B19CA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B97BBD" w14:textId="77777777" w:rsidR="008B5435" w:rsidRDefault="004E5D83">
                          <w:pPr>
                            <w:pStyle w:val="Referentiegegevens"/>
                          </w:pPr>
                          <w:r>
                            <w:t xml:space="preserve">&gt;  </w:t>
                          </w:r>
                          <w:r w:rsidR="00A4213A">
                            <w:t>Retouradres Postbus 20011 2500 EA  Den Haag</w:t>
                          </w:r>
                        </w:p>
                      </w:txbxContent>
                    </wps:txbx>
                    <wps:bodyPr vert="horz" wrap="square" lIns="0" tIns="0" rIns="0" bIns="0" anchor="t" anchorCtr="0"/>
                  </wps:wsp>
                </a:graphicData>
              </a:graphic>
            </wp:anchor>
          </w:drawing>
        </mc:Choice>
        <mc:Fallback>
          <w:pict>
            <v:shape w14:anchorId="65296FC4"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CB97BBD" w14:textId="77777777" w:rsidR="008B5435" w:rsidRDefault="004E5D83">
                    <w:pPr>
                      <w:pStyle w:val="Referentiegegevens"/>
                    </w:pPr>
                    <w:r>
                      <w:t xml:space="preserve">&gt;  </w:t>
                    </w:r>
                    <w:r w:rsidR="00A4213A">
                      <w:t>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D476F6" wp14:editId="12E4743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190EA7" w14:textId="77777777" w:rsidR="007621B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4540BEF" w14:textId="77777777" w:rsidR="00A4213A" w:rsidRDefault="00A4213A" w:rsidP="00A4213A">
                          <w:r>
                            <w:t xml:space="preserve">Aan de Voorzitter van de Tweede Kamer </w:t>
                          </w:r>
                        </w:p>
                        <w:p w14:paraId="575AC5FC" w14:textId="77777777" w:rsidR="00A4213A" w:rsidRDefault="00A4213A" w:rsidP="00A4213A">
                          <w:r>
                            <w:t>der Staten-Generaal</w:t>
                          </w:r>
                        </w:p>
                        <w:p w14:paraId="506A3F9E" w14:textId="77777777" w:rsidR="00A4213A" w:rsidRDefault="00A4213A" w:rsidP="00A4213A">
                          <w:r>
                            <w:t xml:space="preserve">Postbus 20018 </w:t>
                          </w:r>
                        </w:p>
                        <w:p w14:paraId="17177FE5" w14:textId="77777777" w:rsidR="00A4213A" w:rsidRDefault="00A4213A" w:rsidP="00A4213A">
                          <w:r>
                            <w:t>2500 EA  Den Haag</w:t>
                          </w:r>
                        </w:p>
                        <w:p w14:paraId="7B923274" w14:textId="77777777" w:rsidR="008B5435" w:rsidRDefault="008B5435"/>
                      </w:txbxContent>
                    </wps:txbx>
                    <wps:bodyPr vert="horz" wrap="square" lIns="0" tIns="0" rIns="0" bIns="0" anchor="t" anchorCtr="0"/>
                  </wps:wsp>
                </a:graphicData>
              </a:graphic>
            </wp:anchor>
          </w:drawing>
        </mc:Choice>
        <mc:Fallback>
          <w:pict>
            <v:shape w14:anchorId="15D476F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8190EA7" w14:textId="77777777" w:rsidR="007621B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4540BEF" w14:textId="77777777" w:rsidR="00A4213A" w:rsidRDefault="00A4213A" w:rsidP="00A4213A">
                    <w:r>
                      <w:t xml:space="preserve">Aan de Voorzitter van de Tweede Kamer </w:t>
                    </w:r>
                  </w:p>
                  <w:p w14:paraId="575AC5FC" w14:textId="77777777" w:rsidR="00A4213A" w:rsidRDefault="00A4213A" w:rsidP="00A4213A">
                    <w:r>
                      <w:t>der Staten-Generaal</w:t>
                    </w:r>
                  </w:p>
                  <w:p w14:paraId="506A3F9E" w14:textId="77777777" w:rsidR="00A4213A" w:rsidRDefault="00A4213A" w:rsidP="00A4213A">
                    <w:r>
                      <w:t xml:space="preserve">Postbus 20018 </w:t>
                    </w:r>
                  </w:p>
                  <w:p w14:paraId="17177FE5" w14:textId="77777777" w:rsidR="00A4213A" w:rsidRDefault="00A4213A" w:rsidP="00A4213A">
                    <w:r>
                      <w:t>2500 EA  Den Haag</w:t>
                    </w:r>
                  </w:p>
                  <w:p w14:paraId="7B923274" w14:textId="77777777" w:rsidR="008B5435" w:rsidRDefault="008B5435"/>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14C33D5" wp14:editId="436D4CE4">
              <wp:simplePos x="0" y="0"/>
              <wp:positionH relativeFrom="page">
                <wp:posOffset>1019175</wp:posOffset>
              </wp:positionH>
              <wp:positionV relativeFrom="page">
                <wp:posOffset>3342640</wp:posOffset>
              </wp:positionV>
              <wp:extent cx="4772025" cy="5048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048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B5435" w14:paraId="3A827738" w14:textId="77777777">
                            <w:trPr>
                              <w:trHeight w:val="240"/>
                            </w:trPr>
                            <w:tc>
                              <w:tcPr>
                                <w:tcW w:w="1140" w:type="dxa"/>
                              </w:tcPr>
                              <w:p w14:paraId="3A0F818B" w14:textId="77777777" w:rsidR="008B5435" w:rsidRDefault="004E5D83">
                                <w:r>
                                  <w:t>Datum</w:t>
                                </w:r>
                              </w:p>
                            </w:tc>
                            <w:tc>
                              <w:tcPr>
                                <w:tcW w:w="5918" w:type="dxa"/>
                              </w:tcPr>
                              <w:p w14:paraId="7FE976E0" w14:textId="702724B9" w:rsidR="008B5435" w:rsidRDefault="008F08D8">
                                <w:r>
                                  <w:t>03 september 2024</w:t>
                                </w:r>
                              </w:p>
                            </w:tc>
                          </w:tr>
                          <w:tr w:rsidR="008B5435" w14:paraId="078F6811" w14:textId="77777777">
                            <w:trPr>
                              <w:trHeight w:val="240"/>
                            </w:trPr>
                            <w:tc>
                              <w:tcPr>
                                <w:tcW w:w="1140" w:type="dxa"/>
                              </w:tcPr>
                              <w:p w14:paraId="3A248552" w14:textId="77777777" w:rsidR="008B5435" w:rsidRDefault="004E5D83">
                                <w:r>
                                  <w:t>Betreft</w:t>
                                </w:r>
                              </w:p>
                            </w:tc>
                            <w:tc>
                              <w:tcPr>
                                <w:tcW w:w="5918" w:type="dxa"/>
                              </w:tcPr>
                              <w:p w14:paraId="261B7CCC" w14:textId="77777777" w:rsidR="007621BD" w:rsidRDefault="00000000">
                                <w:fldSimple w:instr=" DOCPROPERTY  &quot;Onderwerp&quot;  \* MERGEFORMAT ">
                                  <w:r w:rsidR="008F08D8">
                                    <w:t>Stand van zaken motie Kröger en Thijssen inzake ledverlichting</w:t>
                                  </w:r>
                                </w:fldSimple>
                              </w:p>
                            </w:tc>
                          </w:tr>
                        </w:tbl>
                        <w:p w14:paraId="2398125E" w14:textId="77777777" w:rsidR="004E5D83" w:rsidRDefault="004E5D8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14C33D5" id="1670fa0c-13cb-45ec-92be-ef1f34d237c5" o:spid="_x0000_s1034" type="#_x0000_t202" style="position:absolute;margin-left:80.25pt;margin-top:263.2pt;width:375.75pt;height:39.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918"/>
                    </w:tblGrid>
                    <w:tr w:rsidR="008B5435" w14:paraId="3A827738" w14:textId="77777777">
                      <w:trPr>
                        <w:trHeight w:val="240"/>
                      </w:trPr>
                      <w:tc>
                        <w:tcPr>
                          <w:tcW w:w="1140" w:type="dxa"/>
                        </w:tcPr>
                        <w:p w14:paraId="3A0F818B" w14:textId="77777777" w:rsidR="008B5435" w:rsidRDefault="004E5D83">
                          <w:r>
                            <w:t>Datum</w:t>
                          </w:r>
                        </w:p>
                      </w:tc>
                      <w:tc>
                        <w:tcPr>
                          <w:tcW w:w="5918" w:type="dxa"/>
                        </w:tcPr>
                        <w:p w14:paraId="7FE976E0" w14:textId="702724B9" w:rsidR="008B5435" w:rsidRDefault="008F08D8">
                          <w:r>
                            <w:t>03 september 2024</w:t>
                          </w:r>
                        </w:p>
                      </w:tc>
                    </w:tr>
                    <w:tr w:rsidR="008B5435" w14:paraId="078F6811" w14:textId="77777777">
                      <w:trPr>
                        <w:trHeight w:val="240"/>
                      </w:trPr>
                      <w:tc>
                        <w:tcPr>
                          <w:tcW w:w="1140" w:type="dxa"/>
                        </w:tcPr>
                        <w:p w14:paraId="3A248552" w14:textId="77777777" w:rsidR="008B5435" w:rsidRDefault="004E5D83">
                          <w:r>
                            <w:t>Betreft</w:t>
                          </w:r>
                        </w:p>
                      </w:tc>
                      <w:tc>
                        <w:tcPr>
                          <w:tcW w:w="5918" w:type="dxa"/>
                        </w:tcPr>
                        <w:p w14:paraId="261B7CCC" w14:textId="77777777" w:rsidR="007621BD" w:rsidRDefault="00000000">
                          <w:fldSimple w:instr=" DOCPROPERTY  &quot;Onderwerp&quot;  \* MERGEFORMAT ">
                            <w:r w:rsidR="008F08D8">
                              <w:t>Stand van zaken motie Kröger en Thijssen inzake ledverlichting</w:t>
                            </w:r>
                          </w:fldSimple>
                        </w:p>
                      </w:tc>
                    </w:tr>
                  </w:tbl>
                  <w:p w14:paraId="2398125E" w14:textId="77777777" w:rsidR="004E5D83" w:rsidRDefault="004E5D8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32BB0DA" wp14:editId="4E2C75DC">
              <wp:simplePos x="0" y="0"/>
              <wp:positionH relativeFrom="page">
                <wp:posOffset>5929630</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C7005D" w14:textId="77777777" w:rsidR="008B5435" w:rsidRDefault="004E5D83">
                          <w:pPr>
                            <w:pStyle w:val="Referentiegegevensbold"/>
                          </w:pPr>
                          <w:r>
                            <w:t>DG Volkshuisvesting en Bouwen</w:t>
                          </w:r>
                        </w:p>
                        <w:p w14:paraId="4865A6DB" w14:textId="77777777" w:rsidR="000D1D4D" w:rsidRPr="000D1D4D" w:rsidRDefault="000D1D4D" w:rsidP="000D1D4D">
                          <w:pPr>
                            <w:rPr>
                              <w:sz w:val="13"/>
                              <w:szCs w:val="13"/>
                            </w:rPr>
                          </w:pPr>
                          <w:r w:rsidRPr="000D1D4D">
                            <w:rPr>
                              <w:sz w:val="13"/>
                              <w:szCs w:val="13"/>
                            </w:rPr>
                            <w:t>Directie Bouwen &amp; Energie</w:t>
                          </w:r>
                        </w:p>
                        <w:p w14:paraId="7EBF0CCD" w14:textId="77777777" w:rsidR="008B5435" w:rsidRDefault="008B5435">
                          <w:pPr>
                            <w:pStyle w:val="WitregelW1"/>
                          </w:pPr>
                        </w:p>
                        <w:p w14:paraId="025B0E3C" w14:textId="77777777" w:rsidR="008B5435" w:rsidRDefault="004E5D83">
                          <w:pPr>
                            <w:pStyle w:val="Referentiegegevens"/>
                          </w:pPr>
                          <w:r>
                            <w:t>Turfmarkt 147</w:t>
                          </w:r>
                        </w:p>
                        <w:p w14:paraId="7A3DCDB7" w14:textId="77777777" w:rsidR="008B5435" w:rsidRDefault="004E5D83">
                          <w:pPr>
                            <w:pStyle w:val="Referentiegegevens"/>
                          </w:pPr>
                          <w:r>
                            <w:t>2511 DP  Den Haag</w:t>
                          </w:r>
                        </w:p>
                        <w:p w14:paraId="3009CEFC" w14:textId="77777777" w:rsidR="008B5435" w:rsidRDefault="008B5435">
                          <w:pPr>
                            <w:pStyle w:val="WitregelW1"/>
                          </w:pPr>
                        </w:p>
                        <w:p w14:paraId="03565A84" w14:textId="77777777" w:rsidR="008B5435" w:rsidRDefault="008B5435">
                          <w:pPr>
                            <w:pStyle w:val="WitregelW1"/>
                          </w:pPr>
                        </w:p>
                        <w:p w14:paraId="22DB1993" w14:textId="77777777" w:rsidR="008B5435" w:rsidRDefault="004E5D83">
                          <w:pPr>
                            <w:pStyle w:val="Referentiegegevensbold"/>
                          </w:pPr>
                          <w:r>
                            <w:t>Onze referentie</w:t>
                          </w:r>
                        </w:p>
                        <w:p w14:paraId="4A70E8E7" w14:textId="77777777" w:rsidR="007621BD" w:rsidRDefault="00000000">
                          <w:pPr>
                            <w:pStyle w:val="Referentiegegevens"/>
                          </w:pPr>
                          <w:fldSimple w:instr=" DOCPROPERTY  &quot;Kenmerk&quot;  \* MERGEFORMAT ">
                            <w:r w:rsidR="008F08D8">
                              <w:t>2024-0000617377</w:t>
                            </w:r>
                          </w:fldSimple>
                        </w:p>
                        <w:p w14:paraId="68A3D137" w14:textId="77777777" w:rsidR="008B5435" w:rsidRDefault="008B5435">
                          <w:pPr>
                            <w:pStyle w:val="WitregelW1"/>
                          </w:pPr>
                        </w:p>
                        <w:p w14:paraId="6F9E0903" w14:textId="77777777" w:rsidR="008B5435" w:rsidRDefault="004E5D83">
                          <w:pPr>
                            <w:pStyle w:val="Referentiegegevensbold"/>
                          </w:pPr>
                          <w:r>
                            <w:t>Uw referentie</w:t>
                          </w:r>
                        </w:p>
                        <w:p w14:paraId="1CCCB6B9" w14:textId="77777777" w:rsidR="007621BD" w:rsidRDefault="00000000">
                          <w:pPr>
                            <w:pStyle w:val="Referentiegegevens"/>
                          </w:pPr>
                          <w:r>
                            <w:t>36410XIII-78</w:t>
                          </w: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32BB0DA" id="aa29ef58-fa5a-4ef1-bc47-43f659f7c670" o:spid="_x0000_s1035" type="#_x0000_t202" style="position:absolute;margin-left:466.9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" filled="f" stroked="f">
              <v:textbox inset="0,0,0,0">
                <w:txbxContent>
                  <w:p w14:paraId="17C7005D" w14:textId="77777777" w:rsidR="008B5435" w:rsidRDefault="004E5D83">
                    <w:pPr>
                      <w:pStyle w:val="Referentiegegevensbold"/>
                    </w:pPr>
                    <w:r>
                      <w:t>DG Volkshuisvesting en Bouwen</w:t>
                    </w:r>
                  </w:p>
                  <w:p w14:paraId="4865A6DB" w14:textId="77777777" w:rsidR="000D1D4D" w:rsidRPr="000D1D4D" w:rsidRDefault="000D1D4D" w:rsidP="000D1D4D">
                    <w:pPr>
                      <w:rPr>
                        <w:sz w:val="13"/>
                        <w:szCs w:val="13"/>
                      </w:rPr>
                    </w:pPr>
                    <w:r w:rsidRPr="000D1D4D">
                      <w:rPr>
                        <w:sz w:val="13"/>
                        <w:szCs w:val="13"/>
                      </w:rPr>
                      <w:t>Directie Bouwen &amp; Energie</w:t>
                    </w:r>
                  </w:p>
                  <w:p w14:paraId="7EBF0CCD" w14:textId="77777777" w:rsidR="008B5435" w:rsidRDefault="008B5435">
                    <w:pPr>
                      <w:pStyle w:val="WitregelW1"/>
                    </w:pPr>
                  </w:p>
                  <w:p w14:paraId="025B0E3C" w14:textId="77777777" w:rsidR="008B5435" w:rsidRDefault="004E5D83">
                    <w:pPr>
                      <w:pStyle w:val="Referentiegegevens"/>
                    </w:pPr>
                    <w:r>
                      <w:t>Turfmarkt 147</w:t>
                    </w:r>
                  </w:p>
                  <w:p w14:paraId="7A3DCDB7" w14:textId="77777777" w:rsidR="008B5435" w:rsidRDefault="004E5D83">
                    <w:pPr>
                      <w:pStyle w:val="Referentiegegevens"/>
                    </w:pPr>
                    <w:r>
                      <w:t>2511 DP  Den Haag</w:t>
                    </w:r>
                  </w:p>
                  <w:p w14:paraId="3009CEFC" w14:textId="77777777" w:rsidR="008B5435" w:rsidRDefault="008B5435">
                    <w:pPr>
                      <w:pStyle w:val="WitregelW1"/>
                    </w:pPr>
                  </w:p>
                  <w:p w14:paraId="03565A84" w14:textId="77777777" w:rsidR="008B5435" w:rsidRDefault="008B5435">
                    <w:pPr>
                      <w:pStyle w:val="WitregelW1"/>
                    </w:pPr>
                  </w:p>
                  <w:p w14:paraId="22DB1993" w14:textId="77777777" w:rsidR="008B5435" w:rsidRDefault="004E5D83">
                    <w:pPr>
                      <w:pStyle w:val="Referentiegegevensbold"/>
                    </w:pPr>
                    <w:r>
                      <w:t>Onze referentie</w:t>
                    </w:r>
                  </w:p>
                  <w:p w14:paraId="4A70E8E7" w14:textId="77777777" w:rsidR="007621BD" w:rsidRDefault="00000000">
                    <w:pPr>
                      <w:pStyle w:val="Referentiegegevens"/>
                    </w:pPr>
                    <w:fldSimple w:instr=" DOCPROPERTY  &quot;Kenmerk&quot;  \* MERGEFORMAT ">
                      <w:r w:rsidR="008F08D8">
                        <w:t>2024-0000617377</w:t>
                      </w:r>
                    </w:fldSimple>
                  </w:p>
                  <w:p w14:paraId="68A3D137" w14:textId="77777777" w:rsidR="008B5435" w:rsidRDefault="008B5435">
                    <w:pPr>
                      <w:pStyle w:val="WitregelW1"/>
                    </w:pPr>
                  </w:p>
                  <w:p w14:paraId="6F9E0903" w14:textId="77777777" w:rsidR="008B5435" w:rsidRDefault="004E5D83">
                    <w:pPr>
                      <w:pStyle w:val="Referentiegegevensbold"/>
                    </w:pPr>
                    <w:r>
                      <w:t>Uw referentie</w:t>
                    </w:r>
                  </w:p>
                  <w:p w14:paraId="1CCCB6B9" w14:textId="77777777" w:rsidR="007621BD" w:rsidRDefault="00000000">
                    <w:pPr>
                      <w:pStyle w:val="Referentiegegevens"/>
                    </w:pPr>
                    <w:r>
                      <w:t>36410XIII-78</w:t>
                    </w: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AB24A85" wp14:editId="44E1A2B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D4AECD" w14:textId="77777777" w:rsidR="007621B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AB24A85"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1D4AECD" w14:textId="77777777" w:rsidR="007621B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2CFF02" wp14:editId="1C3FBB1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E9A654" w14:textId="77777777" w:rsidR="004E5D83" w:rsidRDefault="004E5D83"/>
                      </w:txbxContent>
                    </wps:txbx>
                    <wps:bodyPr vert="horz" wrap="square" lIns="0" tIns="0" rIns="0" bIns="0" anchor="t" anchorCtr="0"/>
                  </wps:wsp>
                </a:graphicData>
              </a:graphic>
            </wp:anchor>
          </w:drawing>
        </mc:Choice>
        <mc:Fallback>
          <w:pict>
            <v:shape w14:anchorId="1F2CFF0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3E9A654" w14:textId="77777777" w:rsidR="004E5D83" w:rsidRDefault="004E5D8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78F16A"/>
    <w:multiLevelType w:val="multilevel"/>
    <w:tmpl w:val="6C2FE0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21DCCAA"/>
    <w:multiLevelType w:val="multilevel"/>
    <w:tmpl w:val="DCFE634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6EA54C"/>
    <w:multiLevelType w:val="multilevel"/>
    <w:tmpl w:val="1F987E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903AA23"/>
    <w:multiLevelType w:val="multilevel"/>
    <w:tmpl w:val="E859D9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DA14FE1"/>
    <w:multiLevelType w:val="multilevel"/>
    <w:tmpl w:val="DE6C3A5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81595000">
    <w:abstractNumId w:val="4"/>
  </w:num>
  <w:num w:numId="2" w16cid:durableId="1979021678">
    <w:abstractNumId w:val="2"/>
  </w:num>
  <w:num w:numId="3" w16cid:durableId="1587229172">
    <w:abstractNumId w:val="0"/>
  </w:num>
  <w:num w:numId="4" w16cid:durableId="404181486">
    <w:abstractNumId w:val="1"/>
  </w:num>
  <w:num w:numId="5" w16cid:durableId="1169055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83"/>
    <w:rsid w:val="000D1D4D"/>
    <w:rsid w:val="000D71F1"/>
    <w:rsid w:val="00137FA9"/>
    <w:rsid w:val="001844F4"/>
    <w:rsid w:val="002D5B21"/>
    <w:rsid w:val="00343ADC"/>
    <w:rsid w:val="00357768"/>
    <w:rsid w:val="00370B77"/>
    <w:rsid w:val="004649CE"/>
    <w:rsid w:val="004763B6"/>
    <w:rsid w:val="004853DD"/>
    <w:rsid w:val="004A3651"/>
    <w:rsid w:val="004E5D83"/>
    <w:rsid w:val="00507BE0"/>
    <w:rsid w:val="0058049F"/>
    <w:rsid w:val="00645996"/>
    <w:rsid w:val="006C3BF8"/>
    <w:rsid w:val="00714029"/>
    <w:rsid w:val="007621BD"/>
    <w:rsid w:val="0087000A"/>
    <w:rsid w:val="00897E80"/>
    <w:rsid w:val="008B5435"/>
    <w:rsid w:val="008E2C2E"/>
    <w:rsid w:val="008F08D8"/>
    <w:rsid w:val="00945667"/>
    <w:rsid w:val="009B5492"/>
    <w:rsid w:val="009F041D"/>
    <w:rsid w:val="00A03323"/>
    <w:rsid w:val="00A4213A"/>
    <w:rsid w:val="00AB32FB"/>
    <w:rsid w:val="00B231C6"/>
    <w:rsid w:val="00B4695C"/>
    <w:rsid w:val="00B90EB5"/>
    <w:rsid w:val="00C34B21"/>
    <w:rsid w:val="00D6299D"/>
    <w:rsid w:val="00E51879"/>
    <w:rsid w:val="00F14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4F48C"/>
  <w15:docId w15:val="{6F35605A-C40B-4A46-ADEF-D7C22701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49CE"/>
    <w:pPr>
      <w:spacing w:line="240" w:lineRule="atLeast"/>
      <w:textAlignment w:val="auto"/>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textAlignment w:val="baseline"/>
      <w:outlineLvl w:val="0"/>
    </w:pPr>
    <w:rPr>
      <w:b/>
    </w:rPr>
  </w:style>
  <w:style w:type="paragraph" w:styleId="Kop2">
    <w:name w:val="heading 2"/>
    <w:basedOn w:val="Standaard"/>
    <w:next w:val="Standaard"/>
    <w:uiPriority w:val="2"/>
    <w:qFormat/>
    <w:pPr>
      <w:tabs>
        <w:tab w:val="left" w:pos="0"/>
      </w:tabs>
      <w:spacing w:before="240" w:line="240" w:lineRule="exact"/>
      <w:textAlignment w:val="baseline"/>
      <w:outlineLvl w:val="1"/>
    </w:pPr>
    <w:rPr>
      <w:i/>
    </w:rPr>
  </w:style>
  <w:style w:type="paragraph" w:styleId="Kop3">
    <w:name w:val="heading 3"/>
    <w:basedOn w:val="Standaard"/>
    <w:next w:val="Standaard"/>
    <w:pPr>
      <w:tabs>
        <w:tab w:val="left" w:pos="0"/>
      </w:tabs>
      <w:spacing w:before="240" w:line="240" w:lineRule="exact"/>
      <w:ind w:left="-1120"/>
      <w:textAlignment w:val="baseline"/>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extAlignment w:val="baseline"/>
    </w:pPr>
  </w:style>
  <w:style w:type="paragraph" w:customStyle="1" w:styleId="Artikelstreepjeinspringen">
    <w:name w:val="Artikel streepje inspringen"/>
    <w:basedOn w:val="Standaard"/>
    <w:next w:val="Standaard"/>
    <w:pPr>
      <w:numPr>
        <w:ilvl w:val="4"/>
        <w:numId w:val="1"/>
      </w:numPr>
      <w:tabs>
        <w:tab w:val="num" w:pos="360"/>
      </w:tabs>
      <w:ind w:left="0" w:firstLine="0"/>
      <w:textAlignment w:val="baseline"/>
    </w:pPr>
  </w:style>
  <w:style w:type="paragraph" w:customStyle="1" w:styleId="Artikelnummer">
    <w:name w:val="Artikelnummer"/>
    <w:basedOn w:val="Standaard"/>
    <w:pPr>
      <w:numPr>
        <w:numId w:val="1"/>
      </w:numPr>
      <w:spacing w:before="360"/>
      <w:textAlignment w:val="baseline"/>
    </w:pPr>
    <w:rPr>
      <w:b/>
    </w:rPr>
  </w:style>
  <w:style w:type="paragraph" w:customStyle="1" w:styleId="Comparitienummer">
    <w:name w:val="Comparitienummer"/>
    <w:basedOn w:val="Standaard"/>
    <w:next w:val="Standaard"/>
    <w:pPr>
      <w:numPr>
        <w:numId w:val="2"/>
      </w:numPr>
      <w:tabs>
        <w:tab w:val="num" w:pos="360"/>
      </w:tabs>
      <w:ind w:left="0" w:firstLine="0"/>
      <w:textAlignment w:val="baseline"/>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textAlignment w:val="baseline"/>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textAlignment w:val="baseline"/>
    </w:pPr>
  </w:style>
  <w:style w:type="paragraph" w:customStyle="1" w:styleId="Lijstniveau2">
    <w:name w:val="Lijst niveau 2"/>
    <w:basedOn w:val="Standaard"/>
    <w:uiPriority w:val="4"/>
    <w:qFormat/>
    <w:pPr>
      <w:numPr>
        <w:ilvl w:val="1"/>
        <w:numId w:val="4"/>
      </w:numPr>
      <w:spacing w:line="240" w:lineRule="exact"/>
      <w:textAlignment w:val="baseline"/>
    </w:pPr>
  </w:style>
  <w:style w:type="paragraph" w:customStyle="1" w:styleId="Lijstniveau3">
    <w:name w:val="Lijst niveau 3"/>
    <w:basedOn w:val="Standaard"/>
    <w:uiPriority w:val="5"/>
    <w:qFormat/>
    <w:pPr>
      <w:numPr>
        <w:ilvl w:val="2"/>
        <w:numId w:val="4"/>
      </w:numPr>
      <w:spacing w:line="240" w:lineRule="exact"/>
      <w:textAlignment w:val="baseline"/>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textAlignment w:val="baseline"/>
    </w:pPr>
    <w:rPr>
      <w:sz w:val="13"/>
      <w:szCs w:val="13"/>
    </w:rPr>
  </w:style>
  <w:style w:type="paragraph" w:customStyle="1" w:styleId="Referentiegegevensbold">
    <w:name w:val="Referentiegegevens bold"/>
    <w:basedOn w:val="Standaard"/>
    <w:next w:val="Standaard"/>
    <w:pPr>
      <w:spacing w:line="180" w:lineRule="exact"/>
      <w:textAlignment w:val="baseline"/>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textAlignment w:val="baseline"/>
    </w:pPr>
    <w:rPr>
      <w:b/>
      <w:caps/>
      <w:sz w:val="13"/>
      <w:szCs w:val="13"/>
    </w:rPr>
  </w:style>
  <w:style w:type="paragraph" w:customStyle="1" w:styleId="Standaardcursief">
    <w:name w:val="Standaard cursief"/>
    <w:basedOn w:val="Standaard"/>
    <w:next w:val="Standaard"/>
    <w:qFormat/>
    <w:pPr>
      <w:spacing w:line="240" w:lineRule="exact"/>
      <w:textAlignment w:val="baseline"/>
    </w:pPr>
    <w:rPr>
      <w:i/>
    </w:rPr>
  </w:style>
  <w:style w:type="paragraph" w:customStyle="1" w:styleId="Standaardvet">
    <w:name w:val="Standaard vet"/>
    <w:basedOn w:val="Standaard"/>
    <w:next w:val="Standaard"/>
    <w:qFormat/>
    <w:pPr>
      <w:spacing w:line="240" w:lineRule="exact"/>
      <w:textAlignment w:val="baseline"/>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textAlignment w:val="baseline"/>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textAlignment w:val="baseline"/>
    </w:pPr>
    <w:rPr>
      <w:sz w:val="27"/>
      <w:szCs w:val="27"/>
    </w:rPr>
  </w:style>
  <w:style w:type="paragraph" w:styleId="Koptekst">
    <w:name w:val="header"/>
    <w:basedOn w:val="Standaard"/>
    <w:link w:val="KoptekstChar"/>
    <w:uiPriority w:val="99"/>
    <w:unhideWhenUsed/>
    <w:rsid w:val="004E5D83"/>
    <w:pPr>
      <w:tabs>
        <w:tab w:val="center" w:pos="4536"/>
        <w:tab w:val="right" w:pos="9072"/>
      </w:tabs>
      <w:spacing w:line="240" w:lineRule="auto"/>
      <w:textAlignment w:val="baseline"/>
    </w:pPr>
  </w:style>
  <w:style w:type="character" w:customStyle="1" w:styleId="KoptekstChar">
    <w:name w:val="Koptekst Char"/>
    <w:basedOn w:val="Standaardalinea-lettertype"/>
    <w:link w:val="Koptekst"/>
    <w:uiPriority w:val="99"/>
    <w:rsid w:val="004E5D83"/>
    <w:rPr>
      <w:rFonts w:ascii="Verdana" w:hAnsi="Verdana"/>
      <w:color w:val="000000"/>
      <w:sz w:val="18"/>
      <w:szCs w:val="18"/>
    </w:rPr>
  </w:style>
  <w:style w:type="paragraph" w:styleId="Voettekst">
    <w:name w:val="footer"/>
    <w:basedOn w:val="Standaard"/>
    <w:link w:val="VoettekstChar"/>
    <w:uiPriority w:val="99"/>
    <w:unhideWhenUsed/>
    <w:rsid w:val="004E5D83"/>
    <w:pPr>
      <w:tabs>
        <w:tab w:val="center" w:pos="4536"/>
        <w:tab w:val="right" w:pos="9072"/>
      </w:tabs>
      <w:spacing w:line="240" w:lineRule="auto"/>
      <w:textAlignment w:val="baseline"/>
    </w:pPr>
  </w:style>
  <w:style w:type="character" w:customStyle="1" w:styleId="VoettekstChar">
    <w:name w:val="Voettekst Char"/>
    <w:basedOn w:val="Standaardalinea-lettertype"/>
    <w:link w:val="Voettekst"/>
    <w:uiPriority w:val="99"/>
    <w:rsid w:val="004E5D83"/>
    <w:rPr>
      <w:rFonts w:ascii="Verdana" w:hAnsi="Verdana"/>
      <w:color w:val="000000"/>
      <w:sz w:val="18"/>
      <w:szCs w:val="18"/>
    </w:rPr>
  </w:style>
  <w:style w:type="paragraph" w:styleId="Voetnoottekst">
    <w:name w:val="footnote text"/>
    <w:basedOn w:val="Standaard"/>
    <w:link w:val="VoetnoottekstChar"/>
    <w:uiPriority w:val="99"/>
    <w:semiHidden/>
    <w:unhideWhenUsed/>
    <w:rsid w:val="004E5D83"/>
    <w:pPr>
      <w:spacing w:line="240" w:lineRule="auto"/>
      <w:textAlignment w:val="baseline"/>
    </w:pPr>
    <w:rPr>
      <w:sz w:val="20"/>
      <w:szCs w:val="20"/>
    </w:rPr>
  </w:style>
  <w:style w:type="character" w:customStyle="1" w:styleId="VoetnoottekstChar">
    <w:name w:val="Voetnoottekst Char"/>
    <w:basedOn w:val="Standaardalinea-lettertype"/>
    <w:link w:val="Voetnoottekst"/>
    <w:uiPriority w:val="99"/>
    <w:semiHidden/>
    <w:rsid w:val="004E5D83"/>
    <w:rPr>
      <w:rFonts w:ascii="Verdana" w:hAnsi="Verdana"/>
      <w:color w:val="000000"/>
    </w:rPr>
  </w:style>
  <w:style w:type="character" w:styleId="Voetnootmarkering">
    <w:name w:val="footnote reference"/>
    <w:basedOn w:val="Standaardalinea-lettertype"/>
    <w:uiPriority w:val="99"/>
    <w:semiHidden/>
    <w:unhideWhenUsed/>
    <w:rsid w:val="004E5D83"/>
    <w:rPr>
      <w:vertAlign w:val="superscript"/>
    </w:rPr>
  </w:style>
  <w:style w:type="paragraph" w:styleId="Revisie">
    <w:name w:val="Revision"/>
    <w:hidden/>
    <w:uiPriority w:val="99"/>
    <w:semiHidden/>
    <w:rsid w:val="00F1435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1435E"/>
    <w:rPr>
      <w:sz w:val="16"/>
      <w:szCs w:val="16"/>
    </w:rPr>
  </w:style>
  <w:style w:type="paragraph" w:styleId="Tekstopmerking">
    <w:name w:val="annotation text"/>
    <w:basedOn w:val="Standaard"/>
    <w:link w:val="TekstopmerkingChar"/>
    <w:uiPriority w:val="99"/>
    <w:unhideWhenUsed/>
    <w:rsid w:val="00F1435E"/>
    <w:pPr>
      <w:spacing w:line="240" w:lineRule="auto"/>
    </w:pPr>
    <w:rPr>
      <w:sz w:val="20"/>
      <w:szCs w:val="20"/>
    </w:rPr>
  </w:style>
  <w:style w:type="character" w:customStyle="1" w:styleId="TekstopmerkingChar">
    <w:name w:val="Tekst opmerking Char"/>
    <w:basedOn w:val="Standaardalinea-lettertype"/>
    <w:link w:val="Tekstopmerking"/>
    <w:uiPriority w:val="99"/>
    <w:rsid w:val="00F1435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1435E"/>
    <w:rPr>
      <w:b/>
      <w:bCs/>
    </w:rPr>
  </w:style>
  <w:style w:type="character" w:customStyle="1" w:styleId="OnderwerpvanopmerkingChar">
    <w:name w:val="Onderwerp van opmerking Char"/>
    <w:basedOn w:val="TekstopmerkingChar"/>
    <w:link w:val="Onderwerpvanopmerking"/>
    <w:uiPriority w:val="99"/>
    <w:semiHidden/>
    <w:rsid w:val="00F1435E"/>
    <w:rPr>
      <w:rFonts w:ascii="Verdana" w:hAnsi="Verdana"/>
      <w:b/>
      <w:bCs/>
      <w:color w:val="000000"/>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94893">
      <w:bodyDiv w:val="1"/>
      <w:marLeft w:val="0"/>
      <w:marRight w:val="0"/>
      <w:marTop w:val="0"/>
      <w:marBottom w:val="0"/>
      <w:divBdr>
        <w:top w:val="none" w:sz="0" w:space="0" w:color="auto"/>
        <w:left w:val="none" w:sz="0" w:space="0" w:color="auto"/>
        <w:bottom w:val="none" w:sz="0" w:space="0" w:color="auto"/>
        <w:right w:val="none" w:sz="0" w:space="0" w:color="auto"/>
      </w:divBdr>
    </w:div>
    <w:div w:id="184485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rijksvastgoedbedrijf.nl/onderwerpen/routekaart-verduurzaming" TargetMode="External"/><Relationship Id="rId1" Type="http://schemas.openxmlformats.org/officeDocument/2006/relationships/hyperlink" Target="https://www.rvo.nl/onderwerpen/portefeuilleaanpa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1080</ap:Words>
  <ap:Characters>5944</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Brief - Stand van zaken motie Kröger en Thijssen inzake ledverlichting</vt:lpstr>
    </vt:vector>
  </ap:TitlesOfParts>
  <ap:LinksUpToDate>false</ap:LinksUpToDate>
  <ap:CharactersWithSpaces>7010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2024-05-07T09:10:00.0000000Z</dcterms:created>
  <dcterms:modified xsi:type="dcterms:W3CDTF">2024-09-03T12:15:00.0000000Z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Stand van zaken motie Kröger en Thijssen inzake ledverlichting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2 augustus 2024</vt:lpwstr>
  </property>
  <property fmtid="{D5CDD505-2E9C-101B-9397-08002B2CF9AE}" pid="13" name="Opgesteld door, Naam">
    <vt:lpwstr>Stef Koning</vt:lpwstr>
  </property>
  <property fmtid="{D5CDD505-2E9C-101B-9397-08002B2CF9AE}" pid="14" name="Opgesteld door, Telefoonnummer">
    <vt:lpwstr/>
  </property>
  <property fmtid="{D5CDD505-2E9C-101B-9397-08002B2CF9AE}" pid="15" name="Kenmerk">
    <vt:lpwstr>2024-0000617377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Stand van zaken motie Kröger en Thijssen inzake ledverlichting</vt:lpwstr>
  </property>
  <property fmtid="{D5CDD505-2E9C-101B-9397-08002B2CF9AE}" pid="30" name="UwKenmerk">
    <vt:lpwstr/>
  </property>
</Properties>
</file>