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14" w:rsidP="00BE0D14" w:rsidRDefault="00BE0D14" w14:paraId="290B8795" w14:textId="77777777">
      <w:bookmarkStart w:name="_GoBack" w:id="0"/>
      <w:bookmarkEnd w:id="0"/>
      <w:r>
        <w:t>Geachte voorzitter,</w:t>
      </w:r>
    </w:p>
    <w:p w:rsidR="007104C5" w:rsidRDefault="007104C5" w14:paraId="6549C1A9" w14:textId="358DB7DE"/>
    <w:p w:rsidR="0082795C" w:rsidP="000B3330" w:rsidRDefault="000B3330" w14:paraId="0E9C4937" w14:textId="4CE578C2">
      <w:r>
        <w:t>De instandhouding van het spoor wordt op twee manieren bekostigd: via een Rijksbijdrage en via de gebruiksvergoeding</w:t>
      </w:r>
      <w:r w:rsidR="0082795C">
        <w:rPr>
          <w:rStyle w:val="FootnoteReference"/>
        </w:rPr>
        <w:footnoteReference w:id="1"/>
      </w:r>
      <w:r>
        <w:t>. Europese regels schrijven voor dat alle gebruikers van het spoor (</w:t>
      </w:r>
      <w:r w:rsidR="007A50DA">
        <w:t xml:space="preserve">zoals </w:t>
      </w:r>
      <w:r>
        <w:t>concessievervoer, regionale vervoerders</w:t>
      </w:r>
      <w:r w:rsidR="00D25966">
        <w:t>,</w:t>
      </w:r>
      <w:r>
        <w:t xml:space="preserve"> goederenvervoerders</w:t>
      </w:r>
      <w:r w:rsidR="00D25966">
        <w:t xml:space="preserve"> en opentoegangvervoerders</w:t>
      </w:r>
      <w:r>
        <w:t>) een gebruiksvergoeding moeten betalen aan ProRail. ProRail gebruikt deze middelen vervolgens voor de instandhouding van het spoor. Periodiek moeten de tarieven van de gebruiksvergoeding herzien worden. Volgens Europese regels m</w:t>
      </w:r>
      <w:r w:rsidR="007A50DA">
        <w:t>oet</w:t>
      </w:r>
      <w:r>
        <w:t xml:space="preserve"> ProRail zelf, onafhankelijk de tarieven bepalen. Dit jaar zijn de tarieven herzien voor de periode 2026-2029</w:t>
      </w:r>
      <w:r w:rsidR="002F251C">
        <w:t>.</w:t>
      </w:r>
      <w:r>
        <w:t xml:space="preserve"> </w:t>
      </w:r>
      <w:r w:rsidR="005F7D34">
        <w:t xml:space="preserve">Deze zijn </w:t>
      </w:r>
      <w:r w:rsidR="00E4665D">
        <w:t xml:space="preserve">door ProRail </w:t>
      </w:r>
      <w:r w:rsidR="005F7D34">
        <w:t xml:space="preserve">op </w:t>
      </w:r>
      <w:r w:rsidR="007E5CBA">
        <w:t xml:space="preserve">30 augustus </w:t>
      </w:r>
      <w:r w:rsidR="005F7D34">
        <w:t>2024 gepubliceerd in de ontwerp</w:t>
      </w:r>
      <w:r w:rsidR="00EA3512">
        <w:t>-</w:t>
      </w:r>
      <w:r w:rsidR="005F7D34">
        <w:t>Netverklaring voor het dienstregelingsjaar 2026.</w:t>
      </w:r>
      <w:r w:rsidR="0082795C">
        <w:t xml:space="preserve"> </w:t>
      </w:r>
      <w:r w:rsidRPr="0082795C" w:rsidR="0082795C">
        <w:t>De Netverklaring bevat praktische, technische informatie over het spoorwegnet dat ProRail beheert en toegangsvoorwaarden voor het spoor. De Netverklaring beschrijft daarnaast het proces van capaciteitsaanvraag naar gebruik. Ook geeft de Netverklaring inzicht in de gebruiksvergoeding die vervoerders en andere gerechtigden aan ProRail betalen voor het gebruik van de hoofdspoorweginfrastructuur.</w:t>
      </w:r>
      <w:r w:rsidR="005F7D34">
        <w:t xml:space="preserve"> </w:t>
      </w:r>
      <w:bookmarkStart w:name="_Hlk173745602" w:id="1"/>
    </w:p>
    <w:p w:rsidR="0082795C" w:rsidP="000B3330" w:rsidRDefault="0082795C" w14:paraId="434552F7" w14:textId="77777777"/>
    <w:p w:rsidR="00230313" w:rsidP="000B3330" w:rsidRDefault="000B3330" w14:paraId="620099E5" w14:textId="7DB24C43">
      <w:r w:rsidRPr="00C64681">
        <w:t xml:space="preserve">Vanwege het belang van de gebruiksvergoeding voor het spoorstelsel heeft ProRail de herziening van de tarieven </w:t>
      </w:r>
      <w:r w:rsidRPr="00C64681" w:rsidR="00980D7B">
        <w:t>na</w:t>
      </w:r>
      <w:r w:rsidRPr="00C64681">
        <w:t xml:space="preserve"> goed overleg met mij vastgesteld.</w:t>
      </w:r>
      <w:bookmarkEnd w:id="1"/>
      <w:r w:rsidRPr="00C64681">
        <w:t xml:space="preserve"> Met</w:t>
      </w:r>
      <w:r>
        <w:t xml:space="preserve"> deze brief </w:t>
      </w:r>
      <w:r w:rsidR="00E4665D">
        <w:t>wordt uw Kamer geïnformeerd</w:t>
      </w:r>
      <w:r>
        <w:t xml:space="preserve"> over de gebruiksvergoeding voor de jaren 2026-2029. </w:t>
      </w:r>
    </w:p>
    <w:p w:rsidR="00230313" w:rsidP="000B3330" w:rsidRDefault="00230313" w14:paraId="09CE38BE" w14:textId="5449FCBB"/>
    <w:p w:rsidR="00BC4BD3" w:rsidP="00BC4BD3" w:rsidRDefault="00BC4BD3" w14:paraId="326A3A0E" w14:textId="4AA2D75A">
      <w:r w:rsidRPr="00BC4BD3">
        <w:rPr>
          <w:i/>
          <w:iCs/>
        </w:rPr>
        <w:t>Wat verandert er in de gebruiksvergoeding voor de periode 2026-2029?</w:t>
      </w:r>
    </w:p>
    <w:p w:rsidR="00B769DA" w:rsidP="00D25966" w:rsidRDefault="00B769DA" w14:paraId="2DAD9A12" w14:textId="77777777">
      <w:r>
        <w:t xml:space="preserve">Mijn ministerie heeft de volgende overwegingen aan ProRail meegegeven om mee te nemen bij het bepalen van de tarieven voor de periode 2026-2029: </w:t>
      </w:r>
    </w:p>
    <w:p w:rsidR="00B769DA" w:rsidP="00373984" w:rsidRDefault="00FC6D7B" w14:paraId="53D4685D" w14:textId="72150F69">
      <w:pPr>
        <w:pStyle w:val="ListParagraph"/>
        <w:numPr>
          <w:ilvl w:val="0"/>
          <w:numId w:val="25"/>
        </w:numPr>
      </w:pPr>
      <w:r>
        <w:t>Laat z</w:t>
      </w:r>
      <w:r w:rsidR="00B769DA">
        <w:t>owel de Rijksoverheid als de vervoerders</w:t>
      </w:r>
      <w:r w:rsidR="00BC4BD3">
        <w:t xml:space="preserve"> en andere gerechtigden</w:t>
      </w:r>
      <w:r w:rsidR="00B769DA">
        <w:t xml:space="preserve"> </w:t>
      </w:r>
      <w:r>
        <w:t>een deel</w:t>
      </w:r>
      <w:r w:rsidR="00B769DA">
        <w:t xml:space="preserve"> van de gestegen kosten voor hun rekening</w:t>
      </w:r>
      <w:r>
        <w:t xml:space="preserve"> nemen</w:t>
      </w:r>
      <w:r w:rsidR="00B0480C">
        <w:t>.</w:t>
      </w:r>
    </w:p>
    <w:p w:rsidR="00373984" w:rsidP="00373984" w:rsidRDefault="00BC4BD3" w14:paraId="5A772208" w14:textId="7E1E965D">
      <w:pPr>
        <w:pStyle w:val="ListParagraph"/>
        <w:numPr>
          <w:ilvl w:val="0"/>
          <w:numId w:val="25"/>
        </w:numPr>
      </w:pPr>
      <w:bookmarkStart w:name="_Hlk173829841" w:id="2"/>
      <w:r>
        <w:t xml:space="preserve">Houdt daarbij rekening met het </w:t>
      </w:r>
      <w:r w:rsidR="0099494C">
        <w:t xml:space="preserve">stoppen </w:t>
      </w:r>
      <w:r>
        <w:t xml:space="preserve">van </w:t>
      </w:r>
      <w:r w:rsidR="006C4025">
        <w:t>de</w:t>
      </w:r>
      <w:r w:rsidR="0099494C">
        <w:t xml:space="preserve"> </w:t>
      </w:r>
      <w:r w:rsidR="00373984">
        <w:t>subsidieregeling</w:t>
      </w:r>
      <w:r>
        <w:t xml:space="preserve"> opstellen en rangeren</w:t>
      </w:r>
      <w:r w:rsidR="00D61363">
        <w:rPr>
          <w:rStyle w:val="FootnoteReference"/>
        </w:rPr>
        <w:footnoteReference w:id="2"/>
      </w:r>
      <w:r w:rsidR="0099494C">
        <w:t xml:space="preserve">, en ga uit van </w:t>
      </w:r>
      <w:r w:rsidR="00FC6D7B">
        <w:t xml:space="preserve">beëindiging van </w:t>
      </w:r>
      <w:r w:rsidR="0099494C">
        <w:t xml:space="preserve">subsidies om rondpompen van geld te voorkomen. </w:t>
      </w:r>
    </w:p>
    <w:bookmarkEnd w:id="2"/>
    <w:p w:rsidR="00BC4BD3" w:rsidP="00BC4BD3" w:rsidRDefault="00BC4BD3" w14:paraId="52FCB152" w14:textId="77777777">
      <w:pPr>
        <w:rPr>
          <w:i/>
          <w:iCs/>
        </w:rPr>
      </w:pPr>
    </w:p>
    <w:p w:rsidR="00F65DC2" w:rsidP="00D25966" w:rsidRDefault="00BC4BD3" w14:paraId="4C9EFB10" w14:textId="1DF42401">
      <w:r>
        <w:lastRenderedPageBreak/>
        <w:t xml:space="preserve">ProRail heeft deze overwegingen naar eigen inzicht meegenomen in het bepalen van de tarieven. </w:t>
      </w:r>
      <w:r w:rsidR="00ED6AD6">
        <w:t xml:space="preserve">In het licht van de stijgende </w:t>
      </w:r>
      <w:r w:rsidR="0082795C">
        <w:t xml:space="preserve">instandhoudingskosten </w:t>
      </w:r>
      <w:r>
        <w:t xml:space="preserve">heeft </w:t>
      </w:r>
      <w:r w:rsidR="00ED6AD6">
        <w:t xml:space="preserve">ProRail ervoor gekozen </w:t>
      </w:r>
      <w:r w:rsidR="0056043C">
        <w:t xml:space="preserve">om </w:t>
      </w:r>
      <w:r w:rsidR="005E28B5">
        <w:t xml:space="preserve">de tarieven voor </w:t>
      </w:r>
      <w:r w:rsidR="0056043C">
        <w:t xml:space="preserve">de vervoerders </w:t>
      </w:r>
      <w:r w:rsidR="005E28B5">
        <w:t xml:space="preserve">en de totale opbrengst te laten stijgen, maar dusdanig dat vervoerders en het Rijk </w:t>
      </w:r>
      <w:r w:rsidR="0056043C">
        <w:t xml:space="preserve">een procentueel gelijk aandeel </w:t>
      </w:r>
      <w:r w:rsidR="005E28B5">
        <w:t xml:space="preserve">blijven </w:t>
      </w:r>
      <w:r w:rsidR="0056043C">
        <w:t>bijdragen aan de instandhoudingskosten in de jaren 2026-2029 ten opzichte van hun aandeel in 2023</w:t>
      </w:r>
      <w:r w:rsidR="005E28B5">
        <w:t xml:space="preserve"> (</w:t>
      </w:r>
      <w:r w:rsidR="0056043C">
        <w:t xml:space="preserve">namelijk </w:t>
      </w:r>
      <w:r w:rsidR="005E28B5">
        <w:t xml:space="preserve">respectievelijk </w:t>
      </w:r>
      <w:r w:rsidR="0056043C">
        <w:t>rond de 18%</w:t>
      </w:r>
      <w:r w:rsidR="005E28B5">
        <w:t xml:space="preserve"> en 82%)</w:t>
      </w:r>
      <w:r w:rsidR="0056043C">
        <w:t xml:space="preserve">. </w:t>
      </w:r>
      <w:r w:rsidR="00E0744B">
        <w:t xml:space="preserve">De </w:t>
      </w:r>
      <w:r w:rsidR="00ED6AD6">
        <w:t xml:space="preserve">tweede </w:t>
      </w:r>
      <w:r w:rsidR="00E0744B">
        <w:t xml:space="preserve">overweging </w:t>
      </w:r>
      <w:r w:rsidR="00ED6AD6">
        <w:t xml:space="preserve">heeft </w:t>
      </w:r>
      <w:r w:rsidR="00E0744B">
        <w:t xml:space="preserve">geleid tot een gemiddeld genomen </w:t>
      </w:r>
      <w:r w:rsidR="00F65DC2">
        <w:t>kosten</w:t>
      </w:r>
      <w:r w:rsidR="00E0744B">
        <w:t xml:space="preserve">stijging van </w:t>
      </w:r>
      <w:r w:rsidR="0056043C">
        <w:t>4%</w:t>
      </w:r>
      <w:r w:rsidR="0056043C">
        <w:rPr>
          <w:rStyle w:val="FootnoteReference"/>
        </w:rPr>
        <w:footnoteReference w:id="3"/>
      </w:r>
      <w:r w:rsidR="0056043C">
        <w:t xml:space="preserve"> voor alle vervoerders en andere gerechtigden</w:t>
      </w:r>
      <w:r w:rsidR="00E0744B">
        <w:t xml:space="preserve">, maar dit zal voor </w:t>
      </w:r>
      <w:r w:rsidR="00ED6AD6">
        <w:t xml:space="preserve">segmenten en </w:t>
      </w:r>
      <w:r w:rsidR="00E0744B">
        <w:t xml:space="preserve">individuele vervoerders verschillen. </w:t>
      </w:r>
      <w:r w:rsidR="00E5169D">
        <w:t>Daarbij stijgen d</w:t>
      </w:r>
      <w:r w:rsidR="00F65DC2">
        <w:t xml:space="preserve">e tarieven voor het rijden van treinen en </w:t>
      </w:r>
      <w:r w:rsidR="006C4025">
        <w:t>het gebruik van de bovenleiding</w:t>
      </w:r>
      <w:r w:rsidR="00F65DC2">
        <w:t xml:space="preserve">, </w:t>
      </w:r>
      <w:r w:rsidR="003408A1">
        <w:t>maar</w:t>
      </w:r>
      <w:r w:rsidR="00F65DC2">
        <w:t xml:space="preserve"> </w:t>
      </w:r>
      <w:r w:rsidR="00E5169D">
        <w:t>blij</w:t>
      </w:r>
      <w:r w:rsidR="003408A1">
        <w:t xml:space="preserve">ft het tarief </w:t>
      </w:r>
      <w:r w:rsidR="00E5169D">
        <w:t>voor het rijden van treinen</w:t>
      </w:r>
      <w:r w:rsidR="003408A1">
        <w:t xml:space="preserve"> in de pas lopen met dat tarief</w:t>
      </w:r>
      <w:r w:rsidR="00F65DC2">
        <w:t xml:space="preserve"> in </w:t>
      </w:r>
      <w:r w:rsidR="00E5169D">
        <w:t xml:space="preserve">de ons </w:t>
      </w:r>
      <w:r w:rsidR="00F65DC2">
        <w:t>omringende landen. De tarieven voor andere diensten dalen, zoals die voor het opstellen en rangeren van treinen.</w:t>
      </w:r>
    </w:p>
    <w:p w:rsidR="00875290" w:rsidP="00D25966" w:rsidRDefault="00875290" w14:paraId="185967E6" w14:textId="1BF3A7D9"/>
    <w:p w:rsidR="00C816E6" w:rsidP="00D25966" w:rsidRDefault="00F23C67" w14:paraId="286B605C" w14:textId="1D016621">
      <w:r>
        <w:t>Daarnaast heeft mijn ministerie er vooralsnog voor gekozen om voor de periode 2026-2029 geen extra heffing toe te passen, dit in tegenstelling tot de jaren 2023-202</w:t>
      </w:r>
      <w:r w:rsidR="006C4025">
        <w:t>4</w:t>
      </w:r>
      <w:r>
        <w:t xml:space="preserve">. </w:t>
      </w:r>
      <w:r w:rsidR="00C74094">
        <w:t>Deze extra heffing is bedoeld om de vaste kosten van ProRail die niet worden gedekt door de andere tarieven uit de markt te kunnen halen</w:t>
      </w:r>
      <w:r w:rsidR="00C74094">
        <w:rPr>
          <w:rStyle w:val="FootnoteReference"/>
        </w:rPr>
        <w:footnoteReference w:id="4"/>
      </w:r>
      <w:r w:rsidR="00C74094">
        <w:t xml:space="preserve">. In tegenstelling tot de andere tarieven van de gebruiksvergoeding, bepaalt het ministerie </w:t>
      </w:r>
      <w:r w:rsidR="003408A1">
        <w:t>in hoeverre</w:t>
      </w:r>
      <w:r w:rsidR="00C74094">
        <w:t xml:space="preserve"> er een extra heffing komt </w:t>
      </w:r>
      <w:r w:rsidR="00F65DC2">
        <w:t>en hoe hoog deze is</w:t>
      </w:r>
      <w:r w:rsidR="00C74094">
        <w:t xml:space="preserve">. </w:t>
      </w:r>
      <w:r>
        <w:t>De methode om een extra heffing te kunnen toepassen in de jaren 2026-2029 is onlangs goedgekeurd door de ACM</w:t>
      </w:r>
      <w:r>
        <w:rPr>
          <w:rStyle w:val="FootnoteReference"/>
        </w:rPr>
        <w:footnoteReference w:id="5"/>
      </w:r>
      <w:r>
        <w:t>. Als financiële ontwikkelingen daar</w:t>
      </w:r>
      <w:r w:rsidR="00BA63CB">
        <w:t xml:space="preserve"> </w:t>
      </w:r>
      <w:r>
        <w:t>om vragen, is er nog de mogelijkheid om een extra heffing toe te passen</w:t>
      </w:r>
      <w:r>
        <w:rPr>
          <w:rStyle w:val="FootnoteReference"/>
        </w:rPr>
        <w:footnoteReference w:id="6"/>
      </w:r>
      <w:r>
        <w:t>.</w:t>
      </w:r>
    </w:p>
    <w:p w:rsidR="00D743E1" w:rsidP="00D25966" w:rsidRDefault="00D743E1" w14:paraId="1728541E" w14:textId="77777777"/>
    <w:p w:rsidRPr="00C74094" w:rsidR="00C74094" w:rsidP="00D25966" w:rsidRDefault="00C74094" w14:paraId="7035C71C" w14:textId="12D0BF00">
      <w:pPr>
        <w:rPr>
          <w:i/>
          <w:iCs/>
        </w:rPr>
      </w:pPr>
      <w:r>
        <w:rPr>
          <w:i/>
          <w:iCs/>
        </w:rPr>
        <w:t>Terugkijken naar vorige aanpassing tarieven en vooruitkijken naar periode na 2029</w:t>
      </w:r>
    </w:p>
    <w:p w:rsidR="00EF3557" w:rsidP="00EF3557" w:rsidRDefault="00E5169D" w14:paraId="3BC4A416" w14:textId="495C03FD">
      <w:r>
        <w:t>Terugkijkend zijn bij de vorige aanpassing twee belangrijke wijzigingen doorgevoerd. Ten eerste zijn b</w:t>
      </w:r>
      <w:r w:rsidR="00EF3557">
        <w:t xml:space="preserve">ij de vorige vaststelling </w:t>
      </w:r>
      <w:r w:rsidR="00C3691E">
        <w:t>de verschillende tarieven gewijzigd</w:t>
      </w:r>
      <w:r w:rsidR="00302D76">
        <w:t xml:space="preserve">, waarbij tarieven </w:t>
      </w:r>
      <w:r w:rsidR="00F801F8">
        <w:t>daalden</w:t>
      </w:r>
      <w:r w:rsidR="00E24D7E">
        <w:t>,</w:t>
      </w:r>
      <w:r w:rsidR="00F801F8">
        <w:t xml:space="preserve"> </w:t>
      </w:r>
      <w:r>
        <w:t>zoals voor het rijden van treinen</w:t>
      </w:r>
      <w:r w:rsidR="00E24D7E">
        <w:t>,</w:t>
      </w:r>
      <w:r w:rsidR="00302D76">
        <w:t xml:space="preserve"> en andere </w:t>
      </w:r>
      <w:r w:rsidR="003408A1">
        <w:t xml:space="preserve">tarieven </w:t>
      </w:r>
      <w:r w:rsidR="00302D76">
        <w:t>flink stegen</w:t>
      </w:r>
      <w:r w:rsidR="00C3691E">
        <w:t xml:space="preserve">. Dat had toen tot gevolg dat een deel van de tarieven meer in lijn kwam met die in </w:t>
      </w:r>
      <w:r>
        <w:t xml:space="preserve">de ons </w:t>
      </w:r>
      <w:r w:rsidR="00C3691E">
        <w:t xml:space="preserve">omringende landen, maar ook dat voor sommige partijen uit het goederensegment de kosten flink stegen. Dat is toen </w:t>
      </w:r>
      <w:r w:rsidRPr="00F336AA" w:rsidR="00F336AA">
        <w:t xml:space="preserve">verzacht </w:t>
      </w:r>
      <w:r w:rsidR="00C3691E">
        <w:t xml:space="preserve">via </w:t>
      </w:r>
      <w:r w:rsidR="00E24D7E">
        <w:t xml:space="preserve">een specifieke </w:t>
      </w:r>
      <w:r w:rsidR="00C3691E">
        <w:t xml:space="preserve">subsidieregeling opstellen en rangeren. </w:t>
      </w:r>
      <w:r>
        <w:t>Ten tweede</w:t>
      </w:r>
      <w:r w:rsidR="00C3691E">
        <w:t xml:space="preserve"> </w:t>
      </w:r>
      <w:r w:rsidR="00EF3557">
        <w:t>is</w:t>
      </w:r>
      <w:r w:rsidR="00C3691E">
        <w:t xml:space="preserve"> toen</w:t>
      </w:r>
      <w:r w:rsidR="00EF3557">
        <w:t xml:space="preserve"> </w:t>
      </w:r>
      <w:r w:rsidR="007A50DA">
        <w:t>het stapsgewijs nastreven van</w:t>
      </w:r>
      <w:r w:rsidR="00EF3557">
        <w:t xml:space="preserve"> volledige kostendekking voor de verschillende diensten</w:t>
      </w:r>
      <w:r w:rsidR="007A50DA">
        <w:t xml:space="preserve"> als uitgangspunt benoemd</w:t>
      </w:r>
      <w:r w:rsidR="00EF3557">
        <w:t xml:space="preserve">. Dit vanwege het principe ‘de gebruiker betaalt’. </w:t>
      </w:r>
      <w:r w:rsidR="006C4025">
        <w:t>D</w:t>
      </w:r>
      <w:r w:rsidR="00EF3557">
        <w:t>it streven</w:t>
      </w:r>
      <w:r w:rsidR="006C4025">
        <w:t xml:space="preserve"> zou</w:t>
      </w:r>
      <w:r w:rsidR="00EF3557">
        <w:t xml:space="preserve"> voor de periode 2026-2029 leiden tot fors hogere tarieven. Die zouden bovenop de hoge inflatiecijfers komen van de laatste jaren. Om die reden is gekozen om voor deze periode geen ingroei naar volledige kostendekking te laten plaatsvinden in de tarieven voor deze diensten. </w:t>
      </w:r>
    </w:p>
    <w:p w:rsidR="00E5169D" w:rsidP="00EF3557" w:rsidRDefault="00E5169D" w14:paraId="278403B5" w14:textId="77777777"/>
    <w:p w:rsidR="003432DE" w:rsidP="003432DE" w:rsidRDefault="003432DE" w14:paraId="548EB832" w14:textId="0C877C3C">
      <w:r w:rsidRPr="00333440">
        <w:t xml:space="preserve">Vooruitkijkend naar de volgende periode waarin de gebruiksvergoeding opnieuw moet worden vastgesteld, </w:t>
      </w:r>
      <w:r w:rsidRPr="00E93B38">
        <w:t>onderschrijf</w:t>
      </w:r>
      <w:r w:rsidRPr="00E93B38" w:rsidR="001328B2">
        <w:t xml:space="preserve"> ik</w:t>
      </w:r>
      <w:r w:rsidR="001328B2">
        <w:t xml:space="preserve"> </w:t>
      </w:r>
      <w:r w:rsidRPr="00333440">
        <w:t xml:space="preserve">de keuze van </w:t>
      </w:r>
      <w:r w:rsidR="001328B2">
        <w:t xml:space="preserve">mijn voorganger </w:t>
      </w:r>
      <w:r w:rsidRPr="00333440">
        <w:t>(zoals verwoord in de brief over het basiskwaliteitsniveau spoor</w:t>
      </w:r>
      <w:r w:rsidRPr="00333440">
        <w:rPr>
          <w:rStyle w:val="FootnoteReference"/>
        </w:rPr>
        <w:footnoteReference w:id="7"/>
      </w:r>
      <w:r w:rsidRPr="00333440">
        <w:t xml:space="preserve">) dat </w:t>
      </w:r>
      <w:bookmarkStart w:name="_Hlk173328534" w:id="3"/>
      <w:r w:rsidRPr="00333440">
        <w:t xml:space="preserve">vervoerders </w:t>
      </w:r>
      <w:r w:rsidR="005E28B5">
        <w:t xml:space="preserve">na </w:t>
      </w:r>
      <w:r w:rsidRPr="00333440">
        <w:t xml:space="preserve">2030 een hoger procentueel aandeel in de instandhoudingskosten </w:t>
      </w:r>
      <w:r w:rsidR="005E28B5">
        <w:t xml:space="preserve">moeten </w:t>
      </w:r>
      <w:r w:rsidRPr="00333440">
        <w:t>gaan betalen</w:t>
      </w:r>
      <w:bookmarkEnd w:id="3"/>
      <w:r w:rsidRPr="00333440">
        <w:t xml:space="preserve">. </w:t>
      </w:r>
      <w:bookmarkStart w:name="_Hlk173332643" w:id="4"/>
      <w:r w:rsidRPr="00333440">
        <w:t xml:space="preserve">Gelet op de stijgende kosten voor instandhouding en de betaalbaarheid van het spoor vindt het kabinet dit een verdedigbare keuze. </w:t>
      </w:r>
      <w:bookmarkEnd w:id="4"/>
      <w:r w:rsidRPr="00333440" w:rsidR="00EF3557">
        <w:t>Dit past ook bij het principe ‘de gebruiker betaalt’.</w:t>
      </w:r>
    </w:p>
    <w:p w:rsidR="003432DE" w:rsidP="003432DE" w:rsidRDefault="003432DE" w14:paraId="023D442A" w14:textId="77777777"/>
    <w:p w:rsidRPr="00C74094" w:rsidR="00C74094" w:rsidP="003432DE" w:rsidRDefault="00C74094" w14:paraId="5781AB99" w14:textId="0B62DA1D">
      <w:pPr>
        <w:rPr>
          <w:i/>
          <w:iCs/>
        </w:rPr>
      </w:pPr>
      <w:bookmarkStart w:name="_Hlk174450542" w:id="5"/>
      <w:r>
        <w:rPr>
          <w:i/>
          <w:iCs/>
        </w:rPr>
        <w:t>Tot slot</w:t>
      </w:r>
    </w:p>
    <w:p w:rsidR="001A7402" w:rsidP="001A7402" w:rsidRDefault="001A7402" w14:paraId="6483A3C0" w14:textId="1E154441">
      <w:r>
        <w:t xml:space="preserve">De betaalbaarheid en het concurrentievermogen van het spoor </w:t>
      </w:r>
      <w:r w:rsidR="00020611">
        <w:t xml:space="preserve">blijven </w:t>
      </w:r>
      <w:r>
        <w:t xml:space="preserve">voor mij een belangrijk thema. De komende tijd zal in het kader van het toekomstbeeld spoorgoederenvervoer verder </w:t>
      </w:r>
      <w:r w:rsidR="00E4665D">
        <w:t xml:space="preserve">gekeken worden </w:t>
      </w:r>
      <w:r>
        <w:t xml:space="preserve">naar hoe er een gelijker speelveld kan komen </w:t>
      </w:r>
      <w:r w:rsidR="00B20F4E">
        <w:t>voor het</w:t>
      </w:r>
      <w:r>
        <w:t xml:space="preserve"> goederenvervoer.</w:t>
      </w:r>
    </w:p>
    <w:p w:rsidR="001A7402" w:rsidP="003432DE" w:rsidRDefault="001A7402" w14:paraId="1E326305" w14:textId="77777777"/>
    <w:p w:rsidR="003432DE" w:rsidP="003432DE" w:rsidRDefault="003432DE" w14:paraId="036CB0B7" w14:textId="76DD2DC9">
      <w:r>
        <w:t xml:space="preserve">De komende tijd kunnen alle gebruikers van het spoor via het indienen van een </w:t>
      </w:r>
      <w:r w:rsidR="00140223">
        <w:t>consultatiereactie</w:t>
      </w:r>
      <w:r>
        <w:t xml:space="preserve"> reageren op de ontwerp Netverklaring 2026 van ProRail. Begin december 2024 zal ProRail de definitieve Netverklaring voor 2026 publiceren.</w:t>
      </w:r>
    </w:p>
    <w:bookmarkEnd w:id="5"/>
    <w:p w:rsidR="003432DE" w:rsidP="003432DE" w:rsidRDefault="003432DE" w14:paraId="7BC40B76" w14:textId="190F5F7F">
      <w:pPr>
        <w:pStyle w:val="WitregelW1bodytekst"/>
      </w:pPr>
    </w:p>
    <w:p w:rsidR="00D25966" w:rsidP="00D25966" w:rsidRDefault="00D25966" w14:paraId="4574B9DA" w14:textId="77777777"/>
    <w:p w:rsidR="007104C5" w:rsidP="00D25966" w:rsidRDefault="008F6039" w14:paraId="1CE51E84" w14:textId="71C59F14">
      <w:r>
        <w:t>Hoogachtend,</w:t>
      </w:r>
    </w:p>
    <w:p w:rsidR="007104C5" w:rsidRDefault="008F6039" w14:paraId="1CD073DD" w14:textId="01B2344C">
      <w:pPr>
        <w:pStyle w:val="OndertekeningArea1"/>
      </w:pPr>
      <w:r>
        <w:t xml:space="preserve">DE STAATSSECRETARIS </w:t>
      </w:r>
      <w:r w:rsidR="007D0C5F">
        <w:t xml:space="preserve">INFRASTRUCTUUR EN WATERSTAAT - </w:t>
      </w:r>
      <w:r>
        <w:t>OPENBAAR VERVOER EN MILIEU,</w:t>
      </w:r>
    </w:p>
    <w:p w:rsidR="007104C5" w:rsidRDefault="007104C5" w14:paraId="03F9AAD3" w14:textId="77777777"/>
    <w:p w:rsidR="007104C5" w:rsidP="000A4B7F" w:rsidRDefault="000A4B7F" w14:paraId="1C1B0359" w14:textId="2CF3A121">
      <w:pPr>
        <w:tabs>
          <w:tab w:val="left" w:pos="1005"/>
        </w:tabs>
      </w:pPr>
      <w:r>
        <w:tab/>
      </w:r>
    </w:p>
    <w:p w:rsidR="000A4B7F" w:rsidP="000A4B7F" w:rsidRDefault="000A4B7F" w14:paraId="5C170842" w14:textId="77777777">
      <w:pPr>
        <w:tabs>
          <w:tab w:val="left" w:pos="1005"/>
        </w:tabs>
      </w:pPr>
    </w:p>
    <w:p w:rsidR="007104C5" w:rsidRDefault="007104C5" w14:paraId="535C24A1" w14:textId="77777777"/>
    <w:p w:rsidR="007104C5" w:rsidRDefault="007104C5" w14:paraId="10F61047" w14:textId="77777777"/>
    <w:p w:rsidR="007104C5" w:rsidRDefault="008F6039" w14:paraId="4ADB3AD3" w14:textId="77777777">
      <w:r>
        <w:t>C.A. Jansen</w:t>
      </w:r>
    </w:p>
    <w:sectPr w:rsidR="007104C5">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D442" w14:textId="77777777" w:rsidR="008E2954" w:rsidRDefault="008E2954">
      <w:pPr>
        <w:spacing w:line="240" w:lineRule="auto"/>
      </w:pPr>
      <w:r>
        <w:separator/>
      </w:r>
    </w:p>
  </w:endnote>
  <w:endnote w:type="continuationSeparator" w:id="0">
    <w:p w14:paraId="6FDD850C" w14:textId="77777777" w:rsidR="008E2954" w:rsidRDefault="008E2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0637C" w14:textId="77777777" w:rsidR="008E2954" w:rsidRDefault="008E2954">
      <w:pPr>
        <w:spacing w:line="240" w:lineRule="auto"/>
      </w:pPr>
      <w:r>
        <w:separator/>
      </w:r>
    </w:p>
  </w:footnote>
  <w:footnote w:type="continuationSeparator" w:id="0">
    <w:p w14:paraId="58FD6F48" w14:textId="77777777" w:rsidR="008E2954" w:rsidRDefault="008E2954">
      <w:pPr>
        <w:spacing w:line="240" w:lineRule="auto"/>
      </w:pPr>
      <w:r>
        <w:continuationSeparator/>
      </w:r>
    </w:p>
  </w:footnote>
  <w:footnote w:id="1">
    <w:p w14:paraId="043465F2" w14:textId="06E0AAF1" w:rsidR="0082795C" w:rsidRPr="00A8198B" w:rsidRDefault="0082795C">
      <w:pPr>
        <w:pStyle w:val="FootnoteText"/>
        <w:rPr>
          <w:sz w:val="13"/>
          <w:szCs w:val="13"/>
        </w:rPr>
      </w:pPr>
      <w:r w:rsidRPr="00A8198B">
        <w:rPr>
          <w:rStyle w:val="FootnoteReference"/>
          <w:sz w:val="13"/>
          <w:szCs w:val="13"/>
        </w:rPr>
        <w:footnoteRef/>
      </w:r>
      <w:r w:rsidRPr="00A8198B">
        <w:rPr>
          <w:sz w:val="13"/>
          <w:szCs w:val="13"/>
        </w:rPr>
        <w:t xml:space="preserve"> De verhouding is ongeveer 82% via de Rijksbijdrage en circa 18% via de gebruiksvergoeding.</w:t>
      </w:r>
    </w:p>
  </w:footnote>
  <w:footnote w:id="2">
    <w:p w14:paraId="027671BC" w14:textId="439D2984" w:rsidR="00D61363" w:rsidRPr="00D61363" w:rsidRDefault="00D61363">
      <w:pPr>
        <w:pStyle w:val="FootnoteText"/>
        <w:rPr>
          <w:sz w:val="13"/>
          <w:szCs w:val="13"/>
        </w:rPr>
      </w:pPr>
      <w:r w:rsidRPr="00D61363">
        <w:rPr>
          <w:rStyle w:val="FootnoteReference"/>
          <w:sz w:val="13"/>
          <w:szCs w:val="13"/>
        </w:rPr>
        <w:footnoteRef/>
      </w:r>
      <w:r w:rsidRPr="00D61363">
        <w:rPr>
          <w:sz w:val="13"/>
          <w:szCs w:val="13"/>
        </w:rPr>
        <w:t xml:space="preserve"> </w:t>
      </w:r>
      <w:r>
        <w:rPr>
          <w:sz w:val="13"/>
          <w:szCs w:val="13"/>
        </w:rPr>
        <w:t xml:space="preserve">Deze subsidieregeling loopt van 2023-2025 en </w:t>
      </w:r>
      <w:r w:rsidRPr="00D61363">
        <w:rPr>
          <w:sz w:val="13"/>
          <w:szCs w:val="13"/>
        </w:rPr>
        <w:t xml:space="preserve">was ingesteld omdat de tarieven voor opstellen en rangeren in de periode 2023-2025 fors </w:t>
      </w:r>
      <w:r w:rsidR="006C4025">
        <w:rPr>
          <w:sz w:val="13"/>
          <w:szCs w:val="13"/>
        </w:rPr>
        <w:t xml:space="preserve">zijn </w:t>
      </w:r>
      <w:r w:rsidRPr="00D61363">
        <w:rPr>
          <w:sz w:val="13"/>
          <w:szCs w:val="13"/>
        </w:rPr>
        <w:t>verhoogd en om de effecten daarvan te verzachten</w:t>
      </w:r>
      <w:r>
        <w:rPr>
          <w:sz w:val="13"/>
          <w:szCs w:val="13"/>
        </w:rPr>
        <w:t>.</w:t>
      </w:r>
    </w:p>
  </w:footnote>
  <w:footnote w:id="3">
    <w:p w14:paraId="40140235" w14:textId="50456AB8" w:rsidR="0056043C" w:rsidRPr="00B67594" w:rsidRDefault="0056043C" w:rsidP="0056043C">
      <w:pPr>
        <w:pStyle w:val="FootnoteText"/>
        <w:rPr>
          <w:sz w:val="13"/>
          <w:szCs w:val="13"/>
        </w:rPr>
      </w:pPr>
      <w:r w:rsidRPr="00B67594">
        <w:rPr>
          <w:rStyle w:val="FootnoteReference"/>
          <w:sz w:val="13"/>
          <w:szCs w:val="13"/>
        </w:rPr>
        <w:footnoteRef/>
      </w:r>
      <w:r w:rsidRPr="00B67594">
        <w:rPr>
          <w:sz w:val="13"/>
          <w:szCs w:val="13"/>
        </w:rPr>
        <w:t xml:space="preserve"> </w:t>
      </w:r>
      <w:r>
        <w:rPr>
          <w:sz w:val="13"/>
          <w:szCs w:val="13"/>
        </w:rPr>
        <w:t>Exclusief indexatie.</w:t>
      </w:r>
    </w:p>
  </w:footnote>
  <w:footnote w:id="4">
    <w:p w14:paraId="217C9A29" w14:textId="203559A1" w:rsidR="00C74094" w:rsidRPr="00C74094" w:rsidRDefault="00C74094">
      <w:pPr>
        <w:pStyle w:val="FootnoteText"/>
        <w:rPr>
          <w:sz w:val="13"/>
          <w:szCs w:val="13"/>
        </w:rPr>
      </w:pPr>
      <w:r w:rsidRPr="00C74094">
        <w:rPr>
          <w:rStyle w:val="FootnoteReference"/>
          <w:sz w:val="13"/>
          <w:szCs w:val="13"/>
        </w:rPr>
        <w:footnoteRef/>
      </w:r>
      <w:r w:rsidRPr="00C74094">
        <w:rPr>
          <w:sz w:val="13"/>
          <w:szCs w:val="13"/>
        </w:rPr>
        <w:t xml:space="preserve"> </w:t>
      </w:r>
      <w:r>
        <w:rPr>
          <w:sz w:val="13"/>
          <w:szCs w:val="13"/>
        </w:rPr>
        <w:t xml:space="preserve">In zoverre de markt dit kan dragen. Voor de extra heffing moet een methode worden ingesteld waarmee de relatieve draagkracht van de marktsegmenten wordt bepaald. </w:t>
      </w:r>
    </w:p>
  </w:footnote>
  <w:footnote w:id="5">
    <w:p w14:paraId="608A46B6" w14:textId="6FEBE335" w:rsidR="00F23C67" w:rsidRPr="00F23C67" w:rsidRDefault="00F23C67">
      <w:pPr>
        <w:pStyle w:val="FootnoteText"/>
        <w:rPr>
          <w:sz w:val="13"/>
          <w:szCs w:val="13"/>
        </w:rPr>
      </w:pPr>
      <w:r w:rsidRPr="00F23C67">
        <w:rPr>
          <w:rStyle w:val="FootnoteReference"/>
          <w:sz w:val="13"/>
          <w:szCs w:val="13"/>
        </w:rPr>
        <w:footnoteRef/>
      </w:r>
      <w:r w:rsidRPr="00F23C67">
        <w:rPr>
          <w:sz w:val="13"/>
          <w:szCs w:val="13"/>
        </w:rPr>
        <w:t xml:space="preserve"> </w:t>
      </w:r>
      <w:hyperlink r:id="rId1" w:history="1">
        <w:r w:rsidRPr="00F23C67">
          <w:rPr>
            <w:rStyle w:val="Hyperlink"/>
            <w:sz w:val="13"/>
            <w:szCs w:val="13"/>
          </w:rPr>
          <w:t>https://www.acm.nl/nl/publicaties/besluit-beoordeling-methode-extra-heffing-prorail-2026-2029?utm_source=nieuwsbrief&amp;utm_medium=email&amp;arguments_sanitized=%2BLZGkkzgEHLXbA%3D%3D</w:t>
        </w:r>
      </w:hyperlink>
      <w:r w:rsidRPr="00F23C67">
        <w:rPr>
          <w:sz w:val="13"/>
          <w:szCs w:val="13"/>
        </w:rPr>
        <w:t xml:space="preserve"> </w:t>
      </w:r>
    </w:p>
  </w:footnote>
  <w:footnote w:id="6">
    <w:p w14:paraId="20D7B795" w14:textId="7A334182" w:rsidR="00F23C67" w:rsidRPr="00F23C67" w:rsidRDefault="00F23C67">
      <w:pPr>
        <w:pStyle w:val="FootnoteText"/>
        <w:rPr>
          <w:sz w:val="13"/>
          <w:szCs w:val="13"/>
        </w:rPr>
      </w:pPr>
      <w:r w:rsidRPr="00F23C67">
        <w:rPr>
          <w:rStyle w:val="FootnoteReference"/>
          <w:sz w:val="13"/>
          <w:szCs w:val="13"/>
        </w:rPr>
        <w:footnoteRef/>
      </w:r>
      <w:r w:rsidRPr="00F23C67">
        <w:rPr>
          <w:sz w:val="13"/>
          <w:szCs w:val="13"/>
        </w:rPr>
        <w:t xml:space="preserve"> </w:t>
      </w:r>
      <w:r>
        <w:rPr>
          <w:sz w:val="13"/>
          <w:szCs w:val="13"/>
        </w:rPr>
        <w:t xml:space="preserve">Of er een extra heffing wordt toegepast in de periode 2026-2029 hoeft niet nu al besloten te worden. </w:t>
      </w:r>
      <w:r w:rsidRPr="00F23C67">
        <w:rPr>
          <w:sz w:val="13"/>
          <w:szCs w:val="13"/>
        </w:rPr>
        <w:t>Ee</w:t>
      </w:r>
      <w:r>
        <w:rPr>
          <w:sz w:val="13"/>
          <w:szCs w:val="13"/>
        </w:rPr>
        <w:t xml:space="preserve">n extra heffing moet minimaal 1,5 jaar voor ingang bekend worden gemaakt in de </w:t>
      </w:r>
      <w:r w:rsidR="006C4025">
        <w:rPr>
          <w:sz w:val="13"/>
          <w:szCs w:val="13"/>
        </w:rPr>
        <w:t>ontwerp</w:t>
      </w:r>
      <w:r>
        <w:rPr>
          <w:sz w:val="13"/>
          <w:szCs w:val="13"/>
        </w:rPr>
        <w:t xml:space="preserve"> Netverklaring van ProRail. Dat betekent dat als er besloten wordt tot een extra heffing voor het jaar 2027, deze in de </w:t>
      </w:r>
      <w:r w:rsidR="006C4025">
        <w:rPr>
          <w:sz w:val="13"/>
          <w:szCs w:val="13"/>
        </w:rPr>
        <w:t>ontwerp</w:t>
      </w:r>
      <w:r w:rsidR="001555C6">
        <w:rPr>
          <w:sz w:val="13"/>
          <w:szCs w:val="13"/>
        </w:rPr>
        <w:t>-</w:t>
      </w:r>
      <w:r>
        <w:rPr>
          <w:sz w:val="13"/>
          <w:szCs w:val="13"/>
        </w:rPr>
        <w:t>Netverklaring van 202</w:t>
      </w:r>
      <w:r w:rsidR="007A50DA">
        <w:rPr>
          <w:sz w:val="13"/>
          <w:szCs w:val="13"/>
        </w:rPr>
        <w:t>7</w:t>
      </w:r>
      <w:r>
        <w:rPr>
          <w:sz w:val="13"/>
          <w:szCs w:val="13"/>
        </w:rPr>
        <w:t xml:space="preserve"> moet komen te staan</w:t>
      </w:r>
      <w:r w:rsidR="007A50DA">
        <w:rPr>
          <w:sz w:val="13"/>
          <w:szCs w:val="13"/>
        </w:rPr>
        <w:t xml:space="preserve"> die in 2025 wordt gepubliceerd</w:t>
      </w:r>
      <w:r>
        <w:rPr>
          <w:sz w:val="13"/>
          <w:szCs w:val="13"/>
        </w:rPr>
        <w:t xml:space="preserve">. </w:t>
      </w:r>
    </w:p>
  </w:footnote>
  <w:footnote w:id="7">
    <w:p w14:paraId="1E494029" w14:textId="7C8F01EA" w:rsidR="003432DE" w:rsidRPr="008D4455" w:rsidRDefault="003432DE" w:rsidP="003432DE">
      <w:pPr>
        <w:pStyle w:val="FootnoteText"/>
        <w:rPr>
          <w:color w:val="auto"/>
          <w:sz w:val="16"/>
          <w:szCs w:val="16"/>
        </w:rPr>
      </w:pPr>
      <w:r w:rsidRPr="00ED3442">
        <w:rPr>
          <w:rStyle w:val="FootnoteReference"/>
          <w:sz w:val="13"/>
          <w:szCs w:val="13"/>
        </w:rPr>
        <w:footnoteRef/>
      </w:r>
      <w:r w:rsidRPr="00ED3442">
        <w:rPr>
          <w:sz w:val="13"/>
          <w:szCs w:val="13"/>
        </w:rPr>
        <w:t xml:space="preserve"> </w:t>
      </w:r>
      <w:r w:rsidR="008D4455" w:rsidRPr="008D4455">
        <w:rPr>
          <w:sz w:val="16"/>
          <w:szCs w:val="16"/>
        </w:rPr>
        <w:t>K</w:t>
      </w:r>
      <w:r w:rsidRPr="008D4455">
        <w:rPr>
          <w:color w:val="auto"/>
          <w:sz w:val="16"/>
          <w:szCs w:val="16"/>
        </w:rPr>
        <w:t>amerstuk 29984, nr. 1202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A816" w14:textId="77777777" w:rsidR="007104C5" w:rsidRDefault="008F6039">
    <w:r>
      <w:rPr>
        <w:noProof/>
        <w:lang w:val="en-GB" w:eastAsia="en-GB"/>
      </w:rPr>
      <mc:AlternateContent>
        <mc:Choice Requires="wps">
          <w:drawing>
            <wp:anchor distT="0" distB="0" distL="0" distR="0" simplePos="0" relativeHeight="251651584" behindDoc="0" locked="1" layoutInCell="1" allowOverlap="1" wp14:anchorId="57B637E4" wp14:editId="048B099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D6E03C1" w14:textId="77777777" w:rsidR="007104C5" w:rsidRDefault="008F6039">
                          <w:pPr>
                            <w:pStyle w:val="AfzendgegevensKop0"/>
                          </w:pPr>
                          <w:r>
                            <w:t>Ministerie van Infrastructuur en Waterstaat</w:t>
                          </w:r>
                        </w:p>
                        <w:p w14:paraId="4CB2B0A9" w14:textId="77777777" w:rsidR="00126F82" w:rsidRDefault="00126F82" w:rsidP="00126F82"/>
                        <w:p w14:paraId="6F1FEC81" w14:textId="77777777" w:rsidR="00126F82" w:rsidRPr="00126F82" w:rsidRDefault="00126F82" w:rsidP="00126F82">
                          <w:pPr>
                            <w:spacing w:line="276" w:lineRule="auto"/>
                            <w:rPr>
                              <w:b/>
                              <w:bCs/>
                              <w:sz w:val="13"/>
                              <w:szCs w:val="13"/>
                            </w:rPr>
                          </w:pPr>
                          <w:r w:rsidRPr="00126F82">
                            <w:rPr>
                              <w:b/>
                              <w:bCs/>
                              <w:sz w:val="13"/>
                              <w:szCs w:val="13"/>
                            </w:rPr>
                            <w:t>Ons kenmerk</w:t>
                          </w:r>
                        </w:p>
                        <w:p w14:paraId="36C104B4" w14:textId="77777777" w:rsidR="00126F82" w:rsidRPr="00126F82" w:rsidRDefault="00126F82" w:rsidP="00126F82">
                          <w:pPr>
                            <w:spacing w:line="276" w:lineRule="auto"/>
                            <w:rPr>
                              <w:sz w:val="13"/>
                              <w:szCs w:val="13"/>
                            </w:rPr>
                          </w:pPr>
                          <w:r w:rsidRPr="00126F82">
                            <w:rPr>
                              <w:sz w:val="13"/>
                              <w:szCs w:val="13"/>
                            </w:rPr>
                            <w:t>IENW/BSK-2024/216583</w:t>
                          </w:r>
                        </w:p>
                        <w:p w14:paraId="157CC861" w14:textId="77777777" w:rsidR="00126F82" w:rsidRPr="00126F82" w:rsidRDefault="00126F82" w:rsidP="00126F82"/>
                        <w:p w14:paraId="10C75FB7" w14:textId="77777777" w:rsidR="00126F82" w:rsidRDefault="00126F82" w:rsidP="00126F82"/>
                        <w:p w14:paraId="2ECE82DD" w14:textId="77777777" w:rsidR="00126F82" w:rsidRPr="00126F82" w:rsidRDefault="00126F82" w:rsidP="00126F82"/>
                      </w:txbxContent>
                    </wps:txbx>
                    <wps:bodyPr vert="horz" wrap="square" lIns="0" tIns="0" rIns="0" bIns="0" anchor="t" anchorCtr="0"/>
                  </wps:wsp>
                </a:graphicData>
              </a:graphic>
            </wp:anchor>
          </w:drawing>
        </mc:Choice>
        <mc:Fallback>
          <w:pict>
            <v:shapetype w14:anchorId="57B637E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D6E03C1" w14:textId="77777777" w:rsidR="007104C5" w:rsidRDefault="008F6039">
                    <w:pPr>
                      <w:pStyle w:val="AfzendgegevensKop0"/>
                    </w:pPr>
                    <w:r>
                      <w:t>Ministerie van Infrastructuur en Waterstaat</w:t>
                    </w:r>
                  </w:p>
                  <w:p w14:paraId="4CB2B0A9" w14:textId="77777777" w:rsidR="00126F82" w:rsidRDefault="00126F82" w:rsidP="00126F82"/>
                  <w:p w14:paraId="6F1FEC81" w14:textId="77777777" w:rsidR="00126F82" w:rsidRPr="00126F82" w:rsidRDefault="00126F82" w:rsidP="00126F82">
                    <w:pPr>
                      <w:spacing w:line="276" w:lineRule="auto"/>
                      <w:rPr>
                        <w:b/>
                        <w:bCs/>
                        <w:sz w:val="13"/>
                        <w:szCs w:val="13"/>
                      </w:rPr>
                    </w:pPr>
                    <w:r w:rsidRPr="00126F82">
                      <w:rPr>
                        <w:b/>
                        <w:bCs/>
                        <w:sz w:val="13"/>
                        <w:szCs w:val="13"/>
                      </w:rPr>
                      <w:t>Ons kenmerk</w:t>
                    </w:r>
                  </w:p>
                  <w:p w14:paraId="36C104B4" w14:textId="77777777" w:rsidR="00126F82" w:rsidRPr="00126F82" w:rsidRDefault="00126F82" w:rsidP="00126F82">
                    <w:pPr>
                      <w:spacing w:line="276" w:lineRule="auto"/>
                      <w:rPr>
                        <w:sz w:val="13"/>
                        <w:szCs w:val="13"/>
                      </w:rPr>
                    </w:pPr>
                    <w:r w:rsidRPr="00126F82">
                      <w:rPr>
                        <w:sz w:val="13"/>
                        <w:szCs w:val="13"/>
                      </w:rPr>
                      <w:t>IENW/BSK-2024/216583</w:t>
                    </w:r>
                  </w:p>
                  <w:p w14:paraId="157CC861" w14:textId="77777777" w:rsidR="00126F82" w:rsidRPr="00126F82" w:rsidRDefault="00126F82" w:rsidP="00126F82"/>
                  <w:p w14:paraId="10C75FB7" w14:textId="77777777" w:rsidR="00126F82" w:rsidRDefault="00126F82" w:rsidP="00126F82"/>
                  <w:p w14:paraId="2ECE82DD" w14:textId="77777777" w:rsidR="00126F82" w:rsidRPr="00126F82" w:rsidRDefault="00126F82" w:rsidP="00126F8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4FA83B8" wp14:editId="799C22B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0196F7" w14:textId="77777777" w:rsidR="007104C5" w:rsidRDefault="008F6039">
                          <w:pPr>
                            <w:pStyle w:val="Referentiegegevens"/>
                          </w:pPr>
                          <w:r>
                            <w:t xml:space="preserve">Pagina </w:t>
                          </w:r>
                          <w:r>
                            <w:fldChar w:fldCharType="begin"/>
                          </w:r>
                          <w:r>
                            <w:instrText>PAGE</w:instrText>
                          </w:r>
                          <w:r>
                            <w:fldChar w:fldCharType="separate"/>
                          </w:r>
                          <w:r w:rsidR="00BE0D14">
                            <w:rPr>
                              <w:noProof/>
                            </w:rPr>
                            <w:t>1</w:t>
                          </w:r>
                          <w:r>
                            <w:fldChar w:fldCharType="end"/>
                          </w:r>
                          <w:r>
                            <w:t xml:space="preserve"> van </w:t>
                          </w:r>
                          <w:r>
                            <w:fldChar w:fldCharType="begin"/>
                          </w:r>
                          <w:r>
                            <w:instrText>NUMPAGES</w:instrText>
                          </w:r>
                          <w:r>
                            <w:fldChar w:fldCharType="separate"/>
                          </w:r>
                          <w:r w:rsidR="00BE0D14">
                            <w:rPr>
                              <w:noProof/>
                            </w:rPr>
                            <w:t>1</w:t>
                          </w:r>
                          <w:r>
                            <w:fldChar w:fldCharType="end"/>
                          </w:r>
                        </w:p>
                      </w:txbxContent>
                    </wps:txbx>
                    <wps:bodyPr vert="horz" wrap="square" lIns="0" tIns="0" rIns="0" bIns="0" anchor="t" anchorCtr="0"/>
                  </wps:wsp>
                </a:graphicData>
              </a:graphic>
            </wp:anchor>
          </w:drawing>
        </mc:Choice>
        <mc:Fallback>
          <w:pict>
            <v:shape w14:anchorId="64FA83B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20196F7" w14:textId="77777777" w:rsidR="007104C5" w:rsidRDefault="008F6039">
                    <w:pPr>
                      <w:pStyle w:val="Referentiegegevens"/>
                    </w:pPr>
                    <w:r>
                      <w:t xml:space="preserve">Pagina </w:t>
                    </w:r>
                    <w:r>
                      <w:fldChar w:fldCharType="begin"/>
                    </w:r>
                    <w:r>
                      <w:instrText>PAGE</w:instrText>
                    </w:r>
                    <w:r>
                      <w:fldChar w:fldCharType="separate"/>
                    </w:r>
                    <w:r w:rsidR="00BE0D14">
                      <w:rPr>
                        <w:noProof/>
                      </w:rPr>
                      <w:t>1</w:t>
                    </w:r>
                    <w:r>
                      <w:fldChar w:fldCharType="end"/>
                    </w:r>
                    <w:r>
                      <w:t xml:space="preserve"> van </w:t>
                    </w:r>
                    <w:r>
                      <w:fldChar w:fldCharType="begin"/>
                    </w:r>
                    <w:r>
                      <w:instrText>NUMPAGES</w:instrText>
                    </w:r>
                    <w:r>
                      <w:fldChar w:fldCharType="separate"/>
                    </w:r>
                    <w:r w:rsidR="00BE0D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5EC2CB4" wp14:editId="007BE30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5C4328" w14:textId="77777777" w:rsidR="009036F3" w:rsidRDefault="009036F3"/>
                      </w:txbxContent>
                    </wps:txbx>
                    <wps:bodyPr vert="horz" wrap="square" lIns="0" tIns="0" rIns="0" bIns="0" anchor="t" anchorCtr="0"/>
                  </wps:wsp>
                </a:graphicData>
              </a:graphic>
            </wp:anchor>
          </w:drawing>
        </mc:Choice>
        <mc:Fallback>
          <w:pict>
            <v:shape w14:anchorId="75EC2CB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65C4328" w14:textId="77777777" w:rsidR="009036F3" w:rsidRDefault="009036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BC0BA0A" wp14:editId="1BADE43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FD80726" w14:textId="77777777" w:rsidR="009036F3" w:rsidRDefault="009036F3"/>
                      </w:txbxContent>
                    </wps:txbx>
                    <wps:bodyPr vert="horz" wrap="square" lIns="0" tIns="0" rIns="0" bIns="0" anchor="t" anchorCtr="0"/>
                  </wps:wsp>
                </a:graphicData>
              </a:graphic>
            </wp:anchor>
          </w:drawing>
        </mc:Choice>
        <mc:Fallback>
          <w:pict>
            <v:shape w14:anchorId="2BC0BA0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FD80726" w14:textId="77777777" w:rsidR="009036F3" w:rsidRDefault="009036F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2421" w14:textId="77777777" w:rsidR="007104C5" w:rsidRDefault="008F603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188AAC" wp14:editId="3D8CE0A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E4E2C3" w14:textId="77777777" w:rsidR="009036F3" w:rsidRDefault="009036F3"/>
                      </w:txbxContent>
                    </wps:txbx>
                    <wps:bodyPr vert="horz" wrap="square" lIns="0" tIns="0" rIns="0" bIns="0" anchor="t" anchorCtr="0"/>
                  </wps:wsp>
                </a:graphicData>
              </a:graphic>
            </wp:anchor>
          </w:drawing>
        </mc:Choice>
        <mc:Fallback>
          <w:pict>
            <v:shapetype w14:anchorId="79188AA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8E4E2C3" w14:textId="77777777" w:rsidR="009036F3" w:rsidRDefault="009036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092778C" wp14:editId="6E0127B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9D2F91" w14:textId="18CF640C" w:rsidR="007104C5" w:rsidRDefault="008F6039">
                          <w:pPr>
                            <w:pStyle w:val="Referentiegegevens"/>
                          </w:pPr>
                          <w:r>
                            <w:t xml:space="preserve">Pagina </w:t>
                          </w:r>
                          <w:r>
                            <w:fldChar w:fldCharType="begin"/>
                          </w:r>
                          <w:r>
                            <w:instrText>PAGE</w:instrText>
                          </w:r>
                          <w:r>
                            <w:fldChar w:fldCharType="separate"/>
                          </w:r>
                          <w:r w:rsidR="00D57C93">
                            <w:rPr>
                              <w:noProof/>
                            </w:rPr>
                            <w:t>1</w:t>
                          </w:r>
                          <w:r>
                            <w:fldChar w:fldCharType="end"/>
                          </w:r>
                          <w:r>
                            <w:t xml:space="preserve"> van </w:t>
                          </w:r>
                          <w:r>
                            <w:fldChar w:fldCharType="begin"/>
                          </w:r>
                          <w:r>
                            <w:instrText>NUMPAGES</w:instrText>
                          </w:r>
                          <w:r>
                            <w:fldChar w:fldCharType="separate"/>
                          </w:r>
                          <w:r w:rsidR="00D57C93">
                            <w:rPr>
                              <w:noProof/>
                            </w:rPr>
                            <w:t>1</w:t>
                          </w:r>
                          <w:r>
                            <w:fldChar w:fldCharType="end"/>
                          </w:r>
                        </w:p>
                      </w:txbxContent>
                    </wps:txbx>
                    <wps:bodyPr vert="horz" wrap="square" lIns="0" tIns="0" rIns="0" bIns="0" anchor="t" anchorCtr="0"/>
                  </wps:wsp>
                </a:graphicData>
              </a:graphic>
            </wp:anchor>
          </w:drawing>
        </mc:Choice>
        <mc:Fallback>
          <w:pict>
            <v:shape w14:anchorId="6092778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89D2F91" w14:textId="18CF640C" w:rsidR="007104C5" w:rsidRDefault="008F6039">
                    <w:pPr>
                      <w:pStyle w:val="Referentiegegevens"/>
                    </w:pPr>
                    <w:r>
                      <w:t xml:space="preserve">Pagina </w:t>
                    </w:r>
                    <w:r>
                      <w:fldChar w:fldCharType="begin"/>
                    </w:r>
                    <w:r>
                      <w:instrText>PAGE</w:instrText>
                    </w:r>
                    <w:r>
                      <w:fldChar w:fldCharType="separate"/>
                    </w:r>
                    <w:r w:rsidR="00D57C93">
                      <w:rPr>
                        <w:noProof/>
                      </w:rPr>
                      <w:t>1</w:t>
                    </w:r>
                    <w:r>
                      <w:fldChar w:fldCharType="end"/>
                    </w:r>
                    <w:r>
                      <w:t xml:space="preserve"> van </w:t>
                    </w:r>
                    <w:r>
                      <w:fldChar w:fldCharType="begin"/>
                    </w:r>
                    <w:r>
                      <w:instrText>NUMPAGES</w:instrText>
                    </w:r>
                    <w:r>
                      <w:fldChar w:fldCharType="separate"/>
                    </w:r>
                    <w:r w:rsidR="00D57C9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D5ECE30" wp14:editId="7918CE6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2EF1CD" w14:textId="77777777" w:rsidR="007104C5" w:rsidRDefault="008F6039">
                          <w:pPr>
                            <w:pStyle w:val="AfzendgegevensKop0"/>
                          </w:pPr>
                          <w:r>
                            <w:t>Ministerie van Infrastructuur en Waterstaat</w:t>
                          </w:r>
                        </w:p>
                        <w:p w14:paraId="1CFF168C" w14:textId="77777777" w:rsidR="007104C5" w:rsidRDefault="007104C5">
                          <w:pPr>
                            <w:pStyle w:val="WitregelW1"/>
                          </w:pPr>
                        </w:p>
                        <w:p w14:paraId="0110C0DF" w14:textId="77777777" w:rsidR="007104C5" w:rsidRDefault="008F6039">
                          <w:pPr>
                            <w:pStyle w:val="Afzendgegevens"/>
                          </w:pPr>
                          <w:r>
                            <w:t>Rijnstraat 8</w:t>
                          </w:r>
                        </w:p>
                        <w:p w14:paraId="7AC3CD7A" w14:textId="77777777" w:rsidR="007104C5" w:rsidRPr="00BE0D14" w:rsidRDefault="008F6039">
                          <w:pPr>
                            <w:pStyle w:val="Afzendgegevens"/>
                            <w:rPr>
                              <w:lang w:val="de-DE"/>
                            </w:rPr>
                          </w:pPr>
                          <w:r w:rsidRPr="00BE0D14">
                            <w:rPr>
                              <w:lang w:val="de-DE"/>
                            </w:rPr>
                            <w:t>2515 XP  Den Haag</w:t>
                          </w:r>
                        </w:p>
                        <w:p w14:paraId="44AEB071" w14:textId="77777777" w:rsidR="007104C5" w:rsidRPr="00BE0D14" w:rsidRDefault="008F6039">
                          <w:pPr>
                            <w:pStyle w:val="Afzendgegevens"/>
                            <w:rPr>
                              <w:lang w:val="de-DE"/>
                            </w:rPr>
                          </w:pPr>
                          <w:r w:rsidRPr="00BE0D14">
                            <w:rPr>
                              <w:lang w:val="de-DE"/>
                            </w:rPr>
                            <w:t>Postbus 20901</w:t>
                          </w:r>
                        </w:p>
                        <w:p w14:paraId="7CB3AC73" w14:textId="77777777" w:rsidR="007104C5" w:rsidRPr="00BE0D14" w:rsidRDefault="008F6039">
                          <w:pPr>
                            <w:pStyle w:val="Afzendgegevens"/>
                            <w:rPr>
                              <w:lang w:val="de-DE"/>
                            </w:rPr>
                          </w:pPr>
                          <w:r w:rsidRPr="00BE0D14">
                            <w:rPr>
                              <w:lang w:val="de-DE"/>
                            </w:rPr>
                            <w:t>2500 EX Den Haag</w:t>
                          </w:r>
                        </w:p>
                        <w:p w14:paraId="13EBA9F9" w14:textId="77777777" w:rsidR="007104C5" w:rsidRPr="00BE0D14" w:rsidRDefault="007104C5">
                          <w:pPr>
                            <w:pStyle w:val="WitregelW1"/>
                            <w:rPr>
                              <w:lang w:val="de-DE"/>
                            </w:rPr>
                          </w:pPr>
                        </w:p>
                        <w:p w14:paraId="52E4620A" w14:textId="77777777" w:rsidR="007104C5" w:rsidRPr="00BE0D14" w:rsidRDefault="008F6039">
                          <w:pPr>
                            <w:pStyle w:val="Afzendgegevens"/>
                            <w:rPr>
                              <w:lang w:val="de-DE"/>
                            </w:rPr>
                          </w:pPr>
                          <w:r w:rsidRPr="00BE0D14">
                            <w:rPr>
                              <w:lang w:val="de-DE"/>
                            </w:rPr>
                            <w:t>T   070-456 0000</w:t>
                          </w:r>
                        </w:p>
                        <w:p w14:paraId="1E91F665" w14:textId="77777777" w:rsidR="007104C5" w:rsidRDefault="008F6039">
                          <w:pPr>
                            <w:pStyle w:val="Afzendgegevens"/>
                          </w:pPr>
                          <w:r>
                            <w:t>F   070-456 1111</w:t>
                          </w:r>
                        </w:p>
                        <w:p w14:paraId="727ED774" w14:textId="77777777" w:rsidR="00126F82" w:rsidRPr="00126F82" w:rsidRDefault="00126F82" w:rsidP="00126F82">
                          <w:pPr>
                            <w:spacing w:line="276" w:lineRule="auto"/>
                            <w:rPr>
                              <w:sz w:val="13"/>
                              <w:szCs w:val="13"/>
                            </w:rPr>
                          </w:pPr>
                        </w:p>
                        <w:p w14:paraId="6A7A50B7" w14:textId="07406E51" w:rsidR="00126F82" w:rsidRPr="00126F82" w:rsidRDefault="00126F82" w:rsidP="00126F82">
                          <w:pPr>
                            <w:spacing w:line="276" w:lineRule="auto"/>
                            <w:rPr>
                              <w:b/>
                              <w:bCs/>
                              <w:sz w:val="13"/>
                              <w:szCs w:val="13"/>
                            </w:rPr>
                          </w:pPr>
                          <w:r w:rsidRPr="00126F82">
                            <w:rPr>
                              <w:b/>
                              <w:bCs/>
                              <w:sz w:val="13"/>
                              <w:szCs w:val="13"/>
                            </w:rPr>
                            <w:t>Ons kenmerk</w:t>
                          </w:r>
                        </w:p>
                        <w:p w14:paraId="77C86B75" w14:textId="78F37772" w:rsidR="00126F82" w:rsidRPr="00126F82" w:rsidRDefault="00126F82" w:rsidP="00126F82">
                          <w:pPr>
                            <w:spacing w:line="276" w:lineRule="auto"/>
                            <w:rPr>
                              <w:sz w:val="13"/>
                              <w:szCs w:val="13"/>
                            </w:rPr>
                          </w:pPr>
                          <w:r w:rsidRPr="00126F82">
                            <w:rPr>
                              <w:sz w:val="13"/>
                              <w:szCs w:val="13"/>
                            </w:rPr>
                            <w:t>IENW/BSK-2024/216583</w:t>
                          </w:r>
                        </w:p>
                        <w:p w14:paraId="68ACCC51" w14:textId="77777777" w:rsidR="00126F82" w:rsidRPr="00126F82" w:rsidRDefault="00126F82" w:rsidP="00126F82">
                          <w:pPr>
                            <w:spacing w:line="276" w:lineRule="auto"/>
                            <w:rPr>
                              <w:sz w:val="13"/>
                              <w:szCs w:val="13"/>
                            </w:rPr>
                          </w:pPr>
                        </w:p>
                        <w:p w14:paraId="551B0477" w14:textId="0921012C" w:rsidR="00126F82" w:rsidRPr="00126F82" w:rsidRDefault="00126F82" w:rsidP="00126F82">
                          <w:pPr>
                            <w:spacing w:line="276" w:lineRule="auto"/>
                            <w:rPr>
                              <w:b/>
                              <w:bCs/>
                              <w:sz w:val="13"/>
                              <w:szCs w:val="13"/>
                            </w:rPr>
                          </w:pPr>
                          <w:r w:rsidRPr="00126F82">
                            <w:rPr>
                              <w:b/>
                              <w:bCs/>
                              <w:sz w:val="13"/>
                              <w:szCs w:val="13"/>
                            </w:rPr>
                            <w:t>Bijlage(n)</w:t>
                          </w:r>
                        </w:p>
                        <w:p w14:paraId="18874A69" w14:textId="193E500D" w:rsidR="00126F82" w:rsidRPr="00126F82" w:rsidRDefault="00126F82" w:rsidP="00126F82">
                          <w:pPr>
                            <w:spacing w:line="276" w:lineRule="auto"/>
                            <w:rPr>
                              <w:sz w:val="13"/>
                              <w:szCs w:val="13"/>
                            </w:rPr>
                          </w:pPr>
                          <w:r w:rsidRPr="00126F82">
                            <w:rPr>
                              <w:sz w:val="13"/>
                              <w:szCs w:val="13"/>
                            </w:rPr>
                            <w:t>1</w:t>
                          </w:r>
                        </w:p>
                      </w:txbxContent>
                    </wps:txbx>
                    <wps:bodyPr vert="horz" wrap="square" lIns="0" tIns="0" rIns="0" bIns="0" anchor="t" anchorCtr="0"/>
                  </wps:wsp>
                </a:graphicData>
              </a:graphic>
            </wp:anchor>
          </w:drawing>
        </mc:Choice>
        <mc:Fallback>
          <w:pict>
            <v:shape w14:anchorId="3D5ECE3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D2EF1CD" w14:textId="77777777" w:rsidR="007104C5" w:rsidRDefault="008F6039">
                    <w:pPr>
                      <w:pStyle w:val="AfzendgegevensKop0"/>
                    </w:pPr>
                    <w:r>
                      <w:t>Ministerie van Infrastructuur en Waterstaat</w:t>
                    </w:r>
                  </w:p>
                  <w:p w14:paraId="1CFF168C" w14:textId="77777777" w:rsidR="007104C5" w:rsidRDefault="007104C5">
                    <w:pPr>
                      <w:pStyle w:val="WitregelW1"/>
                    </w:pPr>
                  </w:p>
                  <w:p w14:paraId="0110C0DF" w14:textId="77777777" w:rsidR="007104C5" w:rsidRDefault="008F6039">
                    <w:pPr>
                      <w:pStyle w:val="Afzendgegevens"/>
                    </w:pPr>
                    <w:r>
                      <w:t>Rijnstraat 8</w:t>
                    </w:r>
                  </w:p>
                  <w:p w14:paraId="7AC3CD7A" w14:textId="77777777" w:rsidR="007104C5" w:rsidRPr="00BE0D14" w:rsidRDefault="008F6039">
                    <w:pPr>
                      <w:pStyle w:val="Afzendgegevens"/>
                      <w:rPr>
                        <w:lang w:val="de-DE"/>
                      </w:rPr>
                    </w:pPr>
                    <w:r w:rsidRPr="00BE0D14">
                      <w:rPr>
                        <w:lang w:val="de-DE"/>
                      </w:rPr>
                      <w:t>2515 XP  Den Haag</w:t>
                    </w:r>
                  </w:p>
                  <w:p w14:paraId="44AEB071" w14:textId="77777777" w:rsidR="007104C5" w:rsidRPr="00BE0D14" w:rsidRDefault="008F6039">
                    <w:pPr>
                      <w:pStyle w:val="Afzendgegevens"/>
                      <w:rPr>
                        <w:lang w:val="de-DE"/>
                      </w:rPr>
                    </w:pPr>
                    <w:r w:rsidRPr="00BE0D14">
                      <w:rPr>
                        <w:lang w:val="de-DE"/>
                      </w:rPr>
                      <w:t>Postbus 20901</w:t>
                    </w:r>
                  </w:p>
                  <w:p w14:paraId="7CB3AC73" w14:textId="77777777" w:rsidR="007104C5" w:rsidRPr="00BE0D14" w:rsidRDefault="008F6039">
                    <w:pPr>
                      <w:pStyle w:val="Afzendgegevens"/>
                      <w:rPr>
                        <w:lang w:val="de-DE"/>
                      </w:rPr>
                    </w:pPr>
                    <w:r w:rsidRPr="00BE0D14">
                      <w:rPr>
                        <w:lang w:val="de-DE"/>
                      </w:rPr>
                      <w:t>2500 EX Den Haag</w:t>
                    </w:r>
                  </w:p>
                  <w:p w14:paraId="13EBA9F9" w14:textId="77777777" w:rsidR="007104C5" w:rsidRPr="00BE0D14" w:rsidRDefault="007104C5">
                    <w:pPr>
                      <w:pStyle w:val="WitregelW1"/>
                      <w:rPr>
                        <w:lang w:val="de-DE"/>
                      </w:rPr>
                    </w:pPr>
                  </w:p>
                  <w:p w14:paraId="52E4620A" w14:textId="77777777" w:rsidR="007104C5" w:rsidRPr="00BE0D14" w:rsidRDefault="008F6039">
                    <w:pPr>
                      <w:pStyle w:val="Afzendgegevens"/>
                      <w:rPr>
                        <w:lang w:val="de-DE"/>
                      </w:rPr>
                    </w:pPr>
                    <w:r w:rsidRPr="00BE0D14">
                      <w:rPr>
                        <w:lang w:val="de-DE"/>
                      </w:rPr>
                      <w:t>T   070-456 0000</w:t>
                    </w:r>
                  </w:p>
                  <w:p w14:paraId="1E91F665" w14:textId="77777777" w:rsidR="007104C5" w:rsidRDefault="008F6039">
                    <w:pPr>
                      <w:pStyle w:val="Afzendgegevens"/>
                    </w:pPr>
                    <w:r>
                      <w:t>F   070-456 1111</w:t>
                    </w:r>
                  </w:p>
                  <w:p w14:paraId="727ED774" w14:textId="77777777" w:rsidR="00126F82" w:rsidRPr="00126F82" w:rsidRDefault="00126F82" w:rsidP="00126F82">
                    <w:pPr>
                      <w:spacing w:line="276" w:lineRule="auto"/>
                      <w:rPr>
                        <w:sz w:val="13"/>
                        <w:szCs w:val="13"/>
                      </w:rPr>
                    </w:pPr>
                  </w:p>
                  <w:p w14:paraId="6A7A50B7" w14:textId="07406E51" w:rsidR="00126F82" w:rsidRPr="00126F82" w:rsidRDefault="00126F82" w:rsidP="00126F82">
                    <w:pPr>
                      <w:spacing w:line="276" w:lineRule="auto"/>
                      <w:rPr>
                        <w:b/>
                        <w:bCs/>
                        <w:sz w:val="13"/>
                        <w:szCs w:val="13"/>
                      </w:rPr>
                    </w:pPr>
                    <w:r w:rsidRPr="00126F82">
                      <w:rPr>
                        <w:b/>
                        <w:bCs/>
                        <w:sz w:val="13"/>
                        <w:szCs w:val="13"/>
                      </w:rPr>
                      <w:t>Ons kenmerk</w:t>
                    </w:r>
                  </w:p>
                  <w:p w14:paraId="77C86B75" w14:textId="78F37772" w:rsidR="00126F82" w:rsidRPr="00126F82" w:rsidRDefault="00126F82" w:rsidP="00126F82">
                    <w:pPr>
                      <w:spacing w:line="276" w:lineRule="auto"/>
                      <w:rPr>
                        <w:sz w:val="13"/>
                        <w:szCs w:val="13"/>
                      </w:rPr>
                    </w:pPr>
                    <w:r w:rsidRPr="00126F82">
                      <w:rPr>
                        <w:sz w:val="13"/>
                        <w:szCs w:val="13"/>
                      </w:rPr>
                      <w:t>IENW/BSK-2024/216583</w:t>
                    </w:r>
                  </w:p>
                  <w:p w14:paraId="68ACCC51" w14:textId="77777777" w:rsidR="00126F82" w:rsidRPr="00126F82" w:rsidRDefault="00126F82" w:rsidP="00126F82">
                    <w:pPr>
                      <w:spacing w:line="276" w:lineRule="auto"/>
                      <w:rPr>
                        <w:sz w:val="13"/>
                        <w:szCs w:val="13"/>
                      </w:rPr>
                    </w:pPr>
                  </w:p>
                  <w:p w14:paraId="551B0477" w14:textId="0921012C" w:rsidR="00126F82" w:rsidRPr="00126F82" w:rsidRDefault="00126F82" w:rsidP="00126F82">
                    <w:pPr>
                      <w:spacing w:line="276" w:lineRule="auto"/>
                      <w:rPr>
                        <w:b/>
                        <w:bCs/>
                        <w:sz w:val="13"/>
                        <w:szCs w:val="13"/>
                      </w:rPr>
                    </w:pPr>
                    <w:r w:rsidRPr="00126F82">
                      <w:rPr>
                        <w:b/>
                        <w:bCs/>
                        <w:sz w:val="13"/>
                        <w:szCs w:val="13"/>
                      </w:rPr>
                      <w:t>Bijlage(n)</w:t>
                    </w:r>
                  </w:p>
                  <w:p w14:paraId="18874A69" w14:textId="193E500D" w:rsidR="00126F82" w:rsidRPr="00126F82" w:rsidRDefault="00126F82" w:rsidP="00126F82">
                    <w:pPr>
                      <w:spacing w:line="276" w:lineRule="auto"/>
                      <w:rPr>
                        <w:sz w:val="13"/>
                        <w:szCs w:val="13"/>
                      </w:rPr>
                    </w:pPr>
                    <w:r w:rsidRPr="00126F8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7B2D30E" wp14:editId="32579C5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82E2D9D" w14:textId="4DE06935" w:rsidR="009036F3" w:rsidRDefault="00126F82">
                          <w:r>
                            <w:rPr>
                              <w:noProof/>
                              <w:lang w:val="en-GB" w:eastAsia="en-GB"/>
                            </w:rPr>
                            <w:drawing>
                              <wp:inline distT="0" distB="0" distL="0" distR="0" wp14:anchorId="3530FFFB" wp14:editId="39604A4E">
                                <wp:extent cx="467995" cy="1583690"/>
                                <wp:effectExtent l="0" t="0" r="8255"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B2D30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82E2D9D" w14:textId="4DE06935" w:rsidR="009036F3" w:rsidRDefault="00126F82">
                    <w:r>
                      <w:rPr>
                        <w:noProof/>
                        <w:lang w:val="en-GB" w:eastAsia="en-GB"/>
                      </w:rPr>
                      <w:drawing>
                        <wp:inline distT="0" distB="0" distL="0" distR="0" wp14:anchorId="3530FFFB" wp14:editId="39604A4E">
                          <wp:extent cx="467995" cy="1583690"/>
                          <wp:effectExtent l="0" t="0" r="8255"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614E6A1" wp14:editId="4AE09D75">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9292DF" w14:textId="77777777" w:rsidR="007104C5" w:rsidRDefault="008F6039">
                          <w:pPr>
                            <w:spacing w:line="240" w:lineRule="auto"/>
                          </w:pPr>
                          <w:r>
                            <w:rPr>
                              <w:noProof/>
                              <w:lang w:val="en-GB" w:eastAsia="en-GB"/>
                            </w:rPr>
                            <w:drawing>
                              <wp:inline distT="0" distB="0" distL="0" distR="0" wp14:anchorId="11BBED50" wp14:editId="718BE004">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14E6A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49292DF" w14:textId="77777777" w:rsidR="007104C5" w:rsidRDefault="008F6039">
                    <w:pPr>
                      <w:spacing w:line="240" w:lineRule="auto"/>
                    </w:pPr>
                    <w:r>
                      <w:rPr>
                        <w:noProof/>
                        <w:lang w:val="en-GB" w:eastAsia="en-GB"/>
                      </w:rPr>
                      <w:drawing>
                        <wp:inline distT="0" distB="0" distL="0" distR="0" wp14:anchorId="11BBED50" wp14:editId="718BE004">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6056BB8" wp14:editId="39023FFF">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7EC6515" w14:textId="77777777" w:rsidR="007104C5" w:rsidRDefault="008F603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6056BB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7EC6515" w14:textId="77777777" w:rsidR="007104C5" w:rsidRDefault="008F603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65DDE6C" wp14:editId="7A2AA554">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6D64A3" w14:textId="77777777" w:rsidR="00126F82" w:rsidRDefault="00126F82" w:rsidP="00126F82">
                          <w:r>
                            <w:t>De voorzitter van de Tweede Kamer</w:t>
                          </w:r>
                          <w:r>
                            <w:br/>
                            <w:t>der Staten-Generaal</w:t>
                          </w:r>
                          <w:r>
                            <w:br/>
                            <w:t>Postbus 20018</w:t>
                          </w:r>
                          <w:r>
                            <w:br/>
                            <w:t>2500 EA  DEN HAAG</w:t>
                          </w:r>
                        </w:p>
                        <w:p w14:paraId="4F7AFDA3" w14:textId="77777777" w:rsidR="009036F3" w:rsidRDefault="009036F3"/>
                      </w:txbxContent>
                    </wps:txbx>
                    <wps:bodyPr vert="horz" wrap="square" lIns="0" tIns="0" rIns="0" bIns="0" anchor="t" anchorCtr="0"/>
                  </wps:wsp>
                </a:graphicData>
              </a:graphic>
            </wp:anchor>
          </w:drawing>
        </mc:Choice>
        <mc:Fallback>
          <w:pict>
            <v:shape w14:anchorId="265DDE6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556D64A3" w14:textId="77777777" w:rsidR="00126F82" w:rsidRDefault="00126F82" w:rsidP="00126F82">
                    <w:r>
                      <w:t>De voorzitter van de Tweede Kamer</w:t>
                    </w:r>
                    <w:r>
                      <w:br/>
                      <w:t>der Staten-Generaal</w:t>
                    </w:r>
                    <w:r>
                      <w:br/>
                      <w:t>Postbus 20018</w:t>
                    </w:r>
                    <w:r>
                      <w:br/>
                      <w:t>2500 EA  DEN HAAG</w:t>
                    </w:r>
                  </w:p>
                  <w:p w14:paraId="4F7AFDA3" w14:textId="77777777" w:rsidR="009036F3" w:rsidRDefault="009036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1158E63" wp14:editId="43044401">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104C5" w14:paraId="229EAA8D" w14:textId="77777777">
                            <w:trPr>
                              <w:trHeight w:val="200"/>
                            </w:trPr>
                            <w:tc>
                              <w:tcPr>
                                <w:tcW w:w="1140" w:type="dxa"/>
                              </w:tcPr>
                              <w:p w14:paraId="784C5171" w14:textId="77777777" w:rsidR="007104C5" w:rsidRDefault="007104C5"/>
                            </w:tc>
                            <w:tc>
                              <w:tcPr>
                                <w:tcW w:w="5400" w:type="dxa"/>
                              </w:tcPr>
                              <w:p w14:paraId="22DD65FF" w14:textId="77777777" w:rsidR="007104C5" w:rsidRDefault="007104C5"/>
                            </w:tc>
                          </w:tr>
                          <w:tr w:rsidR="007104C5" w14:paraId="48C474F0" w14:textId="77777777">
                            <w:trPr>
                              <w:trHeight w:val="240"/>
                            </w:trPr>
                            <w:tc>
                              <w:tcPr>
                                <w:tcW w:w="1140" w:type="dxa"/>
                              </w:tcPr>
                              <w:p w14:paraId="3C019E91" w14:textId="77777777" w:rsidR="007104C5" w:rsidRDefault="008F6039">
                                <w:r>
                                  <w:t>Datum</w:t>
                                </w:r>
                              </w:p>
                            </w:tc>
                            <w:tc>
                              <w:tcPr>
                                <w:tcW w:w="5400" w:type="dxa"/>
                              </w:tcPr>
                              <w:p w14:paraId="252CF51F" w14:textId="13CEB23C" w:rsidR="007104C5" w:rsidRDefault="000A4B7F">
                                <w:r>
                                  <w:t>30 augustus 2024</w:t>
                                </w:r>
                              </w:p>
                            </w:tc>
                          </w:tr>
                          <w:tr w:rsidR="007104C5" w14:paraId="281B5DE6" w14:textId="77777777">
                            <w:trPr>
                              <w:trHeight w:val="240"/>
                            </w:trPr>
                            <w:tc>
                              <w:tcPr>
                                <w:tcW w:w="1140" w:type="dxa"/>
                              </w:tcPr>
                              <w:p w14:paraId="33C6EA63" w14:textId="77777777" w:rsidR="007104C5" w:rsidRDefault="008F6039">
                                <w:r>
                                  <w:t>Betreft</w:t>
                                </w:r>
                              </w:p>
                            </w:tc>
                            <w:tc>
                              <w:tcPr>
                                <w:tcW w:w="5400" w:type="dxa"/>
                              </w:tcPr>
                              <w:p w14:paraId="711AB194" w14:textId="77777777" w:rsidR="007104C5" w:rsidRDefault="008F6039">
                                <w:r>
                                  <w:t>Tarifering gebruiksvergoeding spoor vanaf 2026</w:t>
                                </w:r>
                              </w:p>
                            </w:tc>
                          </w:tr>
                          <w:tr w:rsidR="007104C5" w14:paraId="7FCD3DA8" w14:textId="77777777">
                            <w:trPr>
                              <w:trHeight w:val="200"/>
                            </w:trPr>
                            <w:tc>
                              <w:tcPr>
                                <w:tcW w:w="1140" w:type="dxa"/>
                              </w:tcPr>
                              <w:p w14:paraId="3CEE0005" w14:textId="77777777" w:rsidR="007104C5" w:rsidRDefault="007104C5"/>
                            </w:tc>
                            <w:tc>
                              <w:tcPr>
                                <w:tcW w:w="5400" w:type="dxa"/>
                              </w:tcPr>
                              <w:p w14:paraId="118393E4" w14:textId="77777777" w:rsidR="007104C5" w:rsidRDefault="007104C5"/>
                            </w:tc>
                          </w:tr>
                        </w:tbl>
                        <w:p w14:paraId="7FC36032" w14:textId="77777777" w:rsidR="009036F3" w:rsidRDefault="009036F3"/>
                      </w:txbxContent>
                    </wps:txbx>
                    <wps:bodyPr vert="horz" wrap="square" lIns="0" tIns="0" rIns="0" bIns="0" anchor="t" anchorCtr="0"/>
                  </wps:wsp>
                </a:graphicData>
              </a:graphic>
            </wp:anchor>
          </w:drawing>
        </mc:Choice>
        <mc:Fallback>
          <w:pict>
            <v:shape w14:anchorId="51158E6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104C5" w14:paraId="229EAA8D" w14:textId="77777777">
                      <w:trPr>
                        <w:trHeight w:val="200"/>
                      </w:trPr>
                      <w:tc>
                        <w:tcPr>
                          <w:tcW w:w="1140" w:type="dxa"/>
                        </w:tcPr>
                        <w:p w14:paraId="784C5171" w14:textId="77777777" w:rsidR="007104C5" w:rsidRDefault="007104C5"/>
                      </w:tc>
                      <w:tc>
                        <w:tcPr>
                          <w:tcW w:w="5400" w:type="dxa"/>
                        </w:tcPr>
                        <w:p w14:paraId="22DD65FF" w14:textId="77777777" w:rsidR="007104C5" w:rsidRDefault="007104C5"/>
                      </w:tc>
                    </w:tr>
                    <w:tr w:rsidR="007104C5" w14:paraId="48C474F0" w14:textId="77777777">
                      <w:trPr>
                        <w:trHeight w:val="240"/>
                      </w:trPr>
                      <w:tc>
                        <w:tcPr>
                          <w:tcW w:w="1140" w:type="dxa"/>
                        </w:tcPr>
                        <w:p w14:paraId="3C019E91" w14:textId="77777777" w:rsidR="007104C5" w:rsidRDefault="008F6039">
                          <w:r>
                            <w:t>Datum</w:t>
                          </w:r>
                        </w:p>
                      </w:tc>
                      <w:tc>
                        <w:tcPr>
                          <w:tcW w:w="5400" w:type="dxa"/>
                        </w:tcPr>
                        <w:p w14:paraId="252CF51F" w14:textId="13CEB23C" w:rsidR="007104C5" w:rsidRDefault="000A4B7F">
                          <w:r>
                            <w:t>30 augustus 2024</w:t>
                          </w:r>
                        </w:p>
                      </w:tc>
                    </w:tr>
                    <w:tr w:rsidR="007104C5" w14:paraId="281B5DE6" w14:textId="77777777">
                      <w:trPr>
                        <w:trHeight w:val="240"/>
                      </w:trPr>
                      <w:tc>
                        <w:tcPr>
                          <w:tcW w:w="1140" w:type="dxa"/>
                        </w:tcPr>
                        <w:p w14:paraId="33C6EA63" w14:textId="77777777" w:rsidR="007104C5" w:rsidRDefault="008F6039">
                          <w:r>
                            <w:t>Betreft</w:t>
                          </w:r>
                        </w:p>
                      </w:tc>
                      <w:tc>
                        <w:tcPr>
                          <w:tcW w:w="5400" w:type="dxa"/>
                        </w:tcPr>
                        <w:p w14:paraId="711AB194" w14:textId="77777777" w:rsidR="007104C5" w:rsidRDefault="008F6039">
                          <w:r>
                            <w:t>Tarifering gebruiksvergoeding spoor vanaf 2026</w:t>
                          </w:r>
                        </w:p>
                      </w:tc>
                    </w:tr>
                    <w:tr w:rsidR="007104C5" w14:paraId="7FCD3DA8" w14:textId="77777777">
                      <w:trPr>
                        <w:trHeight w:val="200"/>
                      </w:trPr>
                      <w:tc>
                        <w:tcPr>
                          <w:tcW w:w="1140" w:type="dxa"/>
                        </w:tcPr>
                        <w:p w14:paraId="3CEE0005" w14:textId="77777777" w:rsidR="007104C5" w:rsidRDefault="007104C5"/>
                      </w:tc>
                      <w:tc>
                        <w:tcPr>
                          <w:tcW w:w="5400" w:type="dxa"/>
                        </w:tcPr>
                        <w:p w14:paraId="118393E4" w14:textId="77777777" w:rsidR="007104C5" w:rsidRDefault="007104C5"/>
                      </w:tc>
                    </w:tr>
                  </w:tbl>
                  <w:p w14:paraId="7FC36032" w14:textId="77777777" w:rsidR="009036F3" w:rsidRDefault="009036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5B1C49D" wp14:editId="5FD0843D">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369185" w14:textId="77777777" w:rsidR="009036F3" w:rsidRDefault="009036F3"/>
                      </w:txbxContent>
                    </wps:txbx>
                    <wps:bodyPr vert="horz" wrap="square" lIns="0" tIns="0" rIns="0" bIns="0" anchor="t" anchorCtr="0"/>
                  </wps:wsp>
                </a:graphicData>
              </a:graphic>
            </wp:anchor>
          </w:drawing>
        </mc:Choice>
        <mc:Fallback>
          <w:pict>
            <v:shape w14:anchorId="15B1C49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2A369185" w14:textId="77777777" w:rsidR="009036F3" w:rsidRDefault="009036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CC378"/>
    <w:multiLevelType w:val="multilevel"/>
    <w:tmpl w:val="98A6A4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64FFCC8"/>
    <w:multiLevelType w:val="multilevel"/>
    <w:tmpl w:val="7734D46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0A96B1"/>
    <w:multiLevelType w:val="multilevel"/>
    <w:tmpl w:val="7A8BD6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889945"/>
    <w:multiLevelType w:val="multilevel"/>
    <w:tmpl w:val="71ECD6A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EDECA2"/>
    <w:multiLevelType w:val="multilevel"/>
    <w:tmpl w:val="84E71F6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39C9EC"/>
    <w:multiLevelType w:val="multilevel"/>
    <w:tmpl w:val="F437C0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C277C275"/>
    <w:multiLevelType w:val="multilevel"/>
    <w:tmpl w:val="A973427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B8B9FD"/>
    <w:multiLevelType w:val="multilevel"/>
    <w:tmpl w:val="A68B3FB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0366AC6"/>
    <w:multiLevelType w:val="multilevel"/>
    <w:tmpl w:val="EE5B2C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28F6577"/>
    <w:multiLevelType w:val="multilevel"/>
    <w:tmpl w:val="02F295E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4A056AF"/>
    <w:multiLevelType w:val="multilevel"/>
    <w:tmpl w:val="F7F19F3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5C4344E"/>
    <w:multiLevelType w:val="multilevel"/>
    <w:tmpl w:val="25BEB4D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EA63EA3"/>
    <w:multiLevelType w:val="multilevel"/>
    <w:tmpl w:val="505BC7B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72C0D7D"/>
    <w:multiLevelType w:val="multilevel"/>
    <w:tmpl w:val="E42AD09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BF66B92"/>
    <w:multiLevelType w:val="multilevel"/>
    <w:tmpl w:val="AD76956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3EDB02E"/>
    <w:multiLevelType w:val="multilevel"/>
    <w:tmpl w:val="161D697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46FB19"/>
    <w:multiLevelType w:val="multilevel"/>
    <w:tmpl w:val="54EFBBB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B30742"/>
    <w:multiLevelType w:val="hybridMultilevel"/>
    <w:tmpl w:val="535A2AC2"/>
    <w:lvl w:ilvl="0" w:tplc="9ACE46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AD41BA5"/>
    <w:multiLevelType w:val="multilevel"/>
    <w:tmpl w:val="6934A64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6901B1"/>
    <w:multiLevelType w:val="hybridMultilevel"/>
    <w:tmpl w:val="DABCE7EA"/>
    <w:lvl w:ilvl="0" w:tplc="23863A4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76407D"/>
    <w:multiLevelType w:val="multilevel"/>
    <w:tmpl w:val="CAF5D1F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6D2DFF"/>
    <w:multiLevelType w:val="multilevel"/>
    <w:tmpl w:val="FD9AB4C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C44F8"/>
    <w:multiLevelType w:val="multilevel"/>
    <w:tmpl w:val="FED6641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AC727F"/>
    <w:multiLevelType w:val="multilevel"/>
    <w:tmpl w:val="5B64F7E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F15E61"/>
    <w:multiLevelType w:val="multilevel"/>
    <w:tmpl w:val="B75DB81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21"/>
  </w:num>
  <w:num w:numId="4">
    <w:abstractNumId w:val="4"/>
  </w:num>
  <w:num w:numId="5">
    <w:abstractNumId w:val="5"/>
  </w:num>
  <w:num w:numId="6">
    <w:abstractNumId w:val="8"/>
  </w:num>
  <w:num w:numId="7">
    <w:abstractNumId w:val="24"/>
  </w:num>
  <w:num w:numId="8">
    <w:abstractNumId w:val="7"/>
  </w:num>
  <w:num w:numId="9">
    <w:abstractNumId w:val="11"/>
  </w:num>
  <w:num w:numId="10">
    <w:abstractNumId w:val="1"/>
  </w:num>
  <w:num w:numId="11">
    <w:abstractNumId w:val="6"/>
  </w:num>
  <w:num w:numId="12">
    <w:abstractNumId w:val="0"/>
  </w:num>
  <w:num w:numId="13">
    <w:abstractNumId w:val="9"/>
  </w:num>
  <w:num w:numId="14">
    <w:abstractNumId w:val="18"/>
  </w:num>
  <w:num w:numId="15">
    <w:abstractNumId w:val="20"/>
  </w:num>
  <w:num w:numId="16">
    <w:abstractNumId w:val="10"/>
  </w:num>
  <w:num w:numId="17">
    <w:abstractNumId w:val="12"/>
  </w:num>
  <w:num w:numId="18">
    <w:abstractNumId w:val="2"/>
  </w:num>
  <w:num w:numId="19">
    <w:abstractNumId w:val="22"/>
  </w:num>
  <w:num w:numId="20">
    <w:abstractNumId w:val="13"/>
  </w:num>
  <w:num w:numId="21">
    <w:abstractNumId w:val="23"/>
  </w:num>
  <w:num w:numId="22">
    <w:abstractNumId w:val="16"/>
  </w:num>
  <w:num w:numId="23">
    <w:abstractNumId w:val="3"/>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14"/>
    <w:rsid w:val="00020611"/>
    <w:rsid w:val="000840FB"/>
    <w:rsid w:val="000A4B7F"/>
    <w:rsid w:val="000A5364"/>
    <w:rsid w:val="000B3330"/>
    <w:rsid w:val="000C43AE"/>
    <w:rsid w:val="000D7F6A"/>
    <w:rsid w:val="00107DF6"/>
    <w:rsid w:val="00126F82"/>
    <w:rsid w:val="001328B2"/>
    <w:rsid w:val="00140223"/>
    <w:rsid w:val="001555C6"/>
    <w:rsid w:val="00192B41"/>
    <w:rsid w:val="001A7402"/>
    <w:rsid w:val="001C7165"/>
    <w:rsid w:val="001D5FEB"/>
    <w:rsid w:val="001D6DC8"/>
    <w:rsid w:val="00221D41"/>
    <w:rsid w:val="0022585C"/>
    <w:rsid w:val="00230313"/>
    <w:rsid w:val="00295067"/>
    <w:rsid w:val="002B22DE"/>
    <w:rsid w:val="002E63B7"/>
    <w:rsid w:val="002F029E"/>
    <w:rsid w:val="002F251C"/>
    <w:rsid w:val="002F5A31"/>
    <w:rsid w:val="00302D76"/>
    <w:rsid w:val="00303622"/>
    <w:rsid w:val="00325BBA"/>
    <w:rsid w:val="00327A63"/>
    <w:rsid w:val="00333440"/>
    <w:rsid w:val="003408A1"/>
    <w:rsid w:val="003432DE"/>
    <w:rsid w:val="00352296"/>
    <w:rsid w:val="00373984"/>
    <w:rsid w:val="00380E6E"/>
    <w:rsid w:val="00385F20"/>
    <w:rsid w:val="003A0EB2"/>
    <w:rsid w:val="003F676A"/>
    <w:rsid w:val="00441127"/>
    <w:rsid w:val="00442D69"/>
    <w:rsid w:val="004C2749"/>
    <w:rsid w:val="004D7C24"/>
    <w:rsid w:val="00521FE7"/>
    <w:rsid w:val="0056043C"/>
    <w:rsid w:val="005C5101"/>
    <w:rsid w:val="005E28B5"/>
    <w:rsid w:val="005F7D34"/>
    <w:rsid w:val="00653B88"/>
    <w:rsid w:val="00664820"/>
    <w:rsid w:val="006B406B"/>
    <w:rsid w:val="006C4025"/>
    <w:rsid w:val="006C7A34"/>
    <w:rsid w:val="00700421"/>
    <w:rsid w:val="007104C5"/>
    <w:rsid w:val="007A50DA"/>
    <w:rsid w:val="007A6815"/>
    <w:rsid w:val="007B7E3F"/>
    <w:rsid w:val="007D0C5F"/>
    <w:rsid w:val="007E5CBA"/>
    <w:rsid w:val="0082223C"/>
    <w:rsid w:val="0082795C"/>
    <w:rsid w:val="0084702E"/>
    <w:rsid w:val="00857661"/>
    <w:rsid w:val="008751AF"/>
    <w:rsid w:val="00875290"/>
    <w:rsid w:val="008C7C91"/>
    <w:rsid w:val="008D4455"/>
    <w:rsid w:val="008E2954"/>
    <w:rsid w:val="008F568D"/>
    <w:rsid w:val="008F6039"/>
    <w:rsid w:val="009036F3"/>
    <w:rsid w:val="00903C84"/>
    <w:rsid w:val="00933C4C"/>
    <w:rsid w:val="00980D7B"/>
    <w:rsid w:val="0099494C"/>
    <w:rsid w:val="009C7540"/>
    <w:rsid w:val="00A8198B"/>
    <w:rsid w:val="00B0480C"/>
    <w:rsid w:val="00B20F4E"/>
    <w:rsid w:val="00B52F5E"/>
    <w:rsid w:val="00B53FE4"/>
    <w:rsid w:val="00B769DA"/>
    <w:rsid w:val="00BA124F"/>
    <w:rsid w:val="00BA63CB"/>
    <w:rsid w:val="00BC4BD3"/>
    <w:rsid w:val="00BE0D14"/>
    <w:rsid w:val="00BF0F51"/>
    <w:rsid w:val="00C3691E"/>
    <w:rsid w:val="00C64681"/>
    <w:rsid w:val="00C74094"/>
    <w:rsid w:val="00C816E6"/>
    <w:rsid w:val="00C91493"/>
    <w:rsid w:val="00D2457E"/>
    <w:rsid w:val="00D25966"/>
    <w:rsid w:val="00D57C93"/>
    <w:rsid w:val="00D61363"/>
    <w:rsid w:val="00D743E1"/>
    <w:rsid w:val="00DC7476"/>
    <w:rsid w:val="00DD309A"/>
    <w:rsid w:val="00E0744B"/>
    <w:rsid w:val="00E24D7E"/>
    <w:rsid w:val="00E4665D"/>
    <w:rsid w:val="00E5169D"/>
    <w:rsid w:val="00E529F8"/>
    <w:rsid w:val="00E85D5D"/>
    <w:rsid w:val="00E93B38"/>
    <w:rsid w:val="00EA2153"/>
    <w:rsid w:val="00EA3512"/>
    <w:rsid w:val="00ED6AD6"/>
    <w:rsid w:val="00EF3557"/>
    <w:rsid w:val="00EF55B4"/>
    <w:rsid w:val="00F221FD"/>
    <w:rsid w:val="00F23C67"/>
    <w:rsid w:val="00F336AA"/>
    <w:rsid w:val="00F4166C"/>
    <w:rsid w:val="00F65DC2"/>
    <w:rsid w:val="00F801F8"/>
    <w:rsid w:val="00F85954"/>
    <w:rsid w:val="00FB7B1E"/>
    <w:rsid w:val="00FC6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E0D14"/>
    <w:pPr>
      <w:tabs>
        <w:tab w:val="center" w:pos="4536"/>
        <w:tab w:val="right" w:pos="9072"/>
      </w:tabs>
      <w:spacing w:line="240" w:lineRule="auto"/>
    </w:pPr>
  </w:style>
  <w:style w:type="character" w:customStyle="1" w:styleId="HeaderChar">
    <w:name w:val="Header Char"/>
    <w:basedOn w:val="DefaultParagraphFont"/>
    <w:link w:val="Header"/>
    <w:uiPriority w:val="99"/>
    <w:rsid w:val="00BE0D14"/>
    <w:rPr>
      <w:rFonts w:ascii="Verdana" w:hAnsi="Verdana"/>
      <w:color w:val="000000"/>
      <w:sz w:val="18"/>
      <w:szCs w:val="18"/>
    </w:rPr>
  </w:style>
  <w:style w:type="paragraph" w:styleId="Footer">
    <w:name w:val="footer"/>
    <w:basedOn w:val="Normal"/>
    <w:link w:val="FooterChar"/>
    <w:uiPriority w:val="99"/>
    <w:unhideWhenUsed/>
    <w:rsid w:val="00BE0D14"/>
    <w:pPr>
      <w:tabs>
        <w:tab w:val="center" w:pos="4536"/>
        <w:tab w:val="right" w:pos="9072"/>
      </w:tabs>
      <w:spacing w:line="240" w:lineRule="auto"/>
    </w:pPr>
  </w:style>
  <w:style w:type="character" w:customStyle="1" w:styleId="FooterChar">
    <w:name w:val="Footer Char"/>
    <w:basedOn w:val="DefaultParagraphFont"/>
    <w:link w:val="Footer"/>
    <w:uiPriority w:val="99"/>
    <w:rsid w:val="00BE0D14"/>
    <w:rPr>
      <w:rFonts w:ascii="Verdana" w:hAnsi="Verdana"/>
      <w:color w:val="000000"/>
      <w:sz w:val="18"/>
      <w:szCs w:val="18"/>
    </w:rPr>
  </w:style>
  <w:style w:type="character" w:styleId="CommentReference">
    <w:name w:val="annotation reference"/>
    <w:basedOn w:val="DefaultParagraphFont"/>
    <w:uiPriority w:val="99"/>
    <w:semiHidden/>
    <w:unhideWhenUsed/>
    <w:rsid w:val="005F7D34"/>
    <w:rPr>
      <w:sz w:val="16"/>
      <w:szCs w:val="16"/>
    </w:rPr>
  </w:style>
  <w:style w:type="paragraph" w:styleId="CommentText">
    <w:name w:val="annotation text"/>
    <w:basedOn w:val="Normal"/>
    <w:link w:val="CommentTextChar"/>
    <w:uiPriority w:val="99"/>
    <w:unhideWhenUsed/>
    <w:rsid w:val="005F7D34"/>
    <w:pPr>
      <w:spacing w:line="240" w:lineRule="auto"/>
    </w:pPr>
    <w:rPr>
      <w:sz w:val="20"/>
      <w:szCs w:val="20"/>
    </w:rPr>
  </w:style>
  <w:style w:type="character" w:customStyle="1" w:styleId="CommentTextChar">
    <w:name w:val="Comment Text Char"/>
    <w:basedOn w:val="DefaultParagraphFont"/>
    <w:link w:val="CommentText"/>
    <w:uiPriority w:val="99"/>
    <w:rsid w:val="005F7D3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F7D34"/>
    <w:rPr>
      <w:b/>
      <w:bCs/>
    </w:rPr>
  </w:style>
  <w:style w:type="character" w:customStyle="1" w:styleId="CommentSubjectChar">
    <w:name w:val="Comment Subject Char"/>
    <w:basedOn w:val="CommentTextChar"/>
    <w:link w:val="CommentSubject"/>
    <w:uiPriority w:val="99"/>
    <w:semiHidden/>
    <w:rsid w:val="005F7D34"/>
    <w:rPr>
      <w:rFonts w:ascii="Verdana" w:hAnsi="Verdana"/>
      <w:b/>
      <w:bCs/>
      <w:color w:val="000000"/>
    </w:rPr>
  </w:style>
  <w:style w:type="paragraph" w:styleId="FootnoteText">
    <w:name w:val="footnote text"/>
    <w:basedOn w:val="Normal"/>
    <w:link w:val="FootnoteTextChar"/>
    <w:uiPriority w:val="99"/>
    <w:semiHidden/>
    <w:unhideWhenUsed/>
    <w:rsid w:val="00E529F8"/>
    <w:pPr>
      <w:spacing w:line="240" w:lineRule="auto"/>
    </w:pPr>
    <w:rPr>
      <w:sz w:val="20"/>
      <w:szCs w:val="20"/>
    </w:rPr>
  </w:style>
  <w:style w:type="character" w:customStyle="1" w:styleId="FootnoteTextChar">
    <w:name w:val="Footnote Text Char"/>
    <w:basedOn w:val="DefaultParagraphFont"/>
    <w:link w:val="FootnoteText"/>
    <w:uiPriority w:val="99"/>
    <w:semiHidden/>
    <w:rsid w:val="00E529F8"/>
    <w:rPr>
      <w:rFonts w:ascii="Verdana" w:hAnsi="Verdana"/>
      <w:color w:val="000000"/>
    </w:rPr>
  </w:style>
  <w:style w:type="character" w:styleId="FootnoteReference">
    <w:name w:val="footnote reference"/>
    <w:basedOn w:val="DefaultParagraphFont"/>
    <w:uiPriority w:val="99"/>
    <w:semiHidden/>
    <w:unhideWhenUsed/>
    <w:rsid w:val="00E529F8"/>
    <w:rPr>
      <w:vertAlign w:val="superscript"/>
    </w:rPr>
  </w:style>
  <w:style w:type="paragraph" w:styleId="ListParagraph">
    <w:name w:val="List Paragraph"/>
    <w:basedOn w:val="Normal"/>
    <w:uiPriority w:val="34"/>
    <w:semiHidden/>
    <w:rsid w:val="00327A63"/>
    <w:pPr>
      <w:ind w:left="720"/>
      <w:contextualSpacing/>
    </w:pPr>
  </w:style>
  <w:style w:type="character" w:customStyle="1" w:styleId="UnresolvedMention">
    <w:name w:val="Unresolved Mention"/>
    <w:basedOn w:val="DefaultParagraphFont"/>
    <w:uiPriority w:val="99"/>
    <w:semiHidden/>
    <w:unhideWhenUsed/>
    <w:rsid w:val="00F23C67"/>
    <w:rPr>
      <w:color w:val="605E5C"/>
      <w:shd w:val="clear" w:color="auto" w:fill="E1DFDD"/>
    </w:rPr>
  </w:style>
  <w:style w:type="paragraph" w:styleId="Revision">
    <w:name w:val="Revision"/>
    <w:hidden/>
    <w:uiPriority w:val="99"/>
    <w:semiHidden/>
    <w:rsid w:val="00E85D5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besluit-beoordeling-methode-extra-heffing-prorail-2026-2029?utm_source=nieuwsbrief&amp;utm_medium=email&amp;arguments_sanitized=%2BLZGkkzgEHLXbA%3D%3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861</ap:Words>
  <ap:Characters>4908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aan Parlement - Tarifering gebruiksvergoeding spoor vanaf 2026</vt:lpstr>
    </vt:vector>
  </ap:TitlesOfParts>
  <ap:LinksUpToDate>false</ap:LinksUpToDate>
  <ap:CharactersWithSpaces>5758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2024-08-29T14:30:00.0000000Z</dcterms:created>
  <dcterms:modified xsi:type="dcterms:W3CDTF">2024-08-29T14:30:00.0000000Z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Tarifering gebruiksvergoeding spoor vanaf 2026</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E.F. Vlieg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