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51D28" w:rsidR="0069463B" w:rsidRDefault="00C402B2" w14:paraId="6C4FA6AB" w14:textId="77777777">
      <w:r w:rsidRPr="00A51D28">
        <w:t>Geachte voorzitter,</w:t>
      </w:r>
    </w:p>
    <w:p w:rsidRPr="00A51D28" w:rsidR="0069463B" w:rsidRDefault="0069463B" w14:paraId="6C4FA6AC" w14:textId="77777777"/>
    <w:p w:rsidRPr="00A51D28" w:rsidR="00C402B2" w:rsidP="00C402B2" w:rsidRDefault="00C402B2" w14:paraId="6DA501F4" w14:textId="5E19255F">
      <w:r w:rsidRPr="00A51D28">
        <w:t>Met deze brief informeren wij uw Kamer over de inzet van het Koninkrijk der Nederlanden voor de 79e zitting van de Algemene Vergadering van de Verenigde Naties (AVVN), waarvan het zittingsjaar loopt van september 2024 tot september 2025. Het verslag over de huidige 78e zitting van de AVVN (september 2023 – heden) is bijgevoegd. De inleidende ministeriële week van de aankomende zitting van de AVVN (de ‘</w:t>
      </w:r>
      <w:r w:rsidRPr="00A51D28">
        <w:rPr>
          <w:i/>
          <w:iCs/>
        </w:rPr>
        <w:t>High-level Week</w:t>
      </w:r>
      <w:r w:rsidRPr="00A51D28">
        <w:t xml:space="preserve">’) vindt plaats van 22 tot en met 27 september. Het Koninkrijk zal een delegatie afvaardigen die naar verwachting bestaat uit de premiers en meerdere ministers van de vier landen van het Koninkrijk. Hare </w:t>
      </w:r>
      <w:r w:rsidR="00214818">
        <w:t>M</w:t>
      </w:r>
      <w:r w:rsidRPr="00A51D28">
        <w:t xml:space="preserve">ajesteit Koningin </w:t>
      </w:r>
      <w:r w:rsidRPr="00A51D28" w:rsidR="0070642D">
        <w:t>Máxima</w:t>
      </w:r>
      <w:r w:rsidRPr="00A51D28">
        <w:t xml:space="preserve"> zal eveneens deelnemen aan de </w:t>
      </w:r>
      <w:r w:rsidRPr="00A51D28">
        <w:rPr>
          <w:i/>
          <w:iCs/>
        </w:rPr>
        <w:t>High-level Week</w:t>
      </w:r>
      <w:r w:rsidRPr="00A51D28">
        <w:t xml:space="preserve"> vanuit haar rol als </w:t>
      </w:r>
      <w:r w:rsidRPr="00A51D28">
        <w:rPr>
          <w:i/>
          <w:iCs/>
        </w:rPr>
        <w:t>UN Secretary-General's Special Advocate for Inclusive Finance for Development (UNSGSA)</w:t>
      </w:r>
      <w:r w:rsidRPr="00A51D28">
        <w:t>.</w:t>
      </w:r>
    </w:p>
    <w:p w:rsidRPr="00A51D28" w:rsidR="00C402B2" w:rsidP="00C402B2" w:rsidRDefault="00C402B2" w14:paraId="0FD51A0E" w14:textId="77777777">
      <w:pPr>
        <w:rPr>
          <w:b/>
          <w:bCs/>
        </w:rPr>
      </w:pPr>
    </w:p>
    <w:p w:rsidRPr="00A51D28" w:rsidR="00C402B2" w:rsidP="00C402B2" w:rsidRDefault="00C402B2" w14:paraId="6E48D45D" w14:textId="53737826">
      <w:pPr>
        <w:rPr>
          <w:b/>
          <w:bCs/>
        </w:rPr>
      </w:pPr>
      <w:r w:rsidRPr="00A51D28">
        <w:rPr>
          <w:b/>
          <w:bCs/>
        </w:rPr>
        <w:t>Mondiale problemen vragen om mondiale oplossingen</w:t>
      </w:r>
    </w:p>
    <w:p w:rsidRPr="009D0AFA" w:rsidR="00C402B2" w:rsidP="00C402B2" w:rsidRDefault="00C402B2" w14:paraId="7B07F52F" w14:textId="10C052E5">
      <w:r w:rsidRPr="00A51D28">
        <w:t xml:space="preserve">De Verenigde </w:t>
      </w:r>
      <w:r w:rsidRPr="009D0AFA">
        <w:t xml:space="preserve">Naties </w:t>
      </w:r>
      <w:r w:rsidRPr="009D0AFA" w:rsidR="00953773">
        <w:t>vormen een mondiaal</w:t>
      </w:r>
      <w:r w:rsidRPr="009D0AFA">
        <w:t xml:space="preserve"> politiek overlegorgaan waarin alle 193 landen van de wereld vertegenwoordigd zijn en een stem hebben. De doelstellingen van de VN zoals vervat in het VN-Handvest blijven van kracht: de gezamenlijke handhaving van de internationale vrede en veiligheid; een wereldorde gebaseerd op rechtvaardigheid en het nakomen van internationaalrechtelijke verplichtingen; en de bevordering van economische en sociale vooruitgang voor iedereen.</w:t>
      </w:r>
    </w:p>
    <w:p w:rsidRPr="009D0AFA" w:rsidR="00C402B2" w:rsidP="00C402B2" w:rsidRDefault="00C402B2" w14:paraId="7B560096" w14:textId="3D38C97F">
      <w:r w:rsidRPr="009D0AFA">
        <w:t xml:space="preserve">De afgelopen decennia hebben </w:t>
      </w:r>
      <w:r w:rsidRPr="009D0AFA" w:rsidR="00953773">
        <w:t>getoond</w:t>
      </w:r>
      <w:r w:rsidRPr="009D0AFA">
        <w:t xml:space="preserve"> dat, alhoewel </w:t>
      </w:r>
      <w:r w:rsidRPr="009D0AFA" w:rsidR="00953773">
        <w:t xml:space="preserve">lang </w:t>
      </w:r>
      <w:r w:rsidRPr="009D0AFA">
        <w:t xml:space="preserve">niet volmaakt, multilateralisme </w:t>
      </w:r>
      <w:r w:rsidRPr="009D0AFA" w:rsidR="0038006D">
        <w:t>van belang is</w:t>
      </w:r>
      <w:r w:rsidRPr="009D0AFA">
        <w:t>, en dat gezamenlijk de grote uitdagingen van onze tijd</w:t>
      </w:r>
      <w:r w:rsidRPr="009D0AFA" w:rsidR="00953773">
        <w:t xml:space="preserve"> kunnen worden</w:t>
      </w:r>
      <w:r w:rsidRPr="009D0AFA">
        <w:t xml:space="preserve"> aangepakt. Zonder de VN als wereldwijd overlegorgaan </w:t>
      </w:r>
      <w:r w:rsidRPr="009D0AFA" w:rsidR="00953773">
        <w:t xml:space="preserve">voor </w:t>
      </w:r>
      <w:r w:rsidRPr="009D0AFA">
        <w:t xml:space="preserve">grensoverschrijdende problematiek waren er geen klimaatakkoorden of ontwapeningsverdragen, geen wereldwijde ontwikkelingsdoelen of internationale gerechtshoven. </w:t>
      </w:r>
    </w:p>
    <w:p w:rsidRPr="009D0AFA" w:rsidR="00C402B2" w:rsidP="00C402B2" w:rsidRDefault="00C402B2" w14:paraId="2D6165B7" w14:textId="30E62EF1">
      <w:r w:rsidRPr="009D0AFA">
        <w:t xml:space="preserve">Het multilaterale bestel </w:t>
      </w:r>
      <w:r w:rsidRPr="009D0AFA" w:rsidR="00953773">
        <w:t>staat echter onder druk</w:t>
      </w:r>
      <w:r w:rsidRPr="009D0AFA">
        <w:t xml:space="preserve">. </w:t>
      </w:r>
      <w:r w:rsidRPr="009D0AFA" w:rsidR="0038006D">
        <w:t>Veel</w:t>
      </w:r>
      <w:r w:rsidRPr="009D0AFA" w:rsidR="00852587">
        <w:t xml:space="preserve"> landen </w:t>
      </w:r>
      <w:r w:rsidRPr="009D0AFA" w:rsidR="009A5253">
        <w:t>vinden</w:t>
      </w:r>
      <w:r w:rsidRPr="009D0AFA" w:rsidR="00852587">
        <w:t xml:space="preserve"> dat het huidige systeem niet goed voor hen werkt.</w:t>
      </w:r>
      <w:r w:rsidRPr="009D0AFA">
        <w:t xml:space="preserve"> De geopolitieke verhoudingen staan</w:t>
      </w:r>
      <w:r w:rsidRPr="009D0AFA" w:rsidR="00953773">
        <w:t xml:space="preserve"> op scherp, mede </w:t>
      </w:r>
      <w:r w:rsidRPr="009D0AFA">
        <w:t xml:space="preserve">door de illegale Russische oorlog in Oekraïne en de terroristische aanslag van Hamas op Israël op 7 oktober 2023 en </w:t>
      </w:r>
      <w:r w:rsidRPr="009D0AFA" w:rsidR="0073103C">
        <w:t xml:space="preserve">de </w:t>
      </w:r>
      <w:r w:rsidRPr="009D0AFA" w:rsidR="00C13972">
        <w:t>geweldsspiraal</w:t>
      </w:r>
      <w:r w:rsidRPr="009D0AFA" w:rsidR="00CC29FD">
        <w:t xml:space="preserve"> </w:t>
      </w:r>
      <w:r w:rsidRPr="009D0AFA" w:rsidR="00002046">
        <w:t>tussen</w:t>
      </w:r>
      <w:r w:rsidRPr="009D0AFA">
        <w:t xml:space="preserve"> Israël</w:t>
      </w:r>
      <w:r w:rsidRPr="009D0AFA" w:rsidR="00002046">
        <w:t xml:space="preserve"> en Hamas</w:t>
      </w:r>
      <w:r w:rsidRPr="009D0AFA">
        <w:t xml:space="preserve"> </w:t>
      </w:r>
      <w:r w:rsidRPr="009D0AFA" w:rsidR="00CC29FD">
        <w:t xml:space="preserve">die </w:t>
      </w:r>
      <w:r w:rsidRPr="009D0AFA" w:rsidR="005D1A60">
        <w:t xml:space="preserve">daarmee </w:t>
      </w:r>
      <w:r w:rsidRPr="009D0AFA">
        <w:t>lo</w:t>
      </w:r>
      <w:r w:rsidRPr="006801F8">
        <w:t>sbarstt</w:t>
      </w:r>
      <w:r w:rsidR="009D0AFA">
        <w:t>e</w:t>
      </w:r>
      <w:r w:rsidRPr="008178DD">
        <w:t xml:space="preserve">. </w:t>
      </w:r>
      <w:r w:rsidRPr="006801F8">
        <w:t xml:space="preserve">Geopolitieke breuklijnen werken door in de VN en brengen ook andere mondiale grieven sterker voor het voetlicht. </w:t>
      </w:r>
      <w:r w:rsidRPr="009D0AFA" w:rsidR="008178DD">
        <w:t xml:space="preserve">Voortdurende ongelijkheid, zoals via </w:t>
      </w:r>
      <w:r w:rsidRPr="009D0AFA">
        <w:t>stijgende schuldenproblematiek</w:t>
      </w:r>
      <w:r w:rsidRPr="009D0AFA" w:rsidR="008A461C">
        <w:t>,</w:t>
      </w:r>
      <w:r w:rsidRPr="009D0AFA">
        <w:t xml:space="preserve"> </w:t>
      </w:r>
      <w:r w:rsidRPr="009D0AFA" w:rsidR="008178DD">
        <w:t xml:space="preserve">heeft </w:t>
      </w:r>
      <w:r w:rsidRPr="009D0AFA" w:rsidR="008178DD">
        <w:lastRenderedPageBreak/>
        <w:t>gevolgen voor het</w:t>
      </w:r>
      <w:r w:rsidRPr="009D0AFA">
        <w:t xml:space="preserve"> vertrouwen</w:t>
      </w:r>
      <w:r w:rsidRPr="006801F8">
        <w:t xml:space="preserve"> tussen welvarende landen en ontwikkelende landen</w:t>
      </w:r>
      <w:r w:rsidRPr="00905CAB">
        <w:t>.</w:t>
      </w:r>
      <w:r w:rsidRPr="006801F8">
        <w:t xml:space="preserve"> </w:t>
      </w:r>
      <w:r w:rsidRPr="009D0AFA">
        <w:t>De soms conflicterende opvattingen over de invulling van mensenrechten en democratie spelen een rol</w:t>
      </w:r>
      <w:r w:rsidR="00D91855">
        <w:t xml:space="preserve">, </w:t>
      </w:r>
      <w:r w:rsidRPr="0082125B" w:rsidR="00D91855">
        <w:t xml:space="preserve">en diverse landen, waaronder Venezuela, </w:t>
      </w:r>
      <w:r w:rsidRPr="0082125B" w:rsidR="00DD70F8">
        <w:t xml:space="preserve">worden gekenmerkt door aanhoudende </w:t>
      </w:r>
      <w:r w:rsidRPr="0082125B" w:rsidR="00D91855">
        <w:t>instabiliteit</w:t>
      </w:r>
      <w:r w:rsidRPr="0082125B">
        <w:t>.</w:t>
      </w:r>
      <w:r w:rsidRPr="009D0AFA">
        <w:t xml:space="preserve"> Veel landen in het mondiale Zuiden voelen zich niet gehoord en kijken niet zelden naar landen als China of samenwerkingsverbanden als de BRICS als tegenwicht tegen de, in hun ogen, door het Westen gedomineerde wereldorde. Dit alles heeft zijn weerslag op het multilaterale stelsel en zorgt voor een ongemakkelijke paradox: terwijl in dit uitdagende tijdsgewricht mondiale multilaterale samenwerking nodig </w:t>
      </w:r>
      <w:r w:rsidRPr="009D0AFA" w:rsidR="0073103C">
        <w:t>blijft</w:t>
      </w:r>
      <w:r w:rsidRPr="009D0AFA">
        <w:t xml:space="preserve">, is het steeds moeilijker om mondiaal </w:t>
      </w:r>
      <w:r w:rsidRPr="009D0AFA" w:rsidR="0038006D">
        <w:t>te kunnen samenwerken.</w:t>
      </w:r>
      <w:r w:rsidRPr="009D0AFA">
        <w:t xml:space="preserve"> </w:t>
      </w:r>
    </w:p>
    <w:p w:rsidRPr="00A51D28" w:rsidR="00C402B2" w:rsidP="00C402B2" w:rsidRDefault="00C402B2" w14:paraId="0C87F4A0" w14:textId="7307E7B9">
      <w:r w:rsidRPr="009D0AFA">
        <w:t>Het is van belang dat lidstaten gedurende de komende zitting van de AVVN investeren in het dichten van de vertrouwenskloof</w:t>
      </w:r>
      <w:r w:rsidRPr="009D0AFA" w:rsidR="0038006D">
        <w:t xml:space="preserve">. </w:t>
      </w:r>
      <w:r w:rsidRPr="009D0AFA">
        <w:t>Enerzijds zijn daartoe constructieve dialoog en hervormingen noodzakelijk,</w:t>
      </w:r>
      <w:r w:rsidRPr="009D0AFA" w:rsidR="009D0AFA">
        <w:t xml:space="preserve"> </w:t>
      </w:r>
      <w:r w:rsidRPr="009D0AFA">
        <w:t xml:space="preserve">anderzijds moeten de basisbeginselen van het stelsel </w:t>
      </w:r>
      <w:r w:rsidRPr="009D0AFA" w:rsidR="00905CAB">
        <w:t xml:space="preserve">worden </w:t>
      </w:r>
      <w:r w:rsidRPr="009D0AFA">
        <w:t>beschermd tegen ondermijning en het ontmantelen van be</w:t>
      </w:r>
      <w:r w:rsidRPr="009D0AFA" w:rsidR="00BC11B9">
        <w:t>staande</w:t>
      </w:r>
      <w:r w:rsidRPr="009D0AFA">
        <w:t xml:space="preserve"> rechten.</w:t>
      </w:r>
      <w:r w:rsidRPr="009D0AFA" w:rsidR="00905CAB">
        <w:t xml:space="preserve"> Het is zaak dat</w:t>
      </w:r>
      <w:r w:rsidRPr="009D0AFA">
        <w:t xml:space="preserve"> VN-lidstaten die staan voor het behoud van de internationale rechtsorde, zoals het Koninkrijk</w:t>
      </w:r>
      <w:r w:rsidRPr="00A51D28">
        <w:t xml:space="preserve">, een actieve rol </w:t>
      </w:r>
      <w:r w:rsidRPr="0082125B" w:rsidR="00035E44">
        <w:t xml:space="preserve">blijven </w:t>
      </w:r>
      <w:r w:rsidRPr="0082125B">
        <w:t>spelen</w:t>
      </w:r>
      <w:r w:rsidRPr="00A51D28">
        <w:t>.</w:t>
      </w:r>
    </w:p>
    <w:p w:rsidRPr="00A51D28" w:rsidR="00C402B2" w:rsidP="00C402B2" w:rsidRDefault="00C402B2" w14:paraId="6EDDF100" w14:textId="77777777">
      <w:pPr>
        <w:rPr>
          <w:b/>
          <w:bCs/>
        </w:rPr>
      </w:pPr>
    </w:p>
    <w:p w:rsidRPr="00A51D28" w:rsidR="00C402B2" w:rsidP="00C402B2" w:rsidRDefault="00C402B2" w14:paraId="56C05B1E" w14:textId="11D68CA3">
      <w:pPr>
        <w:rPr>
          <w:b/>
          <w:bCs/>
        </w:rPr>
      </w:pPr>
      <w:r w:rsidRPr="00A51D28">
        <w:rPr>
          <w:b/>
          <w:bCs/>
        </w:rPr>
        <w:t>Inzet Koninkrijk der Nederlanden</w:t>
      </w:r>
    </w:p>
    <w:p w:rsidRPr="00A51D28" w:rsidR="00C402B2" w:rsidP="00C402B2" w:rsidRDefault="00C402B2" w14:paraId="2C746232" w14:textId="6D127D46">
      <w:r w:rsidRPr="00A51D28">
        <w:t xml:space="preserve">Voor de VN is het Koninkrijk </w:t>
      </w:r>
      <w:r w:rsidR="009D0AFA">
        <w:t>een gewaardeerde</w:t>
      </w:r>
      <w:r w:rsidRPr="00A51D28">
        <w:t xml:space="preserve"> partner voor vrede en veiligheid (</w:t>
      </w:r>
      <w:r w:rsidRPr="00A51D28">
        <w:rPr>
          <w:i/>
          <w:iCs/>
        </w:rPr>
        <w:t xml:space="preserve">peacebuilding </w:t>
      </w:r>
      <w:r w:rsidRPr="00A51D28">
        <w:t xml:space="preserve">en </w:t>
      </w:r>
      <w:r w:rsidRPr="00A51D28">
        <w:rPr>
          <w:i/>
          <w:iCs/>
        </w:rPr>
        <w:t>peacekeeping</w:t>
      </w:r>
      <w:r w:rsidRPr="00A51D28">
        <w:t xml:space="preserve">), voor </w:t>
      </w:r>
      <w:r w:rsidRPr="00A51D28" w:rsidR="00852587">
        <w:t xml:space="preserve">de </w:t>
      </w:r>
      <w:r w:rsidRPr="00A51D28">
        <w:t xml:space="preserve">internationale rechtsorde (van ons gastlandschap </w:t>
      </w:r>
      <w:r w:rsidRPr="006801F8">
        <w:t xml:space="preserve">voor hoven en tribunalen tot de inzet op </w:t>
      </w:r>
      <w:r w:rsidRPr="006801F8">
        <w:rPr>
          <w:i/>
          <w:iCs/>
        </w:rPr>
        <w:t xml:space="preserve">accountability </w:t>
      </w:r>
      <w:r w:rsidRPr="006801F8">
        <w:t>voor Oekraïne), mensenrechten en democratie (zoals ons lidmaatschap van de Mensenrechtenraad), en voor</w:t>
      </w:r>
      <w:r w:rsidRPr="00905CAB">
        <w:t xml:space="preserve"> </w:t>
      </w:r>
      <w:r w:rsidRPr="006801F8">
        <w:t xml:space="preserve">economische en sociale vooruitgang. Voor het Koninkrijk is </w:t>
      </w:r>
      <w:r w:rsidRPr="009D0AFA">
        <w:t xml:space="preserve">de VN een </w:t>
      </w:r>
      <w:r w:rsidRPr="009D0AFA" w:rsidR="00905CAB">
        <w:t>relevant speelveld voor</w:t>
      </w:r>
      <w:r w:rsidRPr="006801F8">
        <w:t xml:space="preserve"> </w:t>
      </w:r>
      <w:r w:rsidRPr="006801F8" w:rsidR="00E73D83">
        <w:t xml:space="preserve">het </w:t>
      </w:r>
      <w:r w:rsidRPr="006801F8">
        <w:t xml:space="preserve">buitenlands beleid gericht op het beschermen en versterken van onze </w:t>
      </w:r>
      <w:r w:rsidR="009D0AFA">
        <w:t>belangen en beleids</w:t>
      </w:r>
      <w:r w:rsidRPr="006801F8">
        <w:t>positie in een snel veranderende wereld</w:t>
      </w:r>
      <w:r w:rsidRPr="006801F8" w:rsidR="00E73D83">
        <w:t xml:space="preserve">, niet in de laatste plaats omdat de VN door de meeste landen in de wereld </w:t>
      </w:r>
      <w:r w:rsidRPr="006801F8" w:rsidR="00CC29FD">
        <w:t xml:space="preserve">wordt </w:t>
      </w:r>
      <w:r w:rsidRPr="006801F8" w:rsidR="00E73D83">
        <w:t>gezien als het belangrijkste diplomatieke forum</w:t>
      </w:r>
      <w:r w:rsidRPr="006801F8">
        <w:t>.</w:t>
      </w:r>
      <w:r w:rsidRPr="00A51D28">
        <w:t xml:space="preserve"> Dit welbegrepen eigenbelang is de kern van onze inzet in de VN. </w:t>
      </w:r>
    </w:p>
    <w:p w:rsidRPr="00A51D28" w:rsidR="00C402B2" w:rsidP="00201D37" w:rsidRDefault="00C402B2" w14:paraId="07E7D8E8" w14:textId="77777777">
      <w:pPr>
        <w:spacing w:line="240" w:lineRule="auto"/>
      </w:pPr>
      <w:r w:rsidRPr="00A51D28">
        <w:t>De inzet van het Koninkrijk in de 79</w:t>
      </w:r>
      <w:r w:rsidRPr="00A51D28">
        <w:rPr>
          <w:vertAlign w:val="superscript"/>
        </w:rPr>
        <w:t>ste</w:t>
      </w:r>
      <w:r w:rsidRPr="00A51D28">
        <w:t xml:space="preserve"> zitting van de AVVN zal concreet gericht zijn op zowel het versterken en hervormen van het op regels gebaseerde multilateraal stelsel, als het beschermen van de fundamentele normen, waarden en principes, zoals ook verwoord in het Handvest van de VN. De </w:t>
      </w:r>
      <w:r w:rsidRPr="00A51D28">
        <w:rPr>
          <w:i/>
          <w:iCs/>
        </w:rPr>
        <w:t>Summit of the Future</w:t>
      </w:r>
      <w:r w:rsidRPr="00A51D28">
        <w:t xml:space="preserve">, die plaats zal vinden voorafgaand aan de High-level Week en gericht is op het toekomstbestendig en </w:t>
      </w:r>
      <w:r w:rsidRPr="00A51D28">
        <w:rPr>
          <w:i/>
          <w:iCs/>
        </w:rPr>
        <w:t>fit-for-purpose</w:t>
      </w:r>
      <w:r w:rsidRPr="00A51D28">
        <w:t xml:space="preserve"> maken van de VN, biedt hiervoor duidelijke kansen. </w:t>
      </w:r>
    </w:p>
    <w:p w:rsidRPr="00A51D28" w:rsidR="00201D37" w:rsidP="00201D37" w:rsidRDefault="00201D37" w14:paraId="2315AF71" w14:textId="77777777">
      <w:pPr>
        <w:spacing w:line="240" w:lineRule="auto"/>
      </w:pPr>
    </w:p>
    <w:p w:rsidRPr="00A51D28" w:rsidR="00C402B2" w:rsidP="00C402B2" w:rsidRDefault="00C402B2" w14:paraId="6478ED5B" w14:textId="77777777">
      <w:r w:rsidRPr="00A51D28">
        <w:t>De uitgangspunten van de inzet zijn als volgt:</w:t>
      </w:r>
    </w:p>
    <w:p w:rsidRPr="00A51D28" w:rsidR="00C402B2" w:rsidP="00C402B2" w:rsidRDefault="00C402B2" w14:paraId="0E36BB4A" w14:textId="77971787">
      <w:pPr>
        <w:pStyle w:val="ListParagraph"/>
        <w:numPr>
          <w:ilvl w:val="0"/>
          <w:numId w:val="6"/>
        </w:numPr>
        <w:rPr>
          <w:rFonts w:ascii="Verdana" w:hAnsi="Verdana" w:eastAsia="DejaVu Sans" w:cs="Lohit Hindi"/>
          <w:color w:val="000000"/>
          <w:sz w:val="18"/>
          <w:szCs w:val="18"/>
          <w:lang w:eastAsia="nl-NL"/>
        </w:rPr>
      </w:pPr>
      <w:r w:rsidRPr="00A51D28">
        <w:rPr>
          <w:rFonts w:ascii="Verdana" w:hAnsi="Verdana" w:eastAsia="DejaVu Sans" w:cs="Lohit Hindi"/>
          <w:color w:val="000000"/>
          <w:sz w:val="18"/>
          <w:szCs w:val="18"/>
          <w:lang w:eastAsia="nl-NL"/>
        </w:rPr>
        <w:t xml:space="preserve">Een </w:t>
      </w:r>
      <w:r w:rsidRPr="006801F8">
        <w:rPr>
          <w:rFonts w:ascii="Verdana" w:hAnsi="Verdana" w:eastAsia="DejaVu Sans" w:cs="Lohit Hindi"/>
          <w:color w:val="000000"/>
          <w:sz w:val="18"/>
          <w:szCs w:val="18"/>
          <w:lang w:eastAsia="nl-NL"/>
        </w:rPr>
        <w:t xml:space="preserve">goed functionerend en effectief, op internationaalrechtelijke verplichtingen gebaseerd </w:t>
      </w:r>
      <w:r w:rsidRPr="006801F8" w:rsidR="00CC29FD">
        <w:rPr>
          <w:rFonts w:ascii="Verdana" w:hAnsi="Verdana" w:eastAsia="DejaVu Sans" w:cs="Lohit Hindi"/>
          <w:color w:val="000000"/>
          <w:sz w:val="18"/>
          <w:szCs w:val="18"/>
          <w:lang w:eastAsia="nl-NL"/>
        </w:rPr>
        <w:t xml:space="preserve">multilateraal </w:t>
      </w:r>
      <w:r w:rsidRPr="006801F8">
        <w:rPr>
          <w:rFonts w:ascii="Verdana" w:hAnsi="Verdana" w:eastAsia="DejaVu Sans" w:cs="Lohit Hindi"/>
          <w:color w:val="000000"/>
          <w:sz w:val="18"/>
          <w:szCs w:val="18"/>
          <w:lang w:eastAsia="nl-NL"/>
        </w:rPr>
        <w:t>stelsel is van belang voor het Koninkrijk met zijn open economie, democratie en rech</w:t>
      </w:r>
      <w:r w:rsidRPr="00A51D28">
        <w:rPr>
          <w:rFonts w:ascii="Verdana" w:hAnsi="Verdana" w:eastAsia="DejaVu Sans" w:cs="Lohit Hindi"/>
          <w:color w:val="000000"/>
          <w:sz w:val="18"/>
          <w:szCs w:val="18"/>
          <w:lang w:eastAsia="nl-NL"/>
        </w:rPr>
        <w:t>tsstaat;</w:t>
      </w:r>
    </w:p>
    <w:p w:rsidRPr="00A51D28" w:rsidR="00C402B2" w:rsidP="00C402B2" w:rsidRDefault="00C402B2" w14:paraId="64BBC9B1" w14:textId="2A0B44C6">
      <w:pPr>
        <w:pStyle w:val="ListParagraph"/>
        <w:numPr>
          <w:ilvl w:val="0"/>
          <w:numId w:val="6"/>
        </w:numPr>
        <w:rPr>
          <w:rFonts w:ascii="Verdana" w:hAnsi="Verdana" w:eastAsia="DejaVu Sans" w:cs="Lohit Hindi"/>
          <w:color w:val="000000"/>
          <w:sz w:val="18"/>
          <w:szCs w:val="18"/>
          <w:lang w:eastAsia="nl-NL"/>
        </w:rPr>
      </w:pPr>
      <w:r w:rsidRPr="00A51D28">
        <w:rPr>
          <w:rFonts w:ascii="Verdana" w:hAnsi="Verdana" w:eastAsia="DejaVu Sans" w:cs="Lohit Hindi"/>
          <w:color w:val="000000"/>
          <w:sz w:val="18"/>
          <w:szCs w:val="18"/>
          <w:lang w:eastAsia="nl-NL"/>
        </w:rPr>
        <w:t>De veiligheid en welvaart van het Koninkrijk</w:t>
      </w:r>
      <w:r w:rsidR="00035E44">
        <w:rPr>
          <w:rFonts w:ascii="Verdana" w:hAnsi="Verdana" w:eastAsia="DejaVu Sans" w:cs="Lohit Hindi"/>
          <w:color w:val="000000"/>
          <w:sz w:val="18"/>
          <w:szCs w:val="18"/>
          <w:lang w:eastAsia="nl-NL"/>
        </w:rPr>
        <w:t xml:space="preserve"> </w:t>
      </w:r>
      <w:r w:rsidRPr="0082125B" w:rsidR="00035E44">
        <w:rPr>
          <w:rFonts w:ascii="Verdana" w:hAnsi="Verdana" w:eastAsia="DejaVu Sans" w:cs="Lohit Hindi"/>
          <w:color w:val="000000"/>
          <w:sz w:val="18"/>
          <w:szCs w:val="18"/>
          <w:lang w:eastAsia="nl-NL"/>
        </w:rPr>
        <w:t>in zijn geheel</w:t>
      </w:r>
      <w:r w:rsidRPr="00A51D28">
        <w:rPr>
          <w:rFonts w:ascii="Verdana" w:hAnsi="Verdana" w:eastAsia="DejaVu Sans" w:cs="Lohit Hindi"/>
          <w:color w:val="000000"/>
          <w:sz w:val="18"/>
          <w:szCs w:val="18"/>
          <w:lang w:eastAsia="nl-NL"/>
        </w:rPr>
        <w:t xml:space="preserve"> en de mogelijkheid tot persoonlijke ontplooiing van onze ingezetenen zijn rechtstreeks afhankelijk van de veiligheid en welvaart van andere landen. De EU en de NAVO alleen kunnen een wereldwijd op regels gebaseerd multilateraal stelsel niet vervangen; </w:t>
      </w:r>
    </w:p>
    <w:p w:rsidRPr="00A51D28" w:rsidR="00C402B2" w:rsidP="00C402B2" w:rsidRDefault="00C402B2" w14:paraId="133573E7" w14:textId="77777777">
      <w:pPr>
        <w:pStyle w:val="ListParagraph"/>
        <w:numPr>
          <w:ilvl w:val="0"/>
          <w:numId w:val="6"/>
        </w:numPr>
        <w:rPr>
          <w:rFonts w:ascii="Verdana" w:hAnsi="Verdana" w:eastAsia="DejaVu Sans" w:cs="Lohit Hindi"/>
          <w:color w:val="000000"/>
          <w:sz w:val="18"/>
          <w:szCs w:val="18"/>
          <w:lang w:eastAsia="nl-NL"/>
        </w:rPr>
      </w:pPr>
      <w:r w:rsidRPr="00A51D28">
        <w:rPr>
          <w:rFonts w:ascii="Verdana" w:hAnsi="Verdana" w:eastAsia="DejaVu Sans" w:cs="Lohit Hindi"/>
          <w:color w:val="000000"/>
          <w:sz w:val="18"/>
          <w:szCs w:val="18"/>
          <w:lang w:eastAsia="nl-NL"/>
        </w:rPr>
        <w:t>Het Koninkrijk heeft daarom baat bij een sterke VN en de internationale financiële instellingen als platform voor het aanpakken van internationale en grensoverschrijdende uitdagingen, ondanks de soms grote verschillen tussen landen binnen deze organisaties;</w:t>
      </w:r>
    </w:p>
    <w:p w:rsidR="00035E44" w:rsidP="00953773" w:rsidRDefault="00C402B2" w14:paraId="0450DF91" w14:textId="71730EF1">
      <w:pPr>
        <w:pStyle w:val="ListParagraph"/>
        <w:numPr>
          <w:ilvl w:val="0"/>
          <w:numId w:val="6"/>
        </w:numPr>
        <w:rPr>
          <w:rFonts w:ascii="Verdana" w:hAnsi="Verdana" w:eastAsia="DejaVu Sans" w:cs="Lohit Hindi"/>
          <w:color w:val="000000"/>
          <w:sz w:val="18"/>
          <w:szCs w:val="18"/>
          <w:lang w:eastAsia="nl-NL"/>
        </w:rPr>
      </w:pPr>
      <w:r w:rsidRPr="00A51D28">
        <w:rPr>
          <w:rFonts w:ascii="Verdana" w:hAnsi="Verdana" w:eastAsia="DejaVu Sans" w:cs="Lohit Hindi"/>
          <w:color w:val="000000"/>
          <w:sz w:val="18"/>
          <w:szCs w:val="18"/>
          <w:lang w:eastAsia="nl-NL"/>
        </w:rPr>
        <w:t>Mede in het licht van de discussie over de dubbele standaarden, is het van belang dat een “wij/zij”-dynamiek tussen “het westen” en “het mondiale zuiden” niet de overhand krijgt. Als dat gebeurt, wordt het lastiger om de belangen van het Koninkrijk goed te behartige</w:t>
      </w:r>
      <w:r w:rsidRPr="0082125B">
        <w:rPr>
          <w:rFonts w:ascii="Verdana" w:hAnsi="Verdana" w:eastAsia="DejaVu Sans" w:cs="Lohit Hindi"/>
          <w:color w:val="000000"/>
          <w:sz w:val="18"/>
          <w:szCs w:val="18"/>
          <w:lang w:eastAsia="nl-NL"/>
        </w:rPr>
        <w:t>n</w:t>
      </w:r>
      <w:r w:rsidRPr="0082125B" w:rsidR="00035E44">
        <w:rPr>
          <w:rFonts w:ascii="Verdana" w:hAnsi="Verdana" w:eastAsia="DejaVu Sans" w:cs="Lohit Hindi"/>
          <w:color w:val="000000"/>
          <w:sz w:val="18"/>
          <w:szCs w:val="18"/>
          <w:lang w:eastAsia="nl-NL"/>
        </w:rPr>
        <w:t>;</w:t>
      </w:r>
      <w:r w:rsidRPr="00035E44">
        <w:rPr>
          <w:rFonts w:ascii="Verdana" w:hAnsi="Verdana" w:eastAsia="DejaVu Sans" w:cs="Lohit Hindi"/>
          <w:color w:val="000000"/>
          <w:sz w:val="18"/>
          <w:szCs w:val="18"/>
          <w:lang w:eastAsia="nl-NL"/>
        </w:rPr>
        <w:t xml:space="preserve"> </w:t>
      </w:r>
    </w:p>
    <w:p w:rsidRPr="00CC4F6F" w:rsidR="00C402B2" w:rsidP="00953773" w:rsidRDefault="00035E44" w14:paraId="5C780699" w14:textId="46FB5EAB">
      <w:pPr>
        <w:pStyle w:val="ListParagraph"/>
        <w:numPr>
          <w:ilvl w:val="0"/>
          <w:numId w:val="6"/>
        </w:numPr>
        <w:rPr>
          <w:rFonts w:ascii="Verdana" w:hAnsi="Verdana" w:eastAsia="DejaVu Sans" w:cs="Lohit Hindi"/>
          <w:color w:val="000000"/>
          <w:sz w:val="18"/>
          <w:szCs w:val="18"/>
          <w:lang w:eastAsia="nl-NL"/>
        </w:rPr>
      </w:pPr>
      <w:r w:rsidRPr="0082125B">
        <w:rPr>
          <w:rFonts w:ascii="Verdana" w:hAnsi="Verdana" w:eastAsia="DejaVu Sans" w:cs="Lohit Hindi"/>
          <w:color w:val="000000"/>
          <w:sz w:val="18"/>
          <w:szCs w:val="18"/>
          <w:lang w:eastAsia="nl-NL"/>
        </w:rPr>
        <w:lastRenderedPageBreak/>
        <w:t xml:space="preserve">Het Koninkrijk, waaronder Aruba, Curaçao en Sint Maarten, zet zich in voor de uitdagingen en de kwetsbaarheden waarmee </w:t>
      </w:r>
      <w:r w:rsidRPr="0082125B">
        <w:rPr>
          <w:rFonts w:ascii="Verdana" w:hAnsi="Verdana" w:eastAsia="DejaVu Sans" w:cs="Lohit Hindi"/>
          <w:i/>
          <w:iCs/>
          <w:color w:val="000000"/>
          <w:sz w:val="18"/>
          <w:szCs w:val="18"/>
          <w:lang w:eastAsia="nl-NL"/>
        </w:rPr>
        <w:t>Small Island Developing States (SIDS)</w:t>
      </w:r>
      <w:r w:rsidRPr="0082125B">
        <w:rPr>
          <w:rFonts w:ascii="Verdana" w:hAnsi="Verdana" w:eastAsia="DejaVu Sans" w:cs="Lohit Hindi"/>
          <w:color w:val="000000"/>
          <w:sz w:val="18"/>
          <w:szCs w:val="18"/>
          <w:lang w:eastAsia="nl-NL"/>
        </w:rPr>
        <w:t xml:space="preserve"> te kampen hebben, waaronder klimaatverandering, financiële instabiliteit en de behoefte aan hervormingen in de mondiale financiële infrastructuur.</w:t>
      </w:r>
      <w:r w:rsidRPr="00CC4F6F">
        <w:rPr>
          <w:rFonts w:ascii="Verdana" w:hAnsi="Verdana" w:eastAsia="DejaVu Sans" w:cs="Lohit Hindi"/>
          <w:color w:val="000000"/>
          <w:sz w:val="18"/>
          <w:szCs w:val="18"/>
          <w:lang w:eastAsia="nl-NL"/>
        </w:rPr>
        <w:t xml:space="preserve"> </w:t>
      </w:r>
      <w:r w:rsidRPr="00CC4F6F" w:rsidR="00C402B2">
        <w:rPr>
          <w:rFonts w:ascii="Verdana" w:hAnsi="Verdana" w:eastAsia="DejaVu Sans" w:cs="Lohit Hindi"/>
          <w:color w:val="000000"/>
          <w:sz w:val="18"/>
          <w:szCs w:val="18"/>
          <w:lang w:eastAsia="nl-NL"/>
        </w:rPr>
        <w:br/>
      </w:r>
    </w:p>
    <w:p w:rsidRPr="006801F8" w:rsidR="00C402B2" w:rsidP="00C402B2" w:rsidRDefault="00C402B2" w14:paraId="03A20D41" w14:textId="00060547">
      <w:r w:rsidRPr="006801F8">
        <w:t xml:space="preserve">Deze inzet vloeit voort uit het beleid en de doelen zoals neergelegd in </w:t>
      </w:r>
      <w:r w:rsidRPr="006801F8" w:rsidR="00CC29FD">
        <w:t>diverse beleidskaders en -nota’s van vorige kabinet</w:t>
      </w:r>
      <w:r w:rsidRPr="006801F8" w:rsidR="00C13972">
        <w:t>ten</w:t>
      </w:r>
      <w:r w:rsidRPr="006801F8" w:rsidR="00CC29FD">
        <w:rPr>
          <w:rStyle w:val="FootnoteReference"/>
        </w:rPr>
        <w:footnoteReference w:id="2"/>
      </w:r>
      <w:r w:rsidRPr="006801F8" w:rsidR="00CC29FD">
        <w:t xml:space="preserve"> en het hoofdlijnenakkoord</w:t>
      </w:r>
      <w:r w:rsidRPr="006801F8" w:rsidR="00C13972">
        <w:t xml:space="preserve"> van het huidige kabinet.</w:t>
      </w:r>
      <w:r w:rsidRPr="006801F8" w:rsidR="00A579BD">
        <w:t xml:space="preserve"> </w:t>
      </w:r>
    </w:p>
    <w:p w:rsidRPr="006801F8" w:rsidR="00C402B2" w:rsidP="00C402B2" w:rsidRDefault="00C402B2" w14:paraId="4F191F67" w14:textId="77777777">
      <w:pPr>
        <w:rPr>
          <w:b/>
          <w:bCs/>
        </w:rPr>
      </w:pPr>
    </w:p>
    <w:p w:rsidRPr="006801F8" w:rsidR="00C402B2" w:rsidP="00C402B2" w:rsidRDefault="00C402B2" w14:paraId="7AE318C7" w14:textId="64092D3B">
      <w:pPr>
        <w:rPr>
          <w:b/>
          <w:bCs/>
        </w:rPr>
      </w:pPr>
      <w:r w:rsidRPr="006801F8">
        <w:rPr>
          <w:b/>
          <w:bCs/>
        </w:rPr>
        <w:t>Versterkt Multilateralisme</w:t>
      </w:r>
    </w:p>
    <w:p w:rsidRPr="006801F8" w:rsidR="00C402B2" w:rsidP="00C402B2" w:rsidRDefault="0003620C" w14:paraId="753A83E6" w14:textId="0B0D8A6F">
      <w:r w:rsidRPr="006801F8">
        <w:t xml:space="preserve">Een </w:t>
      </w:r>
      <w:r w:rsidRPr="006801F8" w:rsidR="00C402B2">
        <w:t xml:space="preserve">effectief multilateraal stelsel – waarin op regels gebaseerde multilaterale instituties stevig verankerd blijven en brede legitimiteit genieten – </w:t>
      </w:r>
      <w:r w:rsidRPr="006801F8">
        <w:t xml:space="preserve">vormt </w:t>
      </w:r>
      <w:r w:rsidRPr="006801F8" w:rsidR="00C402B2">
        <w:t xml:space="preserve">een kernbelang van het Koninkrijk. De strategische aanpak van het Koninkrijk voor het bereiken van een inclusief en effectief multilateraal stelsel is gestoeld op drie pijlers: beschermen (van de fundamentele beginselen van het stelsel), versterken (van de positie van het Koninkrijk en de EU binnen het stelsel) en hervormen (om het multilaterale stelsel </w:t>
      </w:r>
      <w:r w:rsidRPr="006801F8" w:rsidR="00C402B2">
        <w:rPr>
          <w:i/>
          <w:iCs/>
        </w:rPr>
        <w:t>fit-for-purpose</w:t>
      </w:r>
      <w:r w:rsidRPr="006801F8" w:rsidR="00C402B2">
        <w:t xml:space="preserve"> te maken). </w:t>
      </w:r>
    </w:p>
    <w:p w:rsidRPr="00A51D28" w:rsidR="00C402B2" w:rsidP="00C402B2" w:rsidRDefault="00C402B2" w14:paraId="60E30743" w14:textId="0C2B329C">
      <w:r w:rsidRPr="006801F8">
        <w:t xml:space="preserve">In het kader van de eerste pijler </w:t>
      </w:r>
      <w:r w:rsidRPr="006801F8">
        <w:rPr>
          <w:i/>
          <w:iCs/>
        </w:rPr>
        <w:t>beschermen</w:t>
      </w:r>
      <w:r w:rsidRPr="006801F8">
        <w:t xml:space="preserve"> bied</w:t>
      </w:r>
      <w:r w:rsidRPr="00A51D28">
        <w:t xml:space="preserve">t het Koninkrijk, met zo breed mogelijke coalities, actief weerstand aan schending en uitholling van fundamentele rechtsnormen, zoals het in het VN-Handvest neergelegde geweldverbod. Daarnaast zet het Koninkrijk zich in voor het beschermen van bestaande afspraken en verworvenheden, het tegengaan van autocratische invloeden en het bewaken van de voorwaarden voor effectieve internationale samenwerking. </w:t>
      </w:r>
      <w:r w:rsidRPr="006801F8">
        <w:t xml:space="preserve">Ter bescherming en ondersteuning van de collectieve en nationale belangen wil het Koninkrijk ook </w:t>
      </w:r>
      <w:r w:rsidRPr="00953773">
        <w:t>een betrouwbare partner voor</w:t>
      </w:r>
      <w:r w:rsidRPr="006801F8">
        <w:t xml:space="preserve"> de VN blijven.</w:t>
      </w:r>
      <w:r w:rsidRPr="00A51D28">
        <w:t xml:space="preserve"> </w:t>
      </w:r>
    </w:p>
    <w:p w:rsidRPr="006801F8" w:rsidR="00C402B2" w:rsidP="00C402B2" w:rsidRDefault="00C402B2" w14:paraId="009A8729" w14:textId="637ECFCE">
      <w:bookmarkStart w:name="_Hlk168068305" w:id="0"/>
      <w:r w:rsidRPr="00A51D28">
        <w:t xml:space="preserve">In het kader van de tweede pijler </w:t>
      </w:r>
      <w:r w:rsidRPr="00A51D28">
        <w:rPr>
          <w:i/>
          <w:iCs/>
        </w:rPr>
        <w:t>versterken</w:t>
      </w:r>
      <w:r w:rsidRPr="00A51D28">
        <w:t xml:space="preserve"> zet het Koninkrijk zich in voor de versteviging van de eigen positie</w:t>
      </w:r>
      <w:r w:rsidR="00CC4F6F">
        <w:t xml:space="preserve">, </w:t>
      </w:r>
      <w:r w:rsidRPr="00A51D28">
        <w:t>en die van de EU in het dynamische geopolitieke kra</w:t>
      </w:r>
      <w:r w:rsidRPr="006801F8">
        <w:t>chtenveld. Daarbij zoekt het Koninkrijk actief de samenwerking op met gelijkgezinde</w:t>
      </w:r>
      <w:r w:rsidR="0082125B">
        <w:t xml:space="preserve"> </w:t>
      </w:r>
      <w:r w:rsidRPr="006801F8">
        <w:t>lidstaten</w:t>
      </w:r>
      <w:r w:rsidRPr="006801F8" w:rsidR="0003620C">
        <w:t>, en breder</w:t>
      </w:r>
      <w:r w:rsidRPr="006801F8">
        <w:t xml:space="preserve">. Dit versterkt engagement betekent in de praktijk dat het Koninkrijk ook met minder voor de hand liggende partners de samenwerking </w:t>
      </w:r>
      <w:r w:rsidRPr="006801F8" w:rsidR="0003620C">
        <w:t xml:space="preserve">kan </w:t>
      </w:r>
      <w:r w:rsidRPr="006801F8">
        <w:t xml:space="preserve">verbreden en verdiepen, bijvoorbeeld in bilaterale gesprekken en marge van diverse sessies en bijeenkomsten tijdens het aankomende vergaderjaar van de AVVN en door het smeden van regio-overstijgende partnerschappen. De Caribische delen van het </w:t>
      </w:r>
      <w:r w:rsidRPr="006801F8" w:rsidR="009F6A94">
        <w:t>K</w:t>
      </w:r>
      <w:r w:rsidRPr="006801F8">
        <w:t>oninkrijk spelen hierbij ook een actieve en strategische rol.</w:t>
      </w:r>
    </w:p>
    <w:bookmarkEnd w:id="0"/>
    <w:p w:rsidRPr="006801F8" w:rsidR="00C402B2" w:rsidP="00C402B2" w:rsidRDefault="00C402B2" w14:paraId="433FE000" w14:textId="09605557">
      <w:r w:rsidRPr="006801F8">
        <w:t xml:space="preserve">In het kader van de derde pijler </w:t>
      </w:r>
      <w:r w:rsidRPr="006801F8">
        <w:rPr>
          <w:i/>
          <w:iCs/>
        </w:rPr>
        <w:t>hervormen</w:t>
      </w:r>
      <w:r w:rsidRPr="006801F8">
        <w:t xml:space="preserve"> zet het Koninkrijk zich in voor de verbetering en hervorming van onderdelen van het VN-systeem. Nederland blijft in Benelux-verband actief pleiten voor een samenstelling van de VN Veiligheidsraad (VNVR) die de realiteit van de 21e eeuw weerspiegelt en steunt in EU-verband de brede hervormingsagenda van de Secretaris-Generaal van de VN (SGVN) uit 2021. Het VN-ontwikkelingssysteem </w:t>
      </w:r>
      <w:r w:rsidRPr="006801F8" w:rsidR="008060D1">
        <w:t>speelt een belangrijke rol</w:t>
      </w:r>
      <w:r w:rsidRPr="006801F8">
        <w:t xml:space="preserve"> voor een effectievere en efficiëntere VN, onder meer op het snijvlak van vrede, humanitaire hulp en ontwikkeling</w:t>
      </w:r>
      <w:r w:rsidRPr="006801F8" w:rsidR="00A43CBF">
        <w:t>, en in het bereiken van de meest kwetsbaren</w:t>
      </w:r>
      <w:r w:rsidRPr="006801F8">
        <w:t xml:space="preserve">. </w:t>
      </w:r>
      <w:r w:rsidRPr="006801F8">
        <w:lastRenderedPageBreak/>
        <w:t xml:space="preserve">Het Koninkrijk hecht belang aan het waarborgen van deze hervormingen, waarvoor </w:t>
      </w:r>
      <w:r w:rsidRPr="006801F8" w:rsidR="00C13972">
        <w:t xml:space="preserve">o.a. </w:t>
      </w:r>
      <w:r w:rsidRPr="006801F8">
        <w:t>een duurzaam gefinancierd systeem van VN-landenvertegenwoordigers (</w:t>
      </w:r>
      <w:r w:rsidRPr="006801F8">
        <w:rPr>
          <w:i/>
          <w:iCs/>
        </w:rPr>
        <w:t>Resident Coordinators</w:t>
      </w:r>
      <w:r w:rsidRPr="006801F8">
        <w:t xml:space="preserve">) </w:t>
      </w:r>
      <w:r w:rsidRPr="006801F8" w:rsidR="0073103C">
        <w:t xml:space="preserve">van belang </w:t>
      </w:r>
      <w:r w:rsidRPr="006801F8" w:rsidR="0019271B">
        <w:t>is</w:t>
      </w:r>
      <w:r w:rsidRPr="006801F8" w:rsidR="00A43CBF">
        <w:t>, evenals verbeterde integratie</w:t>
      </w:r>
      <w:r w:rsidR="0082125B">
        <w:t xml:space="preserve"> </w:t>
      </w:r>
      <w:r w:rsidRPr="0082125B" w:rsidR="00035E44">
        <w:t xml:space="preserve">van </w:t>
      </w:r>
      <w:r w:rsidRPr="0082125B" w:rsidR="00A43CBF">
        <w:t>geassocieerde</w:t>
      </w:r>
      <w:r w:rsidRPr="006801F8" w:rsidR="00A43CBF">
        <w:t xml:space="preserve"> leden van de regionale economische commissie </w:t>
      </w:r>
      <w:r w:rsidRPr="0082125B" w:rsidR="00035E44">
        <w:t>van Latijns Amerika en het Caribisch gebied</w:t>
      </w:r>
      <w:r w:rsidR="00035E44">
        <w:t xml:space="preserve"> </w:t>
      </w:r>
      <w:r w:rsidRPr="006801F8" w:rsidR="00A43CBF">
        <w:t xml:space="preserve">(ECLAC) waar Aruba, </w:t>
      </w:r>
      <w:r w:rsidRPr="006801F8" w:rsidR="00522B48">
        <w:t>Curaçao</w:t>
      </w:r>
      <w:r w:rsidRPr="006801F8" w:rsidR="00A43CBF">
        <w:t xml:space="preserve"> en Sint-Maarten deel van uitmaken</w:t>
      </w:r>
      <w:r w:rsidRPr="006801F8">
        <w:t>. Goed gezamenlijk toezicht op de VN-organisaties is eveneens onderdeel</w:t>
      </w:r>
      <w:r w:rsidRPr="006801F8" w:rsidR="00143F37">
        <w:t xml:space="preserve"> van deze inzet.</w:t>
      </w:r>
    </w:p>
    <w:p w:rsidRPr="006801F8" w:rsidR="00C402B2" w:rsidP="00C402B2" w:rsidRDefault="00C402B2" w14:paraId="04FF8769" w14:textId="77777777">
      <w:pPr>
        <w:rPr>
          <w:b/>
          <w:bCs/>
        </w:rPr>
      </w:pPr>
    </w:p>
    <w:p w:rsidRPr="006801F8" w:rsidR="00C402B2" w:rsidP="00C402B2" w:rsidRDefault="00C402B2" w14:paraId="04812B02" w14:textId="3A95197C">
      <w:pPr>
        <w:rPr>
          <w:b/>
          <w:bCs/>
        </w:rPr>
      </w:pPr>
      <w:r w:rsidRPr="006801F8">
        <w:rPr>
          <w:b/>
          <w:bCs/>
        </w:rPr>
        <w:t>Beschermen: mensenrechten, democratie en internationale rechtsorde</w:t>
      </w:r>
    </w:p>
    <w:p w:rsidRPr="006801F8" w:rsidR="00C402B2" w:rsidP="00C402B2" w:rsidRDefault="00C402B2" w14:paraId="6A5BA3D8" w14:textId="46163539">
      <w:r w:rsidRPr="009D0AFA">
        <w:t>Mensenrechten, de democratische rechts</w:t>
      </w:r>
      <w:r w:rsidRPr="009D0AFA" w:rsidR="0003620C">
        <w:t>s</w:t>
      </w:r>
      <w:r w:rsidRPr="009D0AFA">
        <w:t xml:space="preserve">taat en de internationale rechtsorde vormen </w:t>
      </w:r>
      <w:r w:rsidRPr="009D0AFA" w:rsidR="00905CAB">
        <w:t>een</w:t>
      </w:r>
      <w:r w:rsidRPr="009D0AFA">
        <w:t xml:space="preserve"> fundament voor vreedzame, inclusieve en welvarende samenlevingen – en daarmee een veiligere wereld. De bescherming en bevordering van de mensenrechten, de democratische rechtsstaat en de internationale rechtsorde </w:t>
      </w:r>
      <w:r w:rsidRPr="009D0AFA" w:rsidR="0003620C">
        <w:t xml:space="preserve">vormen </w:t>
      </w:r>
      <w:r w:rsidRPr="009D0AFA">
        <w:t xml:space="preserve">mede daarom kern van het buitenlands beleid van het Koninkrijk der Nederlanden en een welbegrepen geopolitiek eigenbelang. De VN speelt een </w:t>
      </w:r>
      <w:r w:rsidRPr="009D0AFA" w:rsidR="00A579BD">
        <w:t>cruciale</w:t>
      </w:r>
      <w:r w:rsidRPr="009D0AFA">
        <w:t xml:space="preserve"> rol in het waarborgen van deze drie fundamenten. Met zijn mensenrechteninstrumenten, procedures en instellingen </w:t>
      </w:r>
      <w:r w:rsidRPr="009D0AFA" w:rsidR="00905CAB">
        <w:t>geldt</w:t>
      </w:r>
      <w:r w:rsidRPr="009D0AFA">
        <w:t xml:space="preserve"> de VN </w:t>
      </w:r>
      <w:r w:rsidRPr="009D0AFA" w:rsidR="00905CAB">
        <w:t>als</w:t>
      </w:r>
      <w:r w:rsidRPr="009D0AFA" w:rsidR="00A579BD">
        <w:t xml:space="preserve"> basis</w:t>
      </w:r>
      <w:r w:rsidRPr="009D0AFA">
        <w:t xml:space="preserve"> van het multilaterale mensenrechtensysteem. Als multilateraal </w:t>
      </w:r>
      <w:r w:rsidRPr="009D0AFA" w:rsidR="00905CAB">
        <w:t>stelsel gebaseerd op</w:t>
      </w:r>
      <w:r w:rsidR="00905CAB">
        <w:t xml:space="preserve"> </w:t>
      </w:r>
      <w:r w:rsidRPr="006801F8">
        <w:rPr>
          <w:i/>
          <w:iCs/>
        </w:rPr>
        <w:t xml:space="preserve">one country, one </w:t>
      </w:r>
      <w:r w:rsidRPr="009D0AFA">
        <w:rPr>
          <w:i/>
          <w:iCs/>
        </w:rPr>
        <w:t>vote</w:t>
      </w:r>
      <w:r w:rsidRPr="009D0AFA" w:rsidR="009D0AFA">
        <w:t xml:space="preserve"> </w:t>
      </w:r>
      <w:r w:rsidRPr="009D0AFA">
        <w:t>en</w:t>
      </w:r>
      <w:r w:rsidRPr="006801F8">
        <w:t xml:space="preserve"> de naleving van verdragen en </w:t>
      </w:r>
      <w:r w:rsidRPr="006801F8" w:rsidR="007D34BF">
        <w:t xml:space="preserve">andere internationale </w:t>
      </w:r>
      <w:r w:rsidRPr="006801F8">
        <w:t>afspraken is de VN de hoeder van de internationale rechtsorde, gebaseerd op regels en voorspelbare internationale omgangsvormen in plaats van “het recht van de sterkste”.</w:t>
      </w:r>
      <w:r w:rsidRPr="006801F8">
        <w:rPr>
          <w:i/>
          <w:iCs/>
        </w:rPr>
        <w:t xml:space="preserve"> </w:t>
      </w:r>
    </w:p>
    <w:p w:rsidRPr="006801F8" w:rsidR="00C402B2" w:rsidP="00C402B2" w:rsidRDefault="00C402B2" w14:paraId="58A9978B" w14:textId="6DED3A70">
      <w:r w:rsidRPr="006801F8">
        <w:t xml:space="preserve">Het afgelopen decennium heeft zich wereldwijd een negatieve trend voltrokken op deze fronten. In reactie daarop presenteerde het </w:t>
      </w:r>
      <w:r w:rsidRPr="006801F8" w:rsidR="0003620C">
        <w:t xml:space="preserve">vorige </w:t>
      </w:r>
      <w:r w:rsidRPr="006801F8">
        <w:t xml:space="preserve">kabinet op 30 juni 2023 een langjarige visie op het gebied van mensenrechten, democratie en internationale rechtsorde: de beleidsnota Mensenrechten, Democratie en Internationale Rechtsorde. In die beleidsnota wordt beschreven hoe Nederland zich, in de huidige veranderende geopolitieke context, </w:t>
      </w:r>
      <w:r w:rsidRPr="006801F8" w:rsidR="0003620C">
        <w:t>inzet</w:t>
      </w:r>
      <w:r w:rsidRPr="006801F8">
        <w:t xml:space="preserve"> bij het wereldwijd steunen en waarborgen van mensenrechten, democratische rechtsstaat en internationale rechtsorde. </w:t>
      </w:r>
    </w:p>
    <w:p w:rsidRPr="006801F8" w:rsidR="00C402B2" w:rsidP="00C402B2" w:rsidRDefault="00C402B2" w14:paraId="7D2795EB" w14:textId="68A070C3">
      <w:r w:rsidRPr="006801F8">
        <w:t>De doelstellingen zijn drieledig: 1) het beschermen en bevorderen van de naleving van mensenrechten, met focus op de vijf mensenrechtenprioriteiten</w:t>
      </w:r>
      <w:r w:rsidRPr="006801F8">
        <w:rPr>
          <w:rStyle w:val="FootnoteReference"/>
        </w:rPr>
        <w:footnoteReference w:id="3"/>
      </w:r>
      <w:r w:rsidRPr="006801F8">
        <w:t xml:space="preserve"> 2) het tegengaan van democratische achteruitgang en het versterken van de democratische rechtsstaat, en 3) het </w:t>
      </w:r>
      <w:r w:rsidRPr="009D0AFA">
        <w:t xml:space="preserve">bevorderen van de ontwikkeling van de internationale rechtsorde, waaronder ook de inzet op </w:t>
      </w:r>
      <w:r w:rsidRPr="009D0AFA">
        <w:rPr>
          <w:i/>
          <w:iCs/>
        </w:rPr>
        <w:t>accountability</w:t>
      </w:r>
      <w:r w:rsidRPr="009D0AFA">
        <w:t xml:space="preserve"> en</w:t>
      </w:r>
      <w:r w:rsidRPr="006801F8">
        <w:t xml:space="preserve"> de strijd tegen straffeloosheid en politieke en financiële steun aan internationale hoven en tribunalen. De inzet van het Koninkrijk in de VN is gestoeld op deze doelstellingen.</w:t>
      </w:r>
    </w:p>
    <w:p w:rsidRPr="006801F8" w:rsidR="00C402B2" w:rsidP="00C402B2" w:rsidRDefault="00C402B2" w14:paraId="28EA2B8A" w14:textId="77777777">
      <w:pPr>
        <w:rPr>
          <w:b/>
          <w:bCs/>
        </w:rPr>
      </w:pPr>
    </w:p>
    <w:p w:rsidRPr="006801F8" w:rsidR="00C402B2" w:rsidP="00C402B2" w:rsidRDefault="00C402B2" w14:paraId="4DA35D2E" w14:textId="6B07E507">
      <w:pPr>
        <w:rPr>
          <w:b/>
          <w:bCs/>
        </w:rPr>
      </w:pPr>
      <w:r w:rsidRPr="006801F8">
        <w:rPr>
          <w:b/>
          <w:bCs/>
        </w:rPr>
        <w:t>Versterken: Financiering</w:t>
      </w:r>
    </w:p>
    <w:p w:rsidRPr="00A51D28" w:rsidR="00C402B2" w:rsidP="00C402B2" w:rsidRDefault="00C402B2" w14:paraId="0F3A7C2A" w14:textId="05672EBD">
      <w:r w:rsidRPr="006801F8">
        <w:t>Het versterken van het multilaterale systeem vraagt om toereikende financiële middelen. Financiering via multilaterale organisaties zorgt voor bundeling van financiële slagkracht van verschillende donoren, een beter bereik op plekken die</w:t>
      </w:r>
      <w:r w:rsidRPr="00A51D28">
        <w:t xml:space="preserve"> vaak onveilig of slecht toegankelijk zijn, en steun die wordt geleverd door organisaties die in veel ontvangende landen als betrouwbare en politiek invlo</w:t>
      </w:r>
      <w:r w:rsidRPr="006801F8">
        <w:t xml:space="preserve">edrijke partners gezien worden. Het Koninkrijk is van oudsher een constructieve partner van de multilaterale </w:t>
      </w:r>
      <w:bookmarkStart w:name="_Hlk168070015" w:id="1"/>
      <w:r w:rsidRPr="006801F8">
        <w:t xml:space="preserve">ontwikkelingsorganisaties. Voor het bereiken van onze doelstellingen en behouden van onze invloed, is het van belang een sturende rol te blijven spelen. Om de duurzame ontwikkelingsdoelen te bereiken </w:t>
      </w:r>
      <w:r w:rsidRPr="006801F8" w:rsidR="00BA4949">
        <w:t>spoort</w:t>
      </w:r>
      <w:r w:rsidRPr="006801F8">
        <w:t xml:space="preserve"> Nederland </w:t>
      </w:r>
      <w:r w:rsidRPr="006801F8" w:rsidR="00BA4949">
        <w:t>andere landen aan te komen tot</w:t>
      </w:r>
      <w:r w:rsidRPr="006801F8">
        <w:t xml:space="preserve"> vergroting van de </w:t>
      </w:r>
      <w:r w:rsidRPr="006801F8">
        <w:lastRenderedPageBreak/>
        <w:t>leenvolumes van de internationale financiële instellingen</w:t>
      </w:r>
      <w:r w:rsidRPr="006801F8">
        <w:rPr>
          <w:rStyle w:val="FootnoteReference"/>
        </w:rPr>
        <w:footnoteReference w:id="4"/>
      </w:r>
      <w:r w:rsidRPr="006A1EF3" w:rsidR="006A1EF3">
        <w:t xml:space="preserve"> </w:t>
      </w:r>
      <w:r w:rsidRPr="00953773">
        <w:t>en diversificatie</w:t>
      </w:r>
      <w:r w:rsidRPr="006801F8">
        <w:t xml:space="preserve"> van financieringsbronnen</w:t>
      </w:r>
      <w:r w:rsidR="0082125B">
        <w:t>.</w:t>
      </w:r>
      <w:r w:rsidRPr="006801F8">
        <w:t xml:space="preserve"> </w:t>
      </w:r>
      <w:r w:rsidRPr="00B425AE" w:rsidR="00035E44">
        <w:t>Hierbij zet het Koninkrijk zich ook in voor de belangen en uitdagingen van de SIDS</w:t>
      </w:r>
      <w:r w:rsidRPr="00B425AE" w:rsidR="006A1EF3">
        <w:t>.</w:t>
      </w:r>
      <w:r w:rsidR="006A1EF3">
        <w:t xml:space="preserve"> </w:t>
      </w:r>
      <w:r w:rsidRPr="006801F8">
        <w:t>Bij</w:t>
      </w:r>
      <w:r w:rsidR="006A1EF3">
        <w:t xml:space="preserve"> </w:t>
      </w:r>
      <w:r w:rsidRPr="00B425AE" w:rsidR="006A1EF3">
        <w:t>diversificatie</w:t>
      </w:r>
      <w:r w:rsidR="00B425AE">
        <w:t xml:space="preserve"> </w:t>
      </w:r>
      <w:r w:rsidRPr="006801F8">
        <w:t xml:space="preserve">wordt vooral </w:t>
      </w:r>
      <w:r w:rsidRPr="006801F8" w:rsidR="00BA4949">
        <w:t xml:space="preserve">ingezet op </w:t>
      </w:r>
      <w:r w:rsidRPr="006801F8">
        <w:t>de mobilisatie van privaat kapitaal en het helpen van ontwikkelingslanden om hun eigen (belasting)middelen effectiever te innen en te besteden.</w:t>
      </w:r>
      <w:bookmarkEnd w:id="1"/>
      <w:r w:rsidRPr="006801F8">
        <w:t xml:space="preserve"> Deze discussies zullen in de eerste helft van 2025 extra relevant worden, als in Spanje een top</w:t>
      </w:r>
      <w:r w:rsidRPr="00A51D28">
        <w:t xml:space="preserve"> georganiseerd zal worden over het financieren van wereldwijde ontwikkeling (</w:t>
      </w:r>
      <w:r w:rsidRPr="00B425AE" w:rsidR="006A1EF3">
        <w:rPr>
          <w:i/>
          <w:iCs/>
        </w:rPr>
        <w:t>Fourth International Conference on</w:t>
      </w:r>
      <w:r w:rsidRPr="00B425AE" w:rsidR="006A1EF3">
        <w:t xml:space="preserve"> </w:t>
      </w:r>
      <w:r w:rsidRPr="00A51D28">
        <w:rPr>
          <w:i/>
          <w:iCs/>
        </w:rPr>
        <w:t>Financing for Development</w:t>
      </w:r>
      <w:r w:rsidRPr="00A51D28">
        <w:t>).</w:t>
      </w:r>
    </w:p>
    <w:p w:rsidRPr="00A51D28" w:rsidR="00C402B2" w:rsidP="00C402B2" w:rsidRDefault="00C402B2" w14:paraId="1507E5CF" w14:textId="77777777">
      <w:pPr>
        <w:rPr>
          <w:b/>
          <w:bCs/>
        </w:rPr>
      </w:pPr>
      <w:bookmarkStart w:name="_Hlk168346744" w:id="2"/>
    </w:p>
    <w:p w:rsidRPr="00A51D28" w:rsidR="00C402B2" w:rsidP="00C402B2" w:rsidRDefault="00C402B2" w14:paraId="51BA118D" w14:textId="0460EA44">
      <w:pPr>
        <w:rPr>
          <w:b/>
          <w:bCs/>
        </w:rPr>
      </w:pPr>
      <w:r w:rsidRPr="00A51D28">
        <w:rPr>
          <w:b/>
          <w:bCs/>
        </w:rPr>
        <w:t>Hervormen: Summit of the Future</w:t>
      </w:r>
    </w:p>
    <w:p w:rsidRPr="00A51D28" w:rsidR="00C402B2" w:rsidP="00C402B2" w:rsidRDefault="00C402B2" w14:paraId="6A403433" w14:textId="6548A408">
      <w:r w:rsidRPr="00A51D28">
        <w:t>Bij het 75-jarig bestaan van de VN in 2021 presenteerde de SGVN zijn “</w:t>
      </w:r>
      <w:r w:rsidRPr="00A51D28">
        <w:rPr>
          <w:i/>
          <w:iCs/>
        </w:rPr>
        <w:t>Common Agenda</w:t>
      </w:r>
      <w:r w:rsidRPr="00A51D28">
        <w:t xml:space="preserve">” voor een toekomstbestendige, effectieve VN met een centrale rol bij de aanpak van grensoverschrijdende uitdagingen, waaronder versnelde uitvoering van </w:t>
      </w:r>
      <w:r w:rsidRPr="009D0AFA">
        <w:t xml:space="preserve">de </w:t>
      </w:r>
      <w:r w:rsidRPr="009D0AFA" w:rsidR="001C209F">
        <w:t>ontwikkelingsdoelen</w:t>
      </w:r>
      <w:r w:rsidRPr="009D0AFA">
        <w:t xml:space="preserve">. Dit jaar zal in de ministeriele AVVN-week op 22 en 23 september de </w:t>
      </w:r>
      <w:r w:rsidRPr="009D0AFA">
        <w:rPr>
          <w:i/>
          <w:iCs/>
        </w:rPr>
        <w:t>Summit of the Future</w:t>
      </w:r>
      <w:r w:rsidRPr="00A51D28">
        <w:t xml:space="preserve"> plaatsvinden om met alle lidstaten deze agenda uit te werken. Het streven is om tijdens deze top een </w:t>
      </w:r>
      <w:r w:rsidRPr="00A51D28">
        <w:rPr>
          <w:i/>
          <w:iCs/>
        </w:rPr>
        <w:t>Pact for the Future</w:t>
      </w:r>
      <w:r w:rsidRPr="00A51D28">
        <w:t xml:space="preserve"> aan te nemen, samen met twee annexen: de </w:t>
      </w:r>
      <w:r w:rsidRPr="00A51D28">
        <w:rPr>
          <w:i/>
          <w:iCs/>
        </w:rPr>
        <w:t>Global Digital Compact</w:t>
      </w:r>
      <w:r w:rsidRPr="00A51D28">
        <w:t xml:space="preserve"> (over verantwoord gebruik van digitale technologieën en een veilig en inclusief internet) en de </w:t>
      </w:r>
      <w:r w:rsidRPr="00A51D28">
        <w:rPr>
          <w:i/>
          <w:iCs/>
        </w:rPr>
        <w:t>Declaration on Future Generations</w:t>
      </w:r>
      <w:r w:rsidRPr="00A51D28">
        <w:t xml:space="preserve"> (over het waarborgen van de belangen van toekomstige generaties in besluitvorming). Het Koninkrijk </w:t>
      </w:r>
      <w:r w:rsidRPr="00B425AE">
        <w:t>speelt</w:t>
      </w:r>
      <w:r w:rsidRPr="00B425AE" w:rsidR="00B47239">
        <w:t>, samen met Jamaica,</w:t>
      </w:r>
      <w:r w:rsidRPr="00B425AE">
        <w:t xml:space="preserve"> een </w:t>
      </w:r>
      <w:r w:rsidRPr="00B425AE" w:rsidR="00E30B44">
        <w:t xml:space="preserve">belangrijke </w:t>
      </w:r>
      <w:r w:rsidRPr="00B425AE">
        <w:t>rol als co-facilitator van</w:t>
      </w:r>
      <w:r w:rsidRPr="00B425AE" w:rsidR="00E30B44">
        <w:t xml:space="preserve"> het intergouvernementele proces om tot</w:t>
      </w:r>
      <w:r w:rsidRPr="00A51D28">
        <w:t xml:space="preserve"> de </w:t>
      </w:r>
      <w:r w:rsidRPr="00A51D28">
        <w:rPr>
          <w:i/>
          <w:iCs/>
        </w:rPr>
        <w:t xml:space="preserve">Declaration on Future </w:t>
      </w:r>
      <w:r w:rsidRPr="00B425AE">
        <w:rPr>
          <w:i/>
          <w:iCs/>
        </w:rPr>
        <w:t>Generations</w:t>
      </w:r>
      <w:r w:rsidRPr="00B425AE" w:rsidR="00E30B44">
        <w:rPr>
          <w:i/>
          <w:iCs/>
        </w:rPr>
        <w:t xml:space="preserve"> </w:t>
      </w:r>
      <w:r w:rsidRPr="00B425AE" w:rsidR="00E30B44">
        <w:t>te komen</w:t>
      </w:r>
      <w:r w:rsidRPr="00A51D28">
        <w:t>.</w:t>
      </w:r>
      <w:r w:rsidR="00B425AE">
        <w:t xml:space="preserve"> </w:t>
      </w:r>
      <w:r w:rsidRPr="00A51D28">
        <w:t>Deze rol levert internationaal profiel op en biedt kansen voor versterkt engagement</w:t>
      </w:r>
      <w:r w:rsidR="00CC4F6F">
        <w:t xml:space="preserve"> </w:t>
      </w:r>
      <w:r w:rsidRPr="00B425AE" w:rsidR="00CC4F6F">
        <w:t>met het mondiale Zuiden</w:t>
      </w:r>
      <w:r w:rsidRPr="00B425AE">
        <w:t>.</w:t>
      </w:r>
      <w:r w:rsidRPr="00A51D28">
        <w:t xml:space="preserve"> Doel daarbij is om tot een </w:t>
      </w:r>
      <w:r w:rsidRPr="00B425AE" w:rsidR="00E30B44">
        <w:t>ambitieu</w:t>
      </w:r>
      <w:r w:rsidR="00B425AE">
        <w:t>ze</w:t>
      </w:r>
      <w:r w:rsidRPr="00B425AE" w:rsidR="00E30B44">
        <w:t>,</w:t>
      </w:r>
      <w:r w:rsidR="00E30B44">
        <w:t xml:space="preserve"> r</w:t>
      </w:r>
      <w:r w:rsidRPr="00A51D28">
        <w:t>esultaatgerichte, beknopte verklaring te komen die brede consensus geniet</w:t>
      </w:r>
      <w:r w:rsidR="00E30B44">
        <w:t xml:space="preserve"> </w:t>
      </w:r>
      <w:r w:rsidRPr="00B425AE" w:rsidR="00E30B44">
        <w:t>en die de behoeften en belangen van toekomstige generaties waarborgt</w:t>
      </w:r>
      <w:r w:rsidRPr="00B425AE">
        <w:t>.</w:t>
      </w:r>
      <w:r w:rsidRPr="00A51D28">
        <w:t xml:space="preserve"> </w:t>
      </w:r>
    </w:p>
    <w:p w:rsidRPr="00A51D28" w:rsidR="00C402B2" w:rsidP="00C402B2" w:rsidRDefault="00C402B2" w14:paraId="3C1F6A89" w14:textId="02202375">
      <w:r w:rsidRPr="00A51D28">
        <w:t xml:space="preserve">Een positieve uitkomst van de </w:t>
      </w:r>
      <w:r w:rsidRPr="00A51D28">
        <w:rPr>
          <w:i/>
          <w:iCs/>
        </w:rPr>
        <w:t>Summit</w:t>
      </w:r>
      <w:r w:rsidRPr="00A51D28">
        <w:t xml:space="preserve"> is belangrijk voor het beschermen, versterken en hervormen van </w:t>
      </w:r>
      <w:r w:rsidRPr="009D0AFA">
        <w:t>het multilaterale systeem. Door in te zetten op strategische en haalbare afspraken probe</w:t>
      </w:r>
      <w:r w:rsidRPr="009D0AFA" w:rsidR="001C209F">
        <w:t>ren we</w:t>
      </w:r>
      <w:r w:rsidRPr="009D0AFA">
        <w:t xml:space="preserve"> in</w:t>
      </w:r>
      <w:r w:rsidRPr="00A51D28">
        <w:t xml:space="preserve"> nauwe samenwerking met de EU constructief op zo concreet, ambitieus en tegelijk realistisch mogelijke uitkomsten te sturen. Hierbinnen zal ook aandacht zijn voor</w:t>
      </w:r>
      <w:r w:rsidR="00F138DC">
        <w:t xml:space="preserve"> de </w:t>
      </w:r>
      <w:r w:rsidRPr="00B425AE" w:rsidR="00F138DC">
        <w:t>thema</w:t>
      </w:r>
      <w:r w:rsidRPr="00B425AE" w:rsidR="00CF3D17">
        <w:t>’</w:t>
      </w:r>
      <w:r w:rsidRPr="00B425AE" w:rsidR="00F138DC">
        <w:t xml:space="preserve">s </w:t>
      </w:r>
      <w:r w:rsidRPr="00B425AE" w:rsidR="00CF3D17">
        <w:t xml:space="preserve">die aan de orde kwamen </w:t>
      </w:r>
      <w:r w:rsidRPr="00B425AE" w:rsidR="00F138DC">
        <w:t>tijdens</w:t>
      </w:r>
      <w:r w:rsidR="00B425AE">
        <w:t xml:space="preserve"> </w:t>
      </w:r>
      <w:r w:rsidRPr="00A51D28">
        <w:t xml:space="preserve">de onlangs gehouden vierde </w:t>
      </w:r>
      <w:r w:rsidRPr="00A51D28">
        <w:rPr>
          <w:i/>
          <w:iCs/>
        </w:rPr>
        <w:t>Small Island Development States-</w:t>
      </w:r>
      <w:r w:rsidRPr="00A51D28">
        <w:t xml:space="preserve">conferentie in Antigua </w:t>
      </w:r>
      <w:r w:rsidR="00F904B0">
        <w:t>en</w:t>
      </w:r>
      <w:r w:rsidRPr="00A51D28">
        <w:t xml:space="preserve"> Barbuda</w:t>
      </w:r>
      <w:r w:rsidR="00B47239">
        <w:t>,</w:t>
      </w:r>
      <w:r w:rsidR="00B425AE">
        <w:t xml:space="preserve"> </w:t>
      </w:r>
      <w:r w:rsidRPr="00B425AE" w:rsidR="00B47239">
        <w:t>waarbij ook de Caribische delen van ons Koninkrijk waren vertegenwoordigd</w:t>
      </w:r>
      <w:r w:rsidRPr="00B425AE">
        <w:t>.</w:t>
      </w:r>
      <w:r w:rsidRPr="00B425AE" w:rsidR="00B47239">
        <w:rPr>
          <w:rStyle w:val="FootnoteReference"/>
        </w:rPr>
        <w:footnoteReference w:id="5"/>
      </w:r>
    </w:p>
    <w:p w:rsidRPr="00A51D28" w:rsidR="00C402B2" w:rsidP="00C402B2" w:rsidRDefault="00C402B2" w14:paraId="4D64686B" w14:textId="77777777"/>
    <w:bookmarkEnd w:id="2"/>
    <w:p w:rsidRPr="00A51D28" w:rsidR="00C402B2" w:rsidP="00C402B2" w:rsidRDefault="00C402B2" w14:paraId="1C46D3BA" w14:textId="77777777">
      <w:pPr>
        <w:rPr>
          <w:b/>
          <w:bCs/>
        </w:rPr>
      </w:pPr>
      <w:r w:rsidRPr="00A51D28">
        <w:rPr>
          <w:b/>
          <w:bCs/>
        </w:rPr>
        <w:t xml:space="preserve">Specifieke bijeenkomsten tijdens de High-level Week </w:t>
      </w:r>
    </w:p>
    <w:p w:rsidRPr="00A51D28" w:rsidR="00C402B2" w:rsidP="00C402B2" w:rsidRDefault="00C402B2" w14:paraId="643544C2" w14:textId="0112EC33">
      <w:r w:rsidRPr="00A51D28">
        <w:t xml:space="preserve">Naast de </w:t>
      </w:r>
      <w:r w:rsidRPr="00A51D28">
        <w:rPr>
          <w:i/>
          <w:iCs/>
        </w:rPr>
        <w:t>Summit of the Future</w:t>
      </w:r>
      <w:r w:rsidRPr="00A51D28">
        <w:t xml:space="preserve"> op 22 en 23 september, die een ankerpunt in de week zal vormen, vinden </w:t>
      </w:r>
      <w:r w:rsidRPr="009D0AFA">
        <w:t xml:space="preserve">tijdens de </w:t>
      </w:r>
      <w:r w:rsidRPr="009D0AFA">
        <w:rPr>
          <w:i/>
          <w:iCs/>
        </w:rPr>
        <w:t>H</w:t>
      </w:r>
      <w:r w:rsidRPr="009D0AFA" w:rsidR="001C209F">
        <w:rPr>
          <w:i/>
          <w:iCs/>
        </w:rPr>
        <w:t>igh-Level Week</w:t>
      </w:r>
      <w:r w:rsidRPr="009D0AFA">
        <w:t xml:space="preserve"> nog enkele andere grote evenementen plaats. </w:t>
      </w:r>
      <w:r w:rsidRPr="009D0AFA">
        <w:rPr>
          <w:lang w:val="en-US"/>
        </w:rPr>
        <w:t>Zo organiseert</w:t>
      </w:r>
      <w:r w:rsidRPr="00A51D28">
        <w:rPr>
          <w:lang w:val="en-US"/>
        </w:rPr>
        <w:t xml:space="preserve"> de VN op 25 september een </w:t>
      </w:r>
      <w:r w:rsidRPr="00A51D28">
        <w:rPr>
          <w:i/>
          <w:iCs/>
          <w:lang w:val="en-US"/>
        </w:rPr>
        <w:t>High-Level Meeting (HLM) to address the existential threats posed by sea-level rise</w:t>
      </w:r>
      <w:r w:rsidRPr="00A51D28">
        <w:rPr>
          <w:lang w:val="en-US"/>
        </w:rPr>
        <w:t xml:space="preserve">, en op 26 september een </w:t>
      </w:r>
      <w:r w:rsidRPr="00A51D28">
        <w:rPr>
          <w:i/>
          <w:iCs/>
          <w:lang w:val="en-US"/>
        </w:rPr>
        <w:t>HLM on antimicrobial resistance</w:t>
      </w:r>
      <w:r w:rsidRPr="00A51D28">
        <w:rPr>
          <w:lang w:val="en-US"/>
        </w:rPr>
        <w:t xml:space="preserve"> en een HLM ter gelegenheid van de</w:t>
      </w:r>
      <w:r w:rsidRPr="00A51D28">
        <w:rPr>
          <w:i/>
          <w:iCs/>
          <w:lang w:val="en-US"/>
        </w:rPr>
        <w:t xml:space="preserve"> International Day for the Total Elimination of Nuclear Weapons</w:t>
      </w:r>
      <w:r w:rsidRPr="00A51D28">
        <w:rPr>
          <w:i/>
          <w:iCs/>
          <w:lang w:val="en-US"/>
        </w:rPr>
        <w:softHyphen/>
        <w:t xml:space="preserve">. </w:t>
      </w:r>
      <w:r w:rsidRPr="00A51D28">
        <w:t xml:space="preserve">Daarnaast zal </w:t>
      </w:r>
      <w:r w:rsidRPr="00A51D28">
        <w:lastRenderedPageBreak/>
        <w:t xml:space="preserve">het </w:t>
      </w:r>
      <w:r w:rsidRPr="009D0AFA">
        <w:t xml:space="preserve">Koninkrijk zelf, zoals elk jaar, een aantal </w:t>
      </w:r>
      <w:r w:rsidRPr="009D0AFA" w:rsidR="00CE4992">
        <w:t xml:space="preserve">evenementen </w:t>
      </w:r>
      <w:r w:rsidRPr="009D0AFA">
        <w:t xml:space="preserve">organiseren op voor ons </w:t>
      </w:r>
      <w:r w:rsidRPr="009D0AFA" w:rsidR="001C209F">
        <w:t>belangrijke</w:t>
      </w:r>
      <w:r w:rsidRPr="009D0AFA">
        <w:t xml:space="preserve"> thema’s en zullen er</w:t>
      </w:r>
      <w:r w:rsidRPr="009D0AFA" w:rsidR="001C209F">
        <w:t xml:space="preserve"> bilaterale</w:t>
      </w:r>
      <w:r w:rsidRPr="009D0AFA">
        <w:t xml:space="preserve"> gesprekken </w:t>
      </w:r>
      <w:r w:rsidRPr="009D0AFA" w:rsidR="001C209F">
        <w:t xml:space="preserve">worden </w:t>
      </w:r>
      <w:r w:rsidRPr="009D0AFA">
        <w:t>gevoerd</w:t>
      </w:r>
      <w:r w:rsidRPr="00A51D28">
        <w:t xml:space="preserve"> tussen delegatieleden en </w:t>
      </w:r>
      <w:r w:rsidRPr="006801F8">
        <w:t xml:space="preserve">internationale </w:t>
      </w:r>
      <w:r w:rsidRPr="009D0AFA" w:rsidR="00CE4992">
        <w:t>ambtsgenoten</w:t>
      </w:r>
      <w:r w:rsidRPr="009D0AFA" w:rsidR="009D0AFA">
        <w:t>.</w:t>
      </w:r>
    </w:p>
    <w:p w:rsidRPr="00A51D28" w:rsidR="00C402B2" w:rsidP="00C402B2" w:rsidRDefault="00C402B2" w14:paraId="5E3ECFCA" w14:textId="77777777"/>
    <w:p w:rsidRPr="00A51D28" w:rsidR="00C402B2" w:rsidP="00C402B2" w:rsidRDefault="00C402B2" w14:paraId="6A9BBD89" w14:textId="77777777">
      <w:pPr>
        <w:rPr>
          <w:b/>
          <w:bCs/>
        </w:rPr>
      </w:pPr>
      <w:bookmarkStart w:name="_Hlk168070228" w:id="3"/>
      <w:r w:rsidRPr="00A51D28">
        <w:rPr>
          <w:b/>
          <w:bCs/>
        </w:rPr>
        <w:t xml:space="preserve">Tot slot </w:t>
      </w:r>
    </w:p>
    <w:p w:rsidRPr="00A51D28" w:rsidR="00C402B2" w:rsidRDefault="00C402B2" w14:paraId="7A3FB4A5" w14:textId="7533B049">
      <w:r w:rsidRPr="00A51D28">
        <w:t xml:space="preserve">De internationale gemeenschap staat voor grote uitdagingen, die door mondiale multilaterale </w:t>
      </w:r>
      <w:r w:rsidRPr="009D0AFA">
        <w:t xml:space="preserve">samenwerking </w:t>
      </w:r>
      <w:r w:rsidRPr="009D0AFA" w:rsidR="001C209F">
        <w:t>kunnen worden</w:t>
      </w:r>
      <w:r w:rsidRPr="009D0AFA">
        <w:t xml:space="preserve"> aangepakt. Het Koninkrijk is ervan overtuigd </w:t>
      </w:r>
      <w:r w:rsidRPr="00B425AE" w:rsidR="00E30B44">
        <w:t>een bijdrage te kunnen leveren aan het versterken van het multilateralisme, mensenrechten, democratie en de internationale rechtsorde ten behoeve van het werk van de VN op veiligheid en recht, duurzame ontwikkeling en gelijkwaardigheid.</w:t>
      </w:r>
      <w:r w:rsidR="00E30B44">
        <w:t xml:space="preserve"> Dit vloeit voort uit</w:t>
      </w:r>
      <w:r w:rsidRPr="009D0AFA">
        <w:t xml:space="preserve"> zijn volkenrechtelijke traditie en actieve rol </w:t>
      </w:r>
      <w:r w:rsidRPr="009D0AFA" w:rsidR="00BC11B9">
        <w:t>in de wereld</w:t>
      </w:r>
      <w:r w:rsidRPr="009D0AFA">
        <w:t xml:space="preserve">, </w:t>
      </w:r>
      <w:r w:rsidRPr="00B425AE" w:rsidR="00E30B44">
        <w:t>even</w:t>
      </w:r>
      <w:r w:rsidRPr="00B425AE">
        <w:t>als</w:t>
      </w:r>
      <w:r w:rsidRPr="009D0AFA">
        <w:t xml:space="preserve"> door de unieke </w:t>
      </w:r>
      <w:r w:rsidRPr="00B425AE" w:rsidR="00E30B44">
        <w:t xml:space="preserve">staatsrechtelijke </w:t>
      </w:r>
      <w:r w:rsidRPr="00B425AE">
        <w:t xml:space="preserve">positie </w:t>
      </w:r>
      <w:r w:rsidRPr="00B425AE" w:rsidR="00E30B44">
        <w:t xml:space="preserve">van het Koninkrijk </w:t>
      </w:r>
      <w:r w:rsidRPr="00B425AE">
        <w:t>met</w:t>
      </w:r>
      <w:r w:rsidRPr="00B425AE" w:rsidR="00E30B44">
        <w:t xml:space="preserve"> de autonome landen van Aruba, Curaçao en Sint Maarten in het Caribisch gebied en Nederland</w:t>
      </w:r>
      <w:r w:rsidRPr="009D0AFA">
        <w:t xml:space="preserve"> aan de Noordzee. </w:t>
      </w:r>
      <w:r w:rsidRPr="009D0AFA" w:rsidR="001C209F">
        <w:t xml:space="preserve">Als actieve </w:t>
      </w:r>
      <w:r w:rsidRPr="009D0AFA">
        <w:t>partner voor en binnen de VN kan het Koninkrijk een effectief buitenlands beleid voeren gericht op het beschermen en versterken van onze positie</w:t>
      </w:r>
      <w:r w:rsidRPr="009D0AFA" w:rsidR="001C209F">
        <w:t xml:space="preserve"> en belangen</w:t>
      </w:r>
      <w:r w:rsidRPr="009D0AFA">
        <w:t xml:space="preserve"> in een veranderende wereld waarin grensoverschrijdende uitdagingen als conflicten, pandemieën en klimaatverandering hun impact laten gelden</w:t>
      </w:r>
      <w:r w:rsidRPr="00A51D28">
        <w:t xml:space="preserve">.  </w:t>
      </w:r>
      <w:bookmarkEnd w:id="3"/>
    </w:p>
    <w:p w:rsidR="00172C5C" w:rsidRDefault="00172C5C" w14:paraId="4F3607E5" w14:textId="77777777"/>
    <w:p w:rsidRPr="00A51D28" w:rsidR="009D0AFA" w:rsidRDefault="009D0AFA" w14:paraId="256D67A3" w14:textId="77777777"/>
    <w:p w:rsidRPr="00A51D28" w:rsidR="00172C5C" w:rsidRDefault="00172C5C" w14:paraId="47407890" w14:textId="4FFFAF17">
      <w:r w:rsidRPr="00A51D28">
        <w:t>De minister van Buitenlandse Zaken,     De minister voor Buitenlandse Handel</w:t>
      </w:r>
      <w:r w:rsidRPr="00A51D28">
        <w:br/>
        <w:t xml:space="preserve">                                                          en Ontwikkelings</w:t>
      </w:r>
      <w:r w:rsidRPr="00A51D28" w:rsidR="00475E8C">
        <w:t>hulp</w:t>
      </w:r>
      <w:r w:rsidRPr="00A51D28">
        <w:t xml:space="preserve">,   </w:t>
      </w:r>
    </w:p>
    <w:p w:rsidRPr="00A51D28" w:rsidR="00C402B2" w:rsidRDefault="00C402B2" w14:paraId="4D5244EC" w14:textId="77777777"/>
    <w:p w:rsidRPr="00A51D28" w:rsidR="0069463B" w:rsidRDefault="0069463B" w14:paraId="6C4FA6B2" w14:textId="77777777"/>
    <w:p w:rsidRPr="00A51D28" w:rsidR="00172C5C" w:rsidRDefault="00172C5C" w14:paraId="6583B753" w14:textId="77777777"/>
    <w:p w:rsidRPr="00A51D28" w:rsidR="00172C5C" w:rsidRDefault="00172C5C" w14:paraId="341F2382" w14:textId="77777777"/>
    <w:p w:rsidR="0069463B" w:rsidRDefault="00475E8C" w14:paraId="1C16C9AB" w14:textId="1BA1E516">
      <w:r w:rsidRPr="00A51D28">
        <w:t>Caspar Veldkamp</w:t>
      </w:r>
      <w:r w:rsidRPr="00A51D28" w:rsidR="00172C5C">
        <w:tab/>
      </w:r>
      <w:r w:rsidRPr="00A51D28" w:rsidR="00172C5C">
        <w:tab/>
      </w:r>
      <w:r w:rsidRPr="00A51D28" w:rsidR="00172C5C">
        <w:tab/>
        <w:t xml:space="preserve">   </w:t>
      </w:r>
      <w:r w:rsidRPr="00A51D28">
        <w:t>Reinette Klever</w:t>
      </w:r>
    </w:p>
    <w:sectPr w:rsidR="0069463B" w:rsidSect="005D2DF0">
      <w:headerReference w:type="even" r:id="rId14"/>
      <w:headerReference w:type="default" r:id="rId15"/>
      <w:footerReference w:type="even" r:id="rId16"/>
      <w:footerReference w:type="default" r:id="rId17"/>
      <w:headerReference w:type="first" r:id="rId18"/>
      <w:footerReference w:type="first" r:id="rId19"/>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ABC6E" w14:textId="77777777" w:rsidR="001E6E1A" w:rsidRDefault="001E6E1A">
      <w:pPr>
        <w:spacing w:line="240" w:lineRule="auto"/>
      </w:pPr>
      <w:r>
        <w:separator/>
      </w:r>
    </w:p>
  </w:endnote>
  <w:endnote w:type="continuationSeparator" w:id="0">
    <w:p w14:paraId="2540A5C8" w14:textId="77777777" w:rsidR="001E6E1A" w:rsidRDefault="001E6E1A">
      <w:pPr>
        <w:spacing w:line="240" w:lineRule="auto"/>
      </w:pPr>
      <w:r>
        <w:continuationSeparator/>
      </w:r>
    </w:p>
  </w:endnote>
  <w:endnote w:type="continuationNotice" w:id="1">
    <w:p w14:paraId="653F60EA" w14:textId="77777777" w:rsidR="001E6E1A" w:rsidRDefault="001E6E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C626F" w14:textId="77777777" w:rsidR="00DD2F96" w:rsidRDefault="00DD2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972508"/>
      <w:docPartObj>
        <w:docPartGallery w:val="Page Numbers (Bottom of Page)"/>
        <w:docPartUnique/>
      </w:docPartObj>
    </w:sdtPr>
    <w:sdtEndPr/>
    <w:sdtContent>
      <w:p w14:paraId="62677C48" w14:textId="78BA8F05" w:rsidR="00172C5C" w:rsidRDefault="00172C5C">
        <w:pPr>
          <w:pStyle w:val="Footer"/>
          <w:jc w:val="center"/>
        </w:pPr>
        <w:r>
          <w:fldChar w:fldCharType="begin"/>
        </w:r>
        <w:r>
          <w:instrText>PAGE   \* MERGEFORMAT</w:instrText>
        </w:r>
        <w:r>
          <w:fldChar w:fldCharType="separate"/>
        </w:r>
        <w:r>
          <w:t>2</w:t>
        </w:r>
        <w:r>
          <w:fldChar w:fldCharType="end"/>
        </w:r>
      </w:p>
    </w:sdtContent>
  </w:sdt>
  <w:p w14:paraId="70B43DC6" w14:textId="77777777" w:rsidR="0030385C" w:rsidRDefault="003038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1887863"/>
      <w:docPartObj>
        <w:docPartGallery w:val="Page Numbers (Bottom of Page)"/>
        <w:docPartUnique/>
      </w:docPartObj>
    </w:sdtPr>
    <w:sdtEndPr/>
    <w:sdtContent>
      <w:p w14:paraId="34612653" w14:textId="44A2CE1E" w:rsidR="00E364F1" w:rsidRDefault="00E364F1">
        <w:pPr>
          <w:pStyle w:val="Footer"/>
          <w:jc w:val="center"/>
        </w:pPr>
        <w:r>
          <w:fldChar w:fldCharType="begin"/>
        </w:r>
        <w:r>
          <w:instrText>PAGE   \* MERGEFORMAT</w:instrText>
        </w:r>
        <w:r>
          <w:fldChar w:fldCharType="separate"/>
        </w:r>
        <w:r>
          <w:t>2</w:t>
        </w:r>
        <w:r>
          <w:fldChar w:fldCharType="end"/>
        </w:r>
      </w:p>
    </w:sdtContent>
  </w:sdt>
  <w:p w14:paraId="2C949E7D" w14:textId="77777777" w:rsidR="00E364F1" w:rsidRDefault="00E36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DAB98" w14:textId="77777777" w:rsidR="001E6E1A" w:rsidRDefault="001E6E1A">
      <w:pPr>
        <w:spacing w:line="240" w:lineRule="auto"/>
      </w:pPr>
      <w:r>
        <w:separator/>
      </w:r>
    </w:p>
  </w:footnote>
  <w:footnote w:type="continuationSeparator" w:id="0">
    <w:p w14:paraId="2E648A8B" w14:textId="77777777" w:rsidR="001E6E1A" w:rsidRDefault="001E6E1A">
      <w:pPr>
        <w:spacing w:line="240" w:lineRule="auto"/>
      </w:pPr>
      <w:r>
        <w:continuationSeparator/>
      </w:r>
    </w:p>
  </w:footnote>
  <w:footnote w:type="continuationNotice" w:id="1">
    <w:p w14:paraId="112A99DE" w14:textId="77777777" w:rsidR="001E6E1A" w:rsidRDefault="001E6E1A">
      <w:pPr>
        <w:spacing w:line="240" w:lineRule="auto"/>
      </w:pPr>
    </w:p>
  </w:footnote>
  <w:footnote w:id="2">
    <w:p w14:paraId="2CA52E6E" w14:textId="2E4A5EB5" w:rsidR="00CC29FD" w:rsidRPr="003D4A59" w:rsidRDefault="00CC29FD">
      <w:pPr>
        <w:pStyle w:val="FootnoteText"/>
        <w:rPr>
          <w:lang w:val="nl-NL"/>
        </w:rPr>
      </w:pPr>
      <w:r>
        <w:rPr>
          <w:rStyle w:val="FootnoteReference"/>
        </w:rPr>
        <w:footnoteRef/>
      </w:r>
      <w:r w:rsidRPr="003D4A59">
        <w:rPr>
          <w:lang w:val="nl-NL"/>
        </w:rPr>
        <w:t xml:space="preserve"> </w:t>
      </w:r>
      <w:r>
        <w:rPr>
          <w:lang w:val="nl-NL"/>
        </w:rPr>
        <w:t xml:space="preserve">Zie het </w:t>
      </w:r>
      <w:r w:rsidRPr="00CC29FD">
        <w:rPr>
          <w:lang w:val="nl-NL"/>
        </w:rPr>
        <w:t>beleidskader Mondiaal Multilateralisme</w:t>
      </w:r>
      <w:r>
        <w:rPr>
          <w:lang w:val="nl-NL"/>
        </w:rPr>
        <w:t xml:space="preserve"> (</w:t>
      </w:r>
      <w:r w:rsidRPr="00CC29FD">
        <w:rPr>
          <w:lang w:val="nl-NL"/>
        </w:rPr>
        <w:t>Kamerstuk 36200-V nr. 72</w:t>
      </w:r>
      <w:r>
        <w:rPr>
          <w:lang w:val="nl-NL"/>
        </w:rPr>
        <w:t>)</w:t>
      </w:r>
      <w:r w:rsidRPr="00CC29FD">
        <w:rPr>
          <w:lang w:val="nl-NL"/>
        </w:rPr>
        <w:t>, de beleidsnota Mensenrechten, Democratie en Internationale Rechtsorde</w:t>
      </w:r>
      <w:r>
        <w:rPr>
          <w:lang w:val="nl-NL"/>
        </w:rPr>
        <w:t xml:space="preserve"> (</w:t>
      </w:r>
      <w:r w:rsidRPr="00CC29FD">
        <w:rPr>
          <w:lang w:val="nl-NL"/>
        </w:rPr>
        <w:t>Kamerstuk 32735 nr. 370</w:t>
      </w:r>
      <w:r>
        <w:rPr>
          <w:lang w:val="nl-NL"/>
        </w:rPr>
        <w:t>)</w:t>
      </w:r>
      <w:r w:rsidRPr="00CC29FD">
        <w:rPr>
          <w:lang w:val="nl-NL"/>
        </w:rPr>
        <w:t>, het feministisch buitenlands beleid</w:t>
      </w:r>
      <w:r>
        <w:rPr>
          <w:lang w:val="nl-NL"/>
        </w:rPr>
        <w:t xml:space="preserve"> (</w:t>
      </w:r>
      <w:r w:rsidRPr="00CC29FD">
        <w:rPr>
          <w:lang w:val="nl-NL"/>
        </w:rPr>
        <w:t>Kamerstuk 34952 nr. 182</w:t>
      </w:r>
      <w:r>
        <w:rPr>
          <w:lang w:val="nl-NL"/>
        </w:rPr>
        <w:t>)</w:t>
      </w:r>
      <w:r w:rsidRPr="00CC29FD">
        <w:rPr>
          <w:lang w:val="nl-NL"/>
        </w:rPr>
        <w:t>, de nota Buitenlandse Handel en Ontwikkelingssamenwerking (BHOS-nota)</w:t>
      </w:r>
      <w:r>
        <w:rPr>
          <w:lang w:val="nl-NL"/>
        </w:rPr>
        <w:t xml:space="preserve"> (</w:t>
      </w:r>
      <w:r w:rsidRPr="00CC29FD">
        <w:rPr>
          <w:lang w:val="nl-NL"/>
        </w:rPr>
        <w:t>Kamerstuk 36180 nr. 1</w:t>
      </w:r>
      <w:r>
        <w:rPr>
          <w:lang w:val="nl-NL"/>
        </w:rPr>
        <w:t>)</w:t>
      </w:r>
      <w:r w:rsidRPr="00CC29FD">
        <w:rPr>
          <w:lang w:val="nl-NL"/>
        </w:rPr>
        <w:t>, de Afrikastrategie</w:t>
      </w:r>
      <w:r>
        <w:rPr>
          <w:lang w:val="nl-NL"/>
        </w:rPr>
        <w:t xml:space="preserve"> (</w:t>
      </w:r>
      <w:r w:rsidRPr="00CC29FD">
        <w:rPr>
          <w:lang w:val="nl-NL"/>
        </w:rPr>
        <w:t>Kamerstuk 29237 nr. 183</w:t>
      </w:r>
      <w:r>
        <w:rPr>
          <w:lang w:val="nl-NL"/>
        </w:rPr>
        <w:t>)</w:t>
      </w:r>
      <w:r w:rsidRPr="00CC29FD">
        <w:rPr>
          <w:lang w:val="nl-NL"/>
        </w:rPr>
        <w:t>, de internationale klimaatstrategie</w:t>
      </w:r>
      <w:r>
        <w:rPr>
          <w:lang w:val="nl-NL"/>
        </w:rPr>
        <w:t xml:space="preserve"> (</w:t>
      </w:r>
      <w:r w:rsidRPr="00CC29FD">
        <w:rPr>
          <w:lang w:val="nl-NL"/>
        </w:rPr>
        <w:t>Kamerstuk 31793-252</w:t>
      </w:r>
      <w:r>
        <w:rPr>
          <w:lang w:val="nl-NL"/>
        </w:rPr>
        <w:t>)</w:t>
      </w:r>
      <w:r w:rsidRPr="00CC29FD">
        <w:rPr>
          <w:lang w:val="nl-NL"/>
        </w:rPr>
        <w:t>, de Nederlandse mondiale gezondheidsstrategie</w:t>
      </w:r>
      <w:r>
        <w:rPr>
          <w:lang w:val="nl-NL"/>
        </w:rPr>
        <w:t xml:space="preserve"> (</w:t>
      </w:r>
      <w:r w:rsidRPr="00CC29FD">
        <w:rPr>
          <w:lang w:val="nl-NL"/>
        </w:rPr>
        <w:t>Kamerstuk 36180 nr. 25</w:t>
      </w:r>
      <w:r>
        <w:rPr>
          <w:lang w:val="nl-NL"/>
        </w:rPr>
        <w:t>)</w:t>
      </w:r>
      <w:r w:rsidRPr="00CC29FD">
        <w:rPr>
          <w:lang w:val="nl-NL"/>
        </w:rPr>
        <w:t>, de Indo Pacific Leidraad</w:t>
      </w:r>
      <w:r>
        <w:rPr>
          <w:lang w:val="nl-NL"/>
        </w:rPr>
        <w:t xml:space="preserve"> (</w:t>
      </w:r>
      <w:r w:rsidR="0003620C" w:rsidRPr="0003620C">
        <w:rPr>
          <w:lang w:val="nl-NL"/>
        </w:rPr>
        <w:t>Kamerstuk 21501-02 nr. 2241</w:t>
      </w:r>
      <w:r>
        <w:rPr>
          <w:lang w:val="nl-NL"/>
        </w:rPr>
        <w:t>)</w:t>
      </w:r>
      <w:r w:rsidRPr="00CC29FD">
        <w:rPr>
          <w:lang w:val="nl-NL"/>
        </w:rPr>
        <w:t xml:space="preserve"> en de Geïntegreerde Buitenland- en Veiligheidsstrategie</w:t>
      </w:r>
      <w:r>
        <w:rPr>
          <w:lang w:val="nl-NL"/>
        </w:rPr>
        <w:t xml:space="preserve"> (</w:t>
      </w:r>
      <w:r w:rsidR="0003620C" w:rsidRPr="0003620C">
        <w:rPr>
          <w:lang w:val="nl-NL"/>
        </w:rPr>
        <w:t>Kamerstuk 33694 nr. 12</w:t>
      </w:r>
      <w:r w:rsidR="0003620C">
        <w:rPr>
          <w:lang w:val="nl-NL"/>
        </w:rPr>
        <w:t xml:space="preserve">). </w:t>
      </w:r>
    </w:p>
  </w:footnote>
  <w:footnote w:id="3">
    <w:p w14:paraId="013DBA0E" w14:textId="77777777" w:rsidR="00C402B2" w:rsidRPr="00C402B2" w:rsidRDefault="00C402B2" w:rsidP="00C402B2">
      <w:pPr>
        <w:pStyle w:val="FootnoteText"/>
        <w:rPr>
          <w:rFonts w:ascii="Verdana" w:hAnsi="Verdana"/>
          <w:sz w:val="16"/>
          <w:szCs w:val="16"/>
          <w:lang w:val="nl-NL"/>
        </w:rPr>
      </w:pPr>
      <w:r w:rsidRPr="00C402B2">
        <w:rPr>
          <w:rStyle w:val="FootnoteReference"/>
          <w:rFonts w:ascii="Verdana" w:hAnsi="Verdana"/>
          <w:sz w:val="16"/>
          <w:szCs w:val="16"/>
        </w:rPr>
        <w:footnoteRef/>
      </w:r>
      <w:r w:rsidRPr="00C402B2">
        <w:rPr>
          <w:rFonts w:ascii="Verdana" w:hAnsi="Verdana"/>
          <w:sz w:val="16"/>
          <w:szCs w:val="16"/>
          <w:lang w:val="nl-NL"/>
        </w:rPr>
        <w:t xml:space="preserve"> Gelijke rechten voor vrouwen en meisjes; gelijke rechten voor lhbtiq+ -personen; vrijheid van religie en levensovertuiging; vrijheid van meningsuiting online en offline; mensenrechtenverdedigers.</w:t>
      </w:r>
    </w:p>
  </w:footnote>
  <w:footnote w:id="4">
    <w:p w14:paraId="38174CE1" w14:textId="55DC2A64" w:rsidR="00C402B2" w:rsidRPr="00C402B2" w:rsidRDefault="00C402B2" w:rsidP="00C402B2">
      <w:pPr>
        <w:pStyle w:val="FootnoteText"/>
        <w:rPr>
          <w:rFonts w:ascii="Verdana" w:hAnsi="Verdana"/>
          <w:sz w:val="16"/>
          <w:szCs w:val="16"/>
          <w:lang w:val="nl-NL"/>
        </w:rPr>
      </w:pPr>
      <w:r w:rsidRPr="00C402B2">
        <w:rPr>
          <w:rStyle w:val="FootnoteReference"/>
          <w:rFonts w:ascii="Verdana" w:hAnsi="Verdana"/>
          <w:sz w:val="16"/>
          <w:szCs w:val="16"/>
        </w:rPr>
        <w:footnoteRef/>
      </w:r>
      <w:r w:rsidRPr="00C402B2">
        <w:rPr>
          <w:rFonts w:ascii="Verdana" w:hAnsi="Verdana"/>
          <w:sz w:val="16"/>
          <w:szCs w:val="16"/>
          <w:lang w:val="nl-NL"/>
        </w:rPr>
        <w:t xml:space="preserve"> Zo vergroot de dit voorjaar onder parlementaire goedkeuring</w:t>
      </w:r>
      <w:r w:rsidR="002A4269">
        <w:rPr>
          <w:rFonts w:ascii="Verdana" w:hAnsi="Verdana"/>
          <w:sz w:val="16"/>
          <w:szCs w:val="16"/>
          <w:lang w:val="nl-NL"/>
        </w:rPr>
        <w:t xml:space="preserve"> (ligt voor aan de Kamer via 1</w:t>
      </w:r>
      <w:r w:rsidR="002A4269" w:rsidRPr="002A4269">
        <w:rPr>
          <w:rFonts w:ascii="Verdana" w:hAnsi="Verdana"/>
          <w:sz w:val="16"/>
          <w:szCs w:val="16"/>
          <w:vertAlign w:val="superscript"/>
          <w:lang w:val="nl-NL"/>
        </w:rPr>
        <w:t>e</w:t>
      </w:r>
      <w:r w:rsidR="002A4269">
        <w:rPr>
          <w:rFonts w:ascii="Verdana" w:hAnsi="Verdana"/>
          <w:sz w:val="16"/>
          <w:szCs w:val="16"/>
          <w:lang w:val="nl-NL"/>
        </w:rPr>
        <w:t xml:space="preserve"> suppletoire begroting van de BHOS-begroting) </w:t>
      </w:r>
      <w:r w:rsidRPr="00C402B2">
        <w:rPr>
          <w:rFonts w:ascii="Verdana" w:hAnsi="Verdana"/>
          <w:sz w:val="16"/>
          <w:szCs w:val="16"/>
          <w:lang w:val="nl-NL"/>
        </w:rPr>
        <w:t>aangekondigde aankoop van EUR 68 miljoen aan hybride kapitaal</w:t>
      </w:r>
      <w:r w:rsidRPr="00C402B2">
        <w:rPr>
          <w:rFonts w:ascii="Verdana" w:hAnsi="Verdana"/>
          <w:color w:val="FF0000"/>
          <w:sz w:val="16"/>
          <w:szCs w:val="16"/>
          <w:lang w:val="nl-NL"/>
        </w:rPr>
        <w:t xml:space="preserve"> </w:t>
      </w:r>
      <w:r w:rsidRPr="00C402B2">
        <w:rPr>
          <w:rFonts w:ascii="Verdana" w:hAnsi="Verdana"/>
          <w:sz w:val="16"/>
          <w:szCs w:val="16"/>
          <w:lang w:val="nl-NL"/>
        </w:rPr>
        <w:t xml:space="preserve">de leencapaciteit van de </w:t>
      </w:r>
      <w:r w:rsidR="00E30B44" w:rsidRPr="00B425AE">
        <w:rPr>
          <w:rFonts w:ascii="Verdana" w:hAnsi="Verdana"/>
          <w:sz w:val="16"/>
          <w:szCs w:val="16"/>
          <w:lang w:val="nl-NL"/>
        </w:rPr>
        <w:t>Wereld</w:t>
      </w:r>
      <w:r w:rsidRPr="00B425AE">
        <w:rPr>
          <w:rFonts w:ascii="Verdana" w:hAnsi="Verdana"/>
          <w:sz w:val="16"/>
          <w:szCs w:val="16"/>
          <w:lang w:val="nl-NL"/>
        </w:rPr>
        <w:t>b</w:t>
      </w:r>
      <w:r w:rsidRPr="00C402B2">
        <w:rPr>
          <w:rFonts w:ascii="Verdana" w:hAnsi="Verdana"/>
          <w:sz w:val="16"/>
          <w:szCs w:val="16"/>
          <w:lang w:val="nl-NL"/>
        </w:rPr>
        <w:t xml:space="preserve">ank met bijna EUR 550 miljoen. Een ander voorbeeld is het doorlenen van EUR 2,1 miljard aan speciale trekkingsrechten van het IMF door De Nederlandsche Bank aan de </w:t>
      </w:r>
      <w:r w:rsidRPr="00C402B2">
        <w:rPr>
          <w:rFonts w:ascii="Verdana" w:hAnsi="Verdana"/>
          <w:i/>
          <w:iCs/>
          <w:sz w:val="16"/>
          <w:szCs w:val="16"/>
          <w:lang w:val="nl-NL"/>
        </w:rPr>
        <w:t>Resilience &amp; Sustainability Trust (RST)</w:t>
      </w:r>
      <w:r w:rsidRPr="00C402B2">
        <w:rPr>
          <w:rFonts w:ascii="Verdana" w:hAnsi="Verdana"/>
          <w:sz w:val="16"/>
          <w:szCs w:val="16"/>
          <w:lang w:val="nl-NL"/>
        </w:rPr>
        <w:t>. De RST helpt lage-inkomenslanden en kwetsbare middeninkomenslanden weerbaarheid op te bouwen tegen externe schokken als klimaatverandering en verzekert op deze wijze duurzame groei.</w:t>
      </w:r>
    </w:p>
  </w:footnote>
  <w:footnote w:id="5">
    <w:p w14:paraId="3FBBDD37" w14:textId="43264EBE" w:rsidR="00B47239" w:rsidRPr="00B47239" w:rsidRDefault="00B47239">
      <w:pPr>
        <w:pStyle w:val="FootnoteText"/>
        <w:rPr>
          <w:lang w:val="nl-NL"/>
        </w:rPr>
      </w:pPr>
      <w:r>
        <w:rPr>
          <w:rStyle w:val="FootnoteReference"/>
        </w:rPr>
        <w:footnoteRef/>
      </w:r>
      <w:r w:rsidRPr="00B47239">
        <w:rPr>
          <w:lang w:val="nl-NL"/>
        </w:rPr>
        <w:t xml:space="preserve"> </w:t>
      </w:r>
      <w:r w:rsidRPr="00B425AE">
        <w:rPr>
          <w:rFonts w:ascii="Verdana" w:hAnsi="Verdana"/>
          <w:sz w:val="16"/>
          <w:szCs w:val="16"/>
          <w:lang w:val="nl-NL"/>
        </w:rPr>
        <w:t xml:space="preserve">Een van de belangrijkste uitkomsten van deze conferentie is de </w:t>
      </w:r>
      <w:r w:rsidRPr="00B425AE">
        <w:rPr>
          <w:rFonts w:ascii="Verdana" w:hAnsi="Verdana"/>
          <w:i/>
          <w:iCs/>
          <w:sz w:val="16"/>
          <w:szCs w:val="16"/>
          <w:lang w:val="nl-NL"/>
        </w:rPr>
        <w:t>Antigua and Barbuda Agenda for SIDS</w:t>
      </w:r>
      <w:r w:rsidR="001072D4" w:rsidRPr="00B425AE">
        <w:rPr>
          <w:rFonts w:ascii="Verdana" w:hAnsi="Verdana"/>
          <w:i/>
          <w:iCs/>
          <w:sz w:val="16"/>
          <w:szCs w:val="16"/>
          <w:lang w:val="nl-NL"/>
        </w:rPr>
        <w:t xml:space="preserve"> </w:t>
      </w:r>
      <w:r w:rsidR="001072D4" w:rsidRPr="00B425AE">
        <w:rPr>
          <w:rFonts w:ascii="Verdana" w:hAnsi="Verdana"/>
          <w:sz w:val="16"/>
          <w:szCs w:val="16"/>
          <w:lang w:val="nl-NL"/>
        </w:rPr>
        <w:t>(ABAS)</w:t>
      </w:r>
      <w:r w:rsidRPr="00B425AE">
        <w:rPr>
          <w:rFonts w:ascii="Verdana" w:hAnsi="Verdana"/>
          <w:sz w:val="16"/>
          <w:szCs w:val="16"/>
          <w:lang w:val="nl-NL"/>
        </w:rPr>
        <w:t>, een tienjarig actieprogramma dat gericht is op het aanpakken van de unieke kwetsbaarheden van SIDS</w:t>
      </w:r>
      <w:r w:rsidRPr="00B425AE">
        <w:rPr>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E011" w14:textId="77777777" w:rsidR="00DD2F96" w:rsidRDefault="00DD2F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A6B3" w14:textId="77777777" w:rsidR="0069463B" w:rsidRDefault="00C402B2">
    <w:r>
      <w:rPr>
        <w:noProof/>
      </w:rPr>
      <mc:AlternateContent>
        <mc:Choice Requires="wps">
          <w:drawing>
            <wp:anchor distT="0" distB="0" distL="0" distR="0" simplePos="0" relativeHeight="251658240" behindDoc="0" locked="1" layoutInCell="1" allowOverlap="1" wp14:anchorId="6C4FA6B7" wp14:editId="6954B061">
              <wp:simplePos x="0" y="0"/>
              <wp:positionH relativeFrom="page">
                <wp:posOffset>5797550</wp:posOffset>
              </wp:positionH>
              <wp:positionV relativeFrom="page">
                <wp:posOffset>1962150</wp:posOffset>
              </wp:positionV>
              <wp:extent cx="1404620" cy="8009890"/>
              <wp:effectExtent l="0" t="0" r="0" b="0"/>
              <wp:wrapNone/>
              <wp:docPr id="1" name="Text Box 1"/>
              <wp:cNvGraphicFramePr/>
              <a:graphic xmlns:a="http://schemas.openxmlformats.org/drawingml/2006/main">
                <a:graphicData uri="http://schemas.microsoft.com/office/word/2010/wordprocessingShape">
                  <wps:wsp>
                    <wps:cNvSpPr txBox="1"/>
                    <wps:spPr>
                      <a:xfrm>
                        <a:off x="0" y="0"/>
                        <a:ext cx="1404620" cy="8009890"/>
                      </a:xfrm>
                      <a:prstGeom prst="rect">
                        <a:avLst/>
                      </a:prstGeom>
                      <a:noFill/>
                    </wps:spPr>
                    <wps:txbx>
                      <w:txbxContent>
                        <w:p w14:paraId="6C4FA6E6" w14:textId="77777777" w:rsidR="0069463B" w:rsidRDefault="00C402B2">
                          <w:pPr>
                            <w:pStyle w:val="Referentiegegevensbold"/>
                          </w:pPr>
                          <w:r>
                            <w:t>Ministerie van Buitenlandse Zaken</w:t>
                          </w:r>
                        </w:p>
                        <w:p w14:paraId="6C4FA6E7" w14:textId="77777777" w:rsidR="0069463B" w:rsidRDefault="0069463B">
                          <w:pPr>
                            <w:pStyle w:val="WitregelW2"/>
                          </w:pPr>
                        </w:p>
                        <w:p w14:paraId="6C4FA6E8" w14:textId="77777777" w:rsidR="0069463B" w:rsidRDefault="00C402B2">
                          <w:pPr>
                            <w:pStyle w:val="Referentiegegevensbold"/>
                          </w:pPr>
                          <w:r>
                            <w:t>Onze referentie</w:t>
                          </w:r>
                        </w:p>
                        <w:p w14:paraId="6C4FA6E9" w14:textId="77777777" w:rsidR="0069463B" w:rsidRDefault="00C402B2">
                          <w:pPr>
                            <w:pStyle w:val="Referentiegegevens"/>
                          </w:pPr>
                          <w:r>
                            <w:t>BZ2401315</w:t>
                          </w:r>
                        </w:p>
                      </w:txbxContent>
                    </wps:txbx>
                    <wps:bodyPr vert="horz" wrap="square" lIns="0" tIns="0" rIns="0" bIns="0" anchor="t" anchorCtr="0"/>
                  </wps:wsp>
                </a:graphicData>
              </a:graphic>
              <wp14:sizeRelH relativeFrom="margin">
                <wp14:pctWidth>0</wp14:pctWidth>
              </wp14:sizeRelH>
            </wp:anchor>
          </w:drawing>
        </mc:Choice>
        <mc:Fallback>
          <w:pict>
            <v:shapetype w14:anchorId="6C4FA6B7" id="_x0000_t202" coordsize="21600,21600" o:spt="202" path="m,l,21600r21600,l21600,xe">
              <v:stroke joinstyle="miter"/>
              <v:path gradientshapeok="t" o:connecttype="rect"/>
            </v:shapetype>
            <v:shape id="Text Box 1" o:spid="_x0000_s1026" type="#_x0000_t202" style="position:absolute;margin-left:456.5pt;margin-top:154.5pt;width:110.6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" filled="f" stroked="f">
              <v:textbox inset="0,0,0,0">
                <w:txbxContent>
                  <w:p w14:paraId="6C4FA6E6" w14:textId="77777777" w:rsidR="0069463B" w:rsidRDefault="00C402B2">
                    <w:pPr>
                      <w:pStyle w:val="Referentiegegevensbold"/>
                    </w:pPr>
                    <w:r>
                      <w:t>Ministerie van Buitenlandse Zaken</w:t>
                    </w:r>
                  </w:p>
                  <w:p w14:paraId="6C4FA6E7" w14:textId="77777777" w:rsidR="0069463B" w:rsidRDefault="0069463B">
                    <w:pPr>
                      <w:pStyle w:val="WitregelW2"/>
                    </w:pPr>
                  </w:p>
                  <w:p w14:paraId="6C4FA6E8" w14:textId="77777777" w:rsidR="0069463B" w:rsidRDefault="00C402B2">
                    <w:pPr>
                      <w:pStyle w:val="Referentiegegevensbold"/>
                    </w:pPr>
                    <w:r>
                      <w:t>Onze referentie</w:t>
                    </w:r>
                  </w:p>
                  <w:p w14:paraId="6C4FA6E9" w14:textId="77777777" w:rsidR="0069463B" w:rsidRDefault="00C402B2">
                    <w:pPr>
                      <w:pStyle w:val="Referentiegegevens"/>
                    </w:pPr>
                    <w:r>
                      <w:t>BZ2401315</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6C4FA6B9" wp14:editId="6C4FA6BA">
              <wp:simplePos x="0" y="0"/>
              <wp:positionH relativeFrom="page">
                <wp:posOffset>1007744</wp:posOffset>
              </wp:positionH>
              <wp:positionV relativeFrom="page">
                <wp:posOffset>10194925</wp:posOffset>
              </wp:positionV>
              <wp:extent cx="4787900" cy="251460"/>
              <wp:effectExtent l="0" t="0" r="0" b="0"/>
              <wp:wrapNone/>
              <wp:docPr id="2" name="Text Box 2"/>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6C4FA6EA" w14:textId="42914DCA" w:rsidR="0069463B" w:rsidRDefault="0069463B">
                          <w:pPr>
                            <w:pStyle w:val="Rubricering"/>
                          </w:pPr>
                        </w:p>
                      </w:txbxContent>
                    </wps:txbx>
                    <wps:bodyPr vert="horz" wrap="square" lIns="0" tIns="0" rIns="0" bIns="0" anchor="t" anchorCtr="0"/>
                  </wps:wsp>
                </a:graphicData>
              </a:graphic>
            </wp:anchor>
          </w:drawing>
        </mc:Choice>
        <mc:Fallback>
          <w:pict>
            <v:shape w14:anchorId="6C4FA6B9" id="Text Box 2"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6C4FA6EA" w14:textId="42914DCA" w:rsidR="0069463B" w:rsidRDefault="0069463B">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6C4FA6BB" wp14:editId="6C4FA6BC">
              <wp:simplePos x="0" y="0"/>
              <wp:positionH relativeFrom="page">
                <wp:posOffset>5921375</wp:posOffset>
              </wp:positionH>
              <wp:positionV relativeFrom="page">
                <wp:posOffset>10194925</wp:posOffset>
              </wp:positionV>
              <wp:extent cx="1285875" cy="1619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C4FA6F7" w14:textId="77777777" w:rsidR="00C402B2" w:rsidRDefault="00C402B2"/>
                      </w:txbxContent>
                    </wps:txbx>
                    <wps:bodyPr vert="horz" wrap="square" lIns="0" tIns="0" rIns="0" bIns="0" anchor="t" anchorCtr="0"/>
                  </wps:wsp>
                </a:graphicData>
              </a:graphic>
            </wp:anchor>
          </w:drawing>
        </mc:Choice>
        <mc:Fallback>
          <w:pict>
            <v:shape w14:anchorId="6C4FA6BB" id="Text Box 3"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6C4FA6F7" w14:textId="77777777" w:rsidR="00C402B2" w:rsidRDefault="00C402B2"/>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FA6B5" w14:textId="77777777" w:rsidR="0069463B" w:rsidRDefault="00C402B2">
    <w:pPr>
      <w:spacing w:after="7131" w:line="14" w:lineRule="exact"/>
    </w:pPr>
    <w:r>
      <w:rPr>
        <w:noProof/>
      </w:rPr>
      <mc:AlternateContent>
        <mc:Choice Requires="wps">
          <w:drawing>
            <wp:anchor distT="0" distB="0" distL="0" distR="0" simplePos="0" relativeHeight="251658243" behindDoc="0" locked="1" layoutInCell="1" allowOverlap="1" wp14:anchorId="6C4FA6BD" wp14:editId="6C4FA6BE">
              <wp:simplePos x="0" y="0"/>
              <wp:positionH relativeFrom="page">
                <wp:posOffset>1007744</wp:posOffset>
              </wp:positionH>
              <wp:positionV relativeFrom="page">
                <wp:posOffset>1720214</wp:posOffset>
              </wp:positionV>
              <wp:extent cx="3590925" cy="161925"/>
              <wp:effectExtent l="0" t="0" r="0" b="0"/>
              <wp:wrapNone/>
              <wp:docPr id="4" name="Text Box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6C4FA6EB" w14:textId="77777777" w:rsidR="00C402B2" w:rsidRDefault="00C402B2"/>
                      </w:txbxContent>
                    </wps:txbx>
                    <wps:bodyPr vert="horz" wrap="square" lIns="0" tIns="0" rIns="0" bIns="0" anchor="t" anchorCtr="0"/>
                  </wps:wsp>
                </a:graphicData>
              </a:graphic>
            </wp:anchor>
          </w:drawing>
        </mc:Choice>
        <mc:Fallback>
          <w:pict>
            <v:shapetype w14:anchorId="6C4FA6BD" id="_x0000_t202" coordsize="21600,21600" o:spt="202" path="m,l,21600r21600,l21600,xe">
              <v:stroke joinstyle="miter"/>
              <v:path gradientshapeok="t" o:connecttype="rect"/>
            </v:shapetype>
            <v:shape id="Text Box 4" o:spid="_x0000_s1029"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6C4FA6EB" w14:textId="77777777" w:rsidR="00C402B2" w:rsidRDefault="00C402B2"/>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6C4FA6BF" wp14:editId="6C4FA6C0">
              <wp:simplePos x="0" y="0"/>
              <wp:positionH relativeFrom="page">
                <wp:posOffset>1007744</wp:posOffset>
              </wp:positionH>
              <wp:positionV relativeFrom="page">
                <wp:posOffset>1954530</wp:posOffset>
              </wp:positionV>
              <wp:extent cx="4787900" cy="1115695"/>
              <wp:effectExtent l="0" t="0" r="0" b="0"/>
              <wp:wrapNone/>
              <wp:docPr id="5" name="Text Box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6C4FA6CD" w14:textId="4DB2B5D0" w:rsidR="0069463B" w:rsidRDefault="0069463B">
                          <w:pPr>
                            <w:pStyle w:val="Rubricering"/>
                          </w:pPr>
                        </w:p>
                        <w:p w14:paraId="6C4FA6CE" w14:textId="77777777" w:rsidR="0069463B" w:rsidRDefault="00C402B2">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6C4FA6BF" id="Text Box 5" o:spid="_x0000_s1030"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6C4FA6CD" w14:textId="4DB2B5D0" w:rsidR="0069463B" w:rsidRDefault="0069463B">
                    <w:pPr>
                      <w:pStyle w:val="Rubricering"/>
                    </w:pPr>
                  </w:p>
                  <w:p w14:paraId="6C4FA6CE" w14:textId="77777777" w:rsidR="0069463B" w:rsidRDefault="00C402B2">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6C4FA6C1" wp14:editId="6C4FA6C2">
              <wp:simplePos x="0" y="0"/>
              <wp:positionH relativeFrom="page">
                <wp:posOffset>1007744</wp:posOffset>
              </wp:positionH>
              <wp:positionV relativeFrom="page">
                <wp:posOffset>3765550</wp:posOffset>
              </wp:positionV>
              <wp:extent cx="4780915" cy="608965"/>
              <wp:effectExtent l="0" t="0" r="0" b="0"/>
              <wp:wrapNone/>
              <wp:docPr id="6" name="Text Box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69463B" w14:paraId="6C4FA6D1" w14:textId="77777777" w:rsidTr="00172C5C">
                            <w:tc>
                              <w:tcPr>
                                <w:tcW w:w="678" w:type="dxa"/>
                                <w:shd w:val="clear" w:color="auto" w:fill="auto"/>
                              </w:tcPr>
                              <w:p w14:paraId="6C4FA6CF" w14:textId="7B140465" w:rsidR="0069463B" w:rsidRDefault="00C402B2">
                                <w:r w:rsidRPr="00172C5C">
                                  <w:t>Datum</w:t>
                                </w:r>
                                <w:r w:rsidR="00172C5C">
                                  <w:t xml:space="preserve">            </w:t>
                                </w:r>
                              </w:p>
                            </w:tc>
                            <w:tc>
                              <w:tcPr>
                                <w:tcW w:w="6851" w:type="dxa"/>
                                <w:shd w:val="clear" w:color="auto" w:fill="auto"/>
                              </w:tcPr>
                              <w:p w14:paraId="6C4FA6D0" w14:textId="3115CD10" w:rsidR="0069463B" w:rsidRDefault="00A25953">
                                <w:r>
                                  <w:t xml:space="preserve">30 </w:t>
                                </w:r>
                                <w:r w:rsidR="0073103C">
                                  <w:t>augustus</w:t>
                                </w:r>
                                <w:r w:rsidR="00C402B2">
                                  <w:t xml:space="preserve"> 2024</w:t>
                                </w:r>
                              </w:p>
                            </w:tc>
                          </w:tr>
                          <w:tr w:rsidR="0069463B" w14:paraId="6C4FA6D6" w14:textId="77777777">
                            <w:tc>
                              <w:tcPr>
                                <w:tcW w:w="678" w:type="dxa"/>
                              </w:tcPr>
                              <w:p w14:paraId="6C4FA6D2" w14:textId="77777777" w:rsidR="0069463B" w:rsidRDefault="00C402B2">
                                <w:r>
                                  <w:t>Betreft</w:t>
                                </w:r>
                              </w:p>
                              <w:p w14:paraId="6C4FA6D3" w14:textId="77777777" w:rsidR="0069463B" w:rsidRDefault="0069463B"/>
                            </w:tc>
                            <w:tc>
                              <w:tcPr>
                                <w:tcW w:w="6851" w:type="dxa"/>
                              </w:tcPr>
                              <w:p w14:paraId="6C4FA6D4" w14:textId="77777777" w:rsidR="0069463B" w:rsidRDefault="00C402B2">
                                <w:r>
                                  <w:t>Inzet Koninkrijk der Nederlanden voor de 79e zitting van de AVVN</w:t>
                                </w:r>
                              </w:p>
                              <w:p w14:paraId="6C4FA6D5" w14:textId="77777777" w:rsidR="0069463B" w:rsidRDefault="0069463B"/>
                            </w:tc>
                          </w:tr>
                        </w:tbl>
                        <w:p w14:paraId="6C4FA6D7" w14:textId="77777777" w:rsidR="0069463B" w:rsidRDefault="0069463B"/>
                        <w:p w14:paraId="6C4FA6D8" w14:textId="77777777" w:rsidR="0069463B" w:rsidRDefault="0069463B"/>
                      </w:txbxContent>
                    </wps:txbx>
                    <wps:bodyPr vert="horz" wrap="square" lIns="0" tIns="0" rIns="0" bIns="0" anchor="t" anchorCtr="0"/>
                  </wps:wsp>
                </a:graphicData>
              </a:graphic>
            </wp:anchor>
          </w:drawing>
        </mc:Choice>
        <mc:Fallback>
          <w:pict>
            <v:shape w14:anchorId="6C4FA6C1" id="Text Box 6" o:spid="_x0000_s1031"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69463B" w14:paraId="6C4FA6D1" w14:textId="77777777" w:rsidTr="00172C5C">
                      <w:tc>
                        <w:tcPr>
                          <w:tcW w:w="678" w:type="dxa"/>
                          <w:shd w:val="clear" w:color="auto" w:fill="auto"/>
                        </w:tcPr>
                        <w:p w14:paraId="6C4FA6CF" w14:textId="7B140465" w:rsidR="0069463B" w:rsidRDefault="00C402B2">
                          <w:r w:rsidRPr="00172C5C">
                            <w:t>Datum</w:t>
                          </w:r>
                          <w:r w:rsidR="00172C5C">
                            <w:t xml:space="preserve">            </w:t>
                          </w:r>
                        </w:p>
                      </w:tc>
                      <w:tc>
                        <w:tcPr>
                          <w:tcW w:w="6851" w:type="dxa"/>
                          <w:shd w:val="clear" w:color="auto" w:fill="auto"/>
                        </w:tcPr>
                        <w:p w14:paraId="6C4FA6D0" w14:textId="3115CD10" w:rsidR="0069463B" w:rsidRDefault="00A25953">
                          <w:r>
                            <w:t xml:space="preserve">30 </w:t>
                          </w:r>
                          <w:r w:rsidR="0073103C">
                            <w:t>augustus</w:t>
                          </w:r>
                          <w:r w:rsidR="00C402B2">
                            <w:t xml:space="preserve"> 2024</w:t>
                          </w:r>
                        </w:p>
                      </w:tc>
                    </w:tr>
                    <w:tr w:rsidR="0069463B" w14:paraId="6C4FA6D6" w14:textId="77777777">
                      <w:tc>
                        <w:tcPr>
                          <w:tcW w:w="678" w:type="dxa"/>
                        </w:tcPr>
                        <w:p w14:paraId="6C4FA6D2" w14:textId="77777777" w:rsidR="0069463B" w:rsidRDefault="00C402B2">
                          <w:r>
                            <w:t>Betreft</w:t>
                          </w:r>
                        </w:p>
                        <w:p w14:paraId="6C4FA6D3" w14:textId="77777777" w:rsidR="0069463B" w:rsidRDefault="0069463B"/>
                      </w:tc>
                      <w:tc>
                        <w:tcPr>
                          <w:tcW w:w="6851" w:type="dxa"/>
                        </w:tcPr>
                        <w:p w14:paraId="6C4FA6D4" w14:textId="77777777" w:rsidR="0069463B" w:rsidRDefault="00C402B2">
                          <w:r>
                            <w:t>Inzet Koninkrijk der Nederlanden voor de 79e zitting van de AVVN</w:t>
                          </w:r>
                        </w:p>
                        <w:p w14:paraId="6C4FA6D5" w14:textId="77777777" w:rsidR="0069463B" w:rsidRDefault="0069463B"/>
                      </w:tc>
                    </w:tr>
                  </w:tbl>
                  <w:p w14:paraId="6C4FA6D7" w14:textId="77777777" w:rsidR="0069463B" w:rsidRDefault="0069463B"/>
                  <w:p w14:paraId="6C4FA6D8" w14:textId="77777777" w:rsidR="0069463B" w:rsidRDefault="0069463B"/>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6C4FA6C3" wp14:editId="51573360">
              <wp:simplePos x="0" y="0"/>
              <wp:positionH relativeFrom="page">
                <wp:posOffset>5924550</wp:posOffset>
              </wp:positionH>
              <wp:positionV relativeFrom="page">
                <wp:posOffset>1962150</wp:posOffset>
              </wp:positionV>
              <wp:extent cx="1524000" cy="8009890"/>
              <wp:effectExtent l="0" t="0" r="0" b="0"/>
              <wp:wrapNone/>
              <wp:docPr id="7" name="Text Box 7"/>
              <wp:cNvGraphicFramePr/>
              <a:graphic xmlns:a="http://schemas.openxmlformats.org/drawingml/2006/main">
                <a:graphicData uri="http://schemas.microsoft.com/office/word/2010/wordprocessingShape">
                  <wps:wsp>
                    <wps:cNvSpPr txBox="1"/>
                    <wps:spPr>
                      <a:xfrm>
                        <a:off x="0" y="0"/>
                        <a:ext cx="1524000" cy="8009890"/>
                      </a:xfrm>
                      <a:prstGeom prst="rect">
                        <a:avLst/>
                      </a:prstGeom>
                      <a:noFill/>
                    </wps:spPr>
                    <wps:txbx>
                      <w:txbxContent>
                        <w:p w14:paraId="6C4FA6D9" w14:textId="77777777" w:rsidR="0069463B" w:rsidRDefault="00C402B2">
                          <w:pPr>
                            <w:pStyle w:val="Referentiegegevensbold"/>
                          </w:pPr>
                          <w:r>
                            <w:t>Ministerie van Buitenlandse Zaken</w:t>
                          </w:r>
                        </w:p>
                        <w:p w14:paraId="2076E964" w14:textId="3384E477" w:rsidR="00172C5C" w:rsidRPr="00EE5E5D" w:rsidRDefault="00172C5C" w:rsidP="00172C5C">
                          <w:pPr>
                            <w:rPr>
                              <w:sz w:val="13"/>
                              <w:szCs w:val="13"/>
                            </w:rPr>
                          </w:pPr>
                          <w:r>
                            <w:rPr>
                              <w:sz w:val="13"/>
                              <w:szCs w:val="13"/>
                            </w:rPr>
                            <w:t>Rijnstraat 8</w:t>
                          </w:r>
                        </w:p>
                        <w:p w14:paraId="0CE465E4" w14:textId="77777777" w:rsidR="00172C5C" w:rsidRPr="00A23456" w:rsidRDefault="00172C5C" w:rsidP="00172C5C">
                          <w:pPr>
                            <w:rPr>
                              <w:sz w:val="13"/>
                              <w:szCs w:val="13"/>
                              <w:lang w:val="nn-NO"/>
                            </w:rPr>
                          </w:pPr>
                          <w:r w:rsidRPr="00A23456">
                            <w:rPr>
                              <w:sz w:val="13"/>
                              <w:szCs w:val="13"/>
                              <w:lang w:val="nn-NO"/>
                            </w:rPr>
                            <w:t>2515 XP Den Haag</w:t>
                          </w:r>
                        </w:p>
                        <w:p w14:paraId="31259706" w14:textId="77777777" w:rsidR="00172C5C" w:rsidRPr="00A23456" w:rsidRDefault="00172C5C" w:rsidP="00172C5C">
                          <w:pPr>
                            <w:rPr>
                              <w:sz w:val="13"/>
                              <w:szCs w:val="13"/>
                              <w:lang w:val="nn-NO"/>
                            </w:rPr>
                          </w:pPr>
                          <w:r w:rsidRPr="00A23456">
                            <w:rPr>
                              <w:sz w:val="13"/>
                              <w:szCs w:val="13"/>
                              <w:lang w:val="nn-NO"/>
                            </w:rPr>
                            <w:t>Postbus 20061</w:t>
                          </w:r>
                        </w:p>
                        <w:p w14:paraId="0A1F87B1" w14:textId="77777777" w:rsidR="00172C5C" w:rsidRPr="00A23456" w:rsidRDefault="00172C5C" w:rsidP="00172C5C">
                          <w:pPr>
                            <w:rPr>
                              <w:sz w:val="13"/>
                              <w:szCs w:val="13"/>
                              <w:lang w:val="nn-NO"/>
                            </w:rPr>
                          </w:pPr>
                          <w:r w:rsidRPr="00A23456">
                            <w:rPr>
                              <w:sz w:val="13"/>
                              <w:szCs w:val="13"/>
                              <w:lang w:val="nn-NO"/>
                            </w:rPr>
                            <w:t>Nederland</w:t>
                          </w:r>
                        </w:p>
                        <w:p w14:paraId="76A541DA" w14:textId="77777777" w:rsidR="00172C5C" w:rsidRPr="00A23456" w:rsidRDefault="00172C5C" w:rsidP="00172C5C">
                          <w:pPr>
                            <w:rPr>
                              <w:sz w:val="13"/>
                              <w:szCs w:val="13"/>
                              <w:lang w:val="nn-NO"/>
                            </w:rPr>
                          </w:pPr>
                          <w:r w:rsidRPr="00A23456">
                            <w:rPr>
                              <w:sz w:val="13"/>
                              <w:szCs w:val="13"/>
                              <w:lang w:val="nn-NO"/>
                            </w:rPr>
                            <w:t>www.rijksoverheid.nl</w:t>
                          </w:r>
                        </w:p>
                        <w:p w14:paraId="6C4FA6DB" w14:textId="3CDC3D02" w:rsidR="0069463B" w:rsidRPr="00A23456" w:rsidRDefault="0069463B">
                          <w:pPr>
                            <w:pStyle w:val="Referentiegegevens"/>
                            <w:rPr>
                              <w:lang w:val="nn-NO"/>
                            </w:rPr>
                          </w:pPr>
                        </w:p>
                        <w:p w14:paraId="6C4FA6DD" w14:textId="77777777" w:rsidR="0069463B" w:rsidRPr="00A23456" w:rsidRDefault="0069463B">
                          <w:pPr>
                            <w:pStyle w:val="WitregelW2"/>
                            <w:rPr>
                              <w:lang w:val="nn-NO"/>
                            </w:rPr>
                          </w:pPr>
                        </w:p>
                        <w:p w14:paraId="6C4FA6DE" w14:textId="77777777" w:rsidR="0069463B" w:rsidRPr="00A23456" w:rsidRDefault="00C402B2">
                          <w:pPr>
                            <w:pStyle w:val="Referentiegegevensbold"/>
                            <w:rPr>
                              <w:lang w:val="de-DE"/>
                            </w:rPr>
                          </w:pPr>
                          <w:r w:rsidRPr="00A23456">
                            <w:rPr>
                              <w:lang w:val="de-DE"/>
                            </w:rPr>
                            <w:t>Onze referentie</w:t>
                          </w:r>
                        </w:p>
                        <w:p w14:paraId="6C4FA6DF" w14:textId="77777777" w:rsidR="0069463B" w:rsidRDefault="00C402B2">
                          <w:pPr>
                            <w:pStyle w:val="Referentiegegevens"/>
                          </w:pPr>
                          <w:r>
                            <w:t>BZ2401315</w:t>
                          </w:r>
                        </w:p>
                        <w:p w14:paraId="6C4FA6E0" w14:textId="77777777" w:rsidR="0069463B" w:rsidRDefault="0069463B">
                          <w:pPr>
                            <w:pStyle w:val="WitregelW1"/>
                          </w:pPr>
                        </w:p>
                        <w:p w14:paraId="6C4FA6E1" w14:textId="77777777" w:rsidR="0069463B" w:rsidRDefault="00C402B2">
                          <w:pPr>
                            <w:pStyle w:val="Referentiegegevensbold"/>
                          </w:pPr>
                          <w:r>
                            <w:t>Bijlage(n)</w:t>
                          </w:r>
                        </w:p>
                        <w:p w14:paraId="6C4FA6E2" w14:textId="0D18ACB5" w:rsidR="0069463B" w:rsidRDefault="00172C5C">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6C4FA6C3" id="Text Box 7" o:spid="_x0000_s1032" type="#_x0000_t202" style="position:absolute;margin-left:466.5pt;margin-top:154.5pt;width:120pt;height:630.7pt;z-index:25165824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" filled="f" stroked="f">
              <v:textbox inset="0,0,0,0">
                <w:txbxContent>
                  <w:p w14:paraId="6C4FA6D9" w14:textId="77777777" w:rsidR="0069463B" w:rsidRDefault="00C402B2">
                    <w:pPr>
                      <w:pStyle w:val="Referentiegegevensbold"/>
                    </w:pPr>
                    <w:r>
                      <w:t>Ministerie van Buitenlandse Zaken</w:t>
                    </w:r>
                  </w:p>
                  <w:p w14:paraId="2076E964" w14:textId="3384E477" w:rsidR="00172C5C" w:rsidRPr="00EE5E5D" w:rsidRDefault="00172C5C" w:rsidP="00172C5C">
                    <w:pPr>
                      <w:rPr>
                        <w:sz w:val="13"/>
                        <w:szCs w:val="13"/>
                      </w:rPr>
                    </w:pPr>
                    <w:r>
                      <w:rPr>
                        <w:sz w:val="13"/>
                        <w:szCs w:val="13"/>
                      </w:rPr>
                      <w:t>Rijnstraat 8</w:t>
                    </w:r>
                  </w:p>
                  <w:p w14:paraId="0CE465E4" w14:textId="77777777" w:rsidR="00172C5C" w:rsidRPr="00A23456" w:rsidRDefault="00172C5C" w:rsidP="00172C5C">
                    <w:pPr>
                      <w:rPr>
                        <w:sz w:val="13"/>
                        <w:szCs w:val="13"/>
                        <w:lang w:val="nn-NO"/>
                      </w:rPr>
                    </w:pPr>
                    <w:r w:rsidRPr="00A23456">
                      <w:rPr>
                        <w:sz w:val="13"/>
                        <w:szCs w:val="13"/>
                        <w:lang w:val="nn-NO"/>
                      </w:rPr>
                      <w:t>2515 XP Den Haag</w:t>
                    </w:r>
                  </w:p>
                  <w:p w14:paraId="31259706" w14:textId="77777777" w:rsidR="00172C5C" w:rsidRPr="00A23456" w:rsidRDefault="00172C5C" w:rsidP="00172C5C">
                    <w:pPr>
                      <w:rPr>
                        <w:sz w:val="13"/>
                        <w:szCs w:val="13"/>
                        <w:lang w:val="nn-NO"/>
                      </w:rPr>
                    </w:pPr>
                    <w:r w:rsidRPr="00A23456">
                      <w:rPr>
                        <w:sz w:val="13"/>
                        <w:szCs w:val="13"/>
                        <w:lang w:val="nn-NO"/>
                      </w:rPr>
                      <w:t>Postbus 20061</w:t>
                    </w:r>
                  </w:p>
                  <w:p w14:paraId="0A1F87B1" w14:textId="77777777" w:rsidR="00172C5C" w:rsidRPr="00A23456" w:rsidRDefault="00172C5C" w:rsidP="00172C5C">
                    <w:pPr>
                      <w:rPr>
                        <w:sz w:val="13"/>
                        <w:szCs w:val="13"/>
                        <w:lang w:val="nn-NO"/>
                      </w:rPr>
                    </w:pPr>
                    <w:r w:rsidRPr="00A23456">
                      <w:rPr>
                        <w:sz w:val="13"/>
                        <w:szCs w:val="13"/>
                        <w:lang w:val="nn-NO"/>
                      </w:rPr>
                      <w:t>Nederland</w:t>
                    </w:r>
                  </w:p>
                  <w:p w14:paraId="76A541DA" w14:textId="77777777" w:rsidR="00172C5C" w:rsidRPr="00A23456" w:rsidRDefault="00172C5C" w:rsidP="00172C5C">
                    <w:pPr>
                      <w:rPr>
                        <w:sz w:val="13"/>
                        <w:szCs w:val="13"/>
                        <w:lang w:val="nn-NO"/>
                      </w:rPr>
                    </w:pPr>
                    <w:r w:rsidRPr="00A23456">
                      <w:rPr>
                        <w:sz w:val="13"/>
                        <w:szCs w:val="13"/>
                        <w:lang w:val="nn-NO"/>
                      </w:rPr>
                      <w:t>www.rijksoverheid.nl</w:t>
                    </w:r>
                  </w:p>
                  <w:p w14:paraId="6C4FA6DB" w14:textId="3CDC3D02" w:rsidR="0069463B" w:rsidRPr="00A23456" w:rsidRDefault="0069463B">
                    <w:pPr>
                      <w:pStyle w:val="Referentiegegevens"/>
                      <w:rPr>
                        <w:lang w:val="nn-NO"/>
                      </w:rPr>
                    </w:pPr>
                  </w:p>
                  <w:p w14:paraId="6C4FA6DD" w14:textId="77777777" w:rsidR="0069463B" w:rsidRPr="00A23456" w:rsidRDefault="0069463B">
                    <w:pPr>
                      <w:pStyle w:val="WitregelW2"/>
                      <w:rPr>
                        <w:lang w:val="nn-NO"/>
                      </w:rPr>
                    </w:pPr>
                  </w:p>
                  <w:p w14:paraId="6C4FA6DE" w14:textId="77777777" w:rsidR="0069463B" w:rsidRPr="00A23456" w:rsidRDefault="00C402B2">
                    <w:pPr>
                      <w:pStyle w:val="Referentiegegevensbold"/>
                      <w:rPr>
                        <w:lang w:val="de-DE"/>
                      </w:rPr>
                    </w:pPr>
                    <w:r w:rsidRPr="00A23456">
                      <w:rPr>
                        <w:lang w:val="de-DE"/>
                      </w:rPr>
                      <w:t>Onze referentie</w:t>
                    </w:r>
                  </w:p>
                  <w:p w14:paraId="6C4FA6DF" w14:textId="77777777" w:rsidR="0069463B" w:rsidRDefault="00C402B2">
                    <w:pPr>
                      <w:pStyle w:val="Referentiegegevens"/>
                    </w:pPr>
                    <w:r>
                      <w:t>BZ2401315</w:t>
                    </w:r>
                  </w:p>
                  <w:p w14:paraId="6C4FA6E0" w14:textId="77777777" w:rsidR="0069463B" w:rsidRDefault="0069463B">
                    <w:pPr>
                      <w:pStyle w:val="WitregelW1"/>
                    </w:pPr>
                  </w:p>
                  <w:p w14:paraId="6C4FA6E1" w14:textId="77777777" w:rsidR="0069463B" w:rsidRDefault="00C402B2">
                    <w:pPr>
                      <w:pStyle w:val="Referentiegegevensbold"/>
                    </w:pPr>
                    <w:r>
                      <w:t>Bijlage(n)</w:t>
                    </w:r>
                  </w:p>
                  <w:p w14:paraId="6C4FA6E2" w14:textId="0D18ACB5" w:rsidR="0069463B" w:rsidRDefault="00172C5C">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6C4FA6C5" wp14:editId="6C4FA6C6">
              <wp:simplePos x="0" y="0"/>
              <wp:positionH relativeFrom="page">
                <wp:posOffset>1007744</wp:posOffset>
              </wp:positionH>
              <wp:positionV relativeFrom="page">
                <wp:posOffset>10194925</wp:posOffset>
              </wp:positionV>
              <wp:extent cx="4787900" cy="251460"/>
              <wp:effectExtent l="0" t="0" r="0" b="0"/>
              <wp:wrapNone/>
              <wp:docPr id="8" name="Text Box 8"/>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6C4FA6E3" w14:textId="544A544F" w:rsidR="0069463B" w:rsidRDefault="0069463B">
                          <w:pPr>
                            <w:pStyle w:val="Rubricering"/>
                          </w:pPr>
                        </w:p>
                      </w:txbxContent>
                    </wps:txbx>
                    <wps:bodyPr vert="horz" wrap="square" lIns="0" tIns="0" rIns="0" bIns="0" anchor="t" anchorCtr="0"/>
                  </wps:wsp>
                </a:graphicData>
              </a:graphic>
            </wp:anchor>
          </w:drawing>
        </mc:Choice>
        <mc:Fallback>
          <w:pict>
            <v:shape w14:anchorId="6C4FA6C5" id="Text Box 8" o:spid="_x0000_s1033" type="#_x0000_t202" style="position:absolute;margin-left:79.35pt;margin-top:802.75pt;width:377pt;height:19.8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6C4FA6E3" w14:textId="544A544F" w:rsidR="0069463B" w:rsidRDefault="0069463B">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6C4FA6C7" wp14:editId="6C4FA6C8">
              <wp:simplePos x="0" y="0"/>
              <wp:positionH relativeFrom="page">
                <wp:posOffset>5921375</wp:posOffset>
              </wp:positionH>
              <wp:positionV relativeFrom="page">
                <wp:posOffset>10194925</wp:posOffset>
              </wp:positionV>
              <wp:extent cx="1285875" cy="161925"/>
              <wp:effectExtent l="0" t="0" r="0" b="0"/>
              <wp:wrapNone/>
              <wp:docPr id="9" name="Text Box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6C4FA6F1" w14:textId="77777777" w:rsidR="00C402B2" w:rsidRDefault="00C402B2"/>
                      </w:txbxContent>
                    </wps:txbx>
                    <wps:bodyPr vert="horz" wrap="square" lIns="0" tIns="0" rIns="0" bIns="0" anchor="t" anchorCtr="0"/>
                  </wps:wsp>
                </a:graphicData>
              </a:graphic>
            </wp:anchor>
          </w:drawing>
        </mc:Choice>
        <mc:Fallback>
          <w:pict>
            <v:shape w14:anchorId="6C4FA6C7" id="Text Box 9" o:spid="_x0000_s1034"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6C4FA6F1" w14:textId="77777777" w:rsidR="00C402B2" w:rsidRDefault="00C402B2"/>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6C4FA6C9" wp14:editId="6C4FA6CA">
              <wp:simplePos x="0" y="0"/>
              <wp:positionH relativeFrom="page">
                <wp:posOffset>3545840</wp:posOffset>
              </wp:positionH>
              <wp:positionV relativeFrom="page">
                <wp:posOffset>0</wp:posOffset>
              </wp:positionV>
              <wp:extent cx="467995" cy="158305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C4FA6E4" w14:textId="561CFE14" w:rsidR="0069463B" w:rsidRDefault="0069463B">
                          <w:pPr>
                            <w:spacing w:line="240" w:lineRule="auto"/>
                          </w:pPr>
                        </w:p>
                      </w:txbxContent>
                    </wps:txbx>
                    <wps:bodyPr vert="horz" wrap="square" lIns="0" tIns="0" rIns="0" bIns="0" anchor="t" anchorCtr="0"/>
                  </wps:wsp>
                </a:graphicData>
              </a:graphic>
            </wp:anchor>
          </w:drawing>
        </mc:Choice>
        <mc:Fallback>
          <w:pict>
            <v:shape w14:anchorId="6C4FA6C9" id="Text Box 10" o:spid="_x0000_s1035"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6C4FA6E4" w14:textId="561CFE14" w:rsidR="0069463B" w:rsidRDefault="0069463B">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6C4FA6CB" wp14:editId="6C4FA6CC">
              <wp:simplePos x="0" y="0"/>
              <wp:positionH relativeFrom="page">
                <wp:posOffset>3995420</wp:posOffset>
              </wp:positionH>
              <wp:positionV relativeFrom="page">
                <wp:posOffset>0</wp:posOffset>
              </wp:positionV>
              <wp:extent cx="2339975" cy="158369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C4FA6E5" w14:textId="77777777" w:rsidR="0069463B" w:rsidRDefault="00C402B2">
                          <w:pPr>
                            <w:spacing w:line="240" w:lineRule="auto"/>
                          </w:pPr>
                          <w:r>
                            <w:rPr>
                              <w:noProof/>
                            </w:rPr>
                            <w:drawing>
                              <wp:inline distT="0" distB="0" distL="0" distR="0" wp14:anchorId="6C4FA6ED" wp14:editId="6C4FA6EE">
                                <wp:extent cx="2339975" cy="1582834"/>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C4FA6CB" id="Text Box 12" o:spid="_x0000_s1036"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6C4FA6E5" w14:textId="77777777" w:rsidR="0069463B" w:rsidRDefault="00C402B2">
                    <w:pPr>
                      <w:spacing w:line="240" w:lineRule="auto"/>
                    </w:pPr>
                    <w:r>
                      <w:rPr>
                        <w:noProof/>
                      </w:rPr>
                      <w:drawing>
                        <wp:inline distT="0" distB="0" distL="0" distR="0" wp14:anchorId="6C4FA6ED" wp14:editId="6C4FA6EE">
                          <wp:extent cx="2339975" cy="1582834"/>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D1D4D8"/>
    <w:multiLevelType w:val="multilevel"/>
    <w:tmpl w:val="DF8FE157"/>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540228D"/>
    <w:multiLevelType w:val="multilevel"/>
    <w:tmpl w:val="C077FA9D"/>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776705"/>
    <w:multiLevelType w:val="multilevel"/>
    <w:tmpl w:val="AAEF0B5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21AE950C"/>
    <w:multiLevelType w:val="multilevel"/>
    <w:tmpl w:val="A2DE1125"/>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4" w15:restartNumberingAfterBreak="0">
    <w:nsid w:val="4D685E50"/>
    <w:multiLevelType w:val="hybridMultilevel"/>
    <w:tmpl w:val="F8D6EB58"/>
    <w:lvl w:ilvl="0" w:tplc="B3D0BCB6">
      <w:start w:val="1"/>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6F71464F"/>
    <w:multiLevelType w:val="multilevel"/>
    <w:tmpl w:val="8037190B"/>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617225271">
    <w:abstractNumId w:val="3"/>
  </w:num>
  <w:num w:numId="2" w16cid:durableId="1207134949">
    <w:abstractNumId w:val="5"/>
  </w:num>
  <w:num w:numId="3" w16cid:durableId="655106059">
    <w:abstractNumId w:val="2"/>
  </w:num>
  <w:num w:numId="4" w16cid:durableId="753555061">
    <w:abstractNumId w:val="0"/>
  </w:num>
  <w:num w:numId="5" w16cid:durableId="909073243">
    <w:abstractNumId w:val="1"/>
  </w:num>
  <w:num w:numId="6" w16cid:durableId="1770008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63B"/>
    <w:rsid w:val="00002046"/>
    <w:rsid w:val="00035E44"/>
    <w:rsid w:val="0003620C"/>
    <w:rsid w:val="0004196B"/>
    <w:rsid w:val="000C5D8B"/>
    <w:rsid w:val="000E78D0"/>
    <w:rsid w:val="001072D4"/>
    <w:rsid w:val="00143F37"/>
    <w:rsid w:val="00150A66"/>
    <w:rsid w:val="00162608"/>
    <w:rsid w:val="00172C5C"/>
    <w:rsid w:val="0019271B"/>
    <w:rsid w:val="001A0339"/>
    <w:rsid w:val="001C209F"/>
    <w:rsid w:val="001E6E1A"/>
    <w:rsid w:val="00201D37"/>
    <w:rsid w:val="00214818"/>
    <w:rsid w:val="00223404"/>
    <w:rsid w:val="002A4269"/>
    <w:rsid w:val="0030385C"/>
    <w:rsid w:val="0038006D"/>
    <w:rsid w:val="003D4A59"/>
    <w:rsid w:val="00451E6B"/>
    <w:rsid w:val="00475E8C"/>
    <w:rsid w:val="0049265D"/>
    <w:rsid w:val="004C45F0"/>
    <w:rsid w:val="004D78BD"/>
    <w:rsid w:val="004E6196"/>
    <w:rsid w:val="0051322B"/>
    <w:rsid w:val="00522B48"/>
    <w:rsid w:val="0052383F"/>
    <w:rsid w:val="00537428"/>
    <w:rsid w:val="005D1A60"/>
    <w:rsid w:val="005D2DF0"/>
    <w:rsid w:val="006752C8"/>
    <w:rsid w:val="006801F8"/>
    <w:rsid w:val="006851FC"/>
    <w:rsid w:val="0069463B"/>
    <w:rsid w:val="006A1EF3"/>
    <w:rsid w:val="006E0352"/>
    <w:rsid w:val="0070642D"/>
    <w:rsid w:val="0073103C"/>
    <w:rsid w:val="00747665"/>
    <w:rsid w:val="007535DF"/>
    <w:rsid w:val="00764F2E"/>
    <w:rsid w:val="007C35B4"/>
    <w:rsid w:val="007D34BF"/>
    <w:rsid w:val="007F27BF"/>
    <w:rsid w:val="008060D1"/>
    <w:rsid w:val="008178DD"/>
    <w:rsid w:val="0082125B"/>
    <w:rsid w:val="00831B85"/>
    <w:rsid w:val="00852587"/>
    <w:rsid w:val="00872B39"/>
    <w:rsid w:val="0089021C"/>
    <w:rsid w:val="008A461C"/>
    <w:rsid w:val="00905CAB"/>
    <w:rsid w:val="00945370"/>
    <w:rsid w:val="00953773"/>
    <w:rsid w:val="00965712"/>
    <w:rsid w:val="009A5253"/>
    <w:rsid w:val="009D0AFA"/>
    <w:rsid w:val="009F38E2"/>
    <w:rsid w:val="009F6A94"/>
    <w:rsid w:val="00A23456"/>
    <w:rsid w:val="00A25953"/>
    <w:rsid w:val="00A43CBF"/>
    <w:rsid w:val="00A45277"/>
    <w:rsid w:val="00A51D28"/>
    <w:rsid w:val="00A579BD"/>
    <w:rsid w:val="00A85420"/>
    <w:rsid w:val="00AA33CF"/>
    <w:rsid w:val="00B425AE"/>
    <w:rsid w:val="00B47239"/>
    <w:rsid w:val="00B50B2C"/>
    <w:rsid w:val="00BA4949"/>
    <w:rsid w:val="00BC11B9"/>
    <w:rsid w:val="00C13972"/>
    <w:rsid w:val="00C402B2"/>
    <w:rsid w:val="00C66EE4"/>
    <w:rsid w:val="00CA25DC"/>
    <w:rsid w:val="00CC29FD"/>
    <w:rsid w:val="00CC4F6F"/>
    <w:rsid w:val="00CE4992"/>
    <w:rsid w:val="00CF3D17"/>
    <w:rsid w:val="00D13586"/>
    <w:rsid w:val="00D91855"/>
    <w:rsid w:val="00DD2F96"/>
    <w:rsid w:val="00DD70F8"/>
    <w:rsid w:val="00E04A4E"/>
    <w:rsid w:val="00E30B44"/>
    <w:rsid w:val="00E364F1"/>
    <w:rsid w:val="00E63280"/>
    <w:rsid w:val="00E73D83"/>
    <w:rsid w:val="00E9618F"/>
    <w:rsid w:val="00ED64C5"/>
    <w:rsid w:val="00F138DC"/>
    <w:rsid w:val="00F33487"/>
    <w:rsid w:val="00F4042B"/>
    <w:rsid w:val="00F904B0"/>
    <w:rsid w:val="00F92968"/>
    <w:rsid w:val="00FB1A39"/>
    <w:rsid w:val="00FC19AA"/>
    <w:rsid w:val="00FC59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FA6AB"/>
  <w15:docId w15:val="{6289B88E-1E2A-4E19-9CE3-BA7E35A1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ListParagraph">
    <w:name w:val="List Paragraph"/>
    <w:basedOn w:val="Normal"/>
    <w:uiPriority w:val="34"/>
    <w:qFormat/>
    <w:rsid w:val="00C402B2"/>
    <w:pPr>
      <w:autoSpaceDN/>
      <w:spacing w:line="240" w:lineRule="auto"/>
      <w:ind w:left="720"/>
      <w:textAlignment w:val="auto"/>
    </w:pPr>
    <w:rPr>
      <w:rFonts w:ascii="Calibri" w:eastAsiaTheme="minorHAnsi" w:hAnsi="Calibri" w:cs="Calibri"/>
      <w:color w:val="auto"/>
      <w:sz w:val="22"/>
      <w:szCs w:val="22"/>
      <w:lang w:eastAsia="en-US"/>
    </w:rPr>
  </w:style>
  <w:style w:type="paragraph" w:styleId="FootnoteText">
    <w:name w:val="footnote text"/>
    <w:basedOn w:val="Normal"/>
    <w:link w:val="FootnoteTextChar"/>
    <w:uiPriority w:val="99"/>
    <w:semiHidden/>
    <w:unhideWhenUsed/>
    <w:rsid w:val="00C402B2"/>
    <w:pPr>
      <w:autoSpaceDN/>
      <w:spacing w:line="240" w:lineRule="auto"/>
      <w:textAlignment w:val="auto"/>
    </w:pPr>
    <w:rPr>
      <w:rFonts w:asciiTheme="minorHAnsi" w:eastAsiaTheme="minorHAnsi" w:hAnsiTheme="minorHAnsi" w:cstheme="minorBidi"/>
      <w:color w:val="auto"/>
      <w:kern w:val="2"/>
      <w:sz w:val="20"/>
      <w:szCs w:val="20"/>
      <w:lang w:val="en-GB" w:eastAsia="en-US"/>
      <w14:ligatures w14:val="standardContextual"/>
    </w:rPr>
  </w:style>
  <w:style w:type="character" w:customStyle="1" w:styleId="FootnoteTextChar">
    <w:name w:val="Footnote Text Char"/>
    <w:basedOn w:val="DefaultParagraphFont"/>
    <w:link w:val="FootnoteText"/>
    <w:uiPriority w:val="99"/>
    <w:semiHidden/>
    <w:rsid w:val="00C402B2"/>
    <w:rPr>
      <w:rFonts w:asciiTheme="minorHAnsi" w:eastAsiaTheme="minorHAnsi" w:hAnsiTheme="minorHAnsi" w:cstheme="minorBidi"/>
      <w:kern w:val="2"/>
      <w:lang w:val="en-GB" w:eastAsia="en-US"/>
      <w14:ligatures w14:val="standardContextual"/>
    </w:rPr>
  </w:style>
  <w:style w:type="character" w:styleId="FootnoteReference">
    <w:name w:val="footnote reference"/>
    <w:basedOn w:val="DefaultParagraphFont"/>
    <w:uiPriority w:val="99"/>
    <w:semiHidden/>
    <w:unhideWhenUsed/>
    <w:rsid w:val="00C402B2"/>
    <w:rPr>
      <w:vertAlign w:val="superscript"/>
    </w:rPr>
  </w:style>
  <w:style w:type="paragraph" w:styleId="Header">
    <w:name w:val="header"/>
    <w:basedOn w:val="Normal"/>
    <w:link w:val="HeaderChar"/>
    <w:uiPriority w:val="99"/>
    <w:unhideWhenUsed/>
    <w:rsid w:val="007F27BF"/>
    <w:pPr>
      <w:tabs>
        <w:tab w:val="center" w:pos="4513"/>
        <w:tab w:val="right" w:pos="9026"/>
      </w:tabs>
      <w:spacing w:line="240" w:lineRule="auto"/>
    </w:pPr>
  </w:style>
  <w:style w:type="character" w:customStyle="1" w:styleId="HeaderChar">
    <w:name w:val="Header Char"/>
    <w:basedOn w:val="DefaultParagraphFont"/>
    <w:link w:val="Header"/>
    <w:uiPriority w:val="99"/>
    <w:rsid w:val="007F27BF"/>
    <w:rPr>
      <w:rFonts w:ascii="Verdana" w:hAnsi="Verdana"/>
      <w:color w:val="000000"/>
      <w:sz w:val="18"/>
      <w:szCs w:val="18"/>
    </w:rPr>
  </w:style>
  <w:style w:type="paragraph" w:styleId="Footer">
    <w:name w:val="footer"/>
    <w:basedOn w:val="Normal"/>
    <w:link w:val="FooterChar"/>
    <w:uiPriority w:val="99"/>
    <w:unhideWhenUsed/>
    <w:rsid w:val="007F27BF"/>
    <w:pPr>
      <w:tabs>
        <w:tab w:val="center" w:pos="4513"/>
        <w:tab w:val="right" w:pos="9026"/>
      </w:tabs>
      <w:spacing w:line="240" w:lineRule="auto"/>
    </w:pPr>
  </w:style>
  <w:style w:type="character" w:customStyle="1" w:styleId="FooterChar">
    <w:name w:val="Footer Char"/>
    <w:basedOn w:val="DefaultParagraphFont"/>
    <w:link w:val="Footer"/>
    <w:uiPriority w:val="99"/>
    <w:rsid w:val="007F27BF"/>
    <w:rPr>
      <w:rFonts w:ascii="Verdana" w:hAnsi="Verdana"/>
      <w:color w:val="000000"/>
      <w:sz w:val="18"/>
      <w:szCs w:val="18"/>
    </w:rPr>
  </w:style>
  <w:style w:type="paragraph" w:styleId="Revision">
    <w:name w:val="Revision"/>
    <w:hidden/>
    <w:uiPriority w:val="99"/>
    <w:semiHidden/>
    <w:rsid w:val="00F4042B"/>
    <w:pPr>
      <w:autoSpaceDN/>
      <w:textAlignment w:val="auto"/>
    </w:pPr>
    <w:rPr>
      <w:rFonts w:ascii="Verdana" w:hAnsi="Verdana"/>
      <w:color w:val="000000"/>
      <w:sz w:val="18"/>
      <w:szCs w:val="18"/>
    </w:rPr>
  </w:style>
  <w:style w:type="character" w:styleId="CommentReference">
    <w:name w:val="annotation reference"/>
    <w:basedOn w:val="DefaultParagraphFont"/>
    <w:uiPriority w:val="99"/>
    <w:semiHidden/>
    <w:unhideWhenUsed/>
    <w:rsid w:val="0003620C"/>
    <w:rPr>
      <w:sz w:val="16"/>
      <w:szCs w:val="16"/>
    </w:rPr>
  </w:style>
  <w:style w:type="paragraph" w:styleId="CommentText">
    <w:name w:val="annotation text"/>
    <w:basedOn w:val="Normal"/>
    <w:link w:val="CommentTextChar"/>
    <w:uiPriority w:val="99"/>
    <w:unhideWhenUsed/>
    <w:rsid w:val="0003620C"/>
    <w:pPr>
      <w:spacing w:line="240" w:lineRule="auto"/>
    </w:pPr>
    <w:rPr>
      <w:sz w:val="20"/>
      <w:szCs w:val="20"/>
    </w:rPr>
  </w:style>
  <w:style w:type="character" w:customStyle="1" w:styleId="CommentTextChar">
    <w:name w:val="Comment Text Char"/>
    <w:basedOn w:val="DefaultParagraphFont"/>
    <w:link w:val="CommentText"/>
    <w:uiPriority w:val="99"/>
    <w:rsid w:val="0003620C"/>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03620C"/>
    <w:rPr>
      <w:b/>
      <w:bCs/>
    </w:rPr>
  </w:style>
  <w:style w:type="character" w:customStyle="1" w:styleId="CommentSubjectChar">
    <w:name w:val="Comment Subject Char"/>
    <w:basedOn w:val="CommentTextChar"/>
    <w:link w:val="CommentSubject"/>
    <w:uiPriority w:val="99"/>
    <w:semiHidden/>
    <w:rsid w:val="0003620C"/>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webSetting" Target="webSettings0.xml" Id="rId25"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2540</ap:Words>
  <ap:Characters>13974</ap:Characters>
  <ap:DocSecurity>0</ap:DocSecurity>
  <ap:Lines>116</ap:Lines>
  <ap:Paragraphs>32</ap:Paragraphs>
  <ap:ScaleCrop>false</ap:ScaleCrop>
  <ap:HeadingPairs>
    <vt:vector baseType="variant" size="2">
      <vt:variant>
        <vt:lpstr>Title</vt:lpstr>
      </vt:variant>
      <vt:variant>
        <vt:i4>1</vt:i4>
      </vt:variant>
    </vt:vector>
  </ap:HeadingPairs>
  <ap:TitlesOfParts>
    <vt:vector baseType="lpstr" size="1">
      <vt:lpstr>Inzet Koninkrijk der Nederlanden voor de 79e zitting van de AVVN</vt:lpstr>
    </vt:vector>
  </ap:TitlesOfParts>
  <ap:LinksUpToDate>false</ap:LinksUpToDate>
  <ap:CharactersWithSpaces>16482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2024-07-23T13:38:00.0000000Z</lastPrinted>
  <dcterms:created xsi:type="dcterms:W3CDTF">2024-08-30T09:23:00.0000000Z</dcterms:created>
  <dcterms:modified xsi:type="dcterms:W3CDTF">2024-08-30T09:23:00.0000000Z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BZCountryState">
    <vt:lpwstr>3;#Not applicable|ec01d90b-9d0f-4785-8785-e1ea615196bf</vt:lpwstr>
  </property>
  <property fmtid="{D5CDD505-2E9C-101B-9397-08002B2CF9AE}" pid="4" name="BZForumOrganisation">
    <vt:lpwstr>2;#Not applicable|0049e722-bfb1-4a3f-9d08-af7366a9af40</vt:lpwstr>
  </property>
  <property fmtid="{D5CDD505-2E9C-101B-9397-08002B2CF9AE}" pid="5" name="BZMarking">
    <vt:lpwstr>5;#X|0a4eb9ae-69eb-4d9e-b573-43ab99ef8592</vt:lpwstr>
  </property>
  <property fmtid="{D5CDD505-2E9C-101B-9397-08002B2CF9AE}" pid="6" name="BZTheme">
    <vt:lpwstr>40;#UN (non-implementation) general|00195dc6-ae3f-47a4-a1b1-71527c40ae42</vt:lpwstr>
  </property>
  <property fmtid="{D5CDD505-2E9C-101B-9397-08002B2CF9AE}" pid="7" name="BZClassification">
    <vt:lpwstr>4;#X|284e6a62-15ab-4017-be27-a1e965f4e940</vt:lpwstr>
  </property>
  <property fmtid="{D5CDD505-2E9C-101B-9397-08002B2CF9AE}" pid="8" name="_dlc_DocIdItemGuid">
    <vt:lpwstr>e5cd3c23-cfdd-44ad-b13b-2a06e88a9c0f</vt:lpwstr>
  </property>
  <property fmtid="{D5CDD505-2E9C-101B-9397-08002B2CF9AE}" pid="9" name="gc2efd3bfea04f7f8169be07009f5536">
    <vt:lpwstr/>
  </property>
  <property fmtid="{D5CDD505-2E9C-101B-9397-08002B2CF9AE}" pid="10" name="BZDossierResponsibleDepartment">
    <vt:lpwstr/>
  </property>
  <property fmtid="{D5CDD505-2E9C-101B-9397-08002B2CF9AE}" pid="11" name="BZDossierProcessLocation">
    <vt:lpwstr/>
  </property>
  <property fmtid="{D5CDD505-2E9C-101B-9397-08002B2CF9AE}" pid="12" name="BZDossierGovernmentOfficial">
    <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