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24B" w:rsidP="00C3624B" w:rsidRDefault="00C3624B" w14:paraId="5CB7B734" w14:textId="704A794D">
      <w:pPr>
        <w:pStyle w:val="Geenafstand"/>
      </w:pPr>
      <w:r>
        <w:t>AH 2387</w:t>
      </w:r>
    </w:p>
    <w:p w:rsidR="00F12812" w:rsidP="00C3624B" w:rsidRDefault="00B1754D" w14:paraId="402406CE" w14:textId="61E3015A">
      <w:pPr>
        <w:pStyle w:val="Geenafstand"/>
      </w:pPr>
      <w:r>
        <w:t>2024Z12013</w:t>
      </w:r>
    </w:p>
    <w:p w:rsidR="00C3624B" w:rsidRDefault="00C3624B" w14:paraId="001A6335" w14:textId="77777777">
      <w:pPr>
        <w:ind w:left="-5"/>
      </w:pPr>
    </w:p>
    <w:p w:rsidR="00C3624B" w:rsidRDefault="00C3624B" w14:paraId="6F929DCF" w14:textId="60E9AE29">
      <w:pPr>
        <w:ind w:left="-5"/>
      </w:pPr>
      <w:r w:rsidRPr="009B5FE1">
        <w:rPr>
          <w:sz w:val="24"/>
          <w:szCs w:val="24"/>
        </w:rPr>
        <w:t>Antwoord van minister Heinen (Financiën)</w:t>
      </w:r>
      <w:r w:rsidRPr="00ED42F6">
        <w:rPr>
          <w:sz w:val="24"/>
          <w:szCs w:val="24"/>
        </w:rPr>
        <w:t xml:space="preserve"> </w:t>
      </w:r>
      <w:r w:rsidRPr="009B5FE1">
        <w:rPr>
          <w:sz w:val="24"/>
          <w:szCs w:val="24"/>
        </w:rPr>
        <w:t>(ontvangen</w:t>
      </w:r>
      <w:r>
        <w:rPr>
          <w:sz w:val="24"/>
          <w:szCs w:val="24"/>
        </w:rPr>
        <w:t xml:space="preserve"> 30 augustus 2024)</w:t>
      </w:r>
    </w:p>
    <w:p w:rsidRPr="005967F4" w:rsidR="00F12812" w:rsidRDefault="00B1754D" w14:paraId="36AF2909" w14:textId="741C634C">
      <w:pPr>
        <w:ind w:left="-5"/>
        <w:rPr>
          <w:b/>
          <w:bCs/>
        </w:rPr>
      </w:pPr>
      <w:r w:rsidRPr="005967F4">
        <w:rPr>
          <w:b/>
          <w:bCs/>
        </w:rPr>
        <w:t>1</w:t>
      </w:r>
    </w:p>
    <w:p w:rsidRPr="005967F4" w:rsidR="00F12812" w:rsidRDefault="00B1754D" w14:paraId="78C61050" w14:textId="77777777">
      <w:pPr>
        <w:ind w:left="-5"/>
        <w:rPr>
          <w:b/>
          <w:bCs/>
        </w:rPr>
      </w:pPr>
      <w:r w:rsidRPr="005967F4">
        <w:rPr>
          <w:b/>
          <w:bCs/>
        </w:rPr>
        <w:t>Bent u bekend met het artikel “Topman Franse centrale bank slaat alarm: ‘Zeer negatieve schok’” 1)? Wat is uw reactie op dit artikel?</w:t>
      </w:r>
    </w:p>
    <w:p w:rsidRPr="005967F4" w:rsidR="00F12812" w:rsidRDefault="005967F4" w14:paraId="616CC94B" w14:textId="158C7ABD">
      <w:pPr>
        <w:spacing w:after="213" w:line="259" w:lineRule="auto"/>
        <w:ind w:left="0" w:firstLine="0"/>
      </w:pPr>
      <w:r w:rsidRPr="005967F4">
        <w:t xml:space="preserve">Ik ben bekend met dit artikel. Ik deel de zorgen van de heer Villeroy de Galhau met betrekking tot de hoogte van het begrotingstekort in Frankrijk. Het is momenteel onbekend welk beleid Frankrijk gaat voeren na de recente parlementsverkiezingen. Monitoring van het Franse begrotingsbeleid zal </w:t>
      </w:r>
      <w:r w:rsidR="00406DCE">
        <w:t xml:space="preserve">binnen de Europese Unie </w:t>
      </w:r>
      <w:r w:rsidRPr="005967F4">
        <w:t xml:space="preserve">plaatsvinden in het kader van het Stabiliteits- en Groeipact. </w:t>
      </w:r>
    </w:p>
    <w:p w:rsidRPr="005967F4" w:rsidR="00F12812" w:rsidRDefault="00B1754D" w14:paraId="25732262" w14:textId="77777777">
      <w:pPr>
        <w:ind w:left="-5"/>
        <w:rPr>
          <w:b/>
          <w:bCs/>
        </w:rPr>
      </w:pPr>
      <w:r w:rsidRPr="005967F4">
        <w:rPr>
          <w:b/>
          <w:bCs/>
        </w:rPr>
        <w:t>2</w:t>
      </w:r>
    </w:p>
    <w:p w:rsidRPr="005967F4" w:rsidR="00F12812" w:rsidRDefault="00B1754D" w14:paraId="4CFABECD" w14:textId="77777777">
      <w:pPr>
        <w:ind w:left="-5"/>
        <w:rPr>
          <w:b/>
          <w:bCs/>
        </w:rPr>
      </w:pPr>
      <w:r w:rsidRPr="005967F4">
        <w:rPr>
          <w:b/>
          <w:bCs/>
        </w:rPr>
        <w:t>Bent u eveneens bezorgd over de begrotingstekorten en staatsschuld in een aantal Europese landen, met name ook in grote landen als Frankrijk en Italië? Wat vindt u van deze zorgelijke situatie die grote impact kan hebben op de eurozone en Nederland?</w:t>
      </w:r>
    </w:p>
    <w:p w:rsidRPr="005967F4" w:rsidR="00F12812" w:rsidRDefault="005967F4" w14:paraId="4A7696F6" w14:textId="6AEEEB74">
      <w:pPr>
        <w:spacing w:after="213" w:line="259" w:lineRule="auto"/>
        <w:ind w:left="0" w:firstLine="0"/>
      </w:pPr>
      <w:r w:rsidRPr="005967F4">
        <w:t xml:space="preserve">Het kabinet onderstreept het belang van houdbare overheidsfinanciën en deelt de noodzaak om hoge schulden en tekorten in lidstaten terug te dringen. Het kabinet erkent dat de Europese begrotingsregels in het verleden onvoldoende hebben geleid tot schuldafbouw door lidstaten met hoge schulden en dat lidstaten onvoldoende financiële buffers hebben opgebouwd om economische en financiële schokken op te vangen. Het kabinet is van mening dat de herziene begrotingsregels waarborgen bevatten voor ambitieuze schuldafbouw, structurele hervormingen en </w:t>
      </w:r>
      <w:r w:rsidR="007564A6">
        <w:t xml:space="preserve">dat de regels </w:t>
      </w:r>
      <w:r w:rsidRPr="005967F4">
        <w:t xml:space="preserve">investeringen </w:t>
      </w:r>
      <w:r w:rsidR="007564A6">
        <w:t>stimuleren</w:t>
      </w:r>
      <w:r w:rsidRPr="005967F4">
        <w:t xml:space="preserve"> om de economie te versterken en handhaving van de regels versterk</w:t>
      </w:r>
      <w:r w:rsidR="007564A6">
        <w:t>en</w:t>
      </w:r>
      <w:r w:rsidRPr="005967F4">
        <w:t xml:space="preserve">. Het kabinet </w:t>
      </w:r>
      <w:r w:rsidR="00406DCE">
        <w:t>zal</w:t>
      </w:r>
      <w:r w:rsidRPr="005967F4" w:rsidR="00406DCE">
        <w:t xml:space="preserve"> </w:t>
      </w:r>
      <w:r w:rsidRPr="005967F4">
        <w:t>zich inzetten voor een gedegen implementatie van de herziene Europese begrotingsregels. In dat kader verwelkomt het kabinet dat de</w:t>
      </w:r>
      <w:r w:rsidR="00406DCE">
        <w:t xml:space="preserve"> </w:t>
      </w:r>
      <w:r w:rsidRPr="005967F4">
        <w:t>Ecofinraad op 16 juli jl. buitensporige tekorten heeft vastgesteld in zeven lidstaten. De Commissie publiceert in het najaar voorstellen voor Raadsaanbevelingen voor de correctie van deze buitensporige tekorten.</w:t>
      </w:r>
      <w:r w:rsidRPr="00406DCE" w:rsidR="00406DCE">
        <w:rPr>
          <w:rStyle w:val="Voetnootmarkering"/>
        </w:rPr>
        <w:t xml:space="preserve"> </w:t>
      </w:r>
      <w:r w:rsidR="00406DCE">
        <w:rPr>
          <w:rStyle w:val="Voetnootmarkering"/>
        </w:rPr>
        <w:footnoteReference w:id="1"/>
      </w:r>
      <w:r w:rsidRPr="005967F4">
        <w:t xml:space="preserve"> </w:t>
      </w:r>
    </w:p>
    <w:p w:rsidRPr="005967F4" w:rsidR="00F12812" w:rsidRDefault="00B1754D" w14:paraId="428A4910" w14:textId="77777777">
      <w:pPr>
        <w:ind w:left="-5"/>
        <w:rPr>
          <w:b/>
          <w:bCs/>
        </w:rPr>
      </w:pPr>
      <w:r w:rsidRPr="005967F4">
        <w:rPr>
          <w:b/>
          <w:bCs/>
        </w:rPr>
        <w:t>3</w:t>
      </w:r>
    </w:p>
    <w:p w:rsidRPr="005967F4" w:rsidR="00F12812" w:rsidRDefault="00B1754D" w14:paraId="4E21C1A7" w14:textId="77777777">
      <w:pPr>
        <w:ind w:left="-5"/>
        <w:rPr>
          <w:b/>
          <w:bCs/>
        </w:rPr>
      </w:pPr>
      <w:r w:rsidRPr="005967F4">
        <w:rPr>
          <w:b/>
          <w:bCs/>
        </w:rPr>
        <w:t>Wat zijn de gevolgen voor de euro en de financiële markten, want met name voor de stabiliteit en toekomstbestendigheid van de euro is het van groot belang dat alle landen in de Europese Unie een deugdelijk begrotingsbeleid hebben? Wat zijn de gevolgen voor de rente en de inflatie?</w:t>
      </w:r>
    </w:p>
    <w:p w:rsidRPr="005967F4" w:rsidR="005967F4" w:rsidP="005967F4" w:rsidRDefault="7A4AA1E0" w14:paraId="49AF4BE1" w14:textId="68D23742">
      <w:pPr>
        <w:ind w:left="-5"/>
      </w:pPr>
      <w:r>
        <w:t>Het uitroepen van de parlementsverkiezingen in Frankrijk is gepaard gegaan met een negatieve reactie op financiële markten, waarbij het renteverschil (spread) tussen Frankrijk en Duitsland is opgelopen tot het hoogste niveau sinds 2017. Inmiddels zijn financiële markten gestabiliseerd en is de spread tussen Frankrijk en Duitsland afgenomen, alhoewel deze wel hoger blijft dan voor het uitroepen van de parlementsverkiezingen. Derhalve lijken de risico’s voor de financiële stabiliteit momenteel beperkt.</w:t>
      </w:r>
    </w:p>
    <w:p w:rsidRPr="005967F4" w:rsidR="00F12812" w:rsidP="005967F4" w:rsidRDefault="005967F4" w14:paraId="000F1184" w14:textId="2579BA0C">
      <w:pPr>
        <w:spacing w:after="213" w:line="259" w:lineRule="auto"/>
        <w:ind w:left="0" w:firstLine="0"/>
        <w:rPr>
          <w:b/>
          <w:bCs/>
        </w:rPr>
      </w:pPr>
      <w:r w:rsidRPr="005967F4">
        <w:t xml:space="preserve">Expansief begrotingsbeleid in de huidige </w:t>
      </w:r>
      <w:r>
        <w:t xml:space="preserve">macro-economische </w:t>
      </w:r>
      <w:r w:rsidRPr="005967F4">
        <w:t xml:space="preserve">context leidt ertoe dat het begrotingsbeleid geen ondersteunende rol speelt in het </w:t>
      </w:r>
      <w:r>
        <w:t>streven</w:t>
      </w:r>
      <w:r w:rsidRPr="005967F4">
        <w:t xml:space="preserve"> van de ECB om de inflatie terug naar haar 2%-doelstelling te brengen. In dit kader heeft het Europees Begrotingscomité (European Fiscal Board, EFB) ook opgeroepen om in de eurozone als geheel verkrappend begrotingsbeleid te voeren.</w:t>
      </w:r>
      <w:r>
        <w:rPr>
          <w:rStyle w:val="Voetnootmarkering"/>
        </w:rPr>
        <w:footnoteReference w:id="2"/>
      </w:r>
      <w:r w:rsidRPr="005967F4">
        <w:t xml:space="preserve"> De noodzaak voor een geleidelijke en aanhoudende begrotingsconsolidatie in de eurozone, gezien de noodzaak om de hoge tekorten en schulden terug te dringen, is op 15 juli jl. onderschreven door de Eurogroep.</w:t>
      </w:r>
      <w:r>
        <w:rPr>
          <w:rStyle w:val="Voetnootmarkering"/>
        </w:rPr>
        <w:footnoteReference w:id="3"/>
      </w:r>
      <w:r w:rsidRPr="005967F4">
        <w:t xml:space="preserve"> </w:t>
      </w:r>
      <w:r w:rsidR="00406DCE">
        <w:t xml:space="preserve">De begrotingsopgave die volgt uit het herziene Stabiliteits- en Groeipact en die in het najaar door de Raad aan de lidstaten aanbevolen zal worden sluit hier naar verwachting ook bij aan.  </w:t>
      </w:r>
    </w:p>
    <w:p w:rsidR="001C5DAC" w:rsidRDefault="001C5DAC" w14:paraId="02745B0D" w14:textId="77777777">
      <w:pPr>
        <w:ind w:left="-5"/>
        <w:rPr>
          <w:b/>
          <w:bCs/>
        </w:rPr>
      </w:pPr>
    </w:p>
    <w:p w:rsidRPr="005967F4" w:rsidR="00F12812" w:rsidRDefault="00B1754D" w14:paraId="5D1FB35E" w14:textId="14830C1C">
      <w:pPr>
        <w:ind w:left="-5"/>
        <w:rPr>
          <w:b/>
          <w:bCs/>
        </w:rPr>
      </w:pPr>
      <w:r w:rsidRPr="005967F4">
        <w:rPr>
          <w:b/>
          <w:bCs/>
        </w:rPr>
        <w:lastRenderedPageBreak/>
        <w:t>4</w:t>
      </w:r>
    </w:p>
    <w:p w:rsidRPr="005967F4" w:rsidR="00F12812" w:rsidRDefault="00B1754D" w14:paraId="243102C1" w14:textId="77777777">
      <w:pPr>
        <w:ind w:left="-5"/>
        <w:rPr>
          <w:b/>
          <w:bCs/>
        </w:rPr>
      </w:pPr>
      <w:r w:rsidRPr="005967F4">
        <w:rPr>
          <w:b/>
          <w:bCs/>
        </w:rPr>
        <w:t>Wat zijn de mogelijke gevolgen voor Nederland als begrotingstekorten in de eurozone te hoog blijven? Wat zijn daarnaast de effecten voor Nederland als staatsschulden blijvend te hoog zijn?</w:t>
      </w:r>
    </w:p>
    <w:p w:rsidRPr="005967F4" w:rsidR="00F12812" w:rsidRDefault="7A4AA1E0" w14:paraId="074372EB" w14:textId="726F0A23">
      <w:pPr>
        <w:spacing w:after="213" w:line="259" w:lineRule="auto"/>
        <w:ind w:left="0" w:firstLine="0"/>
      </w:pPr>
      <w:r>
        <w:t>Lidstaten binnen de Economische en Monetaire Unie (EMU) zijn nauw verweven. De EMU beslaat de gehele EU en de begrotingsregels zijn van toepassing op alle lidstaten. Deze nauwe verwevenheid in combinatie met hoge schulden in een aantal lidstaten maakt dat de EMU kwetsbaar is voor schokken. Hoge schulden maken overheden kwetsbaar voor mogelijke renteschokken en kan leiden tot twijfel bij financiële markten of overheden in de toekomst kunnen voldoen aan hun financiële verplichtingen. Daarnaast beperken hoge schulden de ruimte voor overheden om te reageren op een crisis. Een asymmetrische schok in een lidstaat kan door de verwevenheid binnen de EMU financiële en economische gevolgen hebben voor andere lidstaten, waaronder Nederland, bijvoorbeeld via onderlinge kapitaal- en handelsstromen, onderlinge blootstellingen van financiële instellingen en regelingen voor financiële steun en risicodeling binnen de EU en de eurozone.</w:t>
      </w:r>
    </w:p>
    <w:p w:rsidRPr="005967F4" w:rsidR="00F12812" w:rsidRDefault="00B1754D" w14:paraId="419C5BD1" w14:textId="77777777">
      <w:pPr>
        <w:ind w:left="-5"/>
        <w:rPr>
          <w:b/>
          <w:bCs/>
        </w:rPr>
      </w:pPr>
      <w:r w:rsidRPr="005967F4">
        <w:rPr>
          <w:b/>
          <w:bCs/>
        </w:rPr>
        <w:t>5</w:t>
      </w:r>
    </w:p>
    <w:p w:rsidRPr="005967F4" w:rsidR="00F12812" w:rsidRDefault="00B1754D" w14:paraId="267B2E7A" w14:textId="77777777">
      <w:pPr>
        <w:ind w:left="-5"/>
        <w:rPr>
          <w:b/>
          <w:bCs/>
        </w:rPr>
      </w:pPr>
      <w:r w:rsidRPr="005967F4">
        <w:rPr>
          <w:b/>
          <w:bCs/>
        </w:rPr>
        <w:t>Op welke manier zorgen de hernieuwde afspraken in het Stabiliteits- en Groeipact ervoor dat landen meer gaan doen om het begrotingstekort terug te dringen? Zijn deze afspraken nu voldoende afdwingbaar? Zo ja, hoe? Zo nee, waarom niet?</w:t>
      </w:r>
    </w:p>
    <w:p w:rsidRPr="005967F4" w:rsidR="005967F4" w:rsidP="005967F4" w:rsidRDefault="005967F4" w14:paraId="0E4E4FE1" w14:textId="1526C1CE">
      <w:pPr>
        <w:spacing w:after="213" w:line="259" w:lineRule="auto"/>
        <w:ind w:left="0" w:firstLine="0"/>
      </w:pPr>
      <w:r w:rsidRPr="005967F4">
        <w:t xml:space="preserve">Het kabinet is van mening dat de herziene begrotingsregels aanknopingspunten bieden voor verbeterde naleving en handhaving. Ten eerste zijn de herziene begrotingsregels landspecifiek, risicogebaseerd en anticyclisch, wat het nationaal eigenaarschap van lidstaten moet bevorderen. Ten tweede bevatten de regels waarborgen voor ambitieuze schuldafbouw en tekortreductie. Deze waarborgen gelden als ondergrens voor de ambitie van het raamwerk. Ten derde bevatten de herziene begrotingsregels prikkels voor structurele hervormingen en investeringen, wat ook kan bijdragen aan schuldhoudbaarheid. Ten vierde is de handhaving van de regels versterkt in de herziene begrotingsregels. Zo worden jaarlijkse en cumulatieve afwijkingen van het door de Raad vastgestelde uitgavenpad bijgehouden in een controlerekening. Daarnaast is de rol voor het Europees Begrotingscomité (European Fiscal Board, EFB) versterkt en verankerd in wetgeving. Ook </w:t>
      </w:r>
      <w:r w:rsidRPr="005967F4" w:rsidR="00F46A15">
        <w:t>word</w:t>
      </w:r>
      <w:r w:rsidR="00F46A15">
        <w:t>t</w:t>
      </w:r>
      <w:r w:rsidRPr="005967F4" w:rsidR="00F46A15">
        <w:t xml:space="preserve"> </w:t>
      </w:r>
      <w:r w:rsidR="00F46A15">
        <w:t xml:space="preserve">de </w:t>
      </w:r>
      <w:r w:rsidRPr="005967F4">
        <w:t>schulduitdaging van lidstaten als verzwarende relevante factor meegewogen bij het vaststellen en corrigeren van buitensporige tekorten.</w:t>
      </w:r>
      <w:r w:rsidR="00F46A15">
        <w:t xml:space="preserve"> </w:t>
      </w:r>
    </w:p>
    <w:p w:rsidR="00F46A15" w:rsidP="005967F4" w:rsidRDefault="7A4AA1E0" w14:paraId="5C6B9F1E" w14:textId="1D6B0445">
      <w:pPr>
        <w:spacing w:after="213" w:line="259" w:lineRule="auto"/>
        <w:ind w:left="0" w:firstLine="0"/>
      </w:pPr>
      <w:r>
        <w:t xml:space="preserve">Het kabinet blijft zich inzetten voor een gedegen implementatie van de herziene Europese begrotingsregels. In dat kader verwelkomt het kabinet dat de Ecofinraad op 16 juli jl. buitensporige tekorten heeft vastgesteld in zeven lidstaten. De Commissie publiceert in het najaar voorstellen voor Raadsaanbevelingen voor de correctie van deze buitensporige tekorten. </w:t>
      </w:r>
    </w:p>
    <w:p w:rsidRPr="005967F4" w:rsidR="00F12812" w:rsidP="005967F4" w:rsidRDefault="00F46A15" w14:paraId="5EB2D815" w14:textId="108AB9DB">
      <w:pPr>
        <w:spacing w:after="213" w:line="259" w:lineRule="auto"/>
        <w:ind w:left="0" w:firstLine="0"/>
      </w:pPr>
      <w:r>
        <w:t xml:space="preserve">Besluiten binnen het Stabiliteits- en Groeipact worden conform het Verdrag betreffende de werking van de Europese Unie genomen door de Europese Commissie en de Raad van de Europese Unie. Dat betekent dat geen sprake is van automatisme bij de implementatie van de herziene afspraken. De effectiviteit van de herziening zal zich de komende tijd in de praktijk moeten bewijzen. Nederland zal zich vanzelfsprekend inzetten voor een gedegen implementatie van de herziene begrotingsregels door de Commissie en de Raad. </w:t>
      </w:r>
    </w:p>
    <w:p w:rsidRPr="005967F4" w:rsidR="00F12812" w:rsidRDefault="00B1754D" w14:paraId="0E188EB3" w14:textId="77777777">
      <w:pPr>
        <w:ind w:left="-5"/>
        <w:rPr>
          <w:b/>
          <w:bCs/>
        </w:rPr>
      </w:pPr>
      <w:r w:rsidRPr="005967F4">
        <w:rPr>
          <w:b/>
          <w:bCs/>
        </w:rPr>
        <w:t>6</w:t>
      </w:r>
    </w:p>
    <w:p w:rsidRPr="005967F4" w:rsidR="00F12812" w:rsidRDefault="00B1754D" w14:paraId="5F27202C" w14:textId="77777777">
      <w:pPr>
        <w:ind w:left="-5"/>
        <w:rPr>
          <w:b/>
          <w:bCs/>
        </w:rPr>
      </w:pPr>
      <w:r w:rsidRPr="005967F4">
        <w:rPr>
          <w:b/>
          <w:bCs/>
        </w:rPr>
        <w:t>In hoeverre deelt u de twee ‘gouden regels’ van de topman van de Franse centrale bank dat bedrijven moeten kunnen blijven concurreren en dat tekorten niet op kunnen blijven lopen?</w:t>
      </w:r>
    </w:p>
    <w:p w:rsidRPr="005967F4" w:rsidR="00F12812" w:rsidRDefault="005967F4" w14:paraId="7B0A2C32" w14:textId="2A61CACA">
      <w:pPr>
        <w:spacing w:after="213" w:line="259" w:lineRule="auto"/>
        <w:ind w:left="0" w:firstLine="0"/>
      </w:pPr>
      <w:r w:rsidRPr="005967F4">
        <w:t xml:space="preserve">Het kabinet deelt deze uitgangspunten van dhr. Villeroy de Galhau. Het kabinet blijft zich inzetten voor een gedegen implementatie en handhaving van de herziene begrotingsregels. Verder deelt het kabinet het belang van het versterken van het concurrentievermogen van bedrijven in Nederland en de EU. Hierbij deelt het kabinet de uitspraak van dhr. Villeroy de Galhau om te vertrouwen in werk en innovatie, welke in Europees verband kunnen worden </w:t>
      </w:r>
      <w:r w:rsidR="00F46A15">
        <w:t>ondersteund</w:t>
      </w:r>
      <w:r w:rsidRPr="005967F4" w:rsidR="00F46A15">
        <w:t xml:space="preserve"> </w:t>
      </w:r>
      <w:r w:rsidRPr="005967F4">
        <w:t>door middel van verdere verdieping van de interne markt en kapitaalmarktunie</w:t>
      </w:r>
      <w:r w:rsidR="00F46A15">
        <w:t>, en door verstandig nationaal economisch beleid dat in de EU gecoördineerd wordt via het Europees Semester</w:t>
      </w:r>
      <w:r w:rsidRPr="005967F4">
        <w:t>.</w:t>
      </w:r>
    </w:p>
    <w:p w:rsidRPr="005967F4" w:rsidR="00F12812" w:rsidRDefault="00B1754D" w14:paraId="504E6FCD" w14:textId="77777777">
      <w:pPr>
        <w:ind w:left="-5"/>
        <w:rPr>
          <w:b/>
          <w:bCs/>
        </w:rPr>
      </w:pPr>
      <w:r w:rsidRPr="005967F4">
        <w:rPr>
          <w:b/>
          <w:bCs/>
        </w:rPr>
        <w:t>7</w:t>
      </w:r>
    </w:p>
    <w:p w:rsidRPr="005967F4" w:rsidR="00F12812" w:rsidRDefault="00B1754D" w14:paraId="6C23EC34" w14:textId="77777777">
      <w:pPr>
        <w:ind w:left="-5"/>
        <w:rPr>
          <w:b/>
          <w:bCs/>
        </w:rPr>
      </w:pPr>
      <w:r w:rsidRPr="005967F4">
        <w:rPr>
          <w:b/>
          <w:bCs/>
        </w:rPr>
        <w:t>Op welke manier agendeert dit kabinet in de Europese Unie het belang van gezonde overheidsfinanciën en concurrentie?</w:t>
      </w:r>
    </w:p>
    <w:p w:rsidR="00F12812" w:rsidRDefault="005967F4" w14:paraId="392973D6" w14:textId="66207278">
      <w:pPr>
        <w:spacing w:after="213" w:line="259" w:lineRule="auto"/>
        <w:ind w:left="0" w:firstLine="0"/>
      </w:pPr>
      <w:r>
        <w:t xml:space="preserve">Gezonde overheidsfinanciën en concurrentievermogen </w:t>
      </w:r>
      <w:r w:rsidR="00085381">
        <w:t xml:space="preserve">zijn </w:t>
      </w:r>
      <w:r>
        <w:t xml:space="preserve">volgens het kabinet </w:t>
      </w:r>
      <w:r w:rsidR="00085381">
        <w:t xml:space="preserve">essentieel voor </w:t>
      </w:r>
      <w:r>
        <w:t xml:space="preserve">duurzame economische groei en </w:t>
      </w:r>
      <w:r w:rsidR="00085381">
        <w:t>stabiliteit</w:t>
      </w:r>
      <w:r>
        <w:t xml:space="preserve">. Het kabinet </w:t>
      </w:r>
      <w:r w:rsidR="00712D21">
        <w:t xml:space="preserve">agendeert </w:t>
      </w:r>
      <w:r>
        <w:t>doorlopend het belang van gezonde overheidsfinanciën</w:t>
      </w:r>
      <w:r w:rsidR="00712D21">
        <w:t xml:space="preserve">. Daarmee zet dit kabinet </w:t>
      </w:r>
      <w:r w:rsidR="001C5DAC">
        <w:t xml:space="preserve">de </w:t>
      </w:r>
      <w:r w:rsidR="00712D21">
        <w:t>lange Nederlandse traditie voort. B</w:t>
      </w:r>
      <w:r>
        <w:t xml:space="preserve">ijvoorbeeld in de recent afgeronde onderhandelingen over de herziene </w:t>
      </w:r>
      <w:r>
        <w:lastRenderedPageBreak/>
        <w:t>begrotingsregels en de implementatie van die regels</w:t>
      </w:r>
      <w:r w:rsidR="00712D21">
        <w:t xml:space="preserve"> en bij de recente bespreking over het begrotingsbeleid voor 2025 in de Eurogroep</w:t>
      </w:r>
      <w:r>
        <w:t>. In de verschillende Europese gremia zet het kabinet onder andere in op versterking van het EU concurrentievermogen door gebruik te maken van het gehele EU-beleidsinstrumentarium. Het is van belang om binnen de overeengekomen financiële kaders de juiste randvoorwaarden te bieden voor versterking van het concurrentievermogen. Zo dient er onder meer aandacht te zijn voor verdieping van de interne markt en kapitaalmarktunie, structurele hervormingen, voldoende gekwalificeerd personeel en vermindering van administratieve bedrijfslasten.</w:t>
      </w:r>
    </w:p>
    <w:p w:rsidRPr="00FD31CF" w:rsidR="00F12812" w:rsidRDefault="00B1754D" w14:paraId="064DB6C8" w14:textId="77777777">
      <w:pPr>
        <w:ind w:left="-5"/>
        <w:rPr>
          <w:b/>
          <w:bCs/>
        </w:rPr>
      </w:pPr>
      <w:r w:rsidRPr="00FD31CF">
        <w:rPr>
          <w:b/>
          <w:bCs/>
        </w:rPr>
        <w:t>8</w:t>
      </w:r>
    </w:p>
    <w:p w:rsidRPr="00FD31CF" w:rsidR="00F12812" w:rsidRDefault="00B1754D" w14:paraId="6E69C88E" w14:textId="77777777">
      <w:pPr>
        <w:ind w:left="-5"/>
        <w:rPr>
          <w:b/>
          <w:bCs/>
        </w:rPr>
      </w:pPr>
      <w:r w:rsidRPr="00FD31CF">
        <w:rPr>
          <w:b/>
          <w:bCs/>
        </w:rPr>
        <w:t>Welke stappen onderneemt het kabinet om ook in Nederland het begrotingstekort terug te dringen en om te zorgen dat bedrijven kunnen blijven concurreren?</w:t>
      </w:r>
    </w:p>
    <w:p w:rsidR="00FD0785" w:rsidRDefault="00FD0785" w14:paraId="3736CD5F" w14:textId="1E05E9D6">
      <w:pPr>
        <w:ind w:left="-5"/>
      </w:pPr>
      <w:r>
        <w:t>Het kabinet erkent in het Hoofdlijnenakkoord het belang van solide begrotingsbeleid</w:t>
      </w:r>
      <w:r w:rsidR="005B5931">
        <w:t>.</w:t>
      </w:r>
      <w:r>
        <w:t xml:space="preserve"> Het kabinet respecteert de </w:t>
      </w:r>
      <w:r w:rsidR="00712D21">
        <w:t xml:space="preserve">referentiewaarden voor tekort en schuld </w:t>
      </w:r>
      <w:r>
        <w:t>zoals vastgelegd in het Europese Stabiliteits- en Groeipact en de Wet Hof.</w:t>
      </w:r>
      <w:r w:rsidR="00DE5591">
        <w:t xml:space="preserve"> </w:t>
      </w:r>
      <w:r w:rsidRPr="00DE5591" w:rsidR="00DE5591">
        <w:t>Om gezonde overheidsfinanciën te realiseren wil het kabinet de overheidsuitgaven en -inkomsten beheersen. Dit betekent onder andere dat de budgettaire reeksen uit het Hoofdlijnenakkoord leidend zijn voor het realiseren van de afspraken uit het akkoord.</w:t>
      </w:r>
      <w:r>
        <w:t xml:space="preserve"> </w:t>
      </w:r>
      <w:r w:rsidR="005B5931">
        <w:t>Volgens de doorrekening van het CPB leiden de maatregelen zoals gepresenteerd in het Hoofdlijnenakkoord tot een saldoverbetering van 0,6% bbp in 2028. Hiermee komt het saldo naar verwachting uit op -2,7% bbp in 2028. De schuld blijft naar verwachting  ruim onder de 60% bbp, met 51,8% bbp in 2028.</w:t>
      </w:r>
      <w:r w:rsidR="006F11AD">
        <w:t xml:space="preserve"> De ramingen van het kabinet zullen in de Miljoenennota op Prinsjesdag worden gepresenteerd. </w:t>
      </w:r>
    </w:p>
    <w:p w:rsidR="005B5931" w:rsidRDefault="7A4AA1E0" w14:paraId="3259A39C" w14:textId="464E2629">
      <w:pPr>
        <w:ind w:left="-5"/>
      </w:pPr>
      <w:r>
        <w:t xml:space="preserve">Naast gezonde overheidsfinanciën erkent het kabinet ook het belang van een sterke concurrentiepositie, zowel van Nederland als Europa, voor onze welvaart. De Nederlandse economie staat er goed voor. Tegelijkertijd ziet dit kabinet uitdagingen, waaronder op het vlak van geopolitieke spanningen en productiviteit. Het kabinet wil daarom verschillende stappen ondernemen om het verdienvermogen te verbeteren. Zo zet het kabinet in op een stabiel ondernemingsklimaat, een sterke Europese interne markt en een succesvolle energietransitie. In het regeerprogramma zal het kabinet hier nader op ingaan.  </w:t>
      </w:r>
    </w:p>
    <w:p w:rsidR="00F12812" w:rsidRDefault="00FD31CF" w14:paraId="6B3FEEBD" w14:textId="6EA6263C">
      <w:pPr>
        <w:spacing w:after="213" w:line="259" w:lineRule="auto"/>
        <w:ind w:left="0" w:firstLine="0"/>
      </w:pPr>
      <w:r>
        <w:t>In het licht van het artikel dient wel de kanttekening geplaatst te worden dat de Franse en Nederlandse overheidsfinanciën bepaald niet één op één met elkaar te vergelijken zijn. Ter illustratie: de Europese Commissie raamt voor Frankrijk een EMU-saldo van -5,3% bbp en een EMU-schuld van 112,4% bbp in 2024, terwijl het saldo en de schuld in 2024 voor Nederland</w:t>
      </w:r>
      <w:r w:rsidR="00446EAA">
        <w:t>, volgens de raming van de Europese Commissie,</w:t>
      </w:r>
      <w:r>
        <w:t xml:space="preserve"> -2,0% bbp en 47,1% bbp (respectievelijk) bedragen. Ook de structuur van de Franse en Nederlandse economieën zijn verschillend.</w:t>
      </w:r>
      <w:r w:rsidR="00B1754D">
        <w:t xml:space="preserve"> Zo ligt in Nederland de werkloosheid in 2024 naar verwachting op 3,9%, terwijl deze in Frankrijk 7,7% bedraagt.</w:t>
      </w:r>
      <w:r w:rsidR="00B1754D">
        <w:rPr>
          <w:rStyle w:val="Voetnootmarkering"/>
        </w:rPr>
        <w:footnoteReference w:id="4"/>
      </w:r>
      <w:r w:rsidR="00B1754D">
        <w:t xml:space="preserve"> </w:t>
      </w:r>
      <w:r w:rsidR="00057BD0">
        <w:t xml:space="preserve">Het bruto </w:t>
      </w:r>
      <w:r w:rsidR="00950D1B">
        <w:t>nationaal</w:t>
      </w:r>
      <w:r w:rsidR="00057BD0">
        <w:t xml:space="preserve"> </w:t>
      </w:r>
      <w:r w:rsidR="006146B1">
        <w:t>product</w:t>
      </w:r>
      <w:r w:rsidR="00057BD0">
        <w:t xml:space="preserve"> per hoofd van de bevolking </w:t>
      </w:r>
      <w:r w:rsidR="006146B1">
        <w:t>was</w:t>
      </w:r>
      <w:r w:rsidR="00057BD0">
        <w:t xml:space="preserve"> in Nederland </w:t>
      </w:r>
      <w:r w:rsidR="006146B1">
        <w:t>in 2023 31% hoger dan in Frankrijk</w:t>
      </w:r>
      <w:r w:rsidR="006146B1">
        <w:rPr>
          <w:rStyle w:val="Voetnootmarkering"/>
        </w:rPr>
        <w:footnoteReference w:id="5"/>
      </w:r>
      <w:r w:rsidR="006146B1">
        <w:t xml:space="preserve">. </w:t>
      </w:r>
    </w:p>
    <w:p w:rsidR="00F12812" w:rsidRDefault="00B1754D" w14:paraId="0EB6ABF2" w14:textId="30C1CD27">
      <w:pPr>
        <w:spacing w:after="0" w:line="246" w:lineRule="auto"/>
        <w:ind w:left="0" w:firstLine="0"/>
      </w:pPr>
      <w:r>
        <w:t>1) BNR Nieuws, 11 juli 2024, 'Topman Franse centrale bank slaat alarm: 'zeer negatieve schok'', (</w:t>
      </w:r>
      <w:hyperlink r:id="rId6">
        <w:r>
          <w:rPr>
            <w:color w:val="0000FF"/>
            <w:u w:val="single" w:color="0000FF"/>
          </w:rPr>
          <w:t>https://www.bnr.nl/nieuws/economie/10552381/topman-franse-centrale-bank-slaat-alarm-zeer-negatieve</w:t>
        </w:r>
      </w:hyperlink>
      <w:hyperlink r:id="rId7">
        <w:r>
          <w:rPr>
            <w:color w:val="0000FF"/>
            <w:u w:val="single" w:color="0000FF"/>
          </w:rPr>
          <w:t>schok</w:t>
        </w:r>
      </w:hyperlink>
      <w:r>
        <w:t>).</w:t>
      </w:r>
    </w:p>
    <w:sectPr w:rsidR="00F12812">
      <w:pgSz w:w="11906" w:h="16838"/>
      <w:pgMar w:top="1424" w:right="1422" w:bottom="1702"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DE4E0" w14:textId="77777777" w:rsidR="0030615C" w:rsidRDefault="0030615C" w:rsidP="00B1754D">
      <w:pPr>
        <w:spacing w:after="0" w:line="240" w:lineRule="auto"/>
      </w:pPr>
      <w:r>
        <w:separator/>
      </w:r>
    </w:p>
  </w:endnote>
  <w:endnote w:type="continuationSeparator" w:id="0">
    <w:p w14:paraId="6B2213ED" w14:textId="77777777" w:rsidR="0030615C" w:rsidRDefault="0030615C" w:rsidP="00B1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52DC" w14:textId="77777777" w:rsidR="0030615C" w:rsidRDefault="0030615C" w:rsidP="00B1754D">
      <w:pPr>
        <w:spacing w:after="0" w:line="240" w:lineRule="auto"/>
      </w:pPr>
      <w:r>
        <w:separator/>
      </w:r>
    </w:p>
  </w:footnote>
  <w:footnote w:type="continuationSeparator" w:id="0">
    <w:p w14:paraId="37BC3F97" w14:textId="77777777" w:rsidR="0030615C" w:rsidRDefault="0030615C" w:rsidP="00B1754D">
      <w:pPr>
        <w:spacing w:after="0" w:line="240" w:lineRule="auto"/>
      </w:pPr>
      <w:r>
        <w:continuationSeparator/>
      </w:r>
    </w:p>
  </w:footnote>
  <w:footnote w:id="1">
    <w:p w14:paraId="606AF2E1" w14:textId="7B1275E9" w:rsidR="00406DCE" w:rsidRPr="009027BD" w:rsidRDefault="00406DCE" w:rsidP="00406DCE">
      <w:pPr>
        <w:pStyle w:val="Voetnoottekst"/>
        <w:rPr>
          <w:sz w:val="14"/>
          <w:szCs w:val="14"/>
        </w:rPr>
      </w:pPr>
      <w:r w:rsidRPr="009027BD">
        <w:rPr>
          <w:rStyle w:val="Voetnootmarkering"/>
          <w:sz w:val="14"/>
          <w:szCs w:val="14"/>
        </w:rPr>
        <w:footnoteRef/>
      </w:r>
      <w:r w:rsidRPr="009027BD">
        <w:rPr>
          <w:sz w:val="14"/>
          <w:szCs w:val="14"/>
        </w:rPr>
        <w:t xml:space="preserve"> </w:t>
      </w:r>
      <w:r>
        <w:rPr>
          <w:sz w:val="14"/>
          <w:szCs w:val="14"/>
        </w:rPr>
        <w:t>Nader uitleg over de buitensporigtekortprocedure is opgenomen in</w:t>
      </w:r>
      <w:r w:rsidRPr="009027BD">
        <w:rPr>
          <w:sz w:val="14"/>
          <w:szCs w:val="14"/>
        </w:rPr>
        <w:t xml:space="preserve"> de geannoteerde agenda en het verslag</w:t>
      </w:r>
      <w:r>
        <w:rPr>
          <w:sz w:val="14"/>
          <w:szCs w:val="14"/>
        </w:rPr>
        <w:t xml:space="preserve"> van</w:t>
      </w:r>
      <w:r w:rsidRPr="009027BD">
        <w:rPr>
          <w:sz w:val="14"/>
          <w:szCs w:val="14"/>
        </w:rPr>
        <w:t xml:space="preserve"> de Eurogroep en Ecofinraad van 15 en 16 juli. </w:t>
      </w:r>
    </w:p>
  </w:footnote>
  <w:footnote w:id="2">
    <w:p w14:paraId="182EF66A" w14:textId="3C3B0116" w:rsidR="005967F4" w:rsidRDefault="005967F4">
      <w:pPr>
        <w:pStyle w:val="Voetnoottekst"/>
      </w:pPr>
      <w:r>
        <w:rPr>
          <w:rStyle w:val="Voetnootmarkering"/>
        </w:rPr>
        <w:footnoteRef/>
      </w:r>
      <w:r>
        <w:t xml:space="preserve"> </w:t>
      </w:r>
      <w:hyperlink r:id="rId1" w:history="1">
        <w:r w:rsidRPr="005967F4">
          <w:rPr>
            <w:rStyle w:val="Hyperlink"/>
            <w:sz w:val="14"/>
            <w:szCs w:val="14"/>
          </w:rPr>
          <w:t>https://commission.europa.eu/document/download/2db632f9-c8a5-47ea-a2fa-e642e6e6af90_en?filename=2024_06_20_EFB_assessment_of_euro_area_fiscal_stance_in_2025.pdf</w:t>
        </w:r>
      </w:hyperlink>
      <w:r w:rsidRPr="005967F4">
        <w:rPr>
          <w:sz w:val="14"/>
          <w:szCs w:val="14"/>
        </w:rPr>
        <w:t xml:space="preserve"> </w:t>
      </w:r>
    </w:p>
  </w:footnote>
  <w:footnote w:id="3">
    <w:p w14:paraId="591CACF8" w14:textId="042B5D04" w:rsidR="005967F4" w:rsidRDefault="005967F4">
      <w:pPr>
        <w:pStyle w:val="Voetnoottekst"/>
      </w:pPr>
      <w:r>
        <w:rPr>
          <w:rStyle w:val="Voetnootmarkering"/>
        </w:rPr>
        <w:footnoteRef/>
      </w:r>
      <w:r>
        <w:t xml:space="preserve"> </w:t>
      </w:r>
      <w:hyperlink r:id="rId2" w:history="1">
        <w:r w:rsidRPr="005967F4">
          <w:rPr>
            <w:rStyle w:val="Hyperlink"/>
            <w:sz w:val="14"/>
            <w:szCs w:val="14"/>
          </w:rPr>
          <w:t>https://www.consilium.europa.eu/en/press/press-releases/2024/07/15/eurogroup-statement-on-the-fiscal-stance-for-the-euro-area-in-2025/</w:t>
        </w:r>
      </w:hyperlink>
      <w:r w:rsidRPr="005967F4">
        <w:rPr>
          <w:sz w:val="14"/>
          <w:szCs w:val="14"/>
        </w:rPr>
        <w:t xml:space="preserve"> </w:t>
      </w:r>
    </w:p>
  </w:footnote>
  <w:footnote w:id="4">
    <w:p w14:paraId="7271ED07" w14:textId="426BCDAF" w:rsidR="00B1754D" w:rsidRPr="001C5DAC" w:rsidRDefault="00B1754D">
      <w:pPr>
        <w:pStyle w:val="Voetnoottekst"/>
        <w:rPr>
          <w:sz w:val="14"/>
          <w:szCs w:val="14"/>
        </w:rPr>
      </w:pPr>
      <w:r w:rsidRPr="001C5DAC">
        <w:rPr>
          <w:rStyle w:val="Voetnootmarkering"/>
          <w:sz w:val="14"/>
          <w:szCs w:val="14"/>
        </w:rPr>
        <w:footnoteRef/>
      </w:r>
      <w:r w:rsidRPr="001C5DAC">
        <w:rPr>
          <w:sz w:val="14"/>
          <w:szCs w:val="14"/>
        </w:rPr>
        <w:t xml:space="preserve"> </w:t>
      </w:r>
      <w:hyperlink r:id="rId3" w:history="1">
        <w:r w:rsidR="006146B1" w:rsidRPr="001C5DAC">
          <w:rPr>
            <w:rStyle w:val="Hyperlink"/>
            <w:sz w:val="14"/>
            <w:szCs w:val="14"/>
          </w:rPr>
          <w:t>Lenteraming 2024 Europese Commissie: https://economy-finance.ec.europa.eu/document/download/c63e0da2-c6d6-4d13-8dcb-646b0d1927a4_en?filename=ip286_en.pdf</w:t>
        </w:r>
      </w:hyperlink>
    </w:p>
  </w:footnote>
  <w:footnote w:id="5">
    <w:p w14:paraId="54FA632C" w14:textId="233FCEC7" w:rsidR="006146B1" w:rsidRDefault="006146B1">
      <w:pPr>
        <w:pStyle w:val="Voetnoottekst"/>
      </w:pPr>
      <w:r w:rsidRPr="001C5DAC">
        <w:rPr>
          <w:rStyle w:val="Voetnootmarkering"/>
          <w:sz w:val="14"/>
          <w:szCs w:val="14"/>
        </w:rPr>
        <w:footnoteRef/>
      </w:r>
      <w:r w:rsidRPr="001C5DAC">
        <w:rPr>
          <w:sz w:val="14"/>
          <w:szCs w:val="14"/>
        </w:rPr>
        <w:t xml:space="preserve"> Gecorrigeerd voor koopkrachtverschillen; bron: Eurostat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12"/>
    <w:rsid w:val="00057BD0"/>
    <w:rsid w:val="00085381"/>
    <w:rsid w:val="00196D6C"/>
    <w:rsid w:val="001C5DAC"/>
    <w:rsid w:val="0030615C"/>
    <w:rsid w:val="00406DCE"/>
    <w:rsid w:val="004150B3"/>
    <w:rsid w:val="00446EAA"/>
    <w:rsid w:val="00500615"/>
    <w:rsid w:val="005967F4"/>
    <w:rsid w:val="005B5931"/>
    <w:rsid w:val="006146B1"/>
    <w:rsid w:val="00671541"/>
    <w:rsid w:val="006E6980"/>
    <w:rsid w:val="006F11AD"/>
    <w:rsid w:val="00712D21"/>
    <w:rsid w:val="007564A6"/>
    <w:rsid w:val="00825B4C"/>
    <w:rsid w:val="00894B2D"/>
    <w:rsid w:val="00917433"/>
    <w:rsid w:val="00950D1B"/>
    <w:rsid w:val="009C3471"/>
    <w:rsid w:val="00B1754D"/>
    <w:rsid w:val="00B54717"/>
    <w:rsid w:val="00BB09C1"/>
    <w:rsid w:val="00BC6A77"/>
    <w:rsid w:val="00C3624B"/>
    <w:rsid w:val="00CC49A4"/>
    <w:rsid w:val="00DE5591"/>
    <w:rsid w:val="00E009F1"/>
    <w:rsid w:val="00EA31E0"/>
    <w:rsid w:val="00F12812"/>
    <w:rsid w:val="00F43D9D"/>
    <w:rsid w:val="00F46A15"/>
    <w:rsid w:val="00F61C87"/>
    <w:rsid w:val="00FD0785"/>
    <w:rsid w:val="00FD31CF"/>
    <w:rsid w:val="7A4AA1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4B18E"/>
  <w15:docId w15:val="{967B6FD3-C5A4-4FB2-92C2-A516ED84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19" w:line="252" w:lineRule="auto"/>
      <w:ind w:left="10" w:hanging="10"/>
    </w:pPr>
    <w:rPr>
      <w:rFonts w:ascii="Calibri" w:eastAsia="Calibri" w:hAnsi="Calibri" w:cs="Calibr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175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754D"/>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B1754D"/>
    <w:rPr>
      <w:vertAlign w:val="superscript"/>
    </w:rPr>
  </w:style>
  <w:style w:type="character" w:styleId="Hyperlink">
    <w:name w:val="Hyperlink"/>
    <w:basedOn w:val="Standaardalinea-lettertype"/>
    <w:uiPriority w:val="99"/>
    <w:unhideWhenUsed/>
    <w:rsid w:val="00B1754D"/>
    <w:rPr>
      <w:color w:val="0000FF"/>
      <w:u w:val="single"/>
    </w:rPr>
  </w:style>
  <w:style w:type="character" w:styleId="Verwijzingopmerking">
    <w:name w:val="annotation reference"/>
    <w:basedOn w:val="Standaardalinea-lettertype"/>
    <w:uiPriority w:val="99"/>
    <w:semiHidden/>
    <w:unhideWhenUsed/>
    <w:rsid w:val="00446EAA"/>
    <w:rPr>
      <w:sz w:val="16"/>
      <w:szCs w:val="16"/>
    </w:rPr>
  </w:style>
  <w:style w:type="paragraph" w:styleId="Tekstopmerking">
    <w:name w:val="annotation text"/>
    <w:basedOn w:val="Standaard"/>
    <w:link w:val="TekstopmerkingChar"/>
    <w:uiPriority w:val="99"/>
    <w:unhideWhenUsed/>
    <w:rsid w:val="00446EAA"/>
    <w:pPr>
      <w:spacing w:line="240" w:lineRule="auto"/>
    </w:pPr>
    <w:rPr>
      <w:sz w:val="20"/>
      <w:szCs w:val="20"/>
    </w:rPr>
  </w:style>
  <w:style w:type="character" w:customStyle="1" w:styleId="TekstopmerkingChar">
    <w:name w:val="Tekst opmerking Char"/>
    <w:basedOn w:val="Standaardalinea-lettertype"/>
    <w:link w:val="Tekstopmerking"/>
    <w:uiPriority w:val="99"/>
    <w:rsid w:val="00446EAA"/>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446EAA"/>
    <w:rPr>
      <w:b/>
      <w:bCs/>
    </w:rPr>
  </w:style>
  <w:style w:type="character" w:customStyle="1" w:styleId="OnderwerpvanopmerkingChar">
    <w:name w:val="Onderwerp van opmerking Char"/>
    <w:basedOn w:val="TekstopmerkingChar"/>
    <w:link w:val="Onderwerpvanopmerking"/>
    <w:uiPriority w:val="99"/>
    <w:semiHidden/>
    <w:rsid w:val="00446EAA"/>
    <w:rPr>
      <w:rFonts w:ascii="Calibri" w:eastAsia="Calibri" w:hAnsi="Calibri" w:cs="Calibri"/>
      <w:b/>
      <w:bCs/>
      <w:color w:val="000000"/>
      <w:sz w:val="20"/>
      <w:szCs w:val="20"/>
    </w:rPr>
  </w:style>
  <w:style w:type="paragraph" w:styleId="Revisie">
    <w:name w:val="Revision"/>
    <w:hidden/>
    <w:uiPriority w:val="99"/>
    <w:semiHidden/>
    <w:rsid w:val="00446EAA"/>
    <w:pPr>
      <w:spacing w:after="0" w:line="240" w:lineRule="auto"/>
    </w:pPr>
    <w:rPr>
      <w:rFonts w:ascii="Calibri" w:eastAsia="Calibri" w:hAnsi="Calibri" w:cs="Calibri"/>
      <w:color w:val="000000"/>
      <w:sz w:val="18"/>
    </w:rPr>
  </w:style>
  <w:style w:type="character" w:styleId="Onopgelostemelding">
    <w:name w:val="Unresolved Mention"/>
    <w:basedOn w:val="Standaardalinea-lettertype"/>
    <w:uiPriority w:val="99"/>
    <w:semiHidden/>
    <w:unhideWhenUsed/>
    <w:rsid w:val="005967F4"/>
    <w:rPr>
      <w:color w:val="605E5C"/>
      <w:shd w:val="clear" w:color="auto" w:fill="E1DFDD"/>
    </w:rPr>
  </w:style>
  <w:style w:type="paragraph" w:styleId="Geenafstand">
    <w:name w:val="No Spacing"/>
    <w:uiPriority w:val="1"/>
    <w:qFormat/>
    <w:rsid w:val="00C3624B"/>
    <w:pPr>
      <w:spacing w:after="0" w:line="240" w:lineRule="auto"/>
      <w:ind w:left="10" w:hanging="10"/>
    </w:pPr>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65110">
      <w:bodyDiv w:val="1"/>
      <w:marLeft w:val="0"/>
      <w:marRight w:val="0"/>
      <w:marTop w:val="0"/>
      <w:marBottom w:val="0"/>
      <w:divBdr>
        <w:top w:val="none" w:sz="0" w:space="0" w:color="auto"/>
        <w:left w:val="none" w:sz="0" w:space="0" w:color="auto"/>
        <w:bottom w:val="none" w:sz="0" w:space="0" w:color="auto"/>
        <w:right w:val="none" w:sz="0" w:space="0" w:color="auto"/>
      </w:divBdr>
    </w:div>
    <w:div w:id="1769735112">
      <w:bodyDiv w:val="1"/>
      <w:marLeft w:val="0"/>
      <w:marRight w:val="0"/>
      <w:marTop w:val="0"/>
      <w:marBottom w:val="0"/>
      <w:divBdr>
        <w:top w:val="none" w:sz="0" w:space="0" w:color="auto"/>
        <w:left w:val="none" w:sz="0" w:space="0" w:color="auto"/>
        <w:bottom w:val="none" w:sz="0" w:space="0" w:color="auto"/>
        <w:right w:val="none" w:sz="0" w:space="0" w:color="auto"/>
      </w:divBdr>
    </w:div>
    <w:div w:id="1847480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nr.nl/nieuws/economie/10552381/topman-franse-centrale-bank-slaat-alarm-zeer-negatieve-sch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nr.nl/nieuws/economie/10552381/topman-franse-centrale-bank-slaat-alarm-zeer-negatieve-scho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H:\Application%20Data\Microsoft%20Office\Outlook\SecureTempFolder\Lenteraming%202024%20Europese%20Commissie:%20https:\economy-finance.ec.europa.eu\document\download\c63e0da2-c6d6-4d13-8dcb-646b0d1927a4_en%3ffilename=ip286_en.pdf" TargetMode="External"/><Relationship Id="rId2" Type="http://schemas.openxmlformats.org/officeDocument/2006/relationships/hyperlink" Target="https://www.consilium.europa.eu/en/press/press-releases/2024/07/15/eurogroup-statement-on-the-fiscal-stance-for-the-euro-area-in-2025/" TargetMode="External"/><Relationship Id="rId1" Type="http://schemas.openxmlformats.org/officeDocument/2006/relationships/hyperlink" Target="https://commission.europa.eu/document/download/2db632f9-c8a5-47ea-a2fa-e642e6e6af90_en?filename=2024_06_20_EFB_assessment_of_euro_area_fiscal_stance_in_20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1777</ap:Words>
  <ap:Characters>9779</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Rapportage Ministeries met aanbiedingsbrieven</vt:lpstr>
    </vt:vector>
  </ap:TitlesOfParts>
  <ap:LinksUpToDate>false</ap:LinksUpToDate>
  <ap:CharactersWithSpaces>11533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2024-08-30T15:24:00.0000000Z</dcterms:created>
  <dcterms:modified xsi:type="dcterms:W3CDTF">2024-08-30T15:24:00.0000000Z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2024-07-17T12:08:22Z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c0039fd9-c8ee-45bd-a8a9-47beb48de80d</vt:lpwstr>
  </property>
  <property fmtid="{D5CDD505-2E9C-101B-9397-08002B2CF9AE}" pid="8" name="MSIP_Label_35ad6b54-f757-49c9-8c83-ef7f8aa67172_ContentBits">
    <vt:lpwstr>0</vt:lpwstr>
  </property>
</Properties>
</file>