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7D" w:rsidP="002A390C" w:rsidRDefault="00D8307D" w14:paraId="60711F22" w14:textId="279B0EFB">
      <w:pPr>
        <w:pStyle w:val="NoSpacing"/>
        <w:spacing w:line="276" w:lineRule="auto"/>
        <w:rPr>
          <w:rFonts w:ascii="Verdana" w:hAnsi="Verdana"/>
          <w:sz w:val="18"/>
          <w:szCs w:val="18"/>
          <w:lang w:val="nl-NL"/>
        </w:rPr>
      </w:pPr>
      <w:bookmarkStart w:name="_GoBack" w:id="0"/>
      <w:bookmarkEnd w:id="0"/>
      <w:r>
        <w:rPr>
          <w:rFonts w:ascii="Verdana" w:hAnsi="Verdana"/>
          <w:sz w:val="18"/>
          <w:szCs w:val="18"/>
          <w:lang w:val="nl-NL"/>
        </w:rPr>
        <w:t>Geachte voorzitter,</w:t>
      </w:r>
    </w:p>
    <w:p w:rsidR="00D8307D" w:rsidP="002A390C" w:rsidRDefault="00D8307D" w14:paraId="79DD1796" w14:textId="77777777">
      <w:pPr>
        <w:pStyle w:val="NoSpacing"/>
        <w:spacing w:line="276" w:lineRule="auto"/>
        <w:rPr>
          <w:rFonts w:ascii="Verdana" w:hAnsi="Verdana"/>
          <w:sz w:val="18"/>
          <w:szCs w:val="18"/>
          <w:lang w:val="nl-NL"/>
        </w:rPr>
      </w:pPr>
    </w:p>
    <w:p w:rsidRPr="006E62B5" w:rsidR="0074683A" w:rsidP="002A390C" w:rsidRDefault="002A390C" w14:paraId="05DF812D" w14:textId="19C033E1">
      <w:pPr>
        <w:pStyle w:val="NoSpacing"/>
        <w:spacing w:line="276" w:lineRule="auto"/>
        <w:rPr>
          <w:rFonts w:ascii="Verdana" w:hAnsi="Verdana"/>
          <w:sz w:val="18"/>
          <w:szCs w:val="18"/>
          <w:lang w:val="nl-NL"/>
        </w:rPr>
      </w:pPr>
      <w:r w:rsidRPr="002A390C">
        <w:rPr>
          <w:rFonts w:ascii="Verdana" w:hAnsi="Verdana"/>
          <w:sz w:val="18"/>
          <w:szCs w:val="18"/>
          <w:lang w:val="nl-NL"/>
        </w:rPr>
        <w:t xml:space="preserve">Hierbij </w:t>
      </w:r>
      <w:r w:rsidR="000F3B4D">
        <w:rPr>
          <w:rFonts w:ascii="Verdana" w:hAnsi="Verdana"/>
          <w:sz w:val="18"/>
          <w:szCs w:val="18"/>
          <w:lang w:val="nl-NL"/>
        </w:rPr>
        <w:t>ontvangt</w:t>
      </w:r>
      <w:r w:rsidRPr="002A390C">
        <w:rPr>
          <w:rFonts w:ascii="Verdana" w:hAnsi="Verdana"/>
          <w:sz w:val="18"/>
          <w:szCs w:val="18"/>
          <w:lang w:val="nl-NL"/>
        </w:rPr>
        <w:t xml:space="preserve"> u</w:t>
      </w:r>
      <w:r w:rsidR="006E30E9">
        <w:rPr>
          <w:rFonts w:ascii="Verdana" w:hAnsi="Verdana"/>
          <w:sz w:val="18"/>
          <w:szCs w:val="18"/>
          <w:lang w:val="nl-NL"/>
        </w:rPr>
        <w:t xml:space="preserve"> </w:t>
      </w:r>
      <w:r w:rsidRPr="002A390C">
        <w:rPr>
          <w:rFonts w:ascii="Verdana" w:hAnsi="Verdana"/>
          <w:sz w:val="18"/>
          <w:szCs w:val="18"/>
          <w:lang w:val="nl-NL"/>
        </w:rPr>
        <w:t xml:space="preserve">het rapport “Bescherming kinderen tegen afsluiting van drinkwater en energie” opgesteld door Regioplan en </w:t>
      </w:r>
      <w:r w:rsidR="000F3B4D">
        <w:rPr>
          <w:rFonts w:ascii="Verdana" w:hAnsi="Verdana"/>
          <w:sz w:val="18"/>
          <w:szCs w:val="18"/>
          <w:lang w:val="nl-NL"/>
        </w:rPr>
        <w:t>een</w:t>
      </w:r>
      <w:r w:rsidRPr="002A390C">
        <w:rPr>
          <w:rFonts w:ascii="Verdana" w:hAnsi="Verdana"/>
          <w:sz w:val="18"/>
          <w:szCs w:val="18"/>
          <w:lang w:val="nl-NL"/>
        </w:rPr>
        <w:t xml:space="preserve"> gezamenlijke reactie op het onderzoek. Deze brief schetst ook welke aanpassingen in het beleid voor de toegang tot drinkwater zullen worden </w:t>
      </w:r>
      <w:r w:rsidRPr="006E62B5">
        <w:rPr>
          <w:rFonts w:ascii="Verdana" w:hAnsi="Verdana"/>
          <w:sz w:val="18"/>
          <w:szCs w:val="18"/>
          <w:lang w:val="nl-NL"/>
        </w:rPr>
        <w:t>gemaakt om de motie</w:t>
      </w:r>
      <w:r w:rsidRPr="006E62B5" w:rsidR="000F3B4D">
        <w:rPr>
          <w:rFonts w:ascii="Verdana" w:hAnsi="Verdana"/>
          <w:sz w:val="18"/>
          <w:szCs w:val="18"/>
          <w:lang w:val="nl-NL"/>
        </w:rPr>
        <w:t>s van de leden</w:t>
      </w:r>
      <w:r w:rsidRPr="006E62B5">
        <w:rPr>
          <w:rFonts w:ascii="Verdana" w:hAnsi="Verdana"/>
          <w:sz w:val="18"/>
          <w:szCs w:val="18"/>
          <w:lang w:val="nl-NL"/>
        </w:rPr>
        <w:t xml:space="preserve"> Kat</w:t>
      </w:r>
      <w:r w:rsidRPr="006E62B5">
        <w:rPr>
          <w:rStyle w:val="FootnoteReference"/>
          <w:rFonts w:ascii="Verdana" w:hAnsi="Verdana"/>
          <w:sz w:val="18"/>
          <w:szCs w:val="18"/>
          <w:lang w:val="nl-NL"/>
        </w:rPr>
        <w:footnoteReference w:id="2"/>
      </w:r>
      <w:r w:rsidRPr="006E62B5">
        <w:rPr>
          <w:rFonts w:ascii="Verdana" w:hAnsi="Verdana"/>
          <w:sz w:val="18"/>
          <w:szCs w:val="18"/>
          <w:lang w:val="nl-NL"/>
        </w:rPr>
        <w:t xml:space="preserve"> en Synhaeve</w:t>
      </w:r>
      <w:r w:rsidRPr="006E62B5">
        <w:rPr>
          <w:rStyle w:val="FootnoteReference"/>
          <w:rFonts w:ascii="Verdana" w:hAnsi="Verdana"/>
          <w:sz w:val="18"/>
          <w:szCs w:val="18"/>
          <w:lang w:val="nl-NL"/>
        </w:rPr>
        <w:footnoteReference w:id="3"/>
      </w:r>
      <w:r w:rsidRPr="006E62B5">
        <w:rPr>
          <w:rFonts w:ascii="Verdana" w:hAnsi="Verdana"/>
          <w:sz w:val="18"/>
          <w:szCs w:val="18"/>
          <w:lang w:val="nl-NL"/>
        </w:rPr>
        <w:t xml:space="preserve"> </w:t>
      </w:r>
      <w:r w:rsidRPr="0069326E" w:rsidR="003E1EE3">
        <w:rPr>
          <w:rFonts w:ascii="Verdana" w:hAnsi="Verdana"/>
          <w:sz w:val="18"/>
          <w:szCs w:val="18"/>
          <w:lang w:val="nl-NL"/>
        </w:rPr>
        <w:t>uit te voeren</w:t>
      </w:r>
      <w:r w:rsidRPr="006E62B5" w:rsidR="003E1EE3">
        <w:rPr>
          <w:rFonts w:ascii="Verdana" w:hAnsi="Verdana"/>
          <w:sz w:val="18"/>
          <w:szCs w:val="18"/>
          <w:lang w:val="nl-NL"/>
        </w:rPr>
        <w:t xml:space="preserve"> </w:t>
      </w:r>
      <w:r w:rsidRPr="006E62B5">
        <w:rPr>
          <w:rFonts w:ascii="Verdana" w:hAnsi="Verdana"/>
          <w:sz w:val="18"/>
          <w:szCs w:val="18"/>
          <w:lang w:val="nl-NL"/>
        </w:rPr>
        <w:t xml:space="preserve">en </w:t>
      </w:r>
      <w:r w:rsidRPr="006E62B5" w:rsidR="003E1EE3">
        <w:rPr>
          <w:rFonts w:ascii="Verdana" w:hAnsi="Verdana"/>
          <w:sz w:val="18"/>
          <w:szCs w:val="18"/>
          <w:lang w:val="nl-NL"/>
        </w:rPr>
        <w:t xml:space="preserve">in lijn te brengen met </w:t>
      </w:r>
      <w:r w:rsidRPr="0069326E">
        <w:rPr>
          <w:rFonts w:ascii="Verdana" w:hAnsi="Verdana"/>
          <w:sz w:val="18"/>
          <w:szCs w:val="18"/>
          <w:lang w:val="nl-NL"/>
        </w:rPr>
        <w:t>de uitspraak van de rechter</w:t>
      </w:r>
      <w:r w:rsidRPr="0069326E" w:rsidR="000F3B4D">
        <w:rPr>
          <w:rFonts w:ascii="Verdana" w:hAnsi="Verdana"/>
          <w:sz w:val="18"/>
          <w:szCs w:val="18"/>
          <w:lang w:val="nl-NL"/>
        </w:rPr>
        <w:t xml:space="preserve"> over het afsluitbeleid</w:t>
      </w:r>
      <w:r w:rsidRPr="0069326E" w:rsidR="00D8307D">
        <w:rPr>
          <w:rStyle w:val="FootnoteReference"/>
          <w:rFonts w:ascii="Verdana" w:hAnsi="Verdana"/>
          <w:sz w:val="18"/>
          <w:szCs w:val="18"/>
          <w:lang w:val="nl-NL"/>
        </w:rPr>
        <w:footnoteReference w:id="4"/>
      </w:r>
      <w:r w:rsidRPr="00D8307D" w:rsidR="00D8307D">
        <w:rPr>
          <w:rFonts w:ascii="Verdana" w:hAnsi="Verdana"/>
          <w:sz w:val="18"/>
          <w:szCs w:val="18"/>
          <w:vertAlign w:val="superscript"/>
          <w:lang w:val="nl-NL"/>
        </w:rPr>
        <w:t>,</w:t>
      </w:r>
      <w:r w:rsidRPr="006E62B5" w:rsidR="00F30ABE">
        <w:rPr>
          <w:rStyle w:val="FootnoteReference"/>
          <w:rFonts w:ascii="Verdana" w:hAnsi="Verdana"/>
          <w:sz w:val="18"/>
          <w:szCs w:val="18"/>
          <w:lang w:val="nl-NL"/>
        </w:rPr>
        <w:footnoteReference w:id="5"/>
      </w:r>
      <w:r w:rsidRPr="006E62B5">
        <w:rPr>
          <w:rFonts w:ascii="Verdana" w:hAnsi="Verdana"/>
          <w:sz w:val="18"/>
          <w:szCs w:val="18"/>
          <w:lang w:val="nl-NL"/>
        </w:rPr>
        <w:t>.</w:t>
      </w:r>
      <w:r w:rsidRPr="006E62B5" w:rsidR="00863772">
        <w:rPr>
          <w:rFonts w:ascii="Verdana" w:hAnsi="Verdana"/>
          <w:sz w:val="18"/>
          <w:szCs w:val="18"/>
          <w:lang w:val="nl-NL"/>
        </w:rPr>
        <w:t xml:space="preserve"> </w:t>
      </w:r>
    </w:p>
    <w:p w:rsidRPr="006E62B5" w:rsidR="002A390C" w:rsidP="002A390C" w:rsidRDefault="002A390C" w14:paraId="7293C604" w14:textId="77777777">
      <w:pPr>
        <w:pStyle w:val="NoSpacing"/>
        <w:spacing w:line="276" w:lineRule="auto"/>
        <w:rPr>
          <w:rFonts w:ascii="Verdana" w:hAnsi="Verdana" w:cstheme="minorHAnsi"/>
          <w:sz w:val="18"/>
          <w:szCs w:val="18"/>
          <w:lang w:val="nl-NL"/>
        </w:rPr>
      </w:pPr>
    </w:p>
    <w:p w:rsidRPr="006E62B5" w:rsidR="007125F5" w:rsidP="002A390C" w:rsidRDefault="00291E32" w14:paraId="62D101D8" w14:textId="0D30FEAD">
      <w:pPr>
        <w:pStyle w:val="NoSpacing"/>
        <w:spacing w:line="276" w:lineRule="auto"/>
        <w:rPr>
          <w:rFonts w:ascii="Verdana" w:hAnsi="Verdana"/>
          <w:b/>
          <w:bCs/>
          <w:sz w:val="18"/>
          <w:szCs w:val="18"/>
          <w:lang w:val="nl-NL"/>
        </w:rPr>
      </w:pPr>
      <w:r w:rsidRPr="006E62B5">
        <w:rPr>
          <w:rFonts w:ascii="Verdana" w:hAnsi="Verdana"/>
          <w:b/>
          <w:bCs/>
          <w:sz w:val="18"/>
          <w:szCs w:val="18"/>
          <w:lang w:val="nl-NL"/>
        </w:rPr>
        <w:t>Moties Kat en Synhaeve</w:t>
      </w:r>
    </w:p>
    <w:p w:rsidRPr="002A390C" w:rsidR="00724E19" w:rsidP="00724E19" w:rsidRDefault="009D65D3" w14:paraId="49C27056" w14:textId="72C32C7C">
      <w:pPr>
        <w:pStyle w:val="NoSpacing"/>
        <w:spacing w:line="276" w:lineRule="auto"/>
        <w:rPr>
          <w:rFonts w:ascii="Verdana" w:hAnsi="Verdana"/>
          <w:sz w:val="18"/>
          <w:szCs w:val="18"/>
          <w:lang w:val="nl-NL"/>
        </w:rPr>
      </w:pPr>
      <w:r w:rsidRPr="006E62B5">
        <w:rPr>
          <w:rFonts w:ascii="Verdana" w:hAnsi="Verdana"/>
          <w:sz w:val="18"/>
          <w:szCs w:val="18"/>
          <w:lang w:val="nl-NL"/>
        </w:rPr>
        <w:t xml:space="preserve">Het onderzoek </w:t>
      </w:r>
      <w:r w:rsidRPr="006E62B5" w:rsidR="003E1EE3">
        <w:rPr>
          <w:rFonts w:ascii="Verdana" w:hAnsi="Verdana"/>
          <w:sz w:val="18"/>
          <w:szCs w:val="18"/>
          <w:lang w:val="nl-NL"/>
        </w:rPr>
        <w:t>naar de vraag of en wat er nodig is om kinderen beter te beschermen tegen de afsluiting van drinkwater en energie</w:t>
      </w:r>
      <w:r w:rsidRPr="0069326E" w:rsidDel="003E1EE3" w:rsidR="003E1EE3">
        <w:rPr>
          <w:rFonts w:ascii="Verdana" w:hAnsi="Verdana"/>
          <w:sz w:val="18"/>
          <w:szCs w:val="18"/>
          <w:lang w:val="nl-NL"/>
        </w:rPr>
        <w:t xml:space="preserve"> </w:t>
      </w:r>
      <w:r w:rsidRPr="006E62B5">
        <w:rPr>
          <w:rFonts w:ascii="Verdana" w:hAnsi="Verdana"/>
          <w:sz w:val="18"/>
          <w:szCs w:val="18"/>
          <w:lang w:val="nl-NL"/>
        </w:rPr>
        <w:t xml:space="preserve">is </w:t>
      </w:r>
      <w:r w:rsidRPr="006E62B5" w:rsidR="00724E19">
        <w:rPr>
          <w:rFonts w:ascii="Verdana" w:hAnsi="Verdana"/>
          <w:sz w:val="18"/>
          <w:szCs w:val="18"/>
          <w:lang w:val="nl-NL"/>
        </w:rPr>
        <w:t>een toezegging van de</w:t>
      </w:r>
      <w:r w:rsidRPr="006E62B5" w:rsidR="001B0ECE">
        <w:rPr>
          <w:rFonts w:ascii="Verdana" w:hAnsi="Verdana"/>
          <w:sz w:val="18"/>
          <w:szCs w:val="18"/>
          <w:lang w:val="nl-NL"/>
        </w:rPr>
        <w:t xml:space="preserve"> toenmalige</w:t>
      </w:r>
      <w:r w:rsidRPr="006E62B5" w:rsidR="00724E19">
        <w:rPr>
          <w:rFonts w:ascii="Verdana" w:hAnsi="Verdana"/>
          <w:sz w:val="18"/>
          <w:szCs w:val="18"/>
          <w:lang w:val="nl-NL"/>
        </w:rPr>
        <w:t xml:space="preserve"> minister voor Armoedebeleid</w:t>
      </w:r>
      <w:r w:rsidRPr="002A390C" w:rsidR="00724E19">
        <w:rPr>
          <w:rFonts w:ascii="Verdana" w:hAnsi="Verdana"/>
          <w:sz w:val="18"/>
          <w:szCs w:val="18"/>
          <w:lang w:val="nl-NL"/>
        </w:rPr>
        <w:t>, Participatie en Pensioenen</w:t>
      </w:r>
      <w:r w:rsidR="003E1EE3">
        <w:rPr>
          <w:rFonts w:ascii="Verdana" w:hAnsi="Verdana"/>
          <w:sz w:val="18"/>
          <w:szCs w:val="18"/>
          <w:lang w:val="nl-NL"/>
        </w:rPr>
        <w:t>.</w:t>
      </w:r>
      <w:r w:rsidRPr="002A390C" w:rsidR="00724E19">
        <w:rPr>
          <w:rFonts w:ascii="Verdana" w:hAnsi="Verdana"/>
          <w:sz w:val="18"/>
          <w:szCs w:val="18"/>
          <w:lang w:val="nl-NL"/>
        </w:rPr>
        <w:t xml:space="preserve"> </w:t>
      </w:r>
      <w:r w:rsidR="003E1EE3">
        <w:rPr>
          <w:rFonts w:ascii="Verdana" w:hAnsi="Verdana"/>
          <w:sz w:val="18"/>
          <w:szCs w:val="18"/>
          <w:lang w:val="nl-NL"/>
        </w:rPr>
        <w:t>G</w:t>
      </w:r>
      <w:r w:rsidRPr="002A390C" w:rsidR="00724E19">
        <w:rPr>
          <w:rFonts w:ascii="Verdana" w:hAnsi="Verdana"/>
          <w:sz w:val="18"/>
          <w:szCs w:val="18"/>
          <w:lang w:val="nl-NL"/>
        </w:rPr>
        <w:t xml:space="preserve">ezamenlijk </w:t>
      </w:r>
      <w:r>
        <w:rPr>
          <w:rFonts w:ascii="Verdana" w:hAnsi="Verdana"/>
          <w:sz w:val="18"/>
          <w:szCs w:val="18"/>
          <w:lang w:val="nl-NL"/>
        </w:rPr>
        <w:t>met de toenmalig</w:t>
      </w:r>
      <w:r w:rsidR="009F4AEF">
        <w:rPr>
          <w:rFonts w:ascii="Verdana" w:hAnsi="Verdana"/>
          <w:sz w:val="18"/>
          <w:szCs w:val="18"/>
          <w:lang w:val="nl-NL"/>
        </w:rPr>
        <w:t>e</w:t>
      </w:r>
      <w:r>
        <w:rPr>
          <w:rFonts w:ascii="Verdana" w:hAnsi="Verdana"/>
          <w:sz w:val="18"/>
          <w:szCs w:val="18"/>
          <w:lang w:val="nl-NL"/>
        </w:rPr>
        <w:t xml:space="preserve"> minister van Infrastructuur en Waterstaat </w:t>
      </w:r>
      <w:r w:rsidR="003E1EE3">
        <w:rPr>
          <w:rFonts w:ascii="Verdana" w:hAnsi="Verdana"/>
          <w:sz w:val="18"/>
          <w:szCs w:val="18"/>
          <w:lang w:val="nl-NL"/>
        </w:rPr>
        <w:t xml:space="preserve">is dit onderzoek </w:t>
      </w:r>
      <w:r w:rsidRPr="002A390C" w:rsidR="00724E19">
        <w:rPr>
          <w:rFonts w:ascii="Verdana" w:hAnsi="Verdana"/>
          <w:sz w:val="18"/>
          <w:szCs w:val="18"/>
          <w:lang w:val="nl-NL"/>
        </w:rPr>
        <w:t>uitgezet</w:t>
      </w:r>
      <w:r w:rsidR="006F3C18">
        <w:rPr>
          <w:rFonts w:ascii="Verdana" w:hAnsi="Verdana"/>
          <w:sz w:val="18"/>
          <w:szCs w:val="18"/>
          <w:lang w:val="nl-NL"/>
        </w:rPr>
        <w:t xml:space="preserve"> en uitgevoerd.</w:t>
      </w:r>
      <w:r w:rsidRPr="002A390C" w:rsidR="00724E19">
        <w:rPr>
          <w:rFonts w:ascii="Verdana" w:hAnsi="Verdana"/>
          <w:sz w:val="18"/>
          <w:szCs w:val="18"/>
          <w:lang w:val="nl-NL"/>
        </w:rPr>
        <w:t xml:space="preserve"> In lijn met de motie</w:t>
      </w:r>
      <w:r w:rsidR="00724E19">
        <w:rPr>
          <w:rFonts w:ascii="Verdana" w:hAnsi="Verdana"/>
          <w:sz w:val="18"/>
          <w:szCs w:val="18"/>
          <w:lang w:val="nl-NL"/>
        </w:rPr>
        <w:t>-</w:t>
      </w:r>
      <w:r w:rsidRPr="002A390C" w:rsidR="00724E19">
        <w:rPr>
          <w:rFonts w:ascii="Verdana" w:hAnsi="Verdana"/>
          <w:sz w:val="18"/>
          <w:szCs w:val="18"/>
          <w:lang w:val="nl-NL"/>
        </w:rPr>
        <w:t xml:space="preserve">Kat is de optie voor een drinkwaterfonds expliciet in dit onderzoek meegenomen. </w:t>
      </w:r>
    </w:p>
    <w:p w:rsidR="00724E19" w:rsidP="002A390C" w:rsidRDefault="00724E19" w14:paraId="589F7543" w14:textId="77777777">
      <w:pPr>
        <w:pStyle w:val="NoSpacing"/>
        <w:spacing w:line="276" w:lineRule="auto"/>
        <w:rPr>
          <w:rFonts w:ascii="Verdana" w:hAnsi="Verdana"/>
          <w:sz w:val="18"/>
          <w:szCs w:val="18"/>
          <w:lang w:val="nl-NL"/>
        </w:rPr>
      </w:pPr>
    </w:p>
    <w:p w:rsidRPr="002A390C" w:rsidR="00F30ABE" w:rsidP="006E62B5" w:rsidRDefault="002A390C" w14:paraId="5A8F3A14" w14:textId="5F553348">
      <w:pPr>
        <w:pStyle w:val="NoSpacing"/>
        <w:suppressAutoHyphens/>
        <w:spacing w:line="276" w:lineRule="auto"/>
        <w:rPr>
          <w:rFonts w:ascii="Verdana" w:hAnsi="Verdana"/>
          <w:sz w:val="18"/>
          <w:szCs w:val="18"/>
          <w:lang w:val="nl-NL"/>
        </w:rPr>
      </w:pPr>
      <w:r w:rsidRPr="002A390C">
        <w:rPr>
          <w:rFonts w:ascii="Verdana" w:hAnsi="Verdana"/>
          <w:sz w:val="18"/>
          <w:szCs w:val="18"/>
          <w:lang w:val="nl-NL"/>
        </w:rPr>
        <w:t xml:space="preserve">Armoede en schulden kunnen </w:t>
      </w:r>
      <w:r w:rsidR="00115AF2">
        <w:rPr>
          <w:rFonts w:ascii="Verdana" w:hAnsi="Verdana"/>
          <w:sz w:val="18"/>
          <w:szCs w:val="18"/>
          <w:lang w:val="nl-NL"/>
        </w:rPr>
        <w:t>het betalen van de drinkwaterrekening en daarmee de</w:t>
      </w:r>
      <w:r w:rsidRPr="002A390C">
        <w:rPr>
          <w:rFonts w:ascii="Verdana" w:hAnsi="Verdana"/>
          <w:sz w:val="18"/>
          <w:szCs w:val="18"/>
          <w:lang w:val="nl-NL"/>
        </w:rPr>
        <w:t xml:space="preserve"> toegang tot drinkwater belemmeren</w:t>
      </w:r>
      <w:r w:rsidRPr="003E1EE3">
        <w:rPr>
          <w:rFonts w:ascii="Verdana" w:hAnsi="Verdana"/>
          <w:sz w:val="18"/>
          <w:szCs w:val="18"/>
          <w:lang w:val="nl-NL"/>
        </w:rPr>
        <w:t xml:space="preserve">. </w:t>
      </w:r>
      <w:r w:rsidRPr="003E1EE3" w:rsidR="00434185">
        <w:rPr>
          <w:rFonts w:ascii="Verdana" w:hAnsi="Verdana"/>
          <w:sz w:val="18"/>
          <w:szCs w:val="18"/>
          <w:lang w:val="nl-NL"/>
        </w:rPr>
        <w:t xml:space="preserve">Het kabinet streeft er naar om de </w:t>
      </w:r>
      <w:r w:rsidRPr="006E62B5" w:rsidR="00434185">
        <w:rPr>
          <w:rFonts w:ascii="Verdana" w:hAnsi="Verdana"/>
          <w:sz w:val="18"/>
          <w:szCs w:val="18"/>
          <w:lang w:val="nl-NL"/>
        </w:rPr>
        <w:t>(kinder</w:t>
      </w:r>
      <w:r w:rsidRPr="006E62B5" w:rsidR="006E62B5">
        <w:rPr>
          <w:rFonts w:ascii="Verdana" w:hAnsi="Verdana"/>
          <w:sz w:val="18"/>
          <w:szCs w:val="18"/>
          <w:lang w:val="nl-NL"/>
        </w:rPr>
        <w:noBreakHyphen/>
      </w:r>
      <w:r w:rsidRPr="006E62B5" w:rsidR="00434185">
        <w:rPr>
          <w:rFonts w:ascii="Verdana" w:hAnsi="Verdana"/>
          <w:sz w:val="18"/>
          <w:szCs w:val="18"/>
          <w:lang w:val="nl-NL"/>
        </w:rPr>
        <w:t>)armoedecijfers niet uit te laten komen boven het referentiejaar 2024</w:t>
      </w:r>
      <w:r w:rsidRPr="006E62B5">
        <w:rPr>
          <w:rFonts w:ascii="Verdana" w:hAnsi="Verdana"/>
          <w:sz w:val="18"/>
          <w:szCs w:val="18"/>
          <w:vertAlign w:val="superscript"/>
          <w:lang w:val="nl-NL"/>
        </w:rPr>
        <w:footnoteReference w:id="6"/>
      </w:r>
      <w:r w:rsidRPr="006E62B5">
        <w:rPr>
          <w:rFonts w:ascii="Verdana" w:hAnsi="Verdana"/>
          <w:sz w:val="18"/>
          <w:szCs w:val="18"/>
          <w:lang w:val="nl-NL"/>
        </w:rPr>
        <w:t>.</w:t>
      </w:r>
      <w:r w:rsidRPr="006E62B5" w:rsidR="00434185">
        <w:rPr>
          <w:rFonts w:ascii="Verdana" w:hAnsi="Verdana"/>
          <w:sz w:val="18"/>
          <w:szCs w:val="18"/>
          <w:lang w:val="nl-NL"/>
        </w:rPr>
        <w:t xml:space="preserve"> </w:t>
      </w:r>
      <w:r w:rsidRPr="006E62B5" w:rsidR="00AB73BB">
        <w:rPr>
          <w:rFonts w:ascii="Verdana" w:hAnsi="Verdana"/>
          <w:sz w:val="18"/>
          <w:szCs w:val="18"/>
          <w:lang w:val="nl-NL"/>
        </w:rPr>
        <w:t>D</w:t>
      </w:r>
      <w:r w:rsidR="000F3B4D">
        <w:rPr>
          <w:rFonts w:ascii="Verdana" w:hAnsi="Verdana"/>
          <w:sz w:val="18"/>
          <w:szCs w:val="18"/>
          <w:lang w:val="nl-NL"/>
        </w:rPr>
        <w:t>e</w:t>
      </w:r>
      <w:r w:rsidRPr="002A390C">
        <w:rPr>
          <w:rFonts w:ascii="Verdana" w:hAnsi="Verdana"/>
          <w:sz w:val="18"/>
          <w:szCs w:val="18"/>
          <w:lang w:val="nl-NL"/>
        </w:rPr>
        <w:t xml:space="preserve"> Kamer heeft specifiek voor drinkwater extra aandacht gevraagd via moties. De motie</w:t>
      </w:r>
      <w:r w:rsidR="000F3B4D">
        <w:rPr>
          <w:rFonts w:ascii="Verdana" w:hAnsi="Verdana"/>
          <w:sz w:val="18"/>
          <w:szCs w:val="18"/>
          <w:lang w:val="nl-NL"/>
        </w:rPr>
        <w:t xml:space="preserve"> van het lid</w:t>
      </w:r>
      <w:r w:rsidRPr="002A390C">
        <w:rPr>
          <w:rFonts w:ascii="Verdana" w:hAnsi="Verdana"/>
          <w:sz w:val="18"/>
          <w:szCs w:val="18"/>
          <w:lang w:val="nl-NL"/>
        </w:rPr>
        <w:t xml:space="preserve"> Kat verzoekt in gesprek te treden met belanghebbenden met als doel ervoor te zorgen dat huishoudens in Nederland niet meer worden afgesloten van drinkwater vanwege betalingsproblemen en de motie </w:t>
      </w:r>
      <w:r w:rsidR="000F3B4D">
        <w:rPr>
          <w:rFonts w:ascii="Verdana" w:hAnsi="Verdana"/>
          <w:sz w:val="18"/>
          <w:szCs w:val="18"/>
          <w:lang w:val="nl-NL"/>
        </w:rPr>
        <w:t xml:space="preserve">van het lid </w:t>
      </w:r>
      <w:r w:rsidRPr="002A390C">
        <w:rPr>
          <w:rFonts w:ascii="Verdana" w:hAnsi="Verdana"/>
          <w:sz w:val="18"/>
          <w:szCs w:val="18"/>
          <w:lang w:val="nl-NL"/>
        </w:rPr>
        <w:t xml:space="preserve">Synhaeve verzoekt ervoor te zorgen dat het moeilijker wordt om huishoudens af te sluiten van drinkwater door de voorwaarden voor het afsluiten aan te scherpen. Op 28 maart heeft </w:t>
      </w:r>
      <w:r w:rsidR="000F3B4D">
        <w:rPr>
          <w:rFonts w:ascii="Verdana" w:hAnsi="Verdana"/>
          <w:sz w:val="18"/>
          <w:szCs w:val="18"/>
          <w:lang w:val="nl-NL"/>
        </w:rPr>
        <w:t>de</w:t>
      </w:r>
      <w:r w:rsidRPr="002A390C">
        <w:rPr>
          <w:rFonts w:ascii="Verdana" w:hAnsi="Verdana"/>
          <w:sz w:val="18"/>
          <w:szCs w:val="18"/>
          <w:lang w:val="nl-NL"/>
        </w:rPr>
        <w:t xml:space="preserve"> Kamer al</w:t>
      </w:r>
      <w:r w:rsidR="00692F41">
        <w:rPr>
          <w:rFonts w:ascii="Verdana" w:hAnsi="Verdana"/>
          <w:sz w:val="18"/>
          <w:szCs w:val="18"/>
          <w:lang w:val="nl-NL"/>
        </w:rPr>
        <w:t xml:space="preserve"> een</w:t>
      </w:r>
      <w:r w:rsidRPr="002A390C">
        <w:rPr>
          <w:rFonts w:ascii="Verdana" w:hAnsi="Verdana"/>
          <w:sz w:val="18"/>
          <w:szCs w:val="18"/>
          <w:lang w:val="nl-NL"/>
        </w:rPr>
        <w:t xml:space="preserve"> brief ontvangen over de uitvoering van motie</w:t>
      </w:r>
      <w:r w:rsidR="000F3B4D">
        <w:rPr>
          <w:rFonts w:ascii="Verdana" w:hAnsi="Verdana"/>
          <w:sz w:val="18"/>
          <w:szCs w:val="18"/>
          <w:lang w:val="nl-NL"/>
        </w:rPr>
        <w:t>-</w:t>
      </w:r>
      <w:r w:rsidRPr="002A390C">
        <w:rPr>
          <w:rFonts w:ascii="Verdana" w:hAnsi="Verdana"/>
          <w:sz w:val="18"/>
          <w:szCs w:val="18"/>
          <w:lang w:val="nl-NL"/>
        </w:rPr>
        <w:t>Synhaeve</w:t>
      </w:r>
      <w:r w:rsidRPr="002A390C">
        <w:rPr>
          <w:rStyle w:val="FootnoteReference"/>
          <w:rFonts w:ascii="Verdana" w:hAnsi="Verdana"/>
          <w:sz w:val="18"/>
          <w:szCs w:val="18"/>
          <w:lang w:val="nl-NL"/>
        </w:rPr>
        <w:footnoteReference w:id="7"/>
      </w:r>
      <w:r w:rsidRPr="002A390C">
        <w:rPr>
          <w:rFonts w:ascii="Verdana" w:hAnsi="Verdana"/>
          <w:sz w:val="18"/>
          <w:szCs w:val="18"/>
          <w:lang w:val="nl-NL"/>
        </w:rPr>
        <w:t>. Met de brief</w:t>
      </w:r>
      <w:r w:rsidR="00B15996">
        <w:rPr>
          <w:rFonts w:ascii="Verdana" w:hAnsi="Verdana"/>
          <w:sz w:val="18"/>
          <w:szCs w:val="18"/>
          <w:lang w:val="nl-NL"/>
        </w:rPr>
        <w:t xml:space="preserve"> die de Kamer nu ontvangt</w:t>
      </w:r>
      <w:r w:rsidRPr="002A390C">
        <w:rPr>
          <w:rFonts w:ascii="Verdana" w:hAnsi="Verdana"/>
          <w:sz w:val="18"/>
          <w:szCs w:val="18"/>
          <w:lang w:val="nl-NL"/>
        </w:rPr>
        <w:t xml:space="preserve"> </w:t>
      </w:r>
      <w:r w:rsidR="00FA3EDD">
        <w:rPr>
          <w:rFonts w:ascii="Verdana" w:hAnsi="Verdana"/>
          <w:sz w:val="18"/>
          <w:szCs w:val="18"/>
          <w:lang w:val="nl-NL"/>
        </w:rPr>
        <w:t xml:space="preserve">worden </w:t>
      </w:r>
      <w:r w:rsidRPr="002A390C">
        <w:rPr>
          <w:rFonts w:ascii="Verdana" w:hAnsi="Verdana"/>
          <w:sz w:val="18"/>
          <w:szCs w:val="18"/>
          <w:lang w:val="nl-NL"/>
        </w:rPr>
        <w:t>beide moties af</w:t>
      </w:r>
      <w:r w:rsidR="00FA3EDD">
        <w:rPr>
          <w:rFonts w:ascii="Verdana" w:hAnsi="Verdana"/>
          <w:sz w:val="18"/>
          <w:szCs w:val="18"/>
          <w:lang w:val="nl-NL"/>
        </w:rPr>
        <w:t>gedaan</w:t>
      </w:r>
      <w:r w:rsidRPr="002A390C">
        <w:rPr>
          <w:rFonts w:ascii="Verdana" w:hAnsi="Verdana"/>
          <w:sz w:val="18"/>
          <w:szCs w:val="18"/>
          <w:lang w:val="nl-NL"/>
        </w:rPr>
        <w:t xml:space="preserve">. </w:t>
      </w:r>
    </w:p>
    <w:p w:rsidRPr="004814C6" w:rsidR="002A390C" w:rsidP="0074683A" w:rsidRDefault="002A390C" w14:paraId="35A9A2B3" w14:textId="1888541F">
      <w:pPr>
        <w:pStyle w:val="NoSpacing"/>
        <w:spacing w:line="276" w:lineRule="auto"/>
        <w:rPr>
          <w:rFonts w:ascii="Verdana" w:hAnsi="Verdana"/>
          <w:sz w:val="18"/>
          <w:szCs w:val="18"/>
          <w:lang w:val="nl-NL"/>
        </w:rPr>
      </w:pPr>
      <w:bookmarkStart w:name="_Hlk164242755" w:id="1"/>
    </w:p>
    <w:bookmarkEnd w:id="1"/>
    <w:p w:rsidR="00970231" w:rsidP="002A390C" w:rsidRDefault="0069326E" w14:paraId="7482EFFA" w14:textId="448E7B25">
      <w:pPr>
        <w:pStyle w:val="NoSpacing"/>
        <w:spacing w:line="276" w:lineRule="auto"/>
        <w:rPr>
          <w:rFonts w:ascii="Verdana" w:hAnsi="Verdana"/>
          <w:sz w:val="18"/>
          <w:szCs w:val="18"/>
          <w:lang w:val="nl-NL"/>
        </w:rPr>
      </w:pPr>
      <w:r>
        <w:rPr>
          <w:rFonts w:ascii="Verdana" w:hAnsi="Verdana"/>
          <w:b/>
          <w:bCs/>
          <w:sz w:val="18"/>
          <w:szCs w:val="18"/>
          <w:lang w:val="nl-NL"/>
        </w:rPr>
        <w:lastRenderedPageBreak/>
        <w:br/>
      </w:r>
      <w:r w:rsidR="00970231">
        <w:rPr>
          <w:rFonts w:ascii="Verdana" w:hAnsi="Verdana"/>
          <w:b/>
          <w:bCs/>
          <w:sz w:val="18"/>
          <w:szCs w:val="18"/>
          <w:lang w:val="nl-NL"/>
        </w:rPr>
        <w:t>U</w:t>
      </w:r>
      <w:r w:rsidRPr="00CF7501" w:rsidR="00970231">
        <w:rPr>
          <w:rFonts w:ascii="Verdana" w:hAnsi="Verdana"/>
          <w:b/>
          <w:bCs/>
          <w:sz w:val="18"/>
          <w:szCs w:val="18"/>
          <w:lang w:val="nl-NL"/>
        </w:rPr>
        <w:t>itkomsten Rapport “Bescherming kinderen tegen afsluiting van drinkwater en energie”</w:t>
      </w:r>
    </w:p>
    <w:p w:rsidRPr="002A390C" w:rsidR="002A390C" w:rsidP="002A390C" w:rsidRDefault="002A390C" w14:paraId="51CB96BA" w14:textId="0EF7E984">
      <w:pPr>
        <w:pStyle w:val="NoSpacing"/>
        <w:spacing w:line="276" w:lineRule="auto"/>
        <w:rPr>
          <w:rFonts w:ascii="Verdana" w:hAnsi="Verdana"/>
          <w:sz w:val="18"/>
          <w:szCs w:val="18"/>
          <w:lang w:val="nl-NL"/>
        </w:rPr>
      </w:pPr>
      <w:r w:rsidRPr="002A390C">
        <w:rPr>
          <w:rFonts w:ascii="Verdana" w:hAnsi="Verdana"/>
          <w:sz w:val="18"/>
          <w:szCs w:val="18"/>
          <w:lang w:val="nl-NL"/>
        </w:rPr>
        <w:t xml:space="preserve">Er zijn in Nederland ongeveer 8,5 </w:t>
      </w:r>
      <w:r w:rsidR="00D8307D">
        <w:rPr>
          <w:rFonts w:ascii="Verdana" w:hAnsi="Verdana"/>
          <w:sz w:val="18"/>
          <w:szCs w:val="18"/>
          <w:lang w:val="nl-NL"/>
        </w:rPr>
        <w:t>miljoen</w:t>
      </w:r>
      <w:r w:rsidRPr="002A390C">
        <w:rPr>
          <w:rFonts w:ascii="Verdana" w:hAnsi="Verdana"/>
          <w:sz w:val="18"/>
          <w:szCs w:val="18"/>
          <w:lang w:val="nl-NL"/>
        </w:rPr>
        <w:t xml:space="preserve"> drinkwateraansluitingen. Het onderzoek schat het jaarlijkse aantal afsluitingen van drinkwater op 1.300 in 2023, waarbij verwacht wordt dat het overgrote deel voortkomt uit wanbetaling. Drinkwaterbedrijven hebben geen zicht op de samenstelling van de aangesloten huishoudens en weten dus niet of daar kinderen toe behoren.</w:t>
      </w:r>
    </w:p>
    <w:p w:rsidRPr="002A390C" w:rsidR="002A390C" w:rsidP="002A390C" w:rsidRDefault="002A390C" w14:paraId="0A623072" w14:textId="77777777">
      <w:pPr>
        <w:pStyle w:val="NoSpacing"/>
        <w:spacing w:line="276" w:lineRule="auto"/>
        <w:rPr>
          <w:rFonts w:ascii="Verdana" w:hAnsi="Verdana"/>
          <w:sz w:val="18"/>
          <w:szCs w:val="18"/>
          <w:lang w:val="nl-NL"/>
        </w:rPr>
      </w:pPr>
    </w:p>
    <w:p w:rsidRPr="002A390C" w:rsidR="002A390C" w:rsidP="002A390C" w:rsidRDefault="002A390C" w14:paraId="73E934D7" w14:textId="77777777">
      <w:pPr>
        <w:pStyle w:val="NoSpacing"/>
        <w:spacing w:line="276" w:lineRule="auto"/>
        <w:rPr>
          <w:rFonts w:ascii="Verdana" w:hAnsi="Verdana"/>
          <w:sz w:val="18"/>
          <w:szCs w:val="18"/>
          <w:lang w:val="nl-NL"/>
        </w:rPr>
      </w:pPr>
      <w:r w:rsidRPr="002A390C">
        <w:rPr>
          <w:rFonts w:ascii="Verdana" w:hAnsi="Verdana"/>
          <w:sz w:val="18"/>
          <w:szCs w:val="18"/>
          <w:lang w:val="nl-NL"/>
        </w:rPr>
        <w:t>Door middel van interviews met belanghebbenden en experts zijn de mogelijkheden tot verbetering van de bescherming van kinderen tegen de afsluiting van drinkwater in kaart gebracht. Regioplan doet de volgende aanbevelingen:</w:t>
      </w:r>
    </w:p>
    <w:p w:rsidRPr="002A390C" w:rsidR="002A390C" w:rsidP="002A390C" w:rsidRDefault="002A390C" w14:paraId="2A3435CC" w14:textId="38437208">
      <w:pPr>
        <w:pStyle w:val="NoSpacing"/>
        <w:numPr>
          <w:ilvl w:val="0"/>
          <w:numId w:val="22"/>
        </w:numPr>
        <w:spacing w:line="276" w:lineRule="auto"/>
        <w:rPr>
          <w:rFonts w:ascii="Verdana" w:hAnsi="Verdana"/>
          <w:sz w:val="18"/>
          <w:szCs w:val="18"/>
          <w:lang w:val="nl-NL"/>
        </w:rPr>
      </w:pPr>
      <w:r w:rsidRPr="002A390C">
        <w:rPr>
          <w:rFonts w:ascii="Verdana" w:hAnsi="Verdana"/>
          <w:sz w:val="18"/>
          <w:szCs w:val="18"/>
          <w:lang w:val="nl-NL"/>
        </w:rPr>
        <w:t xml:space="preserve">De gemeenten hebben toegang tot de </w:t>
      </w:r>
      <w:r w:rsidR="000F3B4D">
        <w:rPr>
          <w:rFonts w:ascii="Verdana" w:hAnsi="Verdana"/>
          <w:sz w:val="18"/>
          <w:szCs w:val="18"/>
          <w:lang w:val="nl-NL"/>
        </w:rPr>
        <w:t>Basisregistratie Personen (</w:t>
      </w:r>
      <w:r w:rsidRPr="002A390C">
        <w:rPr>
          <w:rFonts w:ascii="Verdana" w:hAnsi="Verdana"/>
          <w:sz w:val="18"/>
          <w:szCs w:val="18"/>
          <w:lang w:val="nl-NL"/>
        </w:rPr>
        <w:t>BRP</w:t>
      </w:r>
      <w:r w:rsidR="000F3B4D">
        <w:rPr>
          <w:rFonts w:ascii="Verdana" w:hAnsi="Verdana"/>
          <w:sz w:val="18"/>
          <w:szCs w:val="18"/>
          <w:lang w:val="nl-NL"/>
        </w:rPr>
        <w:t>)</w:t>
      </w:r>
      <w:r w:rsidRPr="002A390C">
        <w:rPr>
          <w:rFonts w:ascii="Verdana" w:hAnsi="Verdana"/>
          <w:sz w:val="18"/>
          <w:szCs w:val="18"/>
          <w:lang w:val="nl-NL"/>
        </w:rPr>
        <w:t xml:space="preserve"> en zouden in het prioriteringsproces van vroegsignalering voorrang kunnen geven aan huishoudens met kinderen.</w:t>
      </w:r>
    </w:p>
    <w:p w:rsidRPr="002A390C" w:rsidR="002A390C" w:rsidDel="00602167" w:rsidP="002A390C" w:rsidRDefault="002A390C" w14:paraId="30008D1B" w14:textId="77777777">
      <w:pPr>
        <w:pStyle w:val="NoSpacing"/>
        <w:numPr>
          <w:ilvl w:val="0"/>
          <w:numId w:val="22"/>
        </w:numPr>
        <w:spacing w:line="276" w:lineRule="auto"/>
        <w:rPr>
          <w:rFonts w:ascii="Verdana" w:hAnsi="Verdana"/>
          <w:sz w:val="18"/>
          <w:szCs w:val="18"/>
          <w:lang w:val="nl-NL"/>
        </w:rPr>
      </w:pPr>
      <w:r w:rsidRPr="002A390C" w:rsidDel="00602167">
        <w:rPr>
          <w:rFonts w:ascii="Verdana" w:hAnsi="Verdana"/>
          <w:sz w:val="18"/>
          <w:szCs w:val="18"/>
          <w:lang w:val="nl-NL"/>
        </w:rPr>
        <w:t xml:space="preserve">Gemeenten kunnen vaker gebruik maken van een schuldenbewind om mensen te beschermen tegen verdere financiële problemen. </w:t>
      </w:r>
    </w:p>
    <w:p w:rsidRPr="002A390C" w:rsidR="002A390C" w:rsidP="002A390C" w:rsidRDefault="002A390C" w14:paraId="20320EEA" w14:textId="15092DDA">
      <w:pPr>
        <w:pStyle w:val="NoSpacing"/>
        <w:numPr>
          <w:ilvl w:val="0"/>
          <w:numId w:val="22"/>
        </w:numPr>
        <w:spacing w:line="276" w:lineRule="auto"/>
        <w:rPr>
          <w:rFonts w:ascii="Verdana" w:hAnsi="Verdana"/>
          <w:sz w:val="18"/>
          <w:szCs w:val="18"/>
          <w:lang w:val="nl-NL"/>
        </w:rPr>
      </w:pPr>
      <w:r w:rsidRPr="002A390C">
        <w:rPr>
          <w:rFonts w:ascii="Verdana" w:hAnsi="Verdana"/>
          <w:sz w:val="18"/>
          <w:szCs w:val="18"/>
          <w:lang w:val="nl-NL"/>
        </w:rPr>
        <w:t xml:space="preserve">Harmoniseer de signalen die drinkwaterbedrijven en gemeenten uitwisselen: een minimaal bedrag en een minimaal aantal maanden betalingsachterstanden voor een vroegsignaal, informatie over de aanwezigheid van kinderen en verplicht drinkwaterbedrijven om een afsluitsignaal te sturen voordat zij tot afsluiting overgaan. </w:t>
      </w:r>
    </w:p>
    <w:p w:rsidRPr="002A390C" w:rsidR="002A390C" w:rsidP="002A390C" w:rsidRDefault="002A390C" w14:paraId="3B72F323" w14:textId="77777777">
      <w:pPr>
        <w:pStyle w:val="NoSpacing"/>
        <w:numPr>
          <w:ilvl w:val="0"/>
          <w:numId w:val="22"/>
        </w:numPr>
        <w:spacing w:line="276" w:lineRule="auto"/>
        <w:rPr>
          <w:rFonts w:ascii="Verdana" w:hAnsi="Verdana"/>
          <w:sz w:val="18"/>
          <w:szCs w:val="18"/>
          <w:lang w:val="nl-NL"/>
        </w:rPr>
      </w:pPr>
      <w:r w:rsidRPr="002A390C">
        <w:rPr>
          <w:rFonts w:ascii="Verdana" w:hAnsi="Verdana"/>
          <w:sz w:val="18"/>
          <w:szCs w:val="18"/>
          <w:lang w:val="nl-NL"/>
        </w:rPr>
        <w:t>Optimaliseer de afsluitregeling drinkwater naar voorbeeld van de afsluitregeling energie.</w:t>
      </w:r>
    </w:p>
    <w:p w:rsidRPr="002A390C" w:rsidR="002A390C" w:rsidP="002A390C" w:rsidRDefault="002A390C" w14:paraId="43E64E2C" w14:textId="77777777">
      <w:pPr>
        <w:pStyle w:val="NoSpacing"/>
        <w:numPr>
          <w:ilvl w:val="0"/>
          <w:numId w:val="22"/>
        </w:numPr>
        <w:spacing w:line="276" w:lineRule="auto"/>
        <w:rPr>
          <w:rFonts w:ascii="Verdana" w:hAnsi="Verdana"/>
          <w:sz w:val="18"/>
          <w:szCs w:val="18"/>
          <w:lang w:val="nl-NL"/>
        </w:rPr>
      </w:pPr>
      <w:r w:rsidRPr="002A390C">
        <w:rPr>
          <w:rFonts w:ascii="Verdana" w:hAnsi="Verdana"/>
          <w:sz w:val="18"/>
          <w:szCs w:val="18"/>
          <w:lang w:val="nl-NL"/>
        </w:rPr>
        <w:t xml:space="preserve">Overweeg kinderen op te nemen onder de definitie van kwetsbare afnemers in de afsluitregeling voor drinkwater.  </w:t>
      </w:r>
    </w:p>
    <w:p w:rsidRPr="002A390C" w:rsidR="002A390C" w:rsidP="002A390C" w:rsidRDefault="002A390C" w14:paraId="5B6372BB" w14:textId="77777777">
      <w:pPr>
        <w:pStyle w:val="NoSpacing"/>
        <w:spacing w:line="276" w:lineRule="auto"/>
        <w:rPr>
          <w:rFonts w:ascii="Verdana" w:hAnsi="Verdana"/>
          <w:i/>
          <w:iCs/>
          <w:sz w:val="18"/>
          <w:szCs w:val="18"/>
          <w:lang w:val="nl-NL"/>
        </w:rPr>
      </w:pPr>
    </w:p>
    <w:p w:rsidRPr="002A390C" w:rsidR="002A390C" w:rsidP="002A390C" w:rsidRDefault="002A390C" w14:paraId="11355A69" w14:textId="77777777">
      <w:pPr>
        <w:pStyle w:val="NoSpacing"/>
        <w:spacing w:line="276" w:lineRule="auto"/>
        <w:rPr>
          <w:rFonts w:ascii="Verdana" w:hAnsi="Verdana"/>
          <w:b/>
          <w:bCs/>
          <w:sz w:val="18"/>
          <w:szCs w:val="18"/>
          <w:lang w:val="nl-NL"/>
        </w:rPr>
      </w:pPr>
      <w:r w:rsidRPr="002A390C">
        <w:rPr>
          <w:rFonts w:ascii="Verdana" w:hAnsi="Verdana"/>
          <w:b/>
          <w:bCs/>
          <w:sz w:val="18"/>
          <w:szCs w:val="18"/>
          <w:lang w:val="nl-NL"/>
        </w:rPr>
        <w:t>Beleidsreactie</w:t>
      </w:r>
    </w:p>
    <w:p w:rsidR="00A1056B" w:rsidP="00A5437A" w:rsidRDefault="002A390C" w14:paraId="7BC21E9D" w14:textId="548BA14F">
      <w:pPr>
        <w:pStyle w:val="NoSpacing"/>
        <w:spacing w:line="276" w:lineRule="auto"/>
        <w:rPr>
          <w:rFonts w:ascii="Verdana" w:hAnsi="Verdana"/>
          <w:sz w:val="18"/>
          <w:szCs w:val="18"/>
          <w:lang w:val="nl-NL"/>
        </w:rPr>
      </w:pPr>
      <w:r w:rsidRPr="002A390C">
        <w:rPr>
          <w:rFonts w:ascii="Verdana" w:hAnsi="Verdana"/>
          <w:sz w:val="18"/>
          <w:szCs w:val="18"/>
          <w:lang w:val="nl-NL"/>
        </w:rPr>
        <w:t xml:space="preserve">Om opvolging te geven aan de uitspraak van de rechter, de moties en de aanbevelingen van het onderzoek van Regioplan </w:t>
      </w:r>
      <w:r w:rsidR="003F40DD">
        <w:rPr>
          <w:rFonts w:ascii="Verdana" w:hAnsi="Verdana"/>
          <w:sz w:val="18"/>
          <w:szCs w:val="18"/>
          <w:lang w:val="nl-NL"/>
        </w:rPr>
        <w:t xml:space="preserve">worden </w:t>
      </w:r>
      <w:r w:rsidR="0029106F">
        <w:rPr>
          <w:rFonts w:ascii="Verdana" w:hAnsi="Verdana"/>
          <w:sz w:val="18"/>
          <w:szCs w:val="18"/>
          <w:lang w:val="nl-NL"/>
        </w:rPr>
        <w:t>twee sporen ge</w:t>
      </w:r>
      <w:r w:rsidR="003F40DD">
        <w:rPr>
          <w:rFonts w:ascii="Verdana" w:hAnsi="Verdana"/>
          <w:sz w:val="18"/>
          <w:szCs w:val="18"/>
          <w:lang w:val="nl-NL"/>
        </w:rPr>
        <w:t>volgd</w:t>
      </w:r>
      <w:r w:rsidR="0029106F">
        <w:rPr>
          <w:rFonts w:ascii="Verdana" w:hAnsi="Verdana"/>
          <w:sz w:val="18"/>
          <w:szCs w:val="18"/>
          <w:lang w:val="nl-NL"/>
        </w:rPr>
        <w:t>:</w:t>
      </w:r>
      <w:r w:rsidRPr="002A390C">
        <w:rPr>
          <w:rFonts w:ascii="Verdana" w:hAnsi="Verdana"/>
          <w:sz w:val="18"/>
          <w:szCs w:val="18"/>
          <w:lang w:val="nl-NL"/>
        </w:rPr>
        <w:t xml:space="preserve"> </w:t>
      </w:r>
      <w:r w:rsidR="000F3B4D">
        <w:rPr>
          <w:rFonts w:ascii="Verdana" w:hAnsi="Verdana"/>
          <w:sz w:val="18"/>
          <w:szCs w:val="18"/>
          <w:lang w:val="nl-NL"/>
        </w:rPr>
        <w:t>h</w:t>
      </w:r>
      <w:r w:rsidRPr="002A390C">
        <w:rPr>
          <w:rFonts w:ascii="Verdana" w:hAnsi="Verdana"/>
          <w:sz w:val="18"/>
          <w:szCs w:val="18"/>
          <w:lang w:val="nl-NL"/>
        </w:rPr>
        <w:t xml:space="preserve">et eerste spoor is het verbeteren van het sociaal incassoproces en het tweede spoor is het verbeteren van de afsluitregeling drinkwater. </w:t>
      </w:r>
    </w:p>
    <w:p w:rsidRPr="002A390C" w:rsidR="002A390C" w:rsidP="002A390C" w:rsidRDefault="002A390C" w14:paraId="39EC7B10" w14:textId="37D82A3A">
      <w:pPr>
        <w:pStyle w:val="NoSpacing"/>
        <w:spacing w:line="276" w:lineRule="auto"/>
        <w:rPr>
          <w:rFonts w:ascii="Verdana" w:hAnsi="Verdana"/>
          <w:sz w:val="18"/>
          <w:szCs w:val="18"/>
          <w:lang w:val="nl-NL"/>
        </w:rPr>
      </w:pPr>
    </w:p>
    <w:p w:rsidRPr="002A390C" w:rsidR="002A390C" w:rsidP="002A390C" w:rsidRDefault="002A390C" w14:paraId="4039E97B" w14:textId="3756934E">
      <w:pPr>
        <w:pStyle w:val="NoSpacing"/>
        <w:spacing w:line="276" w:lineRule="auto"/>
        <w:rPr>
          <w:rFonts w:ascii="Verdana" w:hAnsi="Verdana"/>
          <w:i/>
          <w:iCs/>
          <w:sz w:val="18"/>
          <w:szCs w:val="18"/>
          <w:lang w:val="nl-NL"/>
        </w:rPr>
      </w:pPr>
      <w:r w:rsidRPr="002A390C">
        <w:rPr>
          <w:rFonts w:ascii="Verdana" w:hAnsi="Verdana"/>
          <w:i/>
          <w:iCs/>
          <w:sz w:val="18"/>
          <w:szCs w:val="18"/>
          <w:lang w:val="nl-NL"/>
        </w:rPr>
        <w:t xml:space="preserve">1. Verbeteren sociaal incassoproces </w:t>
      </w:r>
    </w:p>
    <w:p w:rsidRPr="002A390C" w:rsidR="002A390C" w:rsidP="002A390C" w:rsidRDefault="002A390C" w14:paraId="08BEF744" w14:textId="201C6106">
      <w:pPr>
        <w:pStyle w:val="NoSpacing"/>
        <w:spacing w:line="276" w:lineRule="auto"/>
        <w:rPr>
          <w:rFonts w:ascii="Verdana" w:hAnsi="Verdana"/>
          <w:sz w:val="18"/>
          <w:szCs w:val="18"/>
          <w:lang w:val="nl-NL"/>
        </w:rPr>
      </w:pPr>
      <w:r w:rsidRPr="002A390C">
        <w:rPr>
          <w:rFonts w:ascii="Verdana" w:hAnsi="Verdana"/>
          <w:sz w:val="18"/>
          <w:szCs w:val="18"/>
          <w:lang w:val="nl-NL"/>
        </w:rPr>
        <w:t xml:space="preserve">De afgelopen jaren is er binnen de drinkwatersector toenemende aandacht gekomen voor de problematiek van wanbetaling en de impact daarvan op huishoudens. Om deze reden zijn enkele drinkwaterbedrijven begonnen met het herzien en verbeteren van hun incassoprocedures, waarbij een nadrukkelijke focus ligt op sociaal incasseren. Vanuit de drinkwatersector is het initiatief ontstaan om hierover sectorbrede afspraken te maken en alle drinkwaterbedrijven mee te krijgen. </w:t>
      </w:r>
      <w:r w:rsidR="000F3B4D">
        <w:rPr>
          <w:rFonts w:ascii="Verdana" w:hAnsi="Verdana"/>
          <w:sz w:val="18"/>
          <w:szCs w:val="18"/>
          <w:lang w:val="nl-NL"/>
        </w:rPr>
        <w:t>Het ministerie van</w:t>
      </w:r>
      <w:r w:rsidR="00D8307D">
        <w:rPr>
          <w:rFonts w:ascii="Verdana" w:hAnsi="Verdana"/>
          <w:sz w:val="18"/>
          <w:szCs w:val="18"/>
          <w:lang w:val="nl-NL"/>
        </w:rPr>
        <w:t xml:space="preserve"> Sociale Zaken en Werkgelegenheid</w:t>
      </w:r>
      <w:r w:rsidR="000F3B4D">
        <w:rPr>
          <w:rFonts w:ascii="Verdana" w:hAnsi="Verdana"/>
          <w:sz w:val="18"/>
          <w:szCs w:val="18"/>
          <w:lang w:val="nl-NL"/>
        </w:rPr>
        <w:t xml:space="preserve"> </w:t>
      </w:r>
      <w:r w:rsidR="00D8307D">
        <w:rPr>
          <w:rFonts w:ascii="Verdana" w:hAnsi="Verdana"/>
          <w:sz w:val="18"/>
          <w:szCs w:val="18"/>
          <w:lang w:val="nl-NL"/>
        </w:rPr>
        <w:t>(</w:t>
      </w:r>
      <w:r w:rsidRPr="002A390C">
        <w:rPr>
          <w:rFonts w:ascii="Verdana" w:hAnsi="Verdana"/>
          <w:sz w:val="18"/>
          <w:szCs w:val="18"/>
          <w:lang w:val="nl-NL"/>
        </w:rPr>
        <w:t>SZW</w:t>
      </w:r>
      <w:r w:rsidR="00D8307D">
        <w:rPr>
          <w:rFonts w:ascii="Verdana" w:hAnsi="Verdana"/>
          <w:sz w:val="18"/>
          <w:szCs w:val="18"/>
          <w:lang w:val="nl-NL"/>
        </w:rPr>
        <w:t>)</w:t>
      </w:r>
      <w:r w:rsidRPr="002A390C">
        <w:rPr>
          <w:rFonts w:ascii="Verdana" w:hAnsi="Verdana"/>
          <w:sz w:val="18"/>
          <w:szCs w:val="18"/>
          <w:lang w:val="nl-NL"/>
        </w:rPr>
        <w:t xml:space="preserve"> is bereid een faciliterende rol </w:t>
      </w:r>
      <w:r w:rsidR="00AD0391">
        <w:rPr>
          <w:rFonts w:ascii="Verdana" w:hAnsi="Verdana"/>
          <w:sz w:val="18"/>
          <w:szCs w:val="18"/>
          <w:lang w:val="nl-NL"/>
        </w:rPr>
        <w:t xml:space="preserve">te </w:t>
      </w:r>
      <w:r w:rsidRPr="002A390C">
        <w:rPr>
          <w:rFonts w:ascii="Verdana" w:hAnsi="Verdana"/>
          <w:sz w:val="18"/>
          <w:szCs w:val="18"/>
          <w:lang w:val="nl-NL"/>
        </w:rPr>
        <w:t>spelen</w:t>
      </w:r>
      <w:r w:rsidR="00C746D6">
        <w:rPr>
          <w:rFonts w:ascii="Verdana" w:hAnsi="Verdana"/>
          <w:sz w:val="18"/>
          <w:szCs w:val="18"/>
          <w:lang w:val="nl-NL"/>
        </w:rPr>
        <w:t xml:space="preserve"> bij dit proces</w:t>
      </w:r>
      <w:r w:rsidRPr="002A390C">
        <w:rPr>
          <w:rFonts w:ascii="Verdana" w:hAnsi="Verdana"/>
          <w:sz w:val="18"/>
          <w:szCs w:val="18"/>
          <w:lang w:val="nl-NL"/>
        </w:rPr>
        <w:t xml:space="preserve">. Hierdoor </w:t>
      </w:r>
      <w:r w:rsidR="00FA3EDD">
        <w:rPr>
          <w:rFonts w:ascii="Verdana" w:hAnsi="Verdana"/>
          <w:sz w:val="18"/>
          <w:szCs w:val="18"/>
          <w:lang w:val="nl-NL"/>
        </w:rPr>
        <w:t xml:space="preserve">worden </w:t>
      </w:r>
      <w:r w:rsidRPr="002A390C">
        <w:rPr>
          <w:rFonts w:ascii="Verdana" w:hAnsi="Verdana"/>
          <w:sz w:val="18"/>
          <w:szCs w:val="18"/>
          <w:lang w:val="nl-NL"/>
        </w:rPr>
        <w:t xml:space="preserve">huishoudens met schulden eerder </w:t>
      </w:r>
      <w:r w:rsidR="00FA3EDD">
        <w:rPr>
          <w:rFonts w:ascii="Verdana" w:hAnsi="Verdana"/>
          <w:sz w:val="18"/>
          <w:szCs w:val="18"/>
          <w:lang w:val="nl-NL"/>
        </w:rPr>
        <w:t xml:space="preserve">bereikt </w:t>
      </w:r>
      <w:r w:rsidRPr="002A390C">
        <w:rPr>
          <w:rFonts w:ascii="Verdana" w:hAnsi="Verdana"/>
          <w:sz w:val="18"/>
          <w:szCs w:val="18"/>
          <w:lang w:val="nl-NL"/>
        </w:rPr>
        <w:t xml:space="preserve">en </w:t>
      </w:r>
      <w:r w:rsidR="00FA3EDD">
        <w:rPr>
          <w:rFonts w:ascii="Verdana" w:hAnsi="Verdana"/>
          <w:sz w:val="18"/>
          <w:szCs w:val="18"/>
          <w:lang w:val="nl-NL"/>
        </w:rPr>
        <w:t xml:space="preserve">wordt </w:t>
      </w:r>
      <w:r w:rsidRPr="002A390C">
        <w:rPr>
          <w:rFonts w:ascii="Verdana" w:hAnsi="Verdana"/>
          <w:sz w:val="18"/>
          <w:szCs w:val="18"/>
          <w:lang w:val="nl-NL"/>
        </w:rPr>
        <w:t>voorkomen dat schulden zich ontwikkelen tot problematische schulden. Het doel van de verbetering is dat er meer haalbare betalingsregelingen met huishoudens met betalingsachterstanden worden afgesloten waardoor afsluiting van drinkwater wordt voorkomen</w:t>
      </w:r>
      <w:r w:rsidR="00A1056B">
        <w:rPr>
          <w:rFonts w:ascii="Verdana" w:hAnsi="Verdana"/>
          <w:sz w:val="18"/>
          <w:szCs w:val="18"/>
          <w:lang w:val="nl-NL"/>
        </w:rPr>
        <w:t>.</w:t>
      </w:r>
      <w:r w:rsidRPr="002A390C">
        <w:rPr>
          <w:rFonts w:ascii="Verdana" w:hAnsi="Verdana"/>
          <w:sz w:val="18"/>
          <w:szCs w:val="18"/>
          <w:lang w:val="nl-NL"/>
        </w:rPr>
        <w:t xml:space="preserve"> Het voorstel voor sector</w:t>
      </w:r>
      <w:r w:rsidR="00692F41">
        <w:rPr>
          <w:rFonts w:ascii="Verdana" w:hAnsi="Verdana"/>
          <w:sz w:val="18"/>
          <w:szCs w:val="18"/>
          <w:lang w:val="nl-NL"/>
        </w:rPr>
        <w:t>-</w:t>
      </w:r>
      <w:r w:rsidRPr="002A390C">
        <w:rPr>
          <w:rFonts w:ascii="Verdana" w:hAnsi="Verdana"/>
          <w:sz w:val="18"/>
          <w:szCs w:val="18"/>
          <w:lang w:val="nl-NL"/>
        </w:rPr>
        <w:t xml:space="preserve">brede afspraken zal in september worden besproken door de Vereniging van waterbedrijven in Nederland (Vewin). </w:t>
      </w:r>
    </w:p>
    <w:p w:rsidRPr="002A390C" w:rsidR="002A390C" w:rsidP="002A390C" w:rsidRDefault="002A390C" w14:paraId="2120AE8B" w14:textId="77777777">
      <w:pPr>
        <w:pStyle w:val="NoSpacing"/>
        <w:spacing w:line="276" w:lineRule="auto"/>
        <w:rPr>
          <w:rFonts w:ascii="Verdana" w:hAnsi="Verdana"/>
          <w:sz w:val="18"/>
          <w:szCs w:val="18"/>
          <w:lang w:val="nl-NL"/>
        </w:rPr>
      </w:pPr>
    </w:p>
    <w:p w:rsidR="00D8307D" w:rsidP="002A390C" w:rsidRDefault="002A390C" w14:paraId="35155224" w14:textId="02865FC0">
      <w:pPr>
        <w:pStyle w:val="NoSpacing"/>
        <w:spacing w:line="276" w:lineRule="auto"/>
        <w:rPr>
          <w:rFonts w:ascii="Verdana" w:hAnsi="Verdana"/>
          <w:sz w:val="18"/>
          <w:szCs w:val="18"/>
          <w:lang w:val="nl-NL"/>
        </w:rPr>
      </w:pPr>
      <w:r w:rsidRPr="002A390C">
        <w:rPr>
          <w:rFonts w:ascii="Verdana" w:hAnsi="Verdana"/>
          <w:sz w:val="18"/>
          <w:szCs w:val="18"/>
          <w:lang w:val="nl-NL"/>
        </w:rPr>
        <w:t>Specifiek voor vroegsignalering wordt een verbeterplan gepresenteerd</w:t>
      </w:r>
      <w:r w:rsidR="000F3B4D">
        <w:rPr>
          <w:rFonts w:ascii="Verdana" w:hAnsi="Verdana"/>
          <w:sz w:val="18"/>
          <w:szCs w:val="18"/>
          <w:lang w:val="nl-NL"/>
        </w:rPr>
        <w:t>, eind</w:t>
      </w:r>
      <w:r w:rsidRPr="002A390C">
        <w:rPr>
          <w:rFonts w:ascii="Verdana" w:hAnsi="Verdana"/>
          <w:sz w:val="18"/>
          <w:szCs w:val="18"/>
          <w:lang w:val="nl-NL"/>
        </w:rPr>
        <w:t xml:space="preserve"> 2024. </w:t>
      </w:r>
      <w:r w:rsidRPr="00AB73BB" w:rsidR="00F24184">
        <w:rPr>
          <w:rFonts w:ascii="Verdana" w:hAnsi="Verdana"/>
          <w:sz w:val="18"/>
          <w:szCs w:val="18"/>
          <w:lang w:val="nl-NL"/>
        </w:rPr>
        <w:t>De ambities rond vroegsignalering worden beschreven i</w:t>
      </w:r>
      <w:r w:rsidRPr="00AB73BB">
        <w:rPr>
          <w:rFonts w:ascii="Verdana" w:hAnsi="Verdana"/>
          <w:sz w:val="18"/>
          <w:szCs w:val="18"/>
          <w:lang w:val="nl-NL"/>
        </w:rPr>
        <w:t xml:space="preserve">n de kabinetsreactie op het rapport van de nationale ombudsman </w:t>
      </w:r>
      <w:r w:rsidRPr="00AB73BB" w:rsidR="00F24184">
        <w:rPr>
          <w:rFonts w:ascii="Verdana" w:hAnsi="Verdana"/>
          <w:sz w:val="18"/>
          <w:szCs w:val="18"/>
          <w:lang w:val="nl-NL"/>
        </w:rPr>
        <w:t>“Hoe eerder, hoe beter’</w:t>
      </w:r>
      <w:r w:rsidRPr="00AB73BB">
        <w:rPr>
          <w:rStyle w:val="FootnoteReference"/>
          <w:rFonts w:ascii="Verdana" w:hAnsi="Verdana"/>
          <w:sz w:val="18"/>
          <w:szCs w:val="18"/>
          <w:lang w:val="nl-NL"/>
        </w:rPr>
        <w:footnoteReference w:id="8"/>
      </w:r>
      <w:r w:rsidRPr="00AB73BB">
        <w:rPr>
          <w:rFonts w:ascii="Verdana" w:hAnsi="Verdana"/>
          <w:sz w:val="18"/>
          <w:szCs w:val="18"/>
          <w:lang w:val="nl-NL"/>
        </w:rPr>
        <w:t xml:space="preserve">. </w:t>
      </w:r>
      <w:r w:rsidRPr="00AB73BB" w:rsidR="00F24184">
        <w:rPr>
          <w:rFonts w:ascii="Verdana" w:hAnsi="Verdana"/>
          <w:sz w:val="18"/>
          <w:szCs w:val="18"/>
          <w:lang w:val="nl-NL"/>
        </w:rPr>
        <w:t xml:space="preserve">Het ombudsmanrapport benadrukt het belang van vroegtijdige interventies om </w:t>
      </w:r>
      <w:r w:rsidRPr="00AB73BB" w:rsidR="00115AF2">
        <w:rPr>
          <w:rFonts w:ascii="Verdana" w:hAnsi="Verdana"/>
          <w:sz w:val="18"/>
          <w:szCs w:val="18"/>
          <w:lang w:val="nl-NL"/>
        </w:rPr>
        <w:t>betalings</w:t>
      </w:r>
      <w:r w:rsidRPr="00AB73BB" w:rsidR="00F24184">
        <w:rPr>
          <w:rFonts w:ascii="Verdana" w:hAnsi="Verdana"/>
          <w:sz w:val="18"/>
          <w:szCs w:val="18"/>
          <w:lang w:val="nl-NL"/>
        </w:rPr>
        <w:t>problemen te voorkomen, wat relevant is voor het beschermen van huishoudens tegen</w:t>
      </w:r>
      <w:r w:rsidRPr="00AB73BB" w:rsidR="00115AF2">
        <w:rPr>
          <w:rFonts w:ascii="Verdana" w:hAnsi="Verdana"/>
          <w:sz w:val="18"/>
          <w:szCs w:val="18"/>
          <w:lang w:val="nl-NL"/>
        </w:rPr>
        <w:t xml:space="preserve"> bijvoorbeeld</w:t>
      </w:r>
      <w:r w:rsidRPr="00AB73BB" w:rsidR="00F24184">
        <w:rPr>
          <w:rFonts w:ascii="Verdana" w:hAnsi="Verdana"/>
          <w:sz w:val="18"/>
          <w:szCs w:val="18"/>
          <w:lang w:val="nl-NL"/>
        </w:rPr>
        <w:t xml:space="preserve"> afsluiting van drinkwater.</w:t>
      </w:r>
      <w:r w:rsidRPr="00F24184" w:rsidR="00F24184">
        <w:rPr>
          <w:rFonts w:ascii="Verdana" w:hAnsi="Verdana"/>
          <w:sz w:val="18"/>
          <w:szCs w:val="18"/>
          <w:lang w:val="nl-NL"/>
        </w:rPr>
        <w:t xml:space="preserve"> Door vroegtijdig op te treden kunnen instanties voorkomen dat huishoudens zonder toegang tot veilig drinkwater komen te zitten, wat kan helpen om de gezondheid en welzijn van burgers te waarborgen.</w:t>
      </w:r>
      <w:r w:rsidR="00F24184">
        <w:rPr>
          <w:rFonts w:ascii="Verdana" w:hAnsi="Verdana"/>
          <w:sz w:val="18"/>
          <w:szCs w:val="18"/>
          <w:lang w:val="nl-NL"/>
        </w:rPr>
        <w:t xml:space="preserve"> </w:t>
      </w:r>
      <w:r w:rsidRPr="002A390C">
        <w:rPr>
          <w:rFonts w:ascii="Verdana" w:hAnsi="Verdana"/>
          <w:sz w:val="18"/>
          <w:szCs w:val="18"/>
          <w:lang w:val="nl-NL"/>
        </w:rPr>
        <w:t xml:space="preserve">In samenspraak met Divosa, </w:t>
      </w:r>
      <w:r w:rsidR="00D8307D">
        <w:rPr>
          <w:rFonts w:ascii="Verdana" w:hAnsi="Verdana"/>
          <w:sz w:val="18"/>
          <w:szCs w:val="18"/>
          <w:lang w:val="nl-NL"/>
        </w:rPr>
        <w:t>de Vereniging Nederlandse Gemeenten (</w:t>
      </w:r>
      <w:r w:rsidRPr="002A390C">
        <w:rPr>
          <w:rFonts w:ascii="Verdana" w:hAnsi="Verdana"/>
          <w:sz w:val="18"/>
          <w:szCs w:val="18"/>
          <w:lang w:val="nl-NL"/>
        </w:rPr>
        <w:t>VNG</w:t>
      </w:r>
      <w:r w:rsidR="00D8307D">
        <w:rPr>
          <w:rFonts w:ascii="Verdana" w:hAnsi="Verdana"/>
          <w:sz w:val="18"/>
          <w:szCs w:val="18"/>
          <w:lang w:val="nl-NL"/>
        </w:rPr>
        <w:t>)</w:t>
      </w:r>
      <w:r w:rsidRPr="002A390C">
        <w:rPr>
          <w:rFonts w:ascii="Verdana" w:hAnsi="Verdana"/>
          <w:sz w:val="18"/>
          <w:szCs w:val="18"/>
          <w:lang w:val="nl-NL"/>
        </w:rPr>
        <w:t>,</w:t>
      </w:r>
      <w:r w:rsidR="00D8307D">
        <w:rPr>
          <w:rFonts w:ascii="Verdana" w:hAnsi="Verdana"/>
          <w:sz w:val="18"/>
          <w:szCs w:val="18"/>
          <w:lang w:val="nl-NL"/>
        </w:rPr>
        <w:t xml:space="preserve"> de branchevereniging voor schuldhulpverlening</w:t>
      </w:r>
      <w:r w:rsidRPr="002A390C">
        <w:rPr>
          <w:rFonts w:ascii="Verdana" w:hAnsi="Verdana"/>
          <w:sz w:val="18"/>
          <w:szCs w:val="18"/>
          <w:lang w:val="nl-NL"/>
        </w:rPr>
        <w:t xml:space="preserve"> NVVK, vastelastenpartners – waaronder de drinkwaterbedrijven – en betrokken </w:t>
      </w:r>
      <w:r w:rsidR="00D8307D">
        <w:rPr>
          <w:rFonts w:ascii="Verdana" w:hAnsi="Verdana"/>
          <w:sz w:val="18"/>
          <w:szCs w:val="18"/>
          <w:lang w:val="nl-NL"/>
        </w:rPr>
        <w:t>ministeries</w:t>
      </w:r>
      <w:r w:rsidRPr="002A390C">
        <w:rPr>
          <w:rFonts w:ascii="Verdana" w:hAnsi="Verdana"/>
          <w:sz w:val="18"/>
          <w:szCs w:val="18"/>
          <w:lang w:val="nl-NL"/>
        </w:rPr>
        <w:t xml:space="preserve"> wordt naar verwachting door SZW in </w:t>
      </w:r>
      <w:r w:rsidR="00D8307D">
        <w:rPr>
          <w:rFonts w:ascii="Verdana" w:hAnsi="Verdana"/>
          <w:sz w:val="18"/>
          <w:szCs w:val="18"/>
          <w:lang w:val="nl-NL"/>
        </w:rPr>
        <w:t>het laatste kwartaal van</w:t>
      </w:r>
      <w:r w:rsidRPr="002A390C">
        <w:rPr>
          <w:rFonts w:ascii="Verdana" w:hAnsi="Verdana"/>
          <w:sz w:val="18"/>
          <w:szCs w:val="18"/>
          <w:lang w:val="nl-NL"/>
        </w:rPr>
        <w:t xml:space="preserve"> 2024 een verbeterplan gepresenteerd langs zes stappen in de vroegsignalering: 1) social</w:t>
      </w:r>
      <w:r w:rsidR="00D8307D">
        <w:rPr>
          <w:rFonts w:ascii="Verdana" w:hAnsi="Verdana"/>
          <w:sz w:val="18"/>
          <w:szCs w:val="18"/>
          <w:lang w:val="nl-NL"/>
        </w:rPr>
        <w:t>e</w:t>
      </w:r>
      <w:r w:rsidRPr="002A390C">
        <w:rPr>
          <w:rFonts w:ascii="Verdana" w:hAnsi="Verdana"/>
          <w:sz w:val="18"/>
          <w:szCs w:val="18"/>
          <w:lang w:val="nl-NL"/>
        </w:rPr>
        <w:t xml:space="preserve"> incasso, 2) voorwaarden aanlevering signalen, 3) ontvangen en oppakken signalen, 4) bereik van en contact met de inwoner, 5) hulpacceptatie en doorverwijzing en 6) terugkoppeling resultaat van signalen. </w:t>
      </w:r>
    </w:p>
    <w:p w:rsidR="002A55E2" w:rsidP="002A390C" w:rsidRDefault="002A390C" w14:paraId="575ABB63" w14:textId="2C182377">
      <w:pPr>
        <w:pStyle w:val="NoSpacing"/>
        <w:spacing w:line="276" w:lineRule="auto"/>
        <w:rPr>
          <w:rFonts w:ascii="Verdana" w:hAnsi="Verdana"/>
          <w:sz w:val="18"/>
          <w:szCs w:val="18"/>
          <w:lang w:val="nl-NL"/>
        </w:rPr>
      </w:pPr>
      <w:r w:rsidRPr="002A390C">
        <w:rPr>
          <w:rFonts w:ascii="Verdana" w:hAnsi="Verdana"/>
          <w:sz w:val="18"/>
          <w:szCs w:val="18"/>
          <w:lang w:val="nl-NL"/>
        </w:rPr>
        <w:t>De aanpassingen die IenW en drinkwaterbedrijven van plan zijn door te voeren, dienen ook als inbreng voor dit verbeterplan.</w:t>
      </w:r>
    </w:p>
    <w:p w:rsidR="002A55E2" w:rsidP="002A390C" w:rsidRDefault="002A55E2" w14:paraId="5B82DB55" w14:textId="77777777">
      <w:pPr>
        <w:pStyle w:val="NoSpacing"/>
        <w:spacing w:line="276" w:lineRule="auto"/>
        <w:rPr>
          <w:rFonts w:ascii="Verdana" w:hAnsi="Verdana"/>
          <w:sz w:val="18"/>
          <w:szCs w:val="18"/>
          <w:lang w:val="nl-NL"/>
        </w:rPr>
      </w:pPr>
    </w:p>
    <w:p w:rsidR="002A55E2" w:rsidP="00A5437A" w:rsidRDefault="002A55E2" w14:paraId="4D3A0691" w14:textId="58B44006">
      <w:pPr>
        <w:pStyle w:val="NoSpacing"/>
        <w:spacing w:line="276" w:lineRule="auto"/>
        <w:rPr>
          <w:rFonts w:ascii="Verdana" w:hAnsi="Verdana"/>
          <w:sz w:val="18"/>
          <w:szCs w:val="18"/>
          <w:lang w:val="nl-NL"/>
        </w:rPr>
      </w:pPr>
      <w:r w:rsidRPr="00FF2171">
        <w:rPr>
          <w:rFonts w:ascii="Verdana" w:hAnsi="Verdana"/>
          <w:sz w:val="18"/>
          <w:szCs w:val="18"/>
          <w:lang w:val="nl-NL"/>
        </w:rPr>
        <w:t xml:space="preserve">De aanbeveling </w:t>
      </w:r>
      <w:r w:rsidR="00E3181B">
        <w:rPr>
          <w:rFonts w:ascii="Verdana" w:hAnsi="Verdana"/>
          <w:sz w:val="18"/>
          <w:szCs w:val="18"/>
          <w:lang w:val="nl-NL"/>
        </w:rPr>
        <w:t>van Regioplan</w:t>
      </w:r>
      <w:r w:rsidRPr="00FF2171">
        <w:rPr>
          <w:rFonts w:ascii="Verdana" w:hAnsi="Verdana"/>
          <w:sz w:val="18"/>
          <w:szCs w:val="18"/>
          <w:lang w:val="nl-NL"/>
        </w:rPr>
        <w:t xml:space="preserve"> over het inzetten van schuldenbewind </w:t>
      </w:r>
      <w:r w:rsidR="00E3181B">
        <w:rPr>
          <w:rFonts w:ascii="Verdana" w:hAnsi="Verdana"/>
          <w:sz w:val="18"/>
          <w:szCs w:val="18"/>
          <w:lang w:val="nl-NL"/>
        </w:rPr>
        <w:t xml:space="preserve">is een vergaande maatregel die </w:t>
      </w:r>
      <w:r w:rsidR="0029106F">
        <w:rPr>
          <w:rFonts w:ascii="Verdana" w:hAnsi="Verdana"/>
          <w:sz w:val="18"/>
          <w:szCs w:val="18"/>
          <w:lang w:val="nl-NL"/>
        </w:rPr>
        <w:t xml:space="preserve">gemeenten </w:t>
      </w:r>
      <w:r w:rsidR="00E3181B">
        <w:rPr>
          <w:rFonts w:ascii="Verdana" w:hAnsi="Verdana"/>
          <w:sz w:val="18"/>
          <w:szCs w:val="18"/>
          <w:lang w:val="nl-NL"/>
        </w:rPr>
        <w:t>na goede afweging in kunnen zetten indien</w:t>
      </w:r>
      <w:r>
        <w:rPr>
          <w:rFonts w:ascii="Verdana" w:hAnsi="Verdana"/>
          <w:sz w:val="18"/>
          <w:szCs w:val="18"/>
          <w:lang w:val="nl-NL"/>
        </w:rPr>
        <w:t xml:space="preserve"> eerder en bij voorkeur herhaal</w:t>
      </w:r>
      <w:r w:rsidR="00E3181B">
        <w:rPr>
          <w:rFonts w:ascii="Verdana" w:hAnsi="Verdana"/>
          <w:sz w:val="18"/>
          <w:szCs w:val="18"/>
          <w:lang w:val="nl-NL"/>
        </w:rPr>
        <w:t>d</w:t>
      </w:r>
      <w:r>
        <w:rPr>
          <w:rFonts w:ascii="Verdana" w:hAnsi="Verdana"/>
          <w:sz w:val="18"/>
          <w:szCs w:val="18"/>
          <w:lang w:val="nl-NL"/>
        </w:rPr>
        <w:t xml:space="preserve"> hulpaanbod niet tot een oplossing heeft geleid</w:t>
      </w:r>
      <w:r w:rsidR="00E3181B">
        <w:rPr>
          <w:rFonts w:ascii="Verdana" w:hAnsi="Verdana"/>
          <w:sz w:val="18"/>
          <w:szCs w:val="18"/>
          <w:lang w:val="nl-NL"/>
        </w:rPr>
        <w:t>. Dit is geen</w:t>
      </w:r>
      <w:r w:rsidRPr="00FF2171">
        <w:rPr>
          <w:rFonts w:ascii="Verdana" w:hAnsi="Verdana"/>
          <w:sz w:val="18"/>
          <w:szCs w:val="18"/>
          <w:lang w:val="nl-NL"/>
        </w:rPr>
        <w:t xml:space="preserve"> onderdeel van het incassobeleid van drinkwaterbedrijven </w:t>
      </w:r>
      <w:r w:rsidR="00E3181B">
        <w:rPr>
          <w:rFonts w:ascii="Verdana" w:hAnsi="Verdana"/>
          <w:sz w:val="18"/>
          <w:szCs w:val="18"/>
          <w:lang w:val="nl-NL"/>
        </w:rPr>
        <w:t>en</w:t>
      </w:r>
      <w:r w:rsidRPr="00FF2171">
        <w:rPr>
          <w:rFonts w:ascii="Verdana" w:hAnsi="Verdana"/>
          <w:sz w:val="18"/>
          <w:szCs w:val="18"/>
          <w:lang w:val="nl-NL"/>
        </w:rPr>
        <w:t xml:space="preserve"> de afsluitregeling.</w:t>
      </w:r>
    </w:p>
    <w:p w:rsidR="00392842" w:rsidP="002A390C" w:rsidRDefault="00392842" w14:paraId="220204D5" w14:textId="77777777">
      <w:pPr>
        <w:pStyle w:val="NoSpacing"/>
        <w:spacing w:line="276" w:lineRule="auto"/>
        <w:rPr>
          <w:rFonts w:ascii="Verdana" w:hAnsi="Verdana"/>
          <w:i/>
          <w:iCs/>
          <w:sz w:val="18"/>
          <w:szCs w:val="18"/>
          <w:lang w:val="nl-NL"/>
        </w:rPr>
      </w:pPr>
    </w:p>
    <w:p w:rsidR="00F30ABE" w:rsidP="00F30ABE" w:rsidRDefault="002A390C" w14:paraId="4CE9B86C" w14:textId="77E83179">
      <w:pPr>
        <w:pStyle w:val="NoSpacing"/>
        <w:spacing w:line="276" w:lineRule="auto"/>
        <w:rPr>
          <w:rFonts w:ascii="Verdana" w:hAnsi="Verdana"/>
          <w:sz w:val="18"/>
          <w:szCs w:val="18"/>
          <w:lang w:val="nl-NL"/>
        </w:rPr>
      </w:pPr>
      <w:r w:rsidRPr="002A390C">
        <w:rPr>
          <w:rFonts w:ascii="Verdana" w:hAnsi="Verdana"/>
          <w:i/>
          <w:iCs/>
          <w:sz w:val="18"/>
          <w:szCs w:val="18"/>
          <w:lang w:val="nl-NL"/>
        </w:rPr>
        <w:t>2. Verbeteren regeling afsluitbeleid voor kleinverbruikers van drinkwater</w:t>
      </w:r>
    </w:p>
    <w:p w:rsidRPr="004814C6" w:rsidR="0074683A" w:rsidP="0074683A" w:rsidRDefault="0074683A" w14:paraId="20B60AC5" w14:textId="1F23F928">
      <w:pPr>
        <w:pStyle w:val="NoSpacing"/>
        <w:spacing w:line="276" w:lineRule="auto"/>
        <w:rPr>
          <w:rFonts w:ascii="Verdana" w:hAnsi="Verdana"/>
          <w:sz w:val="18"/>
          <w:szCs w:val="18"/>
          <w:lang w:val="nl-NL"/>
        </w:rPr>
      </w:pPr>
      <w:r w:rsidRPr="004814C6">
        <w:rPr>
          <w:rFonts w:ascii="Verdana" w:hAnsi="Verdana"/>
          <w:sz w:val="18"/>
          <w:szCs w:val="18"/>
          <w:lang w:val="nl-NL"/>
        </w:rPr>
        <w:t xml:space="preserve">Op 19 maart 2024 oordeelde </w:t>
      </w:r>
      <w:r w:rsidR="003F40DD">
        <w:rPr>
          <w:rFonts w:ascii="Verdana" w:hAnsi="Verdana"/>
          <w:sz w:val="18"/>
          <w:szCs w:val="18"/>
          <w:lang w:val="nl-NL"/>
        </w:rPr>
        <w:t xml:space="preserve">de rechter in een arrest </w:t>
      </w:r>
      <w:r w:rsidRPr="004814C6">
        <w:rPr>
          <w:rFonts w:ascii="Verdana" w:hAnsi="Verdana"/>
          <w:sz w:val="18"/>
          <w:szCs w:val="18"/>
          <w:lang w:val="nl-NL"/>
        </w:rPr>
        <w:t xml:space="preserve">dat </w:t>
      </w:r>
      <w:r w:rsidR="003F40DD">
        <w:rPr>
          <w:rFonts w:ascii="Verdana" w:hAnsi="Verdana"/>
          <w:sz w:val="18"/>
          <w:szCs w:val="18"/>
          <w:lang w:val="nl-NL"/>
        </w:rPr>
        <w:t xml:space="preserve">de Nederlandse </w:t>
      </w:r>
      <w:r w:rsidRPr="004814C6">
        <w:rPr>
          <w:rFonts w:ascii="Verdana" w:hAnsi="Verdana"/>
          <w:sz w:val="18"/>
          <w:szCs w:val="18"/>
          <w:lang w:val="nl-NL"/>
        </w:rPr>
        <w:t xml:space="preserve">Staat en twee drinkwaterbedrijven onrechtmatig handelen door niet al het redelijkerwijs mogelijke te doen om te voorkomen dat minderjarige kinderen in een situatie terechtkomen waarin zij niet voldoende toegang hebben tot drinkwater. Het arrest vroeg om actie op twee gebieden: drinkwaterbedrijven moeten direct een einde maken aan de onrechtmatige situatie en de Staat moet het afsluitbeleid verbeteren. </w:t>
      </w:r>
    </w:p>
    <w:p w:rsidR="00F30ABE" w:rsidP="00F30ABE" w:rsidRDefault="00F30ABE" w14:paraId="50C6E49D" w14:textId="77777777">
      <w:pPr>
        <w:pStyle w:val="NoSpacing"/>
        <w:spacing w:line="276" w:lineRule="auto"/>
        <w:rPr>
          <w:rFonts w:ascii="Verdana" w:hAnsi="Verdana"/>
          <w:sz w:val="18"/>
          <w:szCs w:val="18"/>
          <w:lang w:val="nl-NL"/>
        </w:rPr>
      </w:pPr>
    </w:p>
    <w:p w:rsidR="00F30ABE" w:rsidP="00F30ABE" w:rsidRDefault="00F30ABE" w14:paraId="0560D759" w14:textId="2147C779">
      <w:pPr>
        <w:pStyle w:val="NoSpacing"/>
        <w:spacing w:line="276" w:lineRule="auto"/>
        <w:rPr>
          <w:rFonts w:ascii="Verdana" w:hAnsi="Verdana"/>
          <w:sz w:val="18"/>
          <w:szCs w:val="18"/>
          <w:lang w:val="nl-NL"/>
        </w:rPr>
      </w:pPr>
      <w:r w:rsidRPr="002A390C">
        <w:rPr>
          <w:rFonts w:ascii="Verdana" w:hAnsi="Verdana"/>
          <w:sz w:val="18"/>
          <w:szCs w:val="18"/>
          <w:lang w:val="nl-NL"/>
        </w:rPr>
        <w:t>Op 15 april zijn</w:t>
      </w:r>
      <w:r>
        <w:rPr>
          <w:rFonts w:ascii="Verdana" w:hAnsi="Verdana"/>
          <w:sz w:val="18"/>
          <w:szCs w:val="18"/>
          <w:lang w:val="nl-NL"/>
        </w:rPr>
        <w:t xml:space="preserve"> </w:t>
      </w:r>
      <w:r w:rsidRPr="002A390C">
        <w:rPr>
          <w:rFonts w:ascii="Verdana" w:hAnsi="Verdana"/>
          <w:sz w:val="18"/>
          <w:szCs w:val="18"/>
          <w:lang w:val="nl-NL"/>
        </w:rPr>
        <w:t xml:space="preserve">Kamervragen naar aanleiding van </w:t>
      </w:r>
      <w:r>
        <w:rPr>
          <w:rFonts w:ascii="Verdana" w:hAnsi="Verdana"/>
          <w:sz w:val="18"/>
          <w:szCs w:val="18"/>
          <w:lang w:val="nl-NL"/>
        </w:rPr>
        <w:t>he</w:t>
      </w:r>
      <w:r w:rsidRPr="002A390C">
        <w:rPr>
          <w:rFonts w:ascii="Verdana" w:hAnsi="Verdana"/>
          <w:sz w:val="18"/>
          <w:szCs w:val="18"/>
          <w:lang w:val="nl-NL"/>
        </w:rPr>
        <w:t>t arrest</w:t>
      </w:r>
      <w:r>
        <w:rPr>
          <w:rFonts w:ascii="Verdana" w:hAnsi="Verdana"/>
          <w:sz w:val="18"/>
          <w:szCs w:val="18"/>
          <w:lang w:val="nl-NL"/>
        </w:rPr>
        <w:t xml:space="preserve"> over het afsluitbeleid</w:t>
      </w:r>
      <w:r w:rsidRPr="002A390C">
        <w:rPr>
          <w:rFonts w:ascii="Verdana" w:hAnsi="Verdana"/>
          <w:sz w:val="18"/>
          <w:szCs w:val="18"/>
          <w:lang w:val="nl-NL"/>
        </w:rPr>
        <w:t xml:space="preserve"> beantwoord</w:t>
      </w:r>
      <w:r w:rsidRPr="002A390C">
        <w:rPr>
          <w:rStyle w:val="FootnoteReference"/>
          <w:rFonts w:ascii="Verdana" w:hAnsi="Verdana"/>
          <w:sz w:val="18"/>
          <w:szCs w:val="18"/>
          <w:lang w:val="nl-NL"/>
        </w:rPr>
        <w:footnoteReference w:id="9"/>
      </w:r>
      <w:r w:rsidRPr="002A390C">
        <w:rPr>
          <w:rFonts w:ascii="Verdana" w:hAnsi="Verdana"/>
          <w:sz w:val="18"/>
          <w:szCs w:val="18"/>
          <w:lang w:val="nl-NL"/>
        </w:rPr>
        <w:t>.</w:t>
      </w:r>
      <w:r>
        <w:rPr>
          <w:rFonts w:ascii="Verdana" w:hAnsi="Verdana"/>
          <w:sz w:val="18"/>
          <w:szCs w:val="18"/>
          <w:lang w:val="nl-NL"/>
        </w:rPr>
        <w:t xml:space="preserve"> </w:t>
      </w:r>
      <w:r w:rsidRPr="004814C6">
        <w:rPr>
          <w:rFonts w:ascii="Verdana" w:hAnsi="Verdana"/>
          <w:sz w:val="18"/>
          <w:szCs w:val="18"/>
          <w:lang w:val="nl-NL"/>
        </w:rPr>
        <w:t xml:space="preserve">Zoals gemeld in die antwoorden is </w:t>
      </w:r>
      <w:r w:rsidRPr="00072415">
        <w:rPr>
          <w:rFonts w:ascii="Verdana" w:hAnsi="Verdana"/>
          <w:sz w:val="18"/>
          <w:szCs w:val="18"/>
          <w:lang w:val="nl-NL"/>
        </w:rPr>
        <w:t>n</w:t>
      </w:r>
      <w:r w:rsidRPr="002A390C">
        <w:rPr>
          <w:rFonts w:ascii="Verdana" w:hAnsi="Verdana"/>
          <w:sz w:val="18"/>
          <w:szCs w:val="18"/>
          <w:lang w:val="nl-NL"/>
        </w:rPr>
        <w:t>aar aanleiding van de uitspraak</w:t>
      </w:r>
      <w:r>
        <w:rPr>
          <w:rFonts w:ascii="Verdana" w:hAnsi="Verdana"/>
          <w:sz w:val="18"/>
          <w:szCs w:val="18"/>
          <w:lang w:val="nl-NL"/>
        </w:rPr>
        <w:t xml:space="preserve"> van de rechter</w:t>
      </w:r>
      <w:r w:rsidRPr="002A390C">
        <w:rPr>
          <w:rFonts w:ascii="Verdana" w:hAnsi="Verdana"/>
          <w:sz w:val="18"/>
          <w:szCs w:val="18"/>
          <w:lang w:val="nl-NL"/>
        </w:rPr>
        <w:t xml:space="preserve"> </w:t>
      </w:r>
      <w:r>
        <w:rPr>
          <w:rFonts w:ascii="Verdana" w:hAnsi="Verdana"/>
          <w:sz w:val="18"/>
          <w:szCs w:val="18"/>
          <w:lang w:val="nl-NL"/>
        </w:rPr>
        <w:t>door de toenmalige minister van Infrastructuur en Waterstaat</w:t>
      </w:r>
      <w:r w:rsidRPr="002A390C">
        <w:rPr>
          <w:rFonts w:ascii="Verdana" w:hAnsi="Verdana"/>
          <w:sz w:val="18"/>
          <w:szCs w:val="18"/>
          <w:lang w:val="nl-NL"/>
        </w:rPr>
        <w:t xml:space="preserve"> (IenW)</w:t>
      </w:r>
      <w:r w:rsidRPr="002A390C" w:rsidDel="0068774B">
        <w:rPr>
          <w:rFonts w:ascii="Verdana" w:hAnsi="Verdana"/>
          <w:sz w:val="18"/>
          <w:szCs w:val="18"/>
          <w:lang w:val="nl-NL"/>
        </w:rPr>
        <w:t xml:space="preserve"> </w:t>
      </w:r>
      <w:r w:rsidRPr="002A390C">
        <w:rPr>
          <w:rFonts w:ascii="Verdana" w:hAnsi="Verdana"/>
          <w:sz w:val="18"/>
          <w:szCs w:val="18"/>
          <w:lang w:val="nl-NL"/>
        </w:rPr>
        <w:t>een brief</w:t>
      </w:r>
      <w:r w:rsidRPr="00D9723C">
        <w:rPr>
          <w:rFonts w:ascii="Verdana" w:hAnsi="Verdana"/>
          <w:sz w:val="18"/>
          <w:vertAlign w:val="superscript"/>
          <w:lang w:val="nl-NL"/>
        </w:rPr>
        <w:t xml:space="preserve"> </w:t>
      </w:r>
      <w:r w:rsidRPr="002A390C">
        <w:rPr>
          <w:rFonts w:ascii="Verdana" w:hAnsi="Verdana"/>
          <w:sz w:val="18"/>
          <w:szCs w:val="18"/>
          <w:lang w:val="nl-NL"/>
        </w:rPr>
        <w:t xml:space="preserve">aan alle drinkwaterbedrijven gestuurd waarin </w:t>
      </w:r>
      <w:r>
        <w:rPr>
          <w:rFonts w:ascii="Verdana" w:hAnsi="Verdana"/>
          <w:sz w:val="18"/>
          <w:szCs w:val="18"/>
          <w:lang w:val="nl-NL"/>
        </w:rPr>
        <w:t>zij worden</w:t>
      </w:r>
      <w:r w:rsidRPr="002A390C">
        <w:rPr>
          <w:rFonts w:ascii="Verdana" w:hAnsi="Verdana"/>
          <w:sz w:val="18"/>
          <w:szCs w:val="18"/>
          <w:lang w:val="nl-NL"/>
        </w:rPr>
        <w:t xml:space="preserve"> gevraagd hoe zij de mogelijke onrechtmatige situaties zo snel mogelijk opheffen en nieuwe situaties voorkomen. Dit betekent enerzijds dat de bestaande afsluitingen opnieuw bekeken en ongedaan moeten worden gemaakt indien er op het adres kinderen wonen, dan wel dat in elk geval hoeveelheden drinkwater moeten worden verstrekt die beantwoorden aan de richtlijnen van de Wereldgezondheidsorganisatie (WHO) zoals die in het arrest worden aangehaald. </w:t>
      </w:r>
    </w:p>
    <w:p w:rsidR="00F30ABE" w:rsidP="00F30ABE" w:rsidRDefault="00F30ABE" w14:paraId="6F321FA3" w14:textId="77777777">
      <w:pPr>
        <w:pStyle w:val="NoSpacing"/>
        <w:spacing w:line="276" w:lineRule="auto"/>
        <w:rPr>
          <w:rFonts w:ascii="Verdana" w:hAnsi="Verdana"/>
          <w:sz w:val="18"/>
          <w:szCs w:val="18"/>
          <w:lang w:val="nl-NL"/>
        </w:rPr>
      </w:pPr>
    </w:p>
    <w:p w:rsidRPr="002A390C" w:rsidR="00F30ABE" w:rsidP="00F30ABE" w:rsidRDefault="00F30ABE" w14:paraId="70F493CB" w14:textId="77777777">
      <w:pPr>
        <w:pStyle w:val="NoSpacing"/>
        <w:spacing w:line="276" w:lineRule="auto"/>
        <w:rPr>
          <w:rFonts w:ascii="Verdana" w:hAnsi="Verdana"/>
          <w:sz w:val="18"/>
          <w:szCs w:val="18"/>
          <w:lang w:val="nl-NL"/>
        </w:rPr>
      </w:pPr>
      <w:r w:rsidRPr="002A390C">
        <w:rPr>
          <w:rFonts w:ascii="Verdana" w:hAnsi="Verdana"/>
          <w:sz w:val="18"/>
          <w:szCs w:val="18"/>
          <w:lang w:val="nl-NL"/>
        </w:rPr>
        <w:t>Drinkwaterbedrijven moeten daarnaast zorgen dat hun interne beleid met betrekking tot afsluiting wordt verbeterd zodat het belang van kinderen voldoende wordt meegenomen. De drinkwaterbedrijven Dunea en PWN (medegedaagden in de gerechtelijke procedure) hebben toegezegd huishoudens per direct niet meer af te sluiten wegens wanbetaling, totdat de incassotrajecten en de drinkwaterregeling zijn aangepast in lijn met de uitspraak van het gerechtshof. Alle drinkwaterbedrijven hebben aangegeven dit beleid – voor</w:t>
      </w:r>
      <w:r>
        <w:rPr>
          <w:rFonts w:ascii="Verdana" w:hAnsi="Verdana"/>
          <w:sz w:val="18"/>
          <w:szCs w:val="18"/>
          <w:lang w:val="nl-NL"/>
        </w:rPr>
        <w:t xml:space="preserve"> </w:t>
      </w:r>
      <w:r w:rsidRPr="002A390C">
        <w:rPr>
          <w:rFonts w:ascii="Verdana" w:hAnsi="Verdana"/>
          <w:sz w:val="18"/>
          <w:szCs w:val="18"/>
          <w:lang w:val="nl-NL"/>
        </w:rPr>
        <w:t>zover het bij die bedrijven nog aan de orde zou zijn</w:t>
      </w:r>
      <w:r>
        <w:rPr>
          <w:rFonts w:ascii="Verdana" w:hAnsi="Verdana"/>
          <w:sz w:val="18"/>
          <w:szCs w:val="18"/>
          <w:lang w:val="nl-NL"/>
        </w:rPr>
        <w:t xml:space="preserve"> –</w:t>
      </w:r>
      <w:r w:rsidRPr="002A390C">
        <w:rPr>
          <w:rFonts w:ascii="Verdana" w:hAnsi="Verdana"/>
          <w:sz w:val="18"/>
          <w:szCs w:val="18"/>
          <w:lang w:val="nl-NL"/>
        </w:rPr>
        <w:t xml:space="preserve"> te</w:t>
      </w:r>
      <w:r>
        <w:rPr>
          <w:rFonts w:ascii="Verdana" w:hAnsi="Verdana"/>
          <w:sz w:val="18"/>
          <w:szCs w:val="18"/>
          <w:lang w:val="nl-NL"/>
        </w:rPr>
        <w:t xml:space="preserve"> </w:t>
      </w:r>
      <w:r w:rsidRPr="002A390C">
        <w:rPr>
          <w:rFonts w:ascii="Verdana" w:hAnsi="Verdana"/>
          <w:sz w:val="18"/>
          <w:szCs w:val="18"/>
          <w:lang w:val="nl-NL"/>
        </w:rPr>
        <w:t xml:space="preserve">volgen. </w:t>
      </w:r>
    </w:p>
    <w:p w:rsidRPr="002A390C" w:rsidR="002A390C" w:rsidP="002A390C" w:rsidRDefault="002A390C" w14:paraId="1D1869F0" w14:textId="77777777">
      <w:pPr>
        <w:pStyle w:val="NoSpacing"/>
        <w:spacing w:line="276" w:lineRule="auto"/>
        <w:rPr>
          <w:rFonts w:ascii="Verdana" w:hAnsi="Verdana"/>
          <w:sz w:val="18"/>
          <w:szCs w:val="18"/>
          <w:lang w:val="nl-NL"/>
        </w:rPr>
      </w:pPr>
    </w:p>
    <w:p w:rsidRPr="002A390C" w:rsidR="002A390C" w:rsidP="002A390C" w:rsidRDefault="002A390C" w14:paraId="4CA4DB20" w14:textId="79551122">
      <w:pPr>
        <w:pStyle w:val="NoSpacing"/>
        <w:spacing w:line="276" w:lineRule="auto"/>
        <w:rPr>
          <w:rFonts w:ascii="Verdana" w:hAnsi="Verdana"/>
          <w:sz w:val="18"/>
          <w:szCs w:val="18"/>
          <w:lang w:val="nl-NL"/>
        </w:rPr>
      </w:pPr>
      <w:r w:rsidRPr="002A390C">
        <w:rPr>
          <w:rFonts w:ascii="Verdana" w:hAnsi="Verdana"/>
          <w:sz w:val="18"/>
          <w:szCs w:val="18"/>
          <w:lang w:val="nl-NL"/>
        </w:rPr>
        <w:t xml:space="preserve">De huidige afsluitregeling drinkwater beperkt drinkwaterbedrijven in hun afsluitbeleid, </w:t>
      </w:r>
      <w:r w:rsidR="00A1056B">
        <w:rPr>
          <w:rFonts w:ascii="Verdana" w:hAnsi="Verdana"/>
          <w:sz w:val="18"/>
          <w:szCs w:val="18"/>
          <w:lang w:val="nl-NL"/>
        </w:rPr>
        <w:t xml:space="preserve">zo mag bijvoorbeeld </w:t>
      </w:r>
      <w:r w:rsidRPr="002A390C">
        <w:rPr>
          <w:rFonts w:ascii="Verdana" w:hAnsi="Verdana"/>
          <w:sz w:val="18"/>
          <w:szCs w:val="18"/>
          <w:lang w:val="nl-NL"/>
        </w:rPr>
        <w:t>een kwetsbare consument niet worden afgesloten</w:t>
      </w:r>
      <w:r w:rsidR="00D9723C">
        <w:rPr>
          <w:rStyle w:val="FootnoteReference"/>
          <w:rFonts w:ascii="Verdana" w:hAnsi="Verdana"/>
          <w:sz w:val="18"/>
          <w:szCs w:val="18"/>
          <w:lang w:val="nl-NL"/>
        </w:rPr>
        <w:footnoteReference w:id="10"/>
      </w:r>
      <w:r w:rsidRPr="002A390C">
        <w:rPr>
          <w:rFonts w:ascii="Verdana" w:hAnsi="Verdana"/>
          <w:sz w:val="18"/>
          <w:szCs w:val="18"/>
          <w:lang w:val="nl-NL"/>
        </w:rPr>
        <w:t xml:space="preserve">. Nu </w:t>
      </w:r>
      <w:r w:rsidR="000F3B4D">
        <w:rPr>
          <w:rFonts w:ascii="Verdana" w:hAnsi="Verdana"/>
          <w:sz w:val="18"/>
          <w:szCs w:val="18"/>
          <w:lang w:val="nl-NL"/>
        </w:rPr>
        <w:t>de rechter</w:t>
      </w:r>
      <w:r w:rsidRPr="002A390C">
        <w:rPr>
          <w:rFonts w:ascii="Verdana" w:hAnsi="Verdana"/>
          <w:sz w:val="18"/>
          <w:szCs w:val="18"/>
          <w:lang w:val="nl-NL"/>
        </w:rPr>
        <w:t xml:space="preserve"> heeft geoordeeld dat de Staat meer moet doen om te voorkomen dat minderjarige kinderen in een situatie terechtkomen waarin zij niet voldoende toegang hebben tot drinkwater, zal IenW de afsluitregeling hierop aanpassen</w:t>
      </w:r>
      <w:r w:rsidR="0047137E">
        <w:rPr>
          <w:rFonts w:ascii="Verdana" w:hAnsi="Verdana"/>
          <w:sz w:val="18"/>
          <w:szCs w:val="18"/>
          <w:lang w:val="nl-NL"/>
        </w:rPr>
        <w:t xml:space="preserve"> zoals ook aangegeven in de beantwoording van de</w:t>
      </w:r>
      <w:r w:rsidR="00D8307D">
        <w:rPr>
          <w:rFonts w:ascii="Verdana" w:hAnsi="Verdana"/>
          <w:sz w:val="18"/>
          <w:szCs w:val="18"/>
          <w:lang w:val="nl-NL"/>
        </w:rPr>
        <w:t xml:space="preserve"> eerder aangehaald</w:t>
      </w:r>
      <w:r w:rsidR="0047137E">
        <w:rPr>
          <w:rFonts w:ascii="Verdana" w:hAnsi="Verdana"/>
          <w:sz w:val="18"/>
          <w:szCs w:val="18"/>
          <w:lang w:val="nl-NL"/>
        </w:rPr>
        <w:t xml:space="preserve"> Kamervragen op 15 april</w:t>
      </w:r>
      <w:r w:rsidRPr="002A390C">
        <w:rPr>
          <w:rFonts w:ascii="Verdana" w:hAnsi="Verdana"/>
          <w:sz w:val="18"/>
          <w:szCs w:val="18"/>
          <w:lang w:val="nl-NL"/>
        </w:rPr>
        <w:t xml:space="preserve">. Daarbij </w:t>
      </w:r>
      <w:r w:rsidR="00F24703">
        <w:rPr>
          <w:rFonts w:ascii="Verdana" w:hAnsi="Verdana"/>
          <w:sz w:val="18"/>
          <w:szCs w:val="18"/>
          <w:lang w:val="nl-NL"/>
        </w:rPr>
        <w:t xml:space="preserve">gaan </w:t>
      </w:r>
      <w:r w:rsidR="00D8307D">
        <w:rPr>
          <w:rFonts w:ascii="Verdana" w:hAnsi="Verdana"/>
          <w:sz w:val="18"/>
          <w:szCs w:val="18"/>
          <w:lang w:val="nl-NL"/>
        </w:rPr>
        <w:t>ook bekeken worden</w:t>
      </w:r>
      <w:r w:rsidRPr="002A390C">
        <w:rPr>
          <w:rFonts w:ascii="Verdana" w:hAnsi="Verdana"/>
          <w:sz w:val="18"/>
          <w:szCs w:val="18"/>
          <w:lang w:val="nl-NL"/>
        </w:rPr>
        <w:t xml:space="preserve"> of er naast kinderen nog andere groepen zijn die beter beschermd moeten worden en op welke wijze dit het beste kan gebeuren in de afsluitregeling. Tegelijk</w:t>
      </w:r>
      <w:r w:rsidR="001F0902">
        <w:rPr>
          <w:rFonts w:ascii="Verdana" w:hAnsi="Verdana"/>
          <w:sz w:val="18"/>
          <w:szCs w:val="18"/>
          <w:lang w:val="nl-NL"/>
        </w:rPr>
        <w:t>ertijd</w:t>
      </w:r>
      <w:r w:rsidRPr="002A390C">
        <w:rPr>
          <w:rFonts w:ascii="Verdana" w:hAnsi="Verdana"/>
          <w:sz w:val="18"/>
          <w:szCs w:val="18"/>
          <w:lang w:val="nl-NL"/>
        </w:rPr>
        <w:t xml:space="preserve"> schuilt in het verbreden van het afsluitverbod van drinkwaterbedrijven richting afnemers het risico dat de betalingsmoraal in de toekomst daalt. </w:t>
      </w:r>
    </w:p>
    <w:p w:rsidR="00A9570E" w:rsidP="00A9570E" w:rsidRDefault="00A9570E" w14:paraId="21AC53A0" w14:textId="77777777">
      <w:pPr>
        <w:pStyle w:val="NoSpacing"/>
        <w:spacing w:line="276" w:lineRule="auto"/>
        <w:rPr>
          <w:rFonts w:ascii="Verdana" w:hAnsi="Verdana"/>
          <w:sz w:val="18"/>
          <w:szCs w:val="18"/>
          <w:lang w:val="nl-NL"/>
        </w:rPr>
      </w:pPr>
    </w:p>
    <w:p w:rsidRPr="002A390C" w:rsidR="00A9570E" w:rsidP="00A9570E" w:rsidRDefault="00A9570E" w14:paraId="56EE7AB9" w14:textId="199B8E97">
      <w:pPr>
        <w:pStyle w:val="NoSpacing"/>
        <w:spacing w:line="276" w:lineRule="auto"/>
        <w:rPr>
          <w:rFonts w:ascii="Verdana" w:hAnsi="Verdana"/>
          <w:sz w:val="18"/>
          <w:szCs w:val="18"/>
          <w:lang w:val="nl-NL"/>
        </w:rPr>
      </w:pPr>
      <w:r w:rsidRPr="002A390C">
        <w:rPr>
          <w:rFonts w:ascii="Verdana" w:hAnsi="Verdana"/>
          <w:sz w:val="18"/>
          <w:szCs w:val="18"/>
          <w:lang w:val="nl-NL"/>
        </w:rPr>
        <w:t xml:space="preserve">IenW start een werkgroep met belanghebbenden met als doel de afsluitregeling kleinverbruik drinkwater aan te passen in lijn met het arrest zodat het belang van kinderen beter wordt geborgd. </w:t>
      </w:r>
      <w:r w:rsidRPr="0069326E">
        <w:rPr>
          <w:rFonts w:ascii="Verdana" w:hAnsi="Verdana"/>
          <w:sz w:val="18"/>
          <w:szCs w:val="18"/>
          <w:lang w:val="nl-NL"/>
        </w:rPr>
        <w:t xml:space="preserve">Aanbevelingen </w:t>
      </w:r>
      <w:r w:rsidRPr="0069326E" w:rsidR="006F3C18">
        <w:rPr>
          <w:rFonts w:ascii="Verdana" w:hAnsi="Verdana"/>
          <w:sz w:val="18"/>
          <w:szCs w:val="18"/>
          <w:lang w:val="nl-NL"/>
        </w:rPr>
        <w:t>4</w:t>
      </w:r>
      <w:r w:rsidRPr="0069326E">
        <w:rPr>
          <w:rFonts w:ascii="Verdana" w:hAnsi="Verdana"/>
          <w:sz w:val="18"/>
          <w:szCs w:val="18"/>
          <w:lang w:val="nl-NL"/>
        </w:rPr>
        <w:t xml:space="preserve"> en </w:t>
      </w:r>
      <w:r w:rsidRPr="0069326E" w:rsidR="006F3C18">
        <w:rPr>
          <w:rFonts w:ascii="Verdana" w:hAnsi="Verdana"/>
          <w:sz w:val="18"/>
          <w:szCs w:val="18"/>
          <w:lang w:val="nl-NL"/>
        </w:rPr>
        <w:t>5</w:t>
      </w:r>
      <w:r w:rsidRPr="0069326E">
        <w:rPr>
          <w:rFonts w:ascii="Verdana" w:hAnsi="Verdana"/>
          <w:sz w:val="18"/>
          <w:szCs w:val="18"/>
          <w:lang w:val="nl-NL"/>
        </w:rPr>
        <w:t xml:space="preserve"> zullen</w:t>
      </w:r>
      <w:r w:rsidRPr="002A390C">
        <w:rPr>
          <w:rFonts w:ascii="Verdana" w:hAnsi="Verdana"/>
          <w:sz w:val="18"/>
          <w:szCs w:val="18"/>
          <w:lang w:val="nl-NL"/>
        </w:rPr>
        <w:t xml:space="preserve"> worden uitgewerkt en verwerkt in een voorstel tot wijziging van de regeling. Het streven is om begin volgend jaar te kunnen starten met de consultatie van de wijziging.</w:t>
      </w:r>
    </w:p>
    <w:p w:rsidRPr="002A390C" w:rsidR="002A390C" w:rsidP="002A390C" w:rsidRDefault="002A390C" w14:paraId="6B774AA4" w14:textId="77777777">
      <w:pPr>
        <w:pStyle w:val="NoSpacing"/>
        <w:spacing w:line="276" w:lineRule="auto"/>
        <w:rPr>
          <w:rFonts w:ascii="Verdana" w:hAnsi="Verdana"/>
          <w:sz w:val="18"/>
          <w:szCs w:val="18"/>
          <w:lang w:val="nl-NL"/>
        </w:rPr>
      </w:pPr>
    </w:p>
    <w:p w:rsidRPr="002A390C" w:rsidR="002A390C" w:rsidP="002A390C" w:rsidRDefault="00FE7909" w14:paraId="5A77649F" w14:textId="292E5751">
      <w:pPr>
        <w:pStyle w:val="NoSpacing"/>
        <w:spacing w:line="276" w:lineRule="auto"/>
        <w:rPr>
          <w:rFonts w:ascii="Verdana" w:hAnsi="Verdana"/>
          <w:sz w:val="18"/>
          <w:szCs w:val="18"/>
          <w:lang w:val="nl-NL"/>
        </w:rPr>
      </w:pPr>
      <w:r>
        <w:rPr>
          <w:rFonts w:ascii="Verdana" w:hAnsi="Verdana"/>
          <w:sz w:val="18"/>
          <w:szCs w:val="18"/>
          <w:lang w:val="nl-NL"/>
        </w:rPr>
        <w:t>In het kader van de afsluitregeling</w:t>
      </w:r>
      <w:r w:rsidRPr="002A390C">
        <w:rPr>
          <w:rFonts w:ascii="Verdana" w:hAnsi="Verdana"/>
          <w:sz w:val="18"/>
          <w:szCs w:val="18"/>
          <w:lang w:val="nl-NL"/>
        </w:rPr>
        <w:t xml:space="preserve"> </w:t>
      </w:r>
      <w:r w:rsidRPr="002A390C" w:rsidR="002A390C">
        <w:rPr>
          <w:rFonts w:ascii="Verdana" w:hAnsi="Verdana"/>
          <w:sz w:val="18"/>
          <w:szCs w:val="18"/>
          <w:lang w:val="nl-NL"/>
        </w:rPr>
        <w:t xml:space="preserve">worden gesprekken gevoerd met gemeenten over de mogelijkheid om vanuit de basisregistratie te bepalen of er in huishoudens met betalingsachterstanden kinderen ingeschreven staan. En ook over wat er nodig is om die informatie </w:t>
      </w:r>
      <w:r w:rsidR="00767921">
        <w:rPr>
          <w:rFonts w:ascii="Verdana" w:hAnsi="Verdana"/>
          <w:sz w:val="18"/>
          <w:szCs w:val="18"/>
          <w:lang w:val="nl-NL"/>
        </w:rPr>
        <w:t>te</w:t>
      </w:r>
      <w:r w:rsidRPr="002A390C" w:rsidR="00767921">
        <w:rPr>
          <w:rFonts w:ascii="Verdana" w:hAnsi="Verdana"/>
          <w:sz w:val="18"/>
          <w:szCs w:val="18"/>
          <w:lang w:val="nl-NL"/>
        </w:rPr>
        <w:t xml:space="preserve"> </w:t>
      </w:r>
      <w:r w:rsidRPr="002A390C" w:rsidR="002A390C">
        <w:rPr>
          <w:rFonts w:ascii="Verdana" w:hAnsi="Verdana"/>
          <w:sz w:val="18"/>
          <w:szCs w:val="18"/>
          <w:lang w:val="nl-NL"/>
        </w:rPr>
        <w:t>kunnen en mogen delen met het betreffende drinkwaterbedrijf. Gemeenten kunnen in het BRP zien of er een minderjarig kind staat ingeschreven, maar die handeling is nu nog handmatig. Voor het terugkoppelen van deze informatie aan een drinkwaterbedrijf, is bovendien een grondslag nodig in de afsluitregeling.</w:t>
      </w:r>
      <w:r w:rsidR="00A1056B">
        <w:rPr>
          <w:rFonts w:ascii="Verdana" w:hAnsi="Verdana"/>
          <w:sz w:val="18"/>
          <w:szCs w:val="18"/>
          <w:lang w:val="nl-NL"/>
        </w:rPr>
        <w:t xml:space="preserve"> </w:t>
      </w:r>
      <w:r w:rsidRPr="002A390C" w:rsidR="002A390C">
        <w:rPr>
          <w:rFonts w:ascii="Verdana" w:hAnsi="Verdana"/>
          <w:sz w:val="18"/>
          <w:szCs w:val="18"/>
          <w:lang w:val="nl-NL"/>
        </w:rPr>
        <w:t>Hierbij is het belangrijk om ook in overweging te nemen dat deze handmatige check een extra taak betekent voor de gemeenten die nu ook al zwaar belast worden. Maar op deze manier kunnen zowel de drinkwaterbedrijven als gemeenten prioriteit geven aan deze huishoudens  in de vroegsignalering en voorafgaand aan (mogelijke) afsluiting.</w:t>
      </w:r>
    </w:p>
    <w:p w:rsidRPr="002A390C" w:rsidR="002A390C" w:rsidP="002A390C" w:rsidRDefault="002A390C" w14:paraId="315C0918" w14:textId="77777777">
      <w:pPr>
        <w:pStyle w:val="NoSpacing"/>
        <w:spacing w:line="276" w:lineRule="auto"/>
        <w:rPr>
          <w:rFonts w:ascii="Verdana" w:hAnsi="Verdana"/>
          <w:sz w:val="18"/>
          <w:szCs w:val="18"/>
          <w:lang w:val="nl-NL"/>
        </w:rPr>
      </w:pPr>
    </w:p>
    <w:p w:rsidRPr="002A390C" w:rsidR="002A390C" w:rsidP="002A390C" w:rsidRDefault="002A390C" w14:paraId="32D5B5B0" w14:textId="618E9FF4">
      <w:pPr>
        <w:pStyle w:val="NoSpacing"/>
        <w:spacing w:line="276" w:lineRule="auto"/>
        <w:rPr>
          <w:rFonts w:ascii="Verdana" w:hAnsi="Verdana"/>
          <w:sz w:val="18"/>
          <w:szCs w:val="18"/>
          <w:lang w:val="nl-NL"/>
        </w:rPr>
      </w:pPr>
      <w:r w:rsidRPr="002A390C">
        <w:rPr>
          <w:rFonts w:ascii="Verdana" w:hAnsi="Verdana"/>
          <w:sz w:val="18"/>
          <w:szCs w:val="18"/>
          <w:lang w:val="nl-NL"/>
        </w:rPr>
        <w:t>Ten aanzien van de oprichting van een drinkwaterfonds geeft het onderzoek geen duidelijk advies. Er zijn te veel voor- en nadelen waardoor de onderzoek</w:t>
      </w:r>
      <w:r w:rsidR="00AA02E5">
        <w:rPr>
          <w:rFonts w:ascii="Verdana" w:hAnsi="Verdana"/>
          <w:sz w:val="18"/>
          <w:szCs w:val="18"/>
          <w:lang w:val="nl-NL"/>
        </w:rPr>
        <w:t>sbureau</w:t>
      </w:r>
      <w:r w:rsidRPr="002A390C">
        <w:rPr>
          <w:rFonts w:ascii="Verdana" w:hAnsi="Verdana"/>
          <w:sz w:val="18"/>
          <w:szCs w:val="18"/>
          <w:lang w:val="nl-NL"/>
        </w:rPr>
        <w:t xml:space="preserve"> slechts enkele contouren en veel aandachtspunten schetsen</w:t>
      </w:r>
      <w:r w:rsidRPr="00A1056B">
        <w:rPr>
          <w:rFonts w:ascii="Verdana" w:hAnsi="Verdana"/>
          <w:sz w:val="18"/>
          <w:szCs w:val="18"/>
          <w:lang w:val="nl-NL"/>
        </w:rPr>
        <w:t>.</w:t>
      </w:r>
      <w:r w:rsidRPr="005275DB" w:rsidR="00A1056B">
        <w:rPr>
          <w:rFonts w:ascii="Verdana" w:hAnsi="Verdana"/>
          <w:sz w:val="18"/>
          <w:szCs w:val="18"/>
          <w:lang w:val="nl-NL"/>
        </w:rPr>
        <w:t xml:space="preserve"> </w:t>
      </w:r>
      <w:r w:rsidRPr="002A390C">
        <w:rPr>
          <w:rFonts w:ascii="Verdana" w:hAnsi="Verdana"/>
          <w:sz w:val="18"/>
          <w:szCs w:val="18"/>
          <w:lang w:val="nl-NL"/>
        </w:rPr>
        <w:t>Alleen een drinkwaterfonds lost volgens het rapport de</w:t>
      </w:r>
      <w:r w:rsidR="00A1056B">
        <w:rPr>
          <w:rFonts w:ascii="Verdana" w:hAnsi="Verdana"/>
          <w:sz w:val="18"/>
          <w:szCs w:val="18"/>
          <w:lang w:val="nl-NL"/>
        </w:rPr>
        <w:t xml:space="preserve"> onderliggende</w:t>
      </w:r>
      <w:r w:rsidRPr="002A390C">
        <w:rPr>
          <w:rFonts w:ascii="Verdana" w:hAnsi="Verdana"/>
          <w:sz w:val="18"/>
          <w:szCs w:val="18"/>
          <w:lang w:val="nl-NL"/>
        </w:rPr>
        <w:t xml:space="preserve"> problematiek niet op. Als huishoudens met kinderen niet meer worden afgesloten bij wanbetaling, dan leidt dit in eerste instantie tot een verlies bij het drinkwaterbedrijf. Vooralsnog lijkt het erop dat dit slechts om enkele honderden huishoudens per jaar zal gaan en over beperkte bedragen. Socialiseren van deze verliezen in de drinkwatertarieven van afnemers zal dan tot een zeer beperkte tariefverhoging leiden en vanuit dat perspectief is het oprichten van een drinkwaterfonds een erg complexe en dure oplossing. </w:t>
      </w:r>
      <w:r w:rsidR="0029106F">
        <w:rPr>
          <w:rFonts w:ascii="Verdana" w:hAnsi="Verdana"/>
          <w:sz w:val="18"/>
          <w:szCs w:val="18"/>
          <w:lang w:val="nl-NL"/>
        </w:rPr>
        <w:t xml:space="preserve">Daarom </w:t>
      </w:r>
      <w:r w:rsidR="002F28BE">
        <w:rPr>
          <w:rFonts w:ascii="Verdana" w:hAnsi="Verdana"/>
          <w:sz w:val="18"/>
          <w:szCs w:val="18"/>
          <w:lang w:val="nl-NL"/>
        </w:rPr>
        <w:t>verdient</w:t>
      </w:r>
      <w:r w:rsidR="0029106F">
        <w:rPr>
          <w:rFonts w:ascii="Verdana" w:hAnsi="Verdana"/>
          <w:sz w:val="18"/>
          <w:szCs w:val="18"/>
          <w:lang w:val="nl-NL"/>
        </w:rPr>
        <w:t xml:space="preserve"> het de voorkeur om </w:t>
      </w:r>
      <w:r w:rsidRPr="002A390C">
        <w:rPr>
          <w:rFonts w:ascii="Verdana" w:hAnsi="Verdana"/>
          <w:sz w:val="18"/>
          <w:szCs w:val="18"/>
          <w:lang w:val="nl-NL"/>
        </w:rPr>
        <w:t>in</w:t>
      </w:r>
      <w:r w:rsidR="0029106F">
        <w:rPr>
          <w:rFonts w:ascii="Verdana" w:hAnsi="Verdana"/>
          <w:sz w:val="18"/>
          <w:szCs w:val="18"/>
          <w:lang w:val="nl-NL"/>
        </w:rPr>
        <w:t xml:space="preserve"> te </w:t>
      </w:r>
      <w:r w:rsidRPr="002A390C">
        <w:rPr>
          <w:rFonts w:ascii="Verdana" w:hAnsi="Verdana"/>
          <w:sz w:val="18"/>
          <w:szCs w:val="18"/>
          <w:lang w:val="nl-NL"/>
        </w:rPr>
        <w:t xml:space="preserve">zetten op de aanpassingen van het afsluitbeleid en </w:t>
      </w:r>
      <w:r w:rsidR="0029106F">
        <w:rPr>
          <w:rFonts w:ascii="Verdana" w:hAnsi="Verdana"/>
          <w:sz w:val="18"/>
          <w:szCs w:val="18"/>
          <w:lang w:val="nl-NL"/>
        </w:rPr>
        <w:t>te monitoren</w:t>
      </w:r>
      <w:r w:rsidRPr="002A390C">
        <w:rPr>
          <w:rFonts w:ascii="Verdana" w:hAnsi="Verdana"/>
          <w:sz w:val="18"/>
          <w:szCs w:val="18"/>
          <w:lang w:val="nl-NL"/>
        </w:rPr>
        <w:t xml:space="preserve"> in hoeverre dit leidt tot een aangepaste betalingsmoraal en een afname in inkomsten voor drinkwaterbedrijven. </w:t>
      </w:r>
    </w:p>
    <w:p w:rsidR="002A390C" w:rsidP="002A390C" w:rsidRDefault="002A390C" w14:paraId="4BA7DDDB" w14:textId="77777777">
      <w:pPr>
        <w:pStyle w:val="NoSpacing"/>
        <w:spacing w:line="276" w:lineRule="auto"/>
        <w:rPr>
          <w:rFonts w:ascii="Verdana" w:hAnsi="Verdana"/>
          <w:sz w:val="18"/>
          <w:szCs w:val="18"/>
          <w:lang w:val="nl-NL"/>
        </w:rPr>
      </w:pPr>
    </w:p>
    <w:p w:rsidRPr="000F3B4D" w:rsidR="00AA02E5" w:rsidP="002A390C" w:rsidRDefault="00AA02E5" w14:paraId="0510DD7D" w14:textId="25D6D16D">
      <w:pPr>
        <w:pStyle w:val="NoSpacing"/>
        <w:spacing w:line="276" w:lineRule="auto"/>
        <w:rPr>
          <w:lang w:val="nl-NL"/>
        </w:rPr>
      </w:pPr>
      <w:r w:rsidRPr="00AA02E5">
        <w:rPr>
          <w:lang w:val="nl-NL"/>
        </w:rPr>
        <w:t>In het najaar wordt u nader geïnformeerd over de voortgang.</w:t>
      </w:r>
    </w:p>
    <w:p w:rsidRPr="00392842" w:rsidR="00392842" w:rsidP="00D8307D" w:rsidRDefault="002A390C" w14:paraId="65660A4C" w14:textId="61C15D24">
      <w:pPr>
        <w:pStyle w:val="Slotzin"/>
        <w:spacing w:line="276" w:lineRule="auto"/>
      </w:pPr>
      <w:r w:rsidRPr="002A390C">
        <w:t>Hoogachtend</w:t>
      </w:r>
      <w:r w:rsidR="000F3B4D">
        <w:t>,</w:t>
      </w:r>
    </w:p>
    <w:p w:rsidRPr="002A390C" w:rsidR="002A390C" w:rsidP="002A390C" w:rsidRDefault="00CB69A4" w14:paraId="178FB985" w14:textId="776DD200">
      <w:pPr>
        <w:pStyle w:val="OndertekeningArea1"/>
        <w:spacing w:line="276" w:lineRule="auto"/>
      </w:pPr>
      <w:r w:rsidRPr="00CB69A4">
        <w:t>DE MINISTER VAN INFRASTRUCTUUR EN WATERSTAAT</w:t>
      </w:r>
      <w:r w:rsidRPr="002A390C" w:rsidR="002A390C">
        <w:t>,</w:t>
      </w:r>
    </w:p>
    <w:p w:rsidRPr="002A390C" w:rsidR="002A390C" w:rsidP="002A390C" w:rsidRDefault="002A390C" w14:paraId="7FCCE061" w14:textId="77777777">
      <w:pPr>
        <w:spacing w:line="276" w:lineRule="auto"/>
      </w:pPr>
    </w:p>
    <w:p w:rsidR="002A390C" w:rsidP="002A390C" w:rsidRDefault="002A390C" w14:paraId="71C8EADD" w14:textId="77777777">
      <w:pPr>
        <w:spacing w:line="276" w:lineRule="auto"/>
      </w:pPr>
    </w:p>
    <w:p w:rsidRPr="002A390C" w:rsidR="000F3B4D" w:rsidP="002A390C" w:rsidRDefault="000F3B4D" w14:paraId="04755FB6" w14:textId="77777777">
      <w:pPr>
        <w:spacing w:line="276" w:lineRule="auto"/>
      </w:pPr>
    </w:p>
    <w:p w:rsidRPr="002A390C" w:rsidR="002A390C" w:rsidP="002A390C" w:rsidRDefault="002A390C" w14:paraId="43E7036A" w14:textId="77777777">
      <w:pPr>
        <w:spacing w:line="276" w:lineRule="auto"/>
      </w:pPr>
    </w:p>
    <w:p w:rsidR="00A5437A" w:rsidP="002A390C" w:rsidRDefault="00472182" w14:paraId="48E97AFC" w14:textId="4A102D99">
      <w:pPr>
        <w:tabs>
          <w:tab w:val="left" w:pos="1741"/>
        </w:tabs>
        <w:spacing w:line="276" w:lineRule="auto"/>
      </w:pPr>
      <w:r>
        <w:t>Barry Madlener</w:t>
      </w:r>
    </w:p>
    <w:p w:rsidR="00F24184" w:rsidP="002A390C" w:rsidRDefault="00F24184" w14:paraId="242B2B63" w14:textId="77777777">
      <w:pPr>
        <w:tabs>
          <w:tab w:val="left" w:pos="1741"/>
        </w:tabs>
        <w:spacing w:line="276" w:lineRule="auto"/>
      </w:pPr>
    </w:p>
    <w:p w:rsidR="00F24184" w:rsidP="00F24184" w:rsidRDefault="00F24184" w14:paraId="58736FDF" w14:textId="77777777"/>
    <w:p w:rsidR="00F24184" w:rsidP="00F24184" w:rsidRDefault="00F24184" w14:paraId="60310868" w14:textId="77777777"/>
    <w:p w:rsidR="00F24184" w:rsidP="00F24184" w:rsidRDefault="00F24184" w14:paraId="704B1905" w14:textId="6E3AC8AA">
      <w:r>
        <w:t>DE STAATSSECRETARIS PARTICIPATIE EN INTEGRATIE</w:t>
      </w:r>
    </w:p>
    <w:p w:rsidR="00F24184" w:rsidP="00F24184" w:rsidRDefault="00F24184" w14:paraId="0C0BC48A" w14:textId="77777777"/>
    <w:p w:rsidR="00F24184" w:rsidP="00F24184" w:rsidRDefault="00F24184" w14:paraId="3A7F8F04" w14:textId="77777777"/>
    <w:p w:rsidR="00F24184" w:rsidP="00F24184" w:rsidRDefault="00F24184" w14:paraId="4A9E5EB9" w14:textId="77777777"/>
    <w:p w:rsidR="00F24184" w:rsidP="00F24184" w:rsidRDefault="00F24184" w14:paraId="38A4C9FB" w14:textId="77777777"/>
    <w:p w:rsidR="00F24184" w:rsidP="00F24184" w:rsidRDefault="00F24184" w14:paraId="24E575CE" w14:textId="77777777">
      <w:r>
        <w:t>Jurgen Nobel</w:t>
      </w:r>
    </w:p>
    <w:p w:rsidR="00F24184" w:rsidP="002A390C" w:rsidRDefault="00F24184" w14:paraId="30C9BA62" w14:textId="77777777">
      <w:pPr>
        <w:tabs>
          <w:tab w:val="left" w:pos="1741"/>
        </w:tabs>
        <w:spacing w:line="276" w:lineRule="auto"/>
      </w:pPr>
    </w:p>
    <w:p w:rsidR="00A5437A" w:rsidP="002A390C" w:rsidRDefault="00A5437A" w14:paraId="501DA87F" w14:textId="77777777">
      <w:pPr>
        <w:tabs>
          <w:tab w:val="left" w:pos="1741"/>
        </w:tabs>
        <w:spacing w:line="276" w:lineRule="auto"/>
      </w:pPr>
    </w:p>
    <w:p w:rsidR="00A5437A" w:rsidP="002A390C" w:rsidRDefault="00A5437A" w14:paraId="7DD2DA1D" w14:textId="77777777">
      <w:pPr>
        <w:tabs>
          <w:tab w:val="left" w:pos="1741"/>
        </w:tabs>
        <w:spacing w:line="276" w:lineRule="auto"/>
      </w:pPr>
    </w:p>
    <w:p w:rsidR="00A5437A" w:rsidP="002A390C" w:rsidRDefault="00A5437A" w14:paraId="0D7808B6" w14:textId="77777777">
      <w:pPr>
        <w:tabs>
          <w:tab w:val="left" w:pos="1741"/>
        </w:tabs>
        <w:spacing w:line="276" w:lineRule="auto"/>
      </w:pPr>
    </w:p>
    <w:p w:rsidR="00A5437A" w:rsidP="002A390C" w:rsidRDefault="00A5437A" w14:paraId="5373B805" w14:textId="77777777">
      <w:pPr>
        <w:tabs>
          <w:tab w:val="left" w:pos="1741"/>
        </w:tabs>
        <w:spacing w:line="276" w:lineRule="auto"/>
      </w:pPr>
    </w:p>
    <w:p w:rsidRPr="002A390C" w:rsidR="002A390C" w:rsidP="002A390C" w:rsidRDefault="002A390C" w14:paraId="107ADF57" w14:textId="094FBF8A">
      <w:pPr>
        <w:tabs>
          <w:tab w:val="left" w:pos="1741"/>
        </w:tabs>
        <w:spacing w:line="276" w:lineRule="auto"/>
      </w:pPr>
      <w:r w:rsidRPr="002A390C">
        <w:tab/>
      </w:r>
    </w:p>
    <w:p w:rsidRPr="002A390C" w:rsidR="002A390C" w:rsidP="002A390C" w:rsidRDefault="002A390C" w14:paraId="54D6BA50" w14:textId="77777777">
      <w:pPr>
        <w:tabs>
          <w:tab w:val="left" w:pos="1741"/>
        </w:tabs>
        <w:spacing w:line="276" w:lineRule="auto"/>
      </w:pPr>
    </w:p>
    <w:p w:rsidRPr="002A390C" w:rsidR="004D6CEC" w:rsidP="002A390C" w:rsidRDefault="004D6CEC" w14:paraId="42049D68" w14:textId="56611EA6">
      <w:pPr>
        <w:spacing w:line="276" w:lineRule="auto"/>
      </w:pPr>
    </w:p>
    <w:sectPr w:rsidRPr="002A390C" w:rsidR="004D6CE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42A6" w14:textId="77777777" w:rsidR="00D943F2" w:rsidRDefault="00D943F2">
      <w:pPr>
        <w:spacing w:line="240" w:lineRule="auto"/>
      </w:pPr>
      <w:r>
        <w:separator/>
      </w:r>
    </w:p>
  </w:endnote>
  <w:endnote w:type="continuationSeparator" w:id="0">
    <w:p w14:paraId="4174429C" w14:textId="77777777" w:rsidR="00D943F2" w:rsidRDefault="00D943F2">
      <w:pPr>
        <w:spacing w:line="240" w:lineRule="auto"/>
      </w:pPr>
      <w:r>
        <w:continuationSeparator/>
      </w:r>
    </w:p>
  </w:endnote>
  <w:endnote w:type="continuationNotice" w:id="1">
    <w:p w14:paraId="4DD083CE" w14:textId="77777777" w:rsidR="00D943F2" w:rsidRDefault="00D94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6BE6" w14:textId="77777777" w:rsidR="003C659E" w:rsidRDefault="003C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FDC6" w14:textId="77777777" w:rsidR="003C659E" w:rsidRDefault="003C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0FEB" w14:textId="77777777" w:rsidR="003C659E" w:rsidRDefault="003C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C307" w14:textId="77777777" w:rsidR="00D943F2" w:rsidRDefault="00D943F2">
      <w:pPr>
        <w:spacing w:line="240" w:lineRule="auto"/>
      </w:pPr>
      <w:r>
        <w:separator/>
      </w:r>
    </w:p>
  </w:footnote>
  <w:footnote w:type="continuationSeparator" w:id="0">
    <w:p w14:paraId="1FB919C7" w14:textId="77777777" w:rsidR="00D943F2" w:rsidRDefault="00D943F2">
      <w:pPr>
        <w:spacing w:line="240" w:lineRule="auto"/>
      </w:pPr>
      <w:r>
        <w:continuationSeparator/>
      </w:r>
    </w:p>
  </w:footnote>
  <w:footnote w:type="continuationNotice" w:id="1">
    <w:p w14:paraId="0431FA8E" w14:textId="77777777" w:rsidR="00D943F2" w:rsidRDefault="00D943F2">
      <w:pPr>
        <w:spacing w:line="240" w:lineRule="auto"/>
      </w:pPr>
    </w:p>
  </w:footnote>
  <w:footnote w:id="2">
    <w:p w14:paraId="254DE911" w14:textId="4D98146B" w:rsidR="002A390C" w:rsidRPr="000F3B4D" w:rsidRDefault="002A390C" w:rsidP="002A390C">
      <w:pPr>
        <w:pStyle w:val="FootnoteText"/>
        <w:rPr>
          <w:color w:val="auto"/>
          <w:sz w:val="16"/>
          <w:szCs w:val="16"/>
        </w:rPr>
      </w:pPr>
      <w:r w:rsidRPr="000F3B4D">
        <w:rPr>
          <w:rStyle w:val="FootnoteReference"/>
          <w:sz w:val="16"/>
          <w:szCs w:val="16"/>
        </w:rPr>
        <w:footnoteRef/>
      </w:r>
      <w:r w:rsidRPr="000F3B4D">
        <w:rPr>
          <w:sz w:val="16"/>
          <w:szCs w:val="16"/>
        </w:rPr>
        <w:t xml:space="preserve"> Kamerstuk 24 515, nr. </w:t>
      </w:r>
      <w:r w:rsidRPr="000F3B4D">
        <w:rPr>
          <w:color w:val="auto"/>
          <w:sz w:val="16"/>
          <w:szCs w:val="16"/>
        </w:rPr>
        <w:t>702</w:t>
      </w:r>
    </w:p>
  </w:footnote>
  <w:footnote w:id="3">
    <w:p w14:paraId="38F30AB7" w14:textId="77777777" w:rsidR="002A390C" w:rsidRPr="000F3B4D" w:rsidRDefault="002A390C" w:rsidP="002A390C">
      <w:pPr>
        <w:pStyle w:val="FootnoteText"/>
        <w:rPr>
          <w:color w:val="auto"/>
          <w:sz w:val="16"/>
          <w:szCs w:val="16"/>
        </w:rPr>
      </w:pPr>
      <w:r w:rsidRPr="000F3B4D">
        <w:rPr>
          <w:rStyle w:val="FootnoteReference"/>
          <w:color w:val="auto"/>
          <w:sz w:val="16"/>
          <w:szCs w:val="16"/>
        </w:rPr>
        <w:footnoteRef/>
      </w:r>
      <w:r w:rsidRPr="000F3B4D">
        <w:rPr>
          <w:color w:val="auto"/>
          <w:sz w:val="16"/>
          <w:szCs w:val="16"/>
        </w:rPr>
        <w:t xml:space="preserve"> Kamerstuk 24 515, nr. 739</w:t>
      </w:r>
    </w:p>
  </w:footnote>
  <w:footnote w:id="4">
    <w:p w14:paraId="5718711E" w14:textId="77777777" w:rsidR="00D8307D" w:rsidRPr="000F3B4D" w:rsidRDefault="00D8307D" w:rsidP="00D8307D">
      <w:pPr>
        <w:pStyle w:val="FootnoteText"/>
        <w:rPr>
          <w:sz w:val="16"/>
          <w:szCs w:val="16"/>
        </w:rPr>
      </w:pPr>
      <w:r w:rsidRPr="000F3B4D">
        <w:rPr>
          <w:rStyle w:val="FootnoteReference"/>
          <w:sz w:val="16"/>
          <w:szCs w:val="16"/>
        </w:rPr>
        <w:footnoteRef/>
      </w:r>
      <w:r w:rsidRPr="000F3B4D">
        <w:rPr>
          <w:sz w:val="16"/>
          <w:szCs w:val="16"/>
        </w:rPr>
        <w:t xml:space="preserve"> Gerechtshof Den Haag, 19 maart 2024, ECLI:NL:GHDHA:2024:363</w:t>
      </w:r>
    </w:p>
  </w:footnote>
  <w:footnote w:id="5">
    <w:p w14:paraId="1EA84F15" w14:textId="44209AF9" w:rsidR="00F30ABE" w:rsidRDefault="00F30ABE">
      <w:pPr>
        <w:pStyle w:val="FootnoteText"/>
      </w:pPr>
      <w:r w:rsidRPr="0069326E">
        <w:rPr>
          <w:rStyle w:val="FootnoteReference"/>
          <w:color w:val="auto"/>
          <w:sz w:val="16"/>
          <w:szCs w:val="16"/>
        </w:rPr>
        <w:footnoteRef/>
      </w:r>
      <w:r>
        <w:rPr>
          <w:sz w:val="16"/>
          <w:szCs w:val="16"/>
        </w:rPr>
        <w:t xml:space="preserve"> </w:t>
      </w:r>
      <w:r w:rsidRPr="000F3B4D">
        <w:rPr>
          <w:color w:val="auto"/>
          <w:sz w:val="16"/>
          <w:szCs w:val="16"/>
        </w:rPr>
        <w:t>Kamerstuk 24 515, nr. 756</w:t>
      </w:r>
      <w:r>
        <w:rPr>
          <w:color w:val="auto"/>
          <w:sz w:val="16"/>
          <w:szCs w:val="16"/>
        </w:rPr>
        <w:t xml:space="preserve">, </w:t>
      </w:r>
      <w:r w:rsidRPr="000F3B4D">
        <w:rPr>
          <w:sz w:val="16"/>
          <w:szCs w:val="16"/>
        </w:rPr>
        <w:t>Aanhangsel Handelingen, 2023/2024, nr. 1494</w:t>
      </w:r>
    </w:p>
  </w:footnote>
  <w:footnote w:id="6">
    <w:p w14:paraId="0EAC7F75" w14:textId="7D92ECBE" w:rsidR="002A390C" w:rsidRPr="000F3B4D" w:rsidRDefault="002A390C" w:rsidP="002A390C">
      <w:pPr>
        <w:pStyle w:val="FootnoteText"/>
        <w:rPr>
          <w:sz w:val="16"/>
          <w:szCs w:val="16"/>
        </w:rPr>
      </w:pPr>
      <w:r w:rsidRPr="0028721E">
        <w:rPr>
          <w:rStyle w:val="FootnoteReference"/>
          <w:sz w:val="16"/>
          <w:szCs w:val="16"/>
        </w:rPr>
        <w:footnoteRef/>
      </w:r>
      <w:r w:rsidRPr="0028721E">
        <w:rPr>
          <w:sz w:val="16"/>
          <w:szCs w:val="16"/>
        </w:rPr>
        <w:t xml:space="preserve"> </w:t>
      </w:r>
      <w:r w:rsidR="0028721E" w:rsidRPr="0028721E">
        <w:rPr>
          <w:sz w:val="16"/>
          <w:szCs w:val="16"/>
        </w:rPr>
        <w:t>Hoofdlijnenakkoord 2024 – 2028 van PVV, VVD, NSC en BBB</w:t>
      </w:r>
      <w:r w:rsidR="0028721E">
        <w:rPr>
          <w:sz w:val="16"/>
          <w:szCs w:val="16"/>
        </w:rPr>
        <w:t>, p. 2</w:t>
      </w:r>
    </w:p>
  </w:footnote>
  <w:footnote w:id="7">
    <w:p w14:paraId="0AA251DF" w14:textId="77777777" w:rsidR="002A390C" w:rsidRPr="000F3B4D" w:rsidRDefault="002A390C" w:rsidP="002A390C">
      <w:pPr>
        <w:pStyle w:val="FootnoteText"/>
        <w:rPr>
          <w:color w:val="auto"/>
          <w:sz w:val="16"/>
          <w:szCs w:val="16"/>
        </w:rPr>
      </w:pPr>
      <w:r w:rsidRPr="000F3B4D">
        <w:rPr>
          <w:rStyle w:val="FootnoteReference"/>
          <w:color w:val="auto"/>
          <w:sz w:val="16"/>
          <w:szCs w:val="16"/>
        </w:rPr>
        <w:footnoteRef/>
      </w:r>
      <w:r w:rsidRPr="000F3B4D">
        <w:rPr>
          <w:color w:val="auto"/>
          <w:sz w:val="16"/>
          <w:szCs w:val="16"/>
        </w:rPr>
        <w:t xml:space="preserve"> Kamerstuk 24 515, nr. 756</w:t>
      </w:r>
    </w:p>
  </w:footnote>
  <w:footnote w:id="8">
    <w:p w14:paraId="00079D1F" w14:textId="28701014" w:rsidR="002A390C" w:rsidRPr="000F3B4D" w:rsidRDefault="002A390C" w:rsidP="002A390C">
      <w:pPr>
        <w:pStyle w:val="FootnoteText"/>
        <w:rPr>
          <w:sz w:val="16"/>
          <w:szCs w:val="16"/>
        </w:rPr>
      </w:pPr>
      <w:r w:rsidRPr="000F3B4D">
        <w:rPr>
          <w:rStyle w:val="FootnoteReference"/>
          <w:sz w:val="16"/>
          <w:szCs w:val="16"/>
        </w:rPr>
        <w:footnoteRef/>
      </w:r>
      <w:r w:rsidRPr="000F3B4D">
        <w:rPr>
          <w:sz w:val="16"/>
          <w:szCs w:val="16"/>
        </w:rPr>
        <w:t xml:space="preserve"> Brief aan de Nationale Ombudsman met de kabinetsreactie op het onderzoek ‘Hoe eerder, hoe beter’ naar vroegsignalering van schulden door gemeenten, 29 mei 2024, Kamerstuk 24515</w:t>
      </w:r>
      <w:r w:rsidR="000F3B4D" w:rsidRPr="000F3B4D">
        <w:rPr>
          <w:sz w:val="16"/>
          <w:szCs w:val="16"/>
        </w:rPr>
        <w:t xml:space="preserve">, nr. </w:t>
      </w:r>
      <w:r w:rsidRPr="000F3B4D">
        <w:rPr>
          <w:sz w:val="16"/>
          <w:szCs w:val="16"/>
        </w:rPr>
        <w:t>762</w:t>
      </w:r>
    </w:p>
  </w:footnote>
  <w:footnote w:id="9">
    <w:p w14:paraId="1802E22C" w14:textId="77777777" w:rsidR="00F30ABE" w:rsidRPr="0047453F" w:rsidRDefault="00F30ABE" w:rsidP="00F30ABE">
      <w:pPr>
        <w:pStyle w:val="FootnoteText"/>
        <w:rPr>
          <w:sz w:val="18"/>
          <w:szCs w:val="18"/>
        </w:rPr>
      </w:pPr>
      <w:r w:rsidRPr="000F3B4D">
        <w:rPr>
          <w:rStyle w:val="FootnoteReference"/>
          <w:sz w:val="16"/>
          <w:szCs w:val="16"/>
        </w:rPr>
        <w:footnoteRef/>
      </w:r>
      <w:r w:rsidRPr="000F3B4D">
        <w:rPr>
          <w:sz w:val="16"/>
          <w:szCs w:val="16"/>
        </w:rPr>
        <w:t xml:space="preserve"> Aanhangsel Handelingen, 2023/2024, nr. 1494</w:t>
      </w:r>
    </w:p>
  </w:footnote>
  <w:footnote w:id="10">
    <w:p w14:paraId="4741793A" w14:textId="659F77A2" w:rsidR="00D9723C" w:rsidRPr="000F3B4D" w:rsidRDefault="00D9723C">
      <w:pPr>
        <w:pStyle w:val="FootnoteText"/>
        <w:rPr>
          <w:sz w:val="16"/>
          <w:szCs w:val="16"/>
        </w:rPr>
      </w:pPr>
      <w:r w:rsidRPr="000F3B4D">
        <w:rPr>
          <w:rStyle w:val="FootnoteReference"/>
          <w:sz w:val="16"/>
          <w:szCs w:val="16"/>
        </w:rPr>
        <w:footnoteRef/>
      </w:r>
      <w:r w:rsidRPr="000F3B4D">
        <w:rPr>
          <w:sz w:val="16"/>
          <w:szCs w:val="16"/>
        </w:rPr>
        <w:t xml:space="preserve"> Een kwetsbare consument is gedefinieerd als een kleinverbruiker voor wie de beëindiging van de levering van drinkwater zeer ernstige gezondheidsrisico’s tot gevolg zou hebben voor de kleinverbruiker of huisgenoten van de kleinverbruiker. Een kwetsbare consument dient dit aan te tonen met een verklaring van een niet behandelend arts.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C6FA" w14:textId="77777777" w:rsidR="003C659E" w:rsidRDefault="003C6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0BE0" w14:textId="77777777" w:rsidR="004D6CEC" w:rsidRDefault="00767921">
    <w:pPr>
      <w:pStyle w:val="MarginlessContainer"/>
    </w:pPr>
    <w:r>
      <w:rPr>
        <w:noProof/>
        <w:lang w:val="en-GB" w:eastAsia="en-GB"/>
      </w:rPr>
      <mc:AlternateContent>
        <mc:Choice Requires="wps">
          <w:drawing>
            <wp:anchor distT="0" distB="0" distL="0" distR="0" simplePos="0" relativeHeight="251651584" behindDoc="0" locked="1" layoutInCell="1" allowOverlap="1" wp14:anchorId="0BBE55D7" wp14:editId="1FEFD44D">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CBE8453" w14:textId="77777777" w:rsidR="004D6CEC" w:rsidRDefault="00767921">
                          <w:pPr>
                            <w:pStyle w:val="AfzendgegevensKop0"/>
                          </w:pPr>
                          <w:r>
                            <w:t>Ministerie van Infrastructuur en Waterstaat</w:t>
                          </w:r>
                        </w:p>
                        <w:p w14:paraId="5C25BD16" w14:textId="77777777" w:rsidR="00C01D3A" w:rsidRDefault="00C01D3A" w:rsidP="00C01D3A"/>
                        <w:p w14:paraId="0500BAC2" w14:textId="77777777" w:rsidR="00C01D3A" w:rsidRPr="00C01D3A" w:rsidRDefault="00C01D3A" w:rsidP="00C01D3A">
                          <w:pPr>
                            <w:spacing w:line="240" w:lineRule="auto"/>
                            <w:rPr>
                              <w:b/>
                              <w:bCs/>
                              <w:sz w:val="13"/>
                              <w:szCs w:val="13"/>
                            </w:rPr>
                          </w:pPr>
                          <w:r w:rsidRPr="00C01D3A">
                            <w:rPr>
                              <w:b/>
                              <w:bCs/>
                              <w:sz w:val="13"/>
                              <w:szCs w:val="13"/>
                            </w:rPr>
                            <w:t>Ons Kenmerk</w:t>
                          </w:r>
                        </w:p>
                        <w:p w14:paraId="08095602" w14:textId="77777777" w:rsidR="00C01D3A" w:rsidRDefault="00C01D3A" w:rsidP="00C01D3A">
                          <w:pPr>
                            <w:spacing w:line="240" w:lineRule="auto"/>
                            <w:rPr>
                              <w:sz w:val="13"/>
                              <w:szCs w:val="13"/>
                            </w:rPr>
                          </w:pPr>
                          <w:r w:rsidRPr="00C01D3A">
                            <w:rPr>
                              <w:sz w:val="13"/>
                              <w:szCs w:val="13"/>
                            </w:rPr>
                            <w:t>IENW/BSK-2024/186556</w:t>
                          </w:r>
                        </w:p>
                        <w:p w14:paraId="0F8A295B" w14:textId="77777777" w:rsidR="00C01D3A" w:rsidRPr="00C01D3A" w:rsidRDefault="00C01D3A" w:rsidP="00C01D3A"/>
                      </w:txbxContent>
                    </wps:txbx>
                    <wps:bodyPr vert="horz" wrap="square" lIns="0" tIns="0" rIns="0" bIns="0" anchor="t" anchorCtr="0"/>
                  </wps:wsp>
                </a:graphicData>
              </a:graphic>
            </wp:anchor>
          </w:drawing>
        </mc:Choice>
        <mc:Fallback>
          <w:pict>
            <v:shapetype w14:anchorId="0BBE55D7"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2CBE8453" w14:textId="77777777" w:rsidR="004D6CEC" w:rsidRDefault="00767921">
                    <w:pPr>
                      <w:pStyle w:val="AfzendgegevensKop0"/>
                    </w:pPr>
                    <w:r>
                      <w:t>Ministerie van Infrastructuur en Waterstaat</w:t>
                    </w:r>
                  </w:p>
                  <w:p w14:paraId="5C25BD16" w14:textId="77777777" w:rsidR="00C01D3A" w:rsidRDefault="00C01D3A" w:rsidP="00C01D3A"/>
                  <w:p w14:paraId="0500BAC2" w14:textId="77777777" w:rsidR="00C01D3A" w:rsidRPr="00C01D3A" w:rsidRDefault="00C01D3A" w:rsidP="00C01D3A">
                    <w:pPr>
                      <w:spacing w:line="240" w:lineRule="auto"/>
                      <w:rPr>
                        <w:b/>
                        <w:bCs/>
                        <w:sz w:val="13"/>
                        <w:szCs w:val="13"/>
                      </w:rPr>
                    </w:pPr>
                    <w:r w:rsidRPr="00C01D3A">
                      <w:rPr>
                        <w:b/>
                        <w:bCs/>
                        <w:sz w:val="13"/>
                        <w:szCs w:val="13"/>
                      </w:rPr>
                      <w:t>Ons Kenmerk</w:t>
                    </w:r>
                  </w:p>
                  <w:p w14:paraId="08095602" w14:textId="77777777" w:rsidR="00C01D3A" w:rsidRDefault="00C01D3A" w:rsidP="00C01D3A">
                    <w:pPr>
                      <w:spacing w:line="240" w:lineRule="auto"/>
                      <w:rPr>
                        <w:sz w:val="13"/>
                        <w:szCs w:val="13"/>
                      </w:rPr>
                    </w:pPr>
                    <w:r w:rsidRPr="00C01D3A">
                      <w:rPr>
                        <w:sz w:val="13"/>
                        <w:szCs w:val="13"/>
                      </w:rPr>
                      <w:t>IENW/BSK-2024/186556</w:t>
                    </w:r>
                  </w:p>
                  <w:p w14:paraId="0F8A295B" w14:textId="77777777" w:rsidR="00C01D3A" w:rsidRPr="00C01D3A" w:rsidRDefault="00C01D3A" w:rsidP="00C01D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EB0547B" wp14:editId="5DA5C999">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E945F9" w14:textId="77FE296F" w:rsidR="004D6CEC" w:rsidRDefault="00767921">
                          <w:pPr>
                            <w:pStyle w:val="Referentiegegevens"/>
                          </w:pPr>
                          <w:r>
                            <w:t xml:space="preserve">Pagina </w:t>
                          </w:r>
                          <w:r>
                            <w:fldChar w:fldCharType="begin"/>
                          </w:r>
                          <w:r>
                            <w:instrText>PAGE</w:instrText>
                          </w:r>
                          <w:r>
                            <w:fldChar w:fldCharType="separate"/>
                          </w:r>
                          <w:r w:rsidR="002A390C">
                            <w:rPr>
                              <w:noProof/>
                            </w:rPr>
                            <w:t>2</w:t>
                          </w:r>
                          <w:r>
                            <w:fldChar w:fldCharType="end"/>
                          </w:r>
                          <w:r>
                            <w:t xml:space="preserve"> van </w:t>
                          </w:r>
                          <w:r>
                            <w:fldChar w:fldCharType="begin"/>
                          </w:r>
                          <w:r>
                            <w:instrText>NUMPAGES</w:instrText>
                          </w:r>
                          <w:r>
                            <w:fldChar w:fldCharType="separate"/>
                          </w:r>
                          <w:r w:rsidR="002A390C">
                            <w:rPr>
                              <w:noProof/>
                            </w:rPr>
                            <w:t>1</w:t>
                          </w:r>
                          <w:r>
                            <w:fldChar w:fldCharType="end"/>
                          </w:r>
                        </w:p>
                      </w:txbxContent>
                    </wps:txbx>
                    <wps:bodyPr vert="horz" wrap="square" lIns="0" tIns="0" rIns="0" bIns="0" anchor="t" anchorCtr="0"/>
                  </wps:wsp>
                </a:graphicData>
              </a:graphic>
            </wp:anchor>
          </w:drawing>
        </mc:Choice>
        <mc:Fallback>
          <w:pict>
            <v:shape w14:anchorId="4EB0547B"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76E945F9" w14:textId="77FE296F" w:rsidR="004D6CEC" w:rsidRDefault="00767921">
                    <w:pPr>
                      <w:pStyle w:val="Referentiegegevens"/>
                    </w:pPr>
                    <w:r>
                      <w:t xml:space="preserve">Pagina </w:t>
                    </w:r>
                    <w:r>
                      <w:fldChar w:fldCharType="begin"/>
                    </w:r>
                    <w:r>
                      <w:instrText>PAGE</w:instrText>
                    </w:r>
                    <w:r>
                      <w:fldChar w:fldCharType="separate"/>
                    </w:r>
                    <w:r w:rsidR="002A390C">
                      <w:rPr>
                        <w:noProof/>
                      </w:rPr>
                      <w:t>2</w:t>
                    </w:r>
                    <w:r>
                      <w:fldChar w:fldCharType="end"/>
                    </w:r>
                    <w:r>
                      <w:t xml:space="preserve"> van </w:t>
                    </w:r>
                    <w:r>
                      <w:fldChar w:fldCharType="begin"/>
                    </w:r>
                    <w:r>
                      <w:instrText>NUMPAGES</w:instrText>
                    </w:r>
                    <w:r>
                      <w:fldChar w:fldCharType="separate"/>
                    </w:r>
                    <w:r w:rsidR="002A390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C33E765" wp14:editId="2E40EE5A">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12C6730" w14:textId="77777777" w:rsidR="00305F99" w:rsidRDefault="00305F99"/>
                      </w:txbxContent>
                    </wps:txbx>
                    <wps:bodyPr vert="horz" wrap="square" lIns="0" tIns="0" rIns="0" bIns="0" anchor="t" anchorCtr="0"/>
                  </wps:wsp>
                </a:graphicData>
              </a:graphic>
            </wp:anchor>
          </w:drawing>
        </mc:Choice>
        <mc:Fallback>
          <w:pict>
            <v:shape w14:anchorId="3C33E765"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012C6730" w14:textId="77777777" w:rsidR="00305F99" w:rsidRDefault="00305F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C04B250" wp14:editId="2B3962B5">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212193" w14:textId="77777777" w:rsidR="00305F99" w:rsidRDefault="00305F99"/>
                      </w:txbxContent>
                    </wps:txbx>
                    <wps:bodyPr vert="horz" wrap="square" lIns="0" tIns="0" rIns="0" bIns="0" anchor="t" anchorCtr="0"/>
                  </wps:wsp>
                </a:graphicData>
              </a:graphic>
            </wp:anchor>
          </w:drawing>
        </mc:Choice>
        <mc:Fallback>
          <w:pict>
            <v:shape w14:anchorId="0C04B250"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71212193" w14:textId="77777777" w:rsidR="00305F99" w:rsidRDefault="00305F9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19BC" w14:textId="77777777" w:rsidR="004D6CEC" w:rsidRDefault="00767921">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38C83B5" wp14:editId="50A59B4F">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4304C8" w14:textId="77777777" w:rsidR="00305F99" w:rsidRDefault="00305F99"/>
                      </w:txbxContent>
                    </wps:txbx>
                    <wps:bodyPr vert="horz" wrap="square" lIns="0" tIns="0" rIns="0" bIns="0" anchor="t" anchorCtr="0"/>
                  </wps:wsp>
                </a:graphicData>
              </a:graphic>
            </wp:anchor>
          </w:drawing>
        </mc:Choice>
        <mc:Fallback>
          <w:pict>
            <v:shapetype w14:anchorId="538C83B5"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24304C8" w14:textId="77777777" w:rsidR="00305F99" w:rsidRDefault="00305F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43F665" wp14:editId="56507295">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E07335" w14:textId="0D3A1C35" w:rsidR="004D6CEC" w:rsidRDefault="00767921">
                          <w:pPr>
                            <w:pStyle w:val="Referentiegegevens"/>
                          </w:pPr>
                          <w:r>
                            <w:t xml:space="preserve">Pagina </w:t>
                          </w:r>
                          <w:r>
                            <w:fldChar w:fldCharType="begin"/>
                          </w:r>
                          <w:r>
                            <w:instrText>PAGE</w:instrText>
                          </w:r>
                          <w:r>
                            <w:fldChar w:fldCharType="separate"/>
                          </w:r>
                          <w:r w:rsidR="0026370B">
                            <w:rPr>
                              <w:noProof/>
                            </w:rPr>
                            <w:t>1</w:t>
                          </w:r>
                          <w:r>
                            <w:fldChar w:fldCharType="end"/>
                          </w:r>
                          <w:r>
                            <w:t xml:space="preserve"> van </w:t>
                          </w:r>
                          <w:r>
                            <w:fldChar w:fldCharType="begin"/>
                          </w:r>
                          <w:r>
                            <w:instrText>NUMPAGES</w:instrText>
                          </w:r>
                          <w:r>
                            <w:fldChar w:fldCharType="separate"/>
                          </w:r>
                          <w:r w:rsidR="0026370B">
                            <w:rPr>
                              <w:noProof/>
                            </w:rPr>
                            <w:t>1</w:t>
                          </w:r>
                          <w:r>
                            <w:fldChar w:fldCharType="end"/>
                          </w:r>
                        </w:p>
                      </w:txbxContent>
                    </wps:txbx>
                    <wps:bodyPr vert="horz" wrap="square" lIns="0" tIns="0" rIns="0" bIns="0" anchor="t" anchorCtr="0"/>
                  </wps:wsp>
                </a:graphicData>
              </a:graphic>
            </wp:anchor>
          </w:drawing>
        </mc:Choice>
        <mc:Fallback>
          <w:pict>
            <v:shape w14:anchorId="7C43F665"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1AE07335" w14:textId="0D3A1C35" w:rsidR="004D6CEC" w:rsidRDefault="00767921">
                    <w:pPr>
                      <w:pStyle w:val="Referentiegegevens"/>
                    </w:pPr>
                    <w:r>
                      <w:t xml:space="preserve">Pagina </w:t>
                    </w:r>
                    <w:r>
                      <w:fldChar w:fldCharType="begin"/>
                    </w:r>
                    <w:r>
                      <w:instrText>PAGE</w:instrText>
                    </w:r>
                    <w:r>
                      <w:fldChar w:fldCharType="separate"/>
                    </w:r>
                    <w:r w:rsidR="0026370B">
                      <w:rPr>
                        <w:noProof/>
                      </w:rPr>
                      <w:t>1</w:t>
                    </w:r>
                    <w:r>
                      <w:fldChar w:fldCharType="end"/>
                    </w:r>
                    <w:r>
                      <w:t xml:space="preserve"> van </w:t>
                    </w:r>
                    <w:r>
                      <w:fldChar w:fldCharType="begin"/>
                    </w:r>
                    <w:r>
                      <w:instrText>NUMPAGES</w:instrText>
                    </w:r>
                    <w:r>
                      <w:fldChar w:fldCharType="separate"/>
                    </w:r>
                    <w:r w:rsidR="0026370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7489B90" wp14:editId="6784D08E">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AB2DDF" w14:textId="77777777" w:rsidR="004D6CEC" w:rsidRDefault="00767921">
                          <w:pPr>
                            <w:pStyle w:val="AfzendgegevensKop0"/>
                          </w:pPr>
                          <w:r>
                            <w:t>Ministerie van Infrastructuur en Waterstaat</w:t>
                          </w:r>
                        </w:p>
                        <w:p w14:paraId="3F0B7D42" w14:textId="77777777" w:rsidR="004D6CEC" w:rsidRDefault="004D6CEC">
                          <w:pPr>
                            <w:pStyle w:val="WitregelW1"/>
                          </w:pPr>
                        </w:p>
                        <w:p w14:paraId="36D11E20" w14:textId="77777777" w:rsidR="004D6CEC" w:rsidRDefault="00767921">
                          <w:pPr>
                            <w:pStyle w:val="Afzendgegevens"/>
                          </w:pPr>
                          <w:r>
                            <w:t>Rijnstraat 8</w:t>
                          </w:r>
                        </w:p>
                        <w:p w14:paraId="0F7D809A" w14:textId="77777777" w:rsidR="004D6CEC" w:rsidRPr="002A390C" w:rsidRDefault="00767921">
                          <w:pPr>
                            <w:pStyle w:val="Afzendgegevens"/>
                            <w:rPr>
                              <w:lang w:val="de-DE"/>
                            </w:rPr>
                          </w:pPr>
                          <w:r w:rsidRPr="002A390C">
                            <w:rPr>
                              <w:lang w:val="de-DE"/>
                            </w:rPr>
                            <w:t>2515 XP  Den Haag</w:t>
                          </w:r>
                        </w:p>
                        <w:p w14:paraId="5CBB58A7" w14:textId="77777777" w:rsidR="004D6CEC" w:rsidRPr="002A390C" w:rsidRDefault="00767921">
                          <w:pPr>
                            <w:pStyle w:val="Afzendgegevens"/>
                            <w:rPr>
                              <w:lang w:val="de-DE"/>
                            </w:rPr>
                          </w:pPr>
                          <w:r w:rsidRPr="002A390C">
                            <w:rPr>
                              <w:lang w:val="de-DE"/>
                            </w:rPr>
                            <w:t>Postbus 20901</w:t>
                          </w:r>
                        </w:p>
                        <w:p w14:paraId="1A44EE2A" w14:textId="77777777" w:rsidR="004D6CEC" w:rsidRPr="002A390C" w:rsidRDefault="00767921">
                          <w:pPr>
                            <w:pStyle w:val="Afzendgegevens"/>
                            <w:rPr>
                              <w:lang w:val="de-DE"/>
                            </w:rPr>
                          </w:pPr>
                          <w:r w:rsidRPr="002A390C">
                            <w:rPr>
                              <w:lang w:val="de-DE"/>
                            </w:rPr>
                            <w:t>2500 EX Den Haag</w:t>
                          </w:r>
                        </w:p>
                        <w:p w14:paraId="61717F86" w14:textId="77777777" w:rsidR="004D6CEC" w:rsidRPr="002A390C" w:rsidRDefault="004D6CEC">
                          <w:pPr>
                            <w:pStyle w:val="WitregelW1"/>
                            <w:rPr>
                              <w:lang w:val="de-DE"/>
                            </w:rPr>
                          </w:pPr>
                        </w:p>
                        <w:p w14:paraId="5A360F58" w14:textId="77777777" w:rsidR="004D6CEC" w:rsidRPr="002A390C" w:rsidRDefault="00767921">
                          <w:pPr>
                            <w:pStyle w:val="Afzendgegevens"/>
                            <w:rPr>
                              <w:lang w:val="de-DE"/>
                            </w:rPr>
                          </w:pPr>
                          <w:r w:rsidRPr="002A390C">
                            <w:rPr>
                              <w:lang w:val="de-DE"/>
                            </w:rPr>
                            <w:t>T   070-456 0000</w:t>
                          </w:r>
                        </w:p>
                        <w:p w14:paraId="66F790BD" w14:textId="77777777" w:rsidR="004D6CEC" w:rsidRPr="00C01D3A" w:rsidRDefault="00767921" w:rsidP="00C01D3A">
                          <w:pPr>
                            <w:pStyle w:val="Afzendgegevens"/>
                            <w:spacing w:line="240" w:lineRule="auto"/>
                          </w:pPr>
                          <w:r w:rsidRPr="00C01D3A">
                            <w:t>F   070-456 1111</w:t>
                          </w:r>
                        </w:p>
                        <w:p w14:paraId="448510FB" w14:textId="77777777" w:rsidR="00C01D3A" w:rsidRPr="00C01D3A" w:rsidRDefault="00C01D3A" w:rsidP="00C01D3A">
                          <w:pPr>
                            <w:spacing w:line="240" w:lineRule="auto"/>
                            <w:rPr>
                              <w:sz w:val="13"/>
                              <w:szCs w:val="13"/>
                            </w:rPr>
                          </w:pPr>
                        </w:p>
                        <w:p w14:paraId="75676B0D" w14:textId="7B00CB4A" w:rsidR="00C01D3A" w:rsidRPr="00C01D3A" w:rsidRDefault="00C01D3A" w:rsidP="00C01D3A">
                          <w:pPr>
                            <w:spacing w:line="240" w:lineRule="auto"/>
                            <w:rPr>
                              <w:b/>
                              <w:bCs/>
                              <w:sz w:val="13"/>
                              <w:szCs w:val="13"/>
                            </w:rPr>
                          </w:pPr>
                          <w:r w:rsidRPr="00C01D3A">
                            <w:rPr>
                              <w:b/>
                              <w:bCs/>
                              <w:sz w:val="13"/>
                              <w:szCs w:val="13"/>
                            </w:rPr>
                            <w:t>Ons Kenmerk</w:t>
                          </w:r>
                        </w:p>
                        <w:p w14:paraId="264E296E" w14:textId="4181D224" w:rsidR="00C01D3A" w:rsidRDefault="00C01D3A" w:rsidP="00C01D3A">
                          <w:pPr>
                            <w:spacing w:line="240" w:lineRule="auto"/>
                            <w:rPr>
                              <w:sz w:val="13"/>
                              <w:szCs w:val="13"/>
                            </w:rPr>
                          </w:pPr>
                          <w:r w:rsidRPr="00C01D3A">
                            <w:rPr>
                              <w:sz w:val="13"/>
                              <w:szCs w:val="13"/>
                            </w:rPr>
                            <w:t>IENW/BSK-2024/186556</w:t>
                          </w:r>
                        </w:p>
                        <w:p w14:paraId="7E806CFE" w14:textId="77777777" w:rsidR="00C01D3A" w:rsidRDefault="00C01D3A" w:rsidP="00C01D3A">
                          <w:pPr>
                            <w:spacing w:line="240" w:lineRule="auto"/>
                            <w:rPr>
                              <w:sz w:val="13"/>
                              <w:szCs w:val="13"/>
                            </w:rPr>
                          </w:pPr>
                        </w:p>
                        <w:p w14:paraId="486BACC1" w14:textId="6FAA54DA" w:rsidR="00C01D3A" w:rsidRPr="00C01D3A" w:rsidRDefault="00C01D3A" w:rsidP="00C01D3A">
                          <w:pPr>
                            <w:spacing w:line="240" w:lineRule="auto"/>
                            <w:rPr>
                              <w:b/>
                              <w:bCs/>
                              <w:sz w:val="13"/>
                              <w:szCs w:val="13"/>
                            </w:rPr>
                          </w:pPr>
                          <w:r w:rsidRPr="00C01D3A">
                            <w:rPr>
                              <w:b/>
                              <w:bCs/>
                              <w:sz w:val="13"/>
                              <w:szCs w:val="13"/>
                            </w:rPr>
                            <w:t>Bijlage(n)</w:t>
                          </w:r>
                        </w:p>
                        <w:p w14:paraId="5B4268E3" w14:textId="1DBEA9C1" w:rsidR="00C01D3A" w:rsidRPr="00C01D3A" w:rsidRDefault="00C01D3A" w:rsidP="00C01D3A">
                          <w:pPr>
                            <w:spacing w:line="240"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67489B90"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21AB2DDF" w14:textId="77777777" w:rsidR="004D6CEC" w:rsidRDefault="00767921">
                    <w:pPr>
                      <w:pStyle w:val="AfzendgegevensKop0"/>
                    </w:pPr>
                    <w:r>
                      <w:t>Ministerie van Infrastructuur en Waterstaat</w:t>
                    </w:r>
                  </w:p>
                  <w:p w14:paraId="3F0B7D42" w14:textId="77777777" w:rsidR="004D6CEC" w:rsidRDefault="004D6CEC">
                    <w:pPr>
                      <w:pStyle w:val="WitregelW1"/>
                    </w:pPr>
                  </w:p>
                  <w:p w14:paraId="36D11E20" w14:textId="77777777" w:rsidR="004D6CEC" w:rsidRDefault="00767921">
                    <w:pPr>
                      <w:pStyle w:val="Afzendgegevens"/>
                    </w:pPr>
                    <w:r>
                      <w:t>Rijnstraat 8</w:t>
                    </w:r>
                  </w:p>
                  <w:p w14:paraId="0F7D809A" w14:textId="77777777" w:rsidR="004D6CEC" w:rsidRPr="002A390C" w:rsidRDefault="00767921">
                    <w:pPr>
                      <w:pStyle w:val="Afzendgegevens"/>
                      <w:rPr>
                        <w:lang w:val="de-DE"/>
                      </w:rPr>
                    </w:pPr>
                    <w:r w:rsidRPr="002A390C">
                      <w:rPr>
                        <w:lang w:val="de-DE"/>
                      </w:rPr>
                      <w:t>2515 XP  Den Haag</w:t>
                    </w:r>
                  </w:p>
                  <w:p w14:paraId="5CBB58A7" w14:textId="77777777" w:rsidR="004D6CEC" w:rsidRPr="002A390C" w:rsidRDefault="00767921">
                    <w:pPr>
                      <w:pStyle w:val="Afzendgegevens"/>
                      <w:rPr>
                        <w:lang w:val="de-DE"/>
                      </w:rPr>
                    </w:pPr>
                    <w:r w:rsidRPr="002A390C">
                      <w:rPr>
                        <w:lang w:val="de-DE"/>
                      </w:rPr>
                      <w:t>Postbus 20901</w:t>
                    </w:r>
                  </w:p>
                  <w:p w14:paraId="1A44EE2A" w14:textId="77777777" w:rsidR="004D6CEC" w:rsidRPr="002A390C" w:rsidRDefault="00767921">
                    <w:pPr>
                      <w:pStyle w:val="Afzendgegevens"/>
                      <w:rPr>
                        <w:lang w:val="de-DE"/>
                      </w:rPr>
                    </w:pPr>
                    <w:r w:rsidRPr="002A390C">
                      <w:rPr>
                        <w:lang w:val="de-DE"/>
                      </w:rPr>
                      <w:t>2500 EX Den Haag</w:t>
                    </w:r>
                  </w:p>
                  <w:p w14:paraId="61717F86" w14:textId="77777777" w:rsidR="004D6CEC" w:rsidRPr="002A390C" w:rsidRDefault="004D6CEC">
                    <w:pPr>
                      <w:pStyle w:val="WitregelW1"/>
                      <w:rPr>
                        <w:lang w:val="de-DE"/>
                      </w:rPr>
                    </w:pPr>
                  </w:p>
                  <w:p w14:paraId="5A360F58" w14:textId="77777777" w:rsidR="004D6CEC" w:rsidRPr="002A390C" w:rsidRDefault="00767921">
                    <w:pPr>
                      <w:pStyle w:val="Afzendgegevens"/>
                      <w:rPr>
                        <w:lang w:val="de-DE"/>
                      </w:rPr>
                    </w:pPr>
                    <w:r w:rsidRPr="002A390C">
                      <w:rPr>
                        <w:lang w:val="de-DE"/>
                      </w:rPr>
                      <w:t>T   070-456 0000</w:t>
                    </w:r>
                  </w:p>
                  <w:p w14:paraId="66F790BD" w14:textId="77777777" w:rsidR="004D6CEC" w:rsidRPr="00C01D3A" w:rsidRDefault="00767921" w:rsidP="00C01D3A">
                    <w:pPr>
                      <w:pStyle w:val="Afzendgegevens"/>
                      <w:spacing w:line="240" w:lineRule="auto"/>
                    </w:pPr>
                    <w:r w:rsidRPr="00C01D3A">
                      <w:t>F   070-456 1111</w:t>
                    </w:r>
                  </w:p>
                  <w:p w14:paraId="448510FB" w14:textId="77777777" w:rsidR="00C01D3A" w:rsidRPr="00C01D3A" w:rsidRDefault="00C01D3A" w:rsidP="00C01D3A">
                    <w:pPr>
                      <w:spacing w:line="240" w:lineRule="auto"/>
                      <w:rPr>
                        <w:sz w:val="13"/>
                        <w:szCs w:val="13"/>
                      </w:rPr>
                    </w:pPr>
                  </w:p>
                  <w:p w14:paraId="75676B0D" w14:textId="7B00CB4A" w:rsidR="00C01D3A" w:rsidRPr="00C01D3A" w:rsidRDefault="00C01D3A" w:rsidP="00C01D3A">
                    <w:pPr>
                      <w:spacing w:line="240" w:lineRule="auto"/>
                      <w:rPr>
                        <w:b/>
                        <w:bCs/>
                        <w:sz w:val="13"/>
                        <w:szCs w:val="13"/>
                      </w:rPr>
                    </w:pPr>
                    <w:r w:rsidRPr="00C01D3A">
                      <w:rPr>
                        <w:b/>
                        <w:bCs/>
                        <w:sz w:val="13"/>
                        <w:szCs w:val="13"/>
                      </w:rPr>
                      <w:t>Ons Kenmerk</w:t>
                    </w:r>
                  </w:p>
                  <w:p w14:paraId="264E296E" w14:textId="4181D224" w:rsidR="00C01D3A" w:rsidRDefault="00C01D3A" w:rsidP="00C01D3A">
                    <w:pPr>
                      <w:spacing w:line="240" w:lineRule="auto"/>
                      <w:rPr>
                        <w:sz w:val="13"/>
                        <w:szCs w:val="13"/>
                      </w:rPr>
                    </w:pPr>
                    <w:r w:rsidRPr="00C01D3A">
                      <w:rPr>
                        <w:sz w:val="13"/>
                        <w:szCs w:val="13"/>
                      </w:rPr>
                      <w:t>IENW/BSK-2024/186556</w:t>
                    </w:r>
                  </w:p>
                  <w:p w14:paraId="7E806CFE" w14:textId="77777777" w:rsidR="00C01D3A" w:rsidRDefault="00C01D3A" w:rsidP="00C01D3A">
                    <w:pPr>
                      <w:spacing w:line="240" w:lineRule="auto"/>
                      <w:rPr>
                        <w:sz w:val="13"/>
                        <w:szCs w:val="13"/>
                      </w:rPr>
                    </w:pPr>
                  </w:p>
                  <w:p w14:paraId="486BACC1" w14:textId="6FAA54DA" w:rsidR="00C01D3A" w:rsidRPr="00C01D3A" w:rsidRDefault="00C01D3A" w:rsidP="00C01D3A">
                    <w:pPr>
                      <w:spacing w:line="240" w:lineRule="auto"/>
                      <w:rPr>
                        <w:b/>
                        <w:bCs/>
                        <w:sz w:val="13"/>
                        <w:szCs w:val="13"/>
                      </w:rPr>
                    </w:pPr>
                    <w:r w:rsidRPr="00C01D3A">
                      <w:rPr>
                        <w:b/>
                        <w:bCs/>
                        <w:sz w:val="13"/>
                        <w:szCs w:val="13"/>
                      </w:rPr>
                      <w:t>Bijlage(n)</w:t>
                    </w:r>
                  </w:p>
                  <w:p w14:paraId="5B4268E3" w14:textId="1DBEA9C1" w:rsidR="00C01D3A" w:rsidRPr="00C01D3A" w:rsidRDefault="00C01D3A" w:rsidP="00C01D3A">
                    <w:pPr>
                      <w:spacing w:line="240"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D41D158" wp14:editId="1108FD2E">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E56552" w14:textId="77777777" w:rsidR="004D6CEC" w:rsidRDefault="00767921">
                          <w:pPr>
                            <w:pStyle w:val="MarginlessContainer"/>
                          </w:pPr>
                          <w:r>
                            <w:rPr>
                              <w:noProof/>
                              <w:lang w:val="en-GB" w:eastAsia="en-GB"/>
                            </w:rPr>
                            <w:drawing>
                              <wp:inline distT="0" distB="0" distL="0" distR="0" wp14:anchorId="3AEAB1B1" wp14:editId="58AFB2FC">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41D158"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23E56552" w14:textId="77777777" w:rsidR="004D6CEC" w:rsidRDefault="00767921">
                    <w:pPr>
                      <w:pStyle w:val="MarginlessContainer"/>
                    </w:pPr>
                    <w:r>
                      <w:rPr>
                        <w:noProof/>
                        <w:lang w:val="en-GB" w:eastAsia="en-GB"/>
                      </w:rPr>
                      <w:drawing>
                        <wp:inline distT="0" distB="0" distL="0" distR="0" wp14:anchorId="3AEAB1B1" wp14:editId="58AFB2FC">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0E589E1" wp14:editId="20E7511C">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1844DA" w14:textId="77777777" w:rsidR="004D6CEC" w:rsidRDefault="00767921">
                          <w:pPr>
                            <w:pStyle w:val="MarginlessContainer"/>
                          </w:pPr>
                          <w:r>
                            <w:rPr>
                              <w:noProof/>
                              <w:lang w:val="en-GB" w:eastAsia="en-GB"/>
                            </w:rPr>
                            <w:drawing>
                              <wp:inline distT="0" distB="0" distL="0" distR="0" wp14:anchorId="677245A9" wp14:editId="25E7559D">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E589E1"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101844DA" w14:textId="77777777" w:rsidR="004D6CEC" w:rsidRDefault="00767921">
                    <w:pPr>
                      <w:pStyle w:val="MarginlessContainer"/>
                    </w:pPr>
                    <w:r>
                      <w:rPr>
                        <w:noProof/>
                        <w:lang w:val="en-GB" w:eastAsia="en-GB"/>
                      </w:rPr>
                      <w:drawing>
                        <wp:inline distT="0" distB="0" distL="0" distR="0" wp14:anchorId="677245A9" wp14:editId="25E7559D">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1F66E0" wp14:editId="00BA9910">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E81118B" w14:textId="77777777" w:rsidR="004D6CEC" w:rsidRDefault="0076792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1F66E0"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7E81118B" w14:textId="77777777" w:rsidR="004D6CEC" w:rsidRDefault="0076792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18EADB1" wp14:editId="29AA1F98">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7CB0FB" w14:textId="77777777" w:rsidR="004D6CEC" w:rsidRDefault="0076792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18EADB1"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467CB0FB" w14:textId="77777777" w:rsidR="004D6CEC" w:rsidRDefault="0076792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8AC359" wp14:editId="2C752D93">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D6CEC" w14:paraId="5C7B1667" w14:textId="77777777">
                            <w:trPr>
                              <w:trHeight w:val="200"/>
                            </w:trPr>
                            <w:tc>
                              <w:tcPr>
                                <w:tcW w:w="1140" w:type="dxa"/>
                              </w:tcPr>
                              <w:p w14:paraId="2F6D4828" w14:textId="77777777" w:rsidR="004D6CEC" w:rsidRDefault="004D6CEC"/>
                            </w:tc>
                            <w:tc>
                              <w:tcPr>
                                <w:tcW w:w="5400" w:type="dxa"/>
                              </w:tcPr>
                              <w:p w14:paraId="0E75E912" w14:textId="77777777" w:rsidR="004D6CEC" w:rsidRDefault="004D6CEC"/>
                            </w:tc>
                          </w:tr>
                          <w:tr w:rsidR="004D6CEC" w14:paraId="7ECB3192" w14:textId="77777777">
                            <w:trPr>
                              <w:trHeight w:val="240"/>
                            </w:trPr>
                            <w:tc>
                              <w:tcPr>
                                <w:tcW w:w="1140" w:type="dxa"/>
                              </w:tcPr>
                              <w:p w14:paraId="79175677" w14:textId="77777777" w:rsidR="004D6CEC" w:rsidRDefault="00767921">
                                <w:r>
                                  <w:t>Datum</w:t>
                                </w:r>
                              </w:p>
                            </w:tc>
                            <w:tc>
                              <w:tcPr>
                                <w:tcW w:w="5400" w:type="dxa"/>
                              </w:tcPr>
                              <w:p w14:paraId="0F5D0666" w14:textId="44C4412F" w:rsidR="004D6CEC" w:rsidRDefault="003C659E">
                                <w:r>
                                  <w:t>29 augustus 2024</w:t>
                                </w:r>
                              </w:p>
                            </w:tc>
                          </w:tr>
                          <w:tr w:rsidR="004D6CEC" w14:paraId="2D7CC351" w14:textId="77777777">
                            <w:trPr>
                              <w:trHeight w:val="240"/>
                            </w:trPr>
                            <w:tc>
                              <w:tcPr>
                                <w:tcW w:w="1140" w:type="dxa"/>
                              </w:tcPr>
                              <w:p w14:paraId="5439A8EC" w14:textId="77777777" w:rsidR="004D6CEC" w:rsidRDefault="00767921">
                                <w:r>
                                  <w:t>Betreft</w:t>
                                </w:r>
                              </w:p>
                            </w:tc>
                            <w:tc>
                              <w:tcPr>
                                <w:tcW w:w="5400" w:type="dxa"/>
                              </w:tcPr>
                              <w:p w14:paraId="43123B61" w14:textId="77777777" w:rsidR="004D6CEC" w:rsidRDefault="00767921">
                                <w:r>
                                  <w:t>Afsluitbeleid kleinverbruikers drinkwater</w:t>
                                </w:r>
                              </w:p>
                            </w:tc>
                          </w:tr>
                          <w:tr w:rsidR="004D6CEC" w14:paraId="4A7F3E0C" w14:textId="77777777">
                            <w:trPr>
                              <w:trHeight w:val="200"/>
                            </w:trPr>
                            <w:tc>
                              <w:tcPr>
                                <w:tcW w:w="1140" w:type="dxa"/>
                              </w:tcPr>
                              <w:p w14:paraId="265DD46B" w14:textId="77777777" w:rsidR="004D6CEC" w:rsidRDefault="004D6CEC"/>
                            </w:tc>
                            <w:tc>
                              <w:tcPr>
                                <w:tcW w:w="5400" w:type="dxa"/>
                              </w:tcPr>
                              <w:p w14:paraId="78AAC61D" w14:textId="77777777" w:rsidR="004D6CEC" w:rsidRDefault="004D6CEC"/>
                            </w:tc>
                          </w:tr>
                        </w:tbl>
                        <w:p w14:paraId="0E7C2169" w14:textId="77777777" w:rsidR="00305F99" w:rsidRDefault="00305F99"/>
                      </w:txbxContent>
                    </wps:txbx>
                    <wps:bodyPr vert="horz" wrap="square" lIns="0" tIns="0" rIns="0" bIns="0" anchor="t" anchorCtr="0"/>
                  </wps:wsp>
                </a:graphicData>
              </a:graphic>
            </wp:anchor>
          </w:drawing>
        </mc:Choice>
        <mc:Fallback>
          <w:pict>
            <v:shape w14:anchorId="7E8AC359" id="Tekstvak 10"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4D6CEC" w14:paraId="5C7B1667" w14:textId="77777777">
                      <w:trPr>
                        <w:trHeight w:val="200"/>
                      </w:trPr>
                      <w:tc>
                        <w:tcPr>
                          <w:tcW w:w="1140" w:type="dxa"/>
                        </w:tcPr>
                        <w:p w14:paraId="2F6D4828" w14:textId="77777777" w:rsidR="004D6CEC" w:rsidRDefault="004D6CEC"/>
                      </w:tc>
                      <w:tc>
                        <w:tcPr>
                          <w:tcW w:w="5400" w:type="dxa"/>
                        </w:tcPr>
                        <w:p w14:paraId="0E75E912" w14:textId="77777777" w:rsidR="004D6CEC" w:rsidRDefault="004D6CEC"/>
                      </w:tc>
                    </w:tr>
                    <w:tr w:rsidR="004D6CEC" w14:paraId="7ECB3192" w14:textId="77777777">
                      <w:trPr>
                        <w:trHeight w:val="240"/>
                      </w:trPr>
                      <w:tc>
                        <w:tcPr>
                          <w:tcW w:w="1140" w:type="dxa"/>
                        </w:tcPr>
                        <w:p w14:paraId="79175677" w14:textId="77777777" w:rsidR="004D6CEC" w:rsidRDefault="00767921">
                          <w:r>
                            <w:t>Datum</w:t>
                          </w:r>
                        </w:p>
                      </w:tc>
                      <w:tc>
                        <w:tcPr>
                          <w:tcW w:w="5400" w:type="dxa"/>
                        </w:tcPr>
                        <w:p w14:paraId="0F5D0666" w14:textId="44C4412F" w:rsidR="004D6CEC" w:rsidRDefault="003C659E">
                          <w:r>
                            <w:t>29 augustus 2024</w:t>
                          </w:r>
                        </w:p>
                      </w:tc>
                    </w:tr>
                    <w:tr w:rsidR="004D6CEC" w14:paraId="2D7CC351" w14:textId="77777777">
                      <w:trPr>
                        <w:trHeight w:val="240"/>
                      </w:trPr>
                      <w:tc>
                        <w:tcPr>
                          <w:tcW w:w="1140" w:type="dxa"/>
                        </w:tcPr>
                        <w:p w14:paraId="5439A8EC" w14:textId="77777777" w:rsidR="004D6CEC" w:rsidRDefault="00767921">
                          <w:r>
                            <w:t>Betreft</w:t>
                          </w:r>
                        </w:p>
                      </w:tc>
                      <w:tc>
                        <w:tcPr>
                          <w:tcW w:w="5400" w:type="dxa"/>
                        </w:tcPr>
                        <w:p w14:paraId="43123B61" w14:textId="77777777" w:rsidR="004D6CEC" w:rsidRDefault="00767921">
                          <w:r>
                            <w:t>Afsluitbeleid kleinverbruikers drinkwater</w:t>
                          </w:r>
                        </w:p>
                      </w:tc>
                    </w:tr>
                    <w:tr w:rsidR="004D6CEC" w14:paraId="4A7F3E0C" w14:textId="77777777">
                      <w:trPr>
                        <w:trHeight w:val="200"/>
                      </w:trPr>
                      <w:tc>
                        <w:tcPr>
                          <w:tcW w:w="1140" w:type="dxa"/>
                        </w:tcPr>
                        <w:p w14:paraId="265DD46B" w14:textId="77777777" w:rsidR="004D6CEC" w:rsidRDefault="004D6CEC"/>
                      </w:tc>
                      <w:tc>
                        <w:tcPr>
                          <w:tcW w:w="5400" w:type="dxa"/>
                        </w:tcPr>
                        <w:p w14:paraId="78AAC61D" w14:textId="77777777" w:rsidR="004D6CEC" w:rsidRDefault="004D6CEC"/>
                      </w:tc>
                    </w:tr>
                  </w:tbl>
                  <w:p w14:paraId="0E7C2169" w14:textId="77777777" w:rsidR="00305F99" w:rsidRDefault="00305F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662226B" wp14:editId="1DCF1753">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6657A9" w14:textId="77777777" w:rsidR="00305F99" w:rsidRDefault="00305F99"/>
                      </w:txbxContent>
                    </wps:txbx>
                    <wps:bodyPr vert="horz" wrap="square" lIns="0" tIns="0" rIns="0" bIns="0" anchor="t" anchorCtr="0"/>
                  </wps:wsp>
                </a:graphicData>
              </a:graphic>
            </wp:anchor>
          </w:drawing>
        </mc:Choice>
        <mc:Fallback>
          <w:pict>
            <v:shape w14:anchorId="2662226B"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536657A9" w14:textId="77777777" w:rsidR="00305F99" w:rsidRDefault="00305F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C5239"/>
    <w:multiLevelType w:val="multilevel"/>
    <w:tmpl w:val="4BDD785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CDED8B"/>
    <w:multiLevelType w:val="multilevel"/>
    <w:tmpl w:val="1D3F2E2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F28A64"/>
    <w:multiLevelType w:val="multilevel"/>
    <w:tmpl w:val="B3DFC9E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C031E4"/>
    <w:multiLevelType w:val="multilevel"/>
    <w:tmpl w:val="E13AB42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F158B9"/>
    <w:multiLevelType w:val="multilevel"/>
    <w:tmpl w:val="CA118AD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5B409B"/>
    <w:multiLevelType w:val="multilevel"/>
    <w:tmpl w:val="EABCDC1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F0A367"/>
    <w:multiLevelType w:val="multilevel"/>
    <w:tmpl w:val="83FFF38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570104"/>
    <w:multiLevelType w:val="multilevel"/>
    <w:tmpl w:val="6166138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29EBDE"/>
    <w:multiLevelType w:val="multilevel"/>
    <w:tmpl w:val="7CA58F5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1F031C"/>
    <w:multiLevelType w:val="multilevel"/>
    <w:tmpl w:val="25F09F1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E889CC9"/>
    <w:multiLevelType w:val="multilevel"/>
    <w:tmpl w:val="94D882E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51DF29"/>
    <w:multiLevelType w:val="multilevel"/>
    <w:tmpl w:val="2CAA96D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08EF65"/>
    <w:multiLevelType w:val="multilevel"/>
    <w:tmpl w:val="DC4DE4E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BF26AA"/>
    <w:multiLevelType w:val="multilevel"/>
    <w:tmpl w:val="89C9984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AAE92"/>
    <w:multiLevelType w:val="multilevel"/>
    <w:tmpl w:val="E4C4A27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1E1AF1"/>
    <w:multiLevelType w:val="multilevel"/>
    <w:tmpl w:val="024516A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182C5A"/>
    <w:multiLevelType w:val="multilevel"/>
    <w:tmpl w:val="C7DCB93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6DE793"/>
    <w:multiLevelType w:val="multilevel"/>
    <w:tmpl w:val="D59A22C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D8FA35"/>
    <w:multiLevelType w:val="multilevel"/>
    <w:tmpl w:val="9B3FA7A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F01A1"/>
    <w:multiLevelType w:val="hybridMultilevel"/>
    <w:tmpl w:val="1CC074E0"/>
    <w:lvl w:ilvl="0" w:tplc="0413000F">
      <w:start w:val="1"/>
      <w:numFmt w:val="decimal"/>
      <w:lvlText w:val="%1."/>
      <w:lvlJc w:val="left"/>
      <w:pPr>
        <w:ind w:left="710" w:hanging="71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96203E"/>
    <w:multiLevelType w:val="multilevel"/>
    <w:tmpl w:val="71C6B2F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CF5E2E"/>
    <w:multiLevelType w:val="multilevel"/>
    <w:tmpl w:val="240AB8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
  </w:num>
  <w:num w:numId="4">
    <w:abstractNumId w:val="5"/>
  </w:num>
  <w:num w:numId="5">
    <w:abstractNumId w:val="20"/>
  </w:num>
  <w:num w:numId="6">
    <w:abstractNumId w:val="21"/>
  </w:num>
  <w:num w:numId="7">
    <w:abstractNumId w:val="6"/>
  </w:num>
  <w:num w:numId="8">
    <w:abstractNumId w:val="16"/>
  </w:num>
  <w:num w:numId="9">
    <w:abstractNumId w:val="8"/>
  </w:num>
  <w:num w:numId="10">
    <w:abstractNumId w:val="17"/>
  </w:num>
  <w:num w:numId="11">
    <w:abstractNumId w:val="4"/>
  </w:num>
  <w:num w:numId="12">
    <w:abstractNumId w:val="13"/>
  </w:num>
  <w:num w:numId="13">
    <w:abstractNumId w:val="0"/>
  </w:num>
  <w:num w:numId="14">
    <w:abstractNumId w:val="2"/>
  </w:num>
  <w:num w:numId="15">
    <w:abstractNumId w:val="9"/>
  </w:num>
  <w:num w:numId="16">
    <w:abstractNumId w:val="18"/>
  </w:num>
  <w:num w:numId="17">
    <w:abstractNumId w:val="10"/>
  </w:num>
  <w:num w:numId="18">
    <w:abstractNumId w:val="7"/>
  </w:num>
  <w:num w:numId="19">
    <w:abstractNumId w:val="3"/>
  </w:num>
  <w:num w:numId="20">
    <w:abstractNumId w:val="12"/>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0C"/>
    <w:rsid w:val="00007027"/>
    <w:rsid w:val="00012F07"/>
    <w:rsid w:val="00046FE8"/>
    <w:rsid w:val="00064300"/>
    <w:rsid w:val="000823E5"/>
    <w:rsid w:val="000F3B4D"/>
    <w:rsid w:val="001133DF"/>
    <w:rsid w:val="00115AF2"/>
    <w:rsid w:val="00171634"/>
    <w:rsid w:val="001B0ECE"/>
    <w:rsid w:val="001F0902"/>
    <w:rsid w:val="00232589"/>
    <w:rsid w:val="00253042"/>
    <w:rsid w:val="0026370B"/>
    <w:rsid w:val="0028721E"/>
    <w:rsid w:val="0029106F"/>
    <w:rsid w:val="00291E32"/>
    <w:rsid w:val="002A390C"/>
    <w:rsid w:val="002A55E2"/>
    <w:rsid w:val="002F28BE"/>
    <w:rsid w:val="00305F99"/>
    <w:rsid w:val="00384A69"/>
    <w:rsid w:val="00392842"/>
    <w:rsid w:val="003C659E"/>
    <w:rsid w:val="003E1EE3"/>
    <w:rsid w:val="003F40DD"/>
    <w:rsid w:val="00434185"/>
    <w:rsid w:val="00442040"/>
    <w:rsid w:val="004563D2"/>
    <w:rsid w:val="004619C9"/>
    <w:rsid w:val="0047137E"/>
    <w:rsid w:val="00472182"/>
    <w:rsid w:val="004814C6"/>
    <w:rsid w:val="00490367"/>
    <w:rsid w:val="004B47C8"/>
    <w:rsid w:val="004D0607"/>
    <w:rsid w:val="004D6CEC"/>
    <w:rsid w:val="004E7643"/>
    <w:rsid w:val="0051171C"/>
    <w:rsid w:val="00513D42"/>
    <w:rsid w:val="00515DA3"/>
    <w:rsid w:val="005275DB"/>
    <w:rsid w:val="00546D7D"/>
    <w:rsid w:val="00556653"/>
    <w:rsid w:val="00566179"/>
    <w:rsid w:val="00573D53"/>
    <w:rsid w:val="00626102"/>
    <w:rsid w:val="006471EB"/>
    <w:rsid w:val="00692F41"/>
    <w:rsid w:val="0069326E"/>
    <w:rsid w:val="006A158C"/>
    <w:rsid w:val="006A28B0"/>
    <w:rsid w:val="006B1A60"/>
    <w:rsid w:val="006B4E69"/>
    <w:rsid w:val="006E30E9"/>
    <w:rsid w:val="006E62B5"/>
    <w:rsid w:val="006F3C18"/>
    <w:rsid w:val="007125F5"/>
    <w:rsid w:val="00724E19"/>
    <w:rsid w:val="0074683A"/>
    <w:rsid w:val="007501EE"/>
    <w:rsid w:val="00767921"/>
    <w:rsid w:val="007B1367"/>
    <w:rsid w:val="007C4E9D"/>
    <w:rsid w:val="0081586E"/>
    <w:rsid w:val="00816E8F"/>
    <w:rsid w:val="00826FAB"/>
    <w:rsid w:val="0085060E"/>
    <w:rsid w:val="00863772"/>
    <w:rsid w:val="00897E24"/>
    <w:rsid w:val="008A04F4"/>
    <w:rsid w:val="008D2669"/>
    <w:rsid w:val="0095446D"/>
    <w:rsid w:val="00970231"/>
    <w:rsid w:val="00970859"/>
    <w:rsid w:val="00984E94"/>
    <w:rsid w:val="00987A56"/>
    <w:rsid w:val="009A6ED8"/>
    <w:rsid w:val="009B438C"/>
    <w:rsid w:val="009D65D3"/>
    <w:rsid w:val="009F4AEF"/>
    <w:rsid w:val="009F5890"/>
    <w:rsid w:val="00A1056B"/>
    <w:rsid w:val="00A24377"/>
    <w:rsid w:val="00A363DB"/>
    <w:rsid w:val="00A5437A"/>
    <w:rsid w:val="00A9390A"/>
    <w:rsid w:val="00A9570E"/>
    <w:rsid w:val="00AA02E5"/>
    <w:rsid w:val="00AA5561"/>
    <w:rsid w:val="00AA563D"/>
    <w:rsid w:val="00AA78CC"/>
    <w:rsid w:val="00AB73BB"/>
    <w:rsid w:val="00AD0391"/>
    <w:rsid w:val="00B15996"/>
    <w:rsid w:val="00B65B57"/>
    <w:rsid w:val="00B933D7"/>
    <w:rsid w:val="00BE7015"/>
    <w:rsid w:val="00BF1954"/>
    <w:rsid w:val="00C01D3A"/>
    <w:rsid w:val="00C24827"/>
    <w:rsid w:val="00C319A7"/>
    <w:rsid w:val="00C47A6E"/>
    <w:rsid w:val="00C746D6"/>
    <w:rsid w:val="00CB32F0"/>
    <w:rsid w:val="00CB69A4"/>
    <w:rsid w:val="00CF74D3"/>
    <w:rsid w:val="00CF7501"/>
    <w:rsid w:val="00D4085C"/>
    <w:rsid w:val="00D56E1B"/>
    <w:rsid w:val="00D8307D"/>
    <w:rsid w:val="00D943F2"/>
    <w:rsid w:val="00D9723C"/>
    <w:rsid w:val="00E3181B"/>
    <w:rsid w:val="00E60024"/>
    <w:rsid w:val="00E66184"/>
    <w:rsid w:val="00EA49E4"/>
    <w:rsid w:val="00EB405C"/>
    <w:rsid w:val="00EB61DA"/>
    <w:rsid w:val="00EE0E84"/>
    <w:rsid w:val="00EE125A"/>
    <w:rsid w:val="00EF2888"/>
    <w:rsid w:val="00F24184"/>
    <w:rsid w:val="00F24703"/>
    <w:rsid w:val="00F25A3B"/>
    <w:rsid w:val="00F30ABE"/>
    <w:rsid w:val="00F973E4"/>
    <w:rsid w:val="00FA3EDD"/>
    <w:rsid w:val="00FA5410"/>
    <w:rsid w:val="00FB263D"/>
    <w:rsid w:val="00FD3F90"/>
    <w:rsid w:val="00FE4764"/>
    <w:rsid w:val="00FE7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0C"/>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2A390C"/>
    <w:rPr>
      <w:sz w:val="16"/>
      <w:szCs w:val="16"/>
    </w:rPr>
  </w:style>
  <w:style w:type="paragraph" w:styleId="CommentText">
    <w:name w:val="annotation text"/>
    <w:basedOn w:val="Normal"/>
    <w:link w:val="CommentTextChar"/>
    <w:uiPriority w:val="99"/>
    <w:unhideWhenUsed/>
    <w:rsid w:val="002A390C"/>
    <w:pPr>
      <w:spacing w:line="240" w:lineRule="auto"/>
    </w:pPr>
    <w:rPr>
      <w:sz w:val="20"/>
      <w:szCs w:val="20"/>
    </w:rPr>
  </w:style>
  <w:style w:type="character" w:customStyle="1" w:styleId="CommentTextChar">
    <w:name w:val="Comment Text Char"/>
    <w:basedOn w:val="DefaultParagraphFont"/>
    <w:link w:val="CommentText"/>
    <w:uiPriority w:val="99"/>
    <w:rsid w:val="002A390C"/>
    <w:rPr>
      <w:rFonts w:ascii="Verdana" w:hAnsi="Verdana"/>
      <w:color w:val="000000"/>
    </w:rPr>
  </w:style>
  <w:style w:type="character" w:styleId="Hyperlink">
    <w:name w:val="Hyperlink"/>
    <w:basedOn w:val="DefaultParagraphFont"/>
    <w:uiPriority w:val="99"/>
    <w:unhideWhenUsed/>
    <w:rsid w:val="002A390C"/>
    <w:rPr>
      <w:color w:val="0000FF"/>
      <w:u w:val="single"/>
    </w:rPr>
  </w:style>
  <w:style w:type="paragraph" w:styleId="FootnoteText">
    <w:name w:val="footnote text"/>
    <w:basedOn w:val="Normal"/>
    <w:link w:val="FootnoteTextChar"/>
    <w:uiPriority w:val="99"/>
    <w:semiHidden/>
    <w:unhideWhenUsed/>
    <w:rsid w:val="002A390C"/>
    <w:pPr>
      <w:spacing w:line="240" w:lineRule="auto"/>
    </w:pPr>
    <w:rPr>
      <w:sz w:val="20"/>
      <w:szCs w:val="20"/>
    </w:rPr>
  </w:style>
  <w:style w:type="character" w:customStyle="1" w:styleId="FootnoteTextChar">
    <w:name w:val="Footnote Text Char"/>
    <w:basedOn w:val="DefaultParagraphFont"/>
    <w:link w:val="FootnoteText"/>
    <w:uiPriority w:val="99"/>
    <w:semiHidden/>
    <w:rsid w:val="002A390C"/>
    <w:rPr>
      <w:rFonts w:ascii="Verdana" w:hAnsi="Verdana"/>
      <w:color w:val="000000"/>
    </w:rPr>
  </w:style>
  <w:style w:type="character" w:styleId="FootnoteReference">
    <w:name w:val="footnote reference"/>
    <w:basedOn w:val="DefaultParagraphFont"/>
    <w:uiPriority w:val="99"/>
    <w:semiHidden/>
    <w:unhideWhenUsed/>
    <w:rsid w:val="002A390C"/>
    <w:rPr>
      <w:vertAlign w:val="superscript"/>
    </w:rPr>
  </w:style>
  <w:style w:type="paragraph" w:styleId="NoSpacing">
    <w:name w:val="No Spacing"/>
    <w:uiPriority w:val="1"/>
    <w:qFormat/>
    <w:rsid w:val="002A390C"/>
    <w:pPr>
      <w:autoSpaceDN/>
      <w:textAlignment w:val="auto"/>
    </w:pPr>
    <w:rPr>
      <w:rFonts w:asciiTheme="minorHAnsi" w:eastAsiaTheme="minorHAnsi" w:hAnsiTheme="minorHAnsi" w:cstheme="minorBidi"/>
      <w:kern w:val="2"/>
      <w:sz w:val="22"/>
      <w:szCs w:val="22"/>
      <w:lang w:val="en-US" w:eastAsia="en-US"/>
      <w14:ligatures w14:val="standardContextual"/>
    </w:rPr>
  </w:style>
  <w:style w:type="paragraph" w:styleId="Revision">
    <w:name w:val="Revision"/>
    <w:hidden/>
    <w:uiPriority w:val="99"/>
    <w:semiHidden/>
    <w:rsid w:val="00A1056B"/>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A1056B"/>
    <w:rPr>
      <w:b/>
      <w:bCs/>
    </w:rPr>
  </w:style>
  <w:style w:type="character" w:customStyle="1" w:styleId="CommentSubjectChar">
    <w:name w:val="Comment Subject Char"/>
    <w:basedOn w:val="CommentTextChar"/>
    <w:link w:val="CommentSubject"/>
    <w:uiPriority w:val="99"/>
    <w:semiHidden/>
    <w:rsid w:val="00A1056B"/>
    <w:rPr>
      <w:rFonts w:ascii="Verdana" w:hAnsi="Verdana"/>
      <w:b/>
      <w:bCs/>
      <w:color w:val="000000"/>
    </w:rPr>
  </w:style>
  <w:style w:type="paragraph" w:styleId="Header">
    <w:name w:val="header"/>
    <w:basedOn w:val="Normal"/>
    <w:link w:val="HeaderChar"/>
    <w:uiPriority w:val="99"/>
    <w:unhideWhenUsed/>
    <w:rsid w:val="00C01D3A"/>
    <w:pPr>
      <w:tabs>
        <w:tab w:val="center" w:pos="4536"/>
        <w:tab w:val="right" w:pos="9072"/>
      </w:tabs>
      <w:spacing w:line="240" w:lineRule="auto"/>
    </w:pPr>
  </w:style>
  <w:style w:type="character" w:customStyle="1" w:styleId="HeaderChar">
    <w:name w:val="Header Char"/>
    <w:basedOn w:val="DefaultParagraphFont"/>
    <w:link w:val="Header"/>
    <w:uiPriority w:val="99"/>
    <w:rsid w:val="00C01D3A"/>
    <w:rPr>
      <w:rFonts w:ascii="Verdana" w:hAnsi="Verdana"/>
      <w:color w:val="000000"/>
      <w:sz w:val="18"/>
      <w:szCs w:val="18"/>
    </w:rPr>
  </w:style>
  <w:style w:type="paragraph" w:styleId="Footer">
    <w:name w:val="footer"/>
    <w:basedOn w:val="Normal"/>
    <w:link w:val="FooterChar"/>
    <w:uiPriority w:val="99"/>
    <w:unhideWhenUsed/>
    <w:rsid w:val="00C01D3A"/>
    <w:pPr>
      <w:tabs>
        <w:tab w:val="center" w:pos="4536"/>
        <w:tab w:val="right" w:pos="9072"/>
      </w:tabs>
      <w:spacing w:line="240" w:lineRule="auto"/>
    </w:pPr>
  </w:style>
  <w:style w:type="character" w:customStyle="1" w:styleId="FooterChar">
    <w:name w:val="Footer Char"/>
    <w:basedOn w:val="DefaultParagraphFont"/>
    <w:link w:val="Footer"/>
    <w:uiPriority w:val="99"/>
    <w:rsid w:val="00C01D3A"/>
    <w:rPr>
      <w:rFonts w:ascii="Verdana" w:hAnsi="Verdana"/>
      <w:color w:val="000000"/>
      <w:sz w:val="18"/>
      <w:szCs w:val="18"/>
    </w:rPr>
  </w:style>
  <w:style w:type="character" w:customStyle="1" w:styleId="cf01">
    <w:name w:val="cf01"/>
    <w:basedOn w:val="DefaultParagraphFont"/>
    <w:rsid w:val="001F09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1896">
      <w:bodyDiv w:val="1"/>
      <w:marLeft w:val="0"/>
      <w:marRight w:val="0"/>
      <w:marTop w:val="0"/>
      <w:marBottom w:val="0"/>
      <w:divBdr>
        <w:top w:val="none" w:sz="0" w:space="0" w:color="auto"/>
        <w:left w:val="none" w:sz="0" w:space="0" w:color="auto"/>
        <w:bottom w:val="none" w:sz="0" w:space="0" w:color="auto"/>
        <w:right w:val="none" w:sz="0" w:space="0" w:color="auto"/>
      </w:divBdr>
    </w:div>
    <w:div w:id="205462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1716</ap:Words>
  <ap:Characters>9782</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2024-08-29T13:02:00.0000000Z</dcterms:created>
  <dcterms:modified xsi:type="dcterms:W3CDTF">2024-08-29T13:02:00.0000000Z</dcterms:modified>
  <dc:description>------------------------</dc:description>
  <dc:subject/>
  <keywords/>
  <version/>
  <category/>
</coreProperties>
</file>