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E6A" w:rsidR="009C5E6A" w:rsidP="009C5E6A" w:rsidRDefault="00535213" w14:paraId="1ACB5606" w14:textId="57E2BA1E">
      <w:pPr>
        <w:spacing w:line="280" w:lineRule="exact"/>
        <w:rPr>
          <w:szCs w:val="18"/>
          <w:lang w:eastAsia="zh-CN"/>
        </w:rPr>
      </w:pPr>
      <w:bookmarkStart w:name="bm_start" w:id="0"/>
      <w:r>
        <w:rPr>
          <w:szCs w:val="18"/>
          <w:lang w:eastAsia="zh-CN"/>
        </w:rPr>
        <w:t>Afdeling DJZ/NR</w:t>
      </w:r>
    </w:p>
    <w:p w:rsidRPr="007D23D9" w:rsidR="009C5E6A" w:rsidP="009C5E6A" w:rsidRDefault="00271DA1" w14:paraId="05AFE90B" w14:textId="0AC2FDEE">
      <w:pPr>
        <w:spacing w:line="280" w:lineRule="exact"/>
        <w:rPr>
          <w:b/>
          <w:bCs/>
          <w:szCs w:val="18"/>
          <w:lang w:eastAsia="zh-CN"/>
        </w:rPr>
      </w:pPr>
      <w:r>
        <w:rPr>
          <w:szCs w:val="18"/>
          <w:lang w:eastAsia="zh-CN"/>
        </w:rPr>
        <w:t>MINBUZA</w:t>
      </w:r>
      <w:r w:rsidR="00CB1C05">
        <w:rPr>
          <w:szCs w:val="18"/>
          <w:lang w:eastAsia="zh-CN"/>
        </w:rPr>
        <w:t>-</w:t>
      </w:r>
      <w:r w:rsidR="00DF00A4">
        <w:rPr>
          <w:szCs w:val="18"/>
          <w:lang w:eastAsia="zh-CN"/>
        </w:rPr>
        <w:t>20</w:t>
      </w:r>
      <w:r w:rsidR="00F074A1">
        <w:rPr>
          <w:szCs w:val="18"/>
          <w:lang w:eastAsia="zh-CN"/>
        </w:rPr>
        <w:t>2</w:t>
      </w:r>
      <w:r w:rsidR="00C01DDB">
        <w:rPr>
          <w:szCs w:val="18"/>
          <w:lang w:eastAsia="zh-CN"/>
        </w:rPr>
        <w:t>4.</w:t>
      </w:r>
      <w:r w:rsidR="00BD381A">
        <w:rPr>
          <w:szCs w:val="18"/>
        </w:rPr>
        <w:t>821010</w:t>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p>
    <w:p w:rsidRPr="009C5E6A" w:rsidR="009C5E6A" w:rsidP="009C5E6A" w:rsidRDefault="009C5E6A" w14:paraId="488BFBB3" w14:textId="77777777">
      <w:pPr>
        <w:spacing w:line="280" w:lineRule="exact"/>
        <w:rPr>
          <w:szCs w:val="18"/>
          <w:lang w:eastAsia="zh-CN"/>
        </w:rPr>
      </w:pPr>
    </w:p>
    <w:p w:rsidRPr="009C5E6A" w:rsidR="009C5E6A" w:rsidP="009C5E6A" w:rsidRDefault="009C5E6A" w14:paraId="3D43DE6A" w14:textId="77777777">
      <w:pPr>
        <w:keepNext/>
        <w:spacing w:line="280" w:lineRule="exact"/>
        <w:outlineLvl w:val="1"/>
        <w:rPr>
          <w:b/>
          <w:szCs w:val="18"/>
          <w:lang w:eastAsia="zh-CN"/>
        </w:rPr>
      </w:pPr>
      <w:r w:rsidRPr="009C5E6A">
        <w:rPr>
          <w:b/>
          <w:szCs w:val="18"/>
          <w:lang w:eastAsia="zh-CN"/>
        </w:rPr>
        <w:t>AAN DE KONING</w:t>
      </w:r>
    </w:p>
    <w:p w:rsidRPr="009C5E6A" w:rsidR="009C5E6A" w:rsidP="009C5E6A" w:rsidRDefault="009C5E6A" w14:paraId="6FB860EC" w14:textId="77777777">
      <w:pPr>
        <w:spacing w:line="280" w:lineRule="exact"/>
        <w:rPr>
          <w:szCs w:val="18"/>
          <w:lang w:eastAsia="zh-CN"/>
        </w:rPr>
      </w:pPr>
    </w:p>
    <w:p w:rsidR="00BD381A" w:rsidP="00BD381A" w:rsidRDefault="002A16AF" w14:paraId="35553A1D" w14:textId="52A75A33">
      <w:pPr>
        <w:spacing w:line="240" w:lineRule="auto"/>
        <w:rPr>
          <w:szCs w:val="18"/>
        </w:rPr>
      </w:pPr>
      <w:bookmarkStart w:name="_Hlk173853600" w:id="1"/>
      <w:r>
        <w:rPr>
          <w:szCs w:val="18"/>
        </w:rPr>
        <w:t>N</w:t>
      </w:r>
      <w:r w:rsidRPr="0087619E" w:rsidR="00BD381A">
        <w:rPr>
          <w:szCs w:val="18"/>
        </w:rPr>
        <w:t>ader rapport inzake het voorstel van wet tot wijziging van de Wet strategische diensten en de Wet op de economische delicten in verband met het aanbrengen van verbeteringen en het herstellen van enige wetstechnische omissies voor een doeltreffender uitvoering en handhaving van de regels over exportcontrole</w:t>
      </w:r>
    </w:p>
    <w:p w:rsidR="0039392D" w:rsidP="00BD381A" w:rsidRDefault="0039392D" w14:paraId="0F6B2477" w14:textId="21A33F22">
      <w:pPr>
        <w:rPr>
          <w:szCs w:val="18"/>
        </w:rPr>
      </w:pPr>
    </w:p>
    <w:p w:rsidR="0039392D" w:rsidP="0039392D" w:rsidRDefault="00492AF1" w14:paraId="0E509B5C" w14:textId="20D0FF72">
      <w:pPr>
        <w:jc w:val="center"/>
        <w:rPr>
          <w:szCs w:val="18"/>
        </w:rPr>
      </w:pPr>
      <w:r>
        <w:rPr>
          <w:szCs w:val="18"/>
        </w:rPr>
        <w:t xml:space="preserve">                  </w:t>
      </w:r>
      <w:r w:rsidR="007A40EA">
        <w:rPr>
          <w:szCs w:val="18"/>
        </w:rPr>
        <w:t xml:space="preserve"> </w:t>
      </w:r>
      <w:r w:rsidR="0039392D">
        <w:rPr>
          <w:szCs w:val="18"/>
        </w:rPr>
        <w:t>’s-Gravenhage,</w:t>
      </w:r>
      <w:r w:rsidR="00CF03C9">
        <w:rPr>
          <w:szCs w:val="18"/>
        </w:rPr>
        <w:t xml:space="preserve"> </w:t>
      </w:r>
      <w:r w:rsidR="001267E6">
        <w:rPr>
          <w:szCs w:val="18"/>
        </w:rPr>
        <w:t>20 augustus 2024</w:t>
      </w:r>
    </w:p>
    <w:p w:rsidR="00FC39DF" w:rsidP="0039392D" w:rsidRDefault="00FC39DF" w14:paraId="04314EEB" w14:textId="77777777">
      <w:pPr>
        <w:jc w:val="center"/>
        <w:rPr>
          <w:szCs w:val="18"/>
        </w:rPr>
      </w:pPr>
    </w:p>
    <w:p w:rsidR="0039392D" w:rsidP="0039392D" w:rsidRDefault="0039392D" w14:paraId="4564D63D" w14:textId="77777777">
      <w:pPr>
        <w:rPr>
          <w:szCs w:val="18"/>
        </w:rPr>
      </w:pPr>
    </w:p>
    <w:p w:rsidR="00BD381A" w:rsidP="00BD381A" w:rsidRDefault="0039392D" w14:paraId="55AFA6D4" w14:textId="246580B5">
      <w:pPr>
        <w:spacing w:line="240" w:lineRule="auto"/>
        <w:rPr>
          <w:szCs w:val="18"/>
        </w:rPr>
      </w:pPr>
      <w:r w:rsidRPr="003D6A6C">
        <w:rPr>
          <w:szCs w:val="18"/>
        </w:rPr>
        <w:t>B</w:t>
      </w:r>
      <w:r w:rsidRPr="0087619E" w:rsidR="00BD381A">
        <w:rPr>
          <w:szCs w:val="18"/>
        </w:rPr>
        <w:t>lijkens de mededeling van de Directeur van Uw kabinet van 4 juli 2024, nr. 2024001620, machtigde Uwe Majesteit de Afdeling advisering van de Raad van State haar advies inzake het bovenvermelde voorstel van wet rechtstreeks aan mij te doen toekomen. Dit advies, gedateerd 24 juli 2024, nr. W02.24.00164/II, bied ik U hierbij aan.</w:t>
      </w:r>
    </w:p>
    <w:p w:rsidRPr="0087619E" w:rsidR="00BD381A" w:rsidP="00BD381A" w:rsidRDefault="00BD381A" w14:paraId="4E9FEA88" w14:textId="77777777">
      <w:pPr>
        <w:spacing w:line="240" w:lineRule="auto"/>
        <w:rPr>
          <w:szCs w:val="18"/>
        </w:rPr>
      </w:pPr>
    </w:p>
    <w:p w:rsidR="00BD381A" w:rsidP="00BD381A" w:rsidRDefault="00BD381A" w14:paraId="67F5433D" w14:textId="77777777">
      <w:pPr>
        <w:spacing w:line="240" w:lineRule="auto"/>
        <w:rPr>
          <w:szCs w:val="18"/>
        </w:rPr>
      </w:pPr>
      <w:r w:rsidRPr="0087619E">
        <w:rPr>
          <w:szCs w:val="18"/>
        </w:rPr>
        <w:t>De tekst van het advies treft u hieronder cursief aan, voorzien van mijn reactie.</w:t>
      </w:r>
    </w:p>
    <w:p w:rsidRPr="00C2648D" w:rsidR="00BD381A" w:rsidP="00BD381A" w:rsidRDefault="00BD381A" w14:paraId="47216136" w14:textId="77777777">
      <w:pPr>
        <w:spacing w:line="240" w:lineRule="auto"/>
        <w:rPr>
          <w:szCs w:val="18"/>
        </w:rPr>
      </w:pPr>
    </w:p>
    <w:p w:rsidRPr="0087619E" w:rsidR="00BD381A" w:rsidP="00BD381A" w:rsidRDefault="00BD381A" w14:paraId="669B3D97" w14:textId="77777777">
      <w:pPr>
        <w:spacing w:line="240" w:lineRule="auto"/>
        <w:rPr>
          <w:i/>
          <w:iCs/>
          <w:szCs w:val="18"/>
        </w:rPr>
      </w:pPr>
      <w:r w:rsidRPr="0087619E">
        <w:rPr>
          <w:i/>
          <w:iCs/>
          <w:szCs w:val="18"/>
        </w:rPr>
        <w:t>Bij Kabinetsmissive van 4 juli 2024, no.2024001620, heeft Uwe Majesteit, op voordracht van de Minister voor Buitenlandse Handel en Ontwikkelingssamenwerking</w:t>
      </w:r>
      <w:r w:rsidRPr="0087619E">
        <w:rPr>
          <w:i/>
          <w:iCs/>
          <w:szCs w:val="18"/>
          <w:vertAlign w:val="superscript"/>
        </w:rPr>
        <w:footnoteReference w:id="1"/>
      </w:r>
      <w:r w:rsidRPr="0087619E">
        <w:rPr>
          <w:i/>
          <w:iCs/>
          <w:szCs w:val="18"/>
        </w:rPr>
        <w:t xml:space="preserve">, bij de Afdeling advisering van de Raad van State ter overweging aanhangig gemaakt het voorstel van wet tot wijziging van de Wet strategische diensten en de Wet op de economische delicten in verband met het aanbrengen van verbeteringen en het herstellen van enige wetstechnische omissies voor een doeltreffender uitvoering en handhaving van de regels over exportcontrole, met memorie van toelichting. </w:t>
      </w:r>
    </w:p>
    <w:p w:rsidR="00BD381A" w:rsidP="00BD381A" w:rsidRDefault="00BD381A" w14:paraId="6C96B60D" w14:textId="77777777">
      <w:pPr>
        <w:spacing w:line="240" w:lineRule="auto"/>
        <w:rPr>
          <w:i/>
          <w:iCs/>
          <w:szCs w:val="18"/>
        </w:rPr>
      </w:pPr>
    </w:p>
    <w:p w:rsidRPr="0087619E" w:rsidR="00BD381A" w:rsidP="00BD381A" w:rsidRDefault="00BD381A" w14:paraId="6CD2F5A6" w14:textId="77777777">
      <w:pPr>
        <w:spacing w:line="240" w:lineRule="auto"/>
        <w:rPr>
          <w:i/>
          <w:iCs/>
          <w:szCs w:val="18"/>
        </w:rPr>
      </w:pPr>
      <w:r w:rsidRPr="0087619E">
        <w:rPr>
          <w:i/>
          <w:iCs/>
          <w:szCs w:val="18"/>
        </w:rPr>
        <w:t xml:space="preserve">Het wetsvoorstel omvat enkele wijzigingen van de Wet strategische diensten en de Wet economische delicten, om de uitvoering en handhaving van exportregels voor strategische diensten te verbeteren. </w:t>
      </w:r>
    </w:p>
    <w:p w:rsidR="00BD381A" w:rsidP="00BD381A" w:rsidRDefault="00BD381A" w14:paraId="7426D4EB" w14:textId="77777777">
      <w:pPr>
        <w:spacing w:line="240" w:lineRule="auto"/>
        <w:rPr>
          <w:i/>
          <w:iCs/>
          <w:szCs w:val="18"/>
        </w:rPr>
      </w:pPr>
    </w:p>
    <w:p w:rsidRPr="0087619E" w:rsidR="00BD381A" w:rsidP="00BD381A" w:rsidRDefault="00BD381A" w14:paraId="10C31FB4" w14:textId="77777777">
      <w:pPr>
        <w:spacing w:line="240" w:lineRule="auto"/>
        <w:rPr>
          <w:i/>
          <w:iCs/>
          <w:szCs w:val="18"/>
        </w:rPr>
      </w:pPr>
      <w:r w:rsidRPr="0087619E">
        <w:rPr>
          <w:i/>
          <w:iCs/>
          <w:szCs w:val="18"/>
        </w:rPr>
        <w:t xml:space="preserve">De Afdeling advisering van de Raad van State maakt een opmerking over de wijze waarop de aanleiding en noodzaak van de voorgestelde wijzigingen in de toelichting is gemotiveerd. Zij adviseert de toelichting op dit punt aan te vullen. Daarnaast merkt zij op dat in de toelichting beperkt wordt ingegaan op de redenen om de bevoegdheid tot het bij ministeriele regeling instellen van verbodsbepalingen en het stellen van een vergunningplicht aan de minister te delegeren. In verband met deze opmerkingen adviseert zij de toelichting aan te passen. </w:t>
      </w:r>
      <w:r w:rsidRPr="0087619E">
        <w:rPr>
          <w:i/>
          <w:iCs/>
          <w:szCs w:val="18"/>
        </w:rPr>
        <w:br/>
      </w:r>
    </w:p>
    <w:p w:rsidRPr="0087619E" w:rsidR="00BD381A" w:rsidP="00BD381A" w:rsidRDefault="00BD381A" w14:paraId="28A3F843" w14:textId="77777777">
      <w:pPr>
        <w:numPr>
          <w:ilvl w:val="0"/>
          <w:numId w:val="47"/>
        </w:numPr>
        <w:spacing w:after="160" w:line="240" w:lineRule="auto"/>
        <w:rPr>
          <w:i/>
          <w:iCs/>
          <w:szCs w:val="18"/>
          <w:u w:val="single"/>
        </w:rPr>
      </w:pPr>
      <w:r w:rsidRPr="0087619E">
        <w:rPr>
          <w:i/>
          <w:iCs/>
          <w:szCs w:val="18"/>
          <w:u w:val="single"/>
        </w:rPr>
        <w:t xml:space="preserve">Inleiding </w:t>
      </w:r>
    </w:p>
    <w:p w:rsidR="0008616E" w:rsidP="00BD381A" w:rsidRDefault="00BD381A" w14:paraId="45128062" w14:textId="02A4E130">
      <w:pPr>
        <w:pStyle w:val="Plattetekstinspringen"/>
        <w:spacing w:line="240" w:lineRule="auto"/>
        <w:ind w:left="0"/>
        <w:rPr>
          <w:rFonts w:ascii="Verdana" w:hAnsi="Verdana"/>
          <w:i/>
          <w:iCs/>
          <w:sz w:val="18"/>
          <w:szCs w:val="18"/>
          <w:lang w:val="nl-NL"/>
        </w:rPr>
      </w:pPr>
      <w:r w:rsidRPr="00BD381A">
        <w:rPr>
          <w:rFonts w:ascii="Verdana" w:hAnsi="Verdana"/>
          <w:i/>
          <w:iCs/>
          <w:sz w:val="18"/>
          <w:szCs w:val="18"/>
          <w:lang w:val="nl-NL"/>
        </w:rPr>
        <w:t>Het wetsvoorstel beoogt met enkele wijzigingen de uitvoering en handhaving van de regels over de exportcontrole van strategische diensten te verbeteren. De export van goederen en diensten voor tweeërlei gebruik (zowel militaire als civiele doeleinden) naar buiten de EU wordt genormeerd door de Verordening (EU) 2021/821 van de Europese Unie en de Raad van 20 mei 2021 tot instelling van een Unieregeling voor controle op de uitvoer, de tussenhandel, de technische bijstand, de doorvoer en de overbrenging van producten voor tweeërlei gebruik (hierna: de Verordening).</w:t>
      </w:r>
      <w:r w:rsidRPr="0087619E">
        <w:rPr>
          <w:rFonts w:ascii="Verdana" w:hAnsi="Verdana"/>
          <w:i/>
          <w:iCs/>
          <w:sz w:val="18"/>
          <w:szCs w:val="18"/>
          <w:vertAlign w:val="superscript"/>
        </w:rPr>
        <w:footnoteReference w:id="2"/>
      </w:r>
      <w:r w:rsidRPr="00BD381A">
        <w:rPr>
          <w:rFonts w:ascii="Verdana" w:hAnsi="Verdana"/>
          <w:i/>
          <w:iCs/>
          <w:sz w:val="18"/>
          <w:szCs w:val="18"/>
          <w:lang w:val="nl-NL"/>
        </w:rPr>
        <w:t xml:space="preserve"> Deze verordening is met betrekking tot strategische goederen omgezet in de Algemene Douanewet en het Besluit strategische</w:t>
      </w:r>
    </w:p>
    <w:p w:rsidR="00BD381A" w:rsidP="00BD381A" w:rsidRDefault="00BD381A" w14:paraId="352025CE" w14:textId="77777777">
      <w:pPr>
        <w:pStyle w:val="Plattetekstinspringen"/>
        <w:spacing w:line="240" w:lineRule="auto"/>
        <w:ind w:left="0"/>
        <w:rPr>
          <w:rFonts w:ascii="Verdana" w:hAnsi="Verdana"/>
          <w:i/>
          <w:iCs/>
          <w:sz w:val="18"/>
          <w:szCs w:val="18"/>
          <w:lang w:val="nl-NL"/>
        </w:rPr>
      </w:pPr>
    </w:p>
    <w:p w:rsidR="00BD381A" w:rsidP="00BD381A" w:rsidRDefault="00BD381A" w14:paraId="108CC1AE" w14:textId="77777777">
      <w:pPr>
        <w:pStyle w:val="Plattetekstinspringen"/>
        <w:spacing w:line="240" w:lineRule="auto"/>
        <w:ind w:left="0"/>
        <w:rPr>
          <w:rFonts w:ascii="Verdana" w:hAnsi="Verdana"/>
          <w:i/>
          <w:iCs/>
          <w:sz w:val="18"/>
          <w:szCs w:val="18"/>
          <w:lang w:val="nl-NL"/>
        </w:rPr>
      </w:pPr>
    </w:p>
    <w:p w:rsidR="00BD381A" w:rsidP="00BD381A" w:rsidRDefault="00BD381A" w14:paraId="6B61A2A4" w14:textId="73B720BD">
      <w:pPr>
        <w:spacing w:line="240" w:lineRule="auto"/>
        <w:rPr>
          <w:i/>
          <w:iCs/>
          <w:szCs w:val="18"/>
        </w:rPr>
      </w:pPr>
      <w:r>
        <w:rPr>
          <w:i/>
          <w:iCs/>
          <w:szCs w:val="18"/>
        </w:rPr>
        <w:lastRenderedPageBreak/>
        <w:t>g</w:t>
      </w:r>
      <w:r w:rsidRPr="0087619E">
        <w:rPr>
          <w:i/>
          <w:iCs/>
          <w:szCs w:val="18"/>
        </w:rPr>
        <w:t>oederen. De regels voor strategische diensten zijn apart ondergebracht in de Wet strategische diensten.</w:t>
      </w:r>
      <w:r w:rsidRPr="0087619E">
        <w:rPr>
          <w:i/>
          <w:iCs/>
          <w:szCs w:val="18"/>
          <w:vertAlign w:val="superscript"/>
        </w:rPr>
        <w:footnoteReference w:id="3"/>
      </w:r>
    </w:p>
    <w:p w:rsidRPr="0087619E" w:rsidR="00BD381A" w:rsidP="00BD381A" w:rsidRDefault="00BD381A" w14:paraId="1BA957AE" w14:textId="77777777">
      <w:pPr>
        <w:spacing w:line="240" w:lineRule="auto"/>
        <w:rPr>
          <w:i/>
          <w:iCs/>
          <w:szCs w:val="18"/>
        </w:rPr>
      </w:pPr>
    </w:p>
    <w:p w:rsidR="00BD381A" w:rsidP="00BD381A" w:rsidRDefault="00BD381A" w14:paraId="4A95697B" w14:textId="77777777">
      <w:pPr>
        <w:spacing w:line="240" w:lineRule="auto"/>
        <w:ind w:right="-141"/>
        <w:rPr>
          <w:i/>
          <w:iCs/>
          <w:szCs w:val="18"/>
        </w:rPr>
      </w:pPr>
      <w:r w:rsidRPr="0087619E">
        <w:rPr>
          <w:i/>
          <w:iCs/>
          <w:szCs w:val="18"/>
        </w:rPr>
        <w:t>Het wetsvoorstel bevat een drietal wijzigingen die gedeeltelijk technisch van aard zijn.</w:t>
      </w:r>
      <w:r>
        <w:rPr>
          <w:i/>
          <w:iCs/>
          <w:szCs w:val="18"/>
        </w:rPr>
        <w:t xml:space="preserve"> </w:t>
      </w:r>
    </w:p>
    <w:p w:rsidR="00BD381A" w:rsidP="00BD381A" w:rsidRDefault="00BD381A" w14:paraId="60FC6128" w14:textId="77777777">
      <w:pPr>
        <w:spacing w:line="240" w:lineRule="auto"/>
        <w:ind w:right="-141"/>
        <w:rPr>
          <w:i/>
          <w:iCs/>
          <w:szCs w:val="18"/>
        </w:rPr>
      </w:pPr>
      <w:r w:rsidRPr="0087619E">
        <w:rPr>
          <w:i/>
          <w:iCs/>
          <w:szCs w:val="18"/>
        </w:rPr>
        <w:t xml:space="preserve">Ten eerste wordt op enkele punten verduidelijkt dat de minister van Buitenlandse Zaken </w:t>
      </w:r>
    </w:p>
    <w:p w:rsidR="00BD381A" w:rsidP="00BD381A" w:rsidRDefault="00BD381A" w14:paraId="4D2834B1" w14:textId="77777777">
      <w:pPr>
        <w:spacing w:line="240" w:lineRule="auto"/>
        <w:ind w:right="-141"/>
        <w:rPr>
          <w:i/>
          <w:iCs/>
          <w:szCs w:val="18"/>
        </w:rPr>
      </w:pPr>
      <w:r w:rsidRPr="0087619E">
        <w:rPr>
          <w:i/>
          <w:iCs/>
          <w:szCs w:val="18"/>
        </w:rPr>
        <w:t xml:space="preserve">de bevoegde autoriteit is in de zin van de Verordening. Ten tweede krijgt de minister de bevoegdheid om bij ministeriele regeling een verbod in te stellen of een vergunning </w:t>
      </w:r>
    </w:p>
    <w:p w:rsidR="00BD381A" w:rsidP="00BD381A" w:rsidRDefault="00BD381A" w14:paraId="1A7A3921" w14:textId="77777777">
      <w:pPr>
        <w:spacing w:line="240" w:lineRule="auto"/>
        <w:ind w:right="-141"/>
        <w:rPr>
          <w:i/>
          <w:iCs/>
          <w:szCs w:val="18"/>
        </w:rPr>
      </w:pPr>
      <w:r w:rsidRPr="0087619E">
        <w:rPr>
          <w:i/>
          <w:iCs/>
          <w:szCs w:val="18"/>
        </w:rPr>
        <w:t xml:space="preserve">verplicht te stellen voor de overdracht van programmatuur of technologie om redenen van openbare veiligheid, waaronder het voorkomen van terreurdaden, of uit mensenrechtenoverwegingen. Deze bevoegdheid is een aanvulling op een verbod dat of vergunningplicht die al voortvloeit uit de controlelijsten in de bijlage van de Verordening. </w:t>
      </w:r>
    </w:p>
    <w:p w:rsidRPr="0087619E" w:rsidR="00BD381A" w:rsidP="00BD381A" w:rsidRDefault="00BD381A" w14:paraId="5DEE5DC2" w14:textId="77777777">
      <w:pPr>
        <w:spacing w:line="240" w:lineRule="auto"/>
        <w:ind w:right="-141"/>
        <w:rPr>
          <w:i/>
          <w:iCs/>
          <w:szCs w:val="18"/>
        </w:rPr>
      </w:pPr>
      <w:r w:rsidRPr="0087619E">
        <w:rPr>
          <w:i/>
          <w:iCs/>
          <w:szCs w:val="18"/>
        </w:rPr>
        <w:t xml:space="preserve">Ten derde worden enkele aanpassingen doorgevoerd om de (strafrechtelijke) handhaving van de Wet strategische diensten te verbeteren. In de Wet strategische diensten wordt verduidelijkt dat het verboden is te handelen in strijd met voorschriften en voorwaarden die zijn verbonden aan een toestemming, ontheffing of vergunning. Het handelen in strijd met deze verbodsbepaling of het overtreden van de regels in de eerdergenoemde ministeriele regeling wordt strafbaar gesteld in de Wet economische delicten. </w:t>
      </w:r>
      <w:r w:rsidRPr="0087619E">
        <w:rPr>
          <w:i/>
          <w:iCs/>
          <w:szCs w:val="18"/>
        </w:rPr>
        <w:br/>
      </w:r>
    </w:p>
    <w:p w:rsidRPr="0087619E" w:rsidR="00BD381A" w:rsidP="00BD381A" w:rsidRDefault="00BD381A" w14:paraId="1C8FD337" w14:textId="77777777">
      <w:pPr>
        <w:numPr>
          <w:ilvl w:val="0"/>
          <w:numId w:val="48"/>
        </w:numPr>
        <w:spacing w:after="160" w:line="240" w:lineRule="auto"/>
        <w:rPr>
          <w:i/>
          <w:iCs/>
          <w:szCs w:val="18"/>
          <w:u w:val="single"/>
        </w:rPr>
      </w:pPr>
      <w:r w:rsidRPr="0087619E">
        <w:rPr>
          <w:i/>
          <w:iCs/>
          <w:szCs w:val="18"/>
          <w:u w:val="single"/>
        </w:rPr>
        <w:t xml:space="preserve">Aanleiding en noodzaak </w:t>
      </w:r>
    </w:p>
    <w:p w:rsidR="00BD381A" w:rsidP="00BD381A" w:rsidRDefault="00BD381A" w14:paraId="54A6A27F" w14:textId="77777777">
      <w:pPr>
        <w:spacing w:line="240" w:lineRule="auto"/>
        <w:rPr>
          <w:i/>
          <w:iCs/>
          <w:szCs w:val="18"/>
        </w:rPr>
      </w:pPr>
      <w:r w:rsidRPr="0087619E">
        <w:rPr>
          <w:i/>
          <w:iCs/>
          <w:szCs w:val="18"/>
        </w:rPr>
        <w:t>In de toelichting bij het wetsvoorstel staat dat de voorgestelde technische wijzigingen voortkomen uit de wens om de uitvoering en handhaving van exportregels te verbeteren. Daarvoor worden nieuwe strafbaarstellingen geïntroduceerd. De uitvoeringsorganisaties hebben volgens de toelichting ook om verduidelijkingen gevraagd.</w:t>
      </w:r>
      <w:r w:rsidRPr="0087619E">
        <w:rPr>
          <w:i/>
          <w:iCs/>
          <w:szCs w:val="18"/>
          <w:vertAlign w:val="superscript"/>
        </w:rPr>
        <w:footnoteReference w:id="4"/>
      </w:r>
      <w:r w:rsidRPr="0087619E">
        <w:rPr>
          <w:i/>
          <w:iCs/>
          <w:szCs w:val="18"/>
        </w:rPr>
        <w:t xml:space="preserve"> De toelichting geeft echter weinig inzicht in de ontwikkelingen die aanleiding zijn geweest voor het wetsvoorstel of de leemtes in informatie die uitvoeringsorganisaties parten speelt. Zo is bij de implementatie van de voorganger van de Verordening juist overwogen dat de noodzaak ontbrak voor de bevoegdheid om bij ministeriele regeling een verbod in te stellen of een vergunning te verplichten voor strategische diensten.</w:t>
      </w:r>
      <w:r w:rsidRPr="0087619E">
        <w:rPr>
          <w:i/>
          <w:iCs/>
          <w:szCs w:val="18"/>
          <w:vertAlign w:val="superscript"/>
        </w:rPr>
        <w:footnoteReference w:id="5"/>
      </w:r>
      <w:r w:rsidRPr="0087619E">
        <w:rPr>
          <w:i/>
          <w:iCs/>
          <w:szCs w:val="18"/>
        </w:rPr>
        <w:t xml:space="preserve"> Bij de wijziging van de Wet strategische diensten ter implementatie van de Verordening is de noodzaak hiertoe ook nog niet gezien.</w:t>
      </w:r>
      <w:r w:rsidRPr="0087619E">
        <w:rPr>
          <w:i/>
          <w:iCs/>
          <w:szCs w:val="18"/>
          <w:vertAlign w:val="superscript"/>
        </w:rPr>
        <w:footnoteReference w:id="6"/>
      </w:r>
      <w:r w:rsidRPr="0087619E">
        <w:rPr>
          <w:i/>
          <w:iCs/>
          <w:szCs w:val="18"/>
        </w:rPr>
        <w:t xml:space="preserve"> Dit roept de vraag op waarom deze bevoegdheid nu wel noodzakelijk is. </w:t>
      </w:r>
    </w:p>
    <w:p w:rsidRPr="0087619E" w:rsidR="00BD381A" w:rsidP="00BD381A" w:rsidRDefault="00BD381A" w14:paraId="17B4C0D9" w14:textId="77777777">
      <w:pPr>
        <w:spacing w:line="240" w:lineRule="auto"/>
        <w:rPr>
          <w:i/>
          <w:iCs/>
          <w:szCs w:val="18"/>
        </w:rPr>
      </w:pPr>
    </w:p>
    <w:p w:rsidR="00BD381A" w:rsidP="00BD381A" w:rsidRDefault="00BD381A" w14:paraId="0C570F17" w14:textId="77777777">
      <w:pPr>
        <w:spacing w:line="240" w:lineRule="auto"/>
        <w:rPr>
          <w:i/>
          <w:iCs/>
          <w:szCs w:val="18"/>
        </w:rPr>
      </w:pPr>
      <w:r w:rsidRPr="0087619E">
        <w:rPr>
          <w:i/>
          <w:iCs/>
          <w:szCs w:val="18"/>
        </w:rPr>
        <w:t xml:space="preserve">De Afdeling begrijpt dat bij het stellen van regels over exportcontrole van strategische diensten het belang van het tegengaan van de ongewenste inzet van die diensten, uit een oogpunt van openbare veiligheid, van groot gewicht is. Gelet op dat belang is de ruimte voor een inhoudelijke probleemanalyse in de toelichting beperkt. Met in achtneming van die beperking acht de Afdeling het niettemin mogelijk in de toelichting de aanleiding voor en de noodzaak van dit wetsvoorstel te verduidelijken. </w:t>
      </w:r>
    </w:p>
    <w:p w:rsidRPr="0087619E" w:rsidR="00BD381A" w:rsidP="00BD381A" w:rsidRDefault="00BD381A" w14:paraId="02EA990F" w14:textId="77777777">
      <w:pPr>
        <w:spacing w:line="240" w:lineRule="auto"/>
        <w:rPr>
          <w:i/>
          <w:iCs/>
          <w:szCs w:val="18"/>
        </w:rPr>
      </w:pPr>
    </w:p>
    <w:p w:rsidRPr="0087619E" w:rsidR="00BD381A" w:rsidP="00BD381A" w:rsidRDefault="00BD381A" w14:paraId="7CFE94A9" w14:textId="77777777">
      <w:pPr>
        <w:spacing w:line="240" w:lineRule="auto"/>
        <w:rPr>
          <w:i/>
          <w:iCs/>
          <w:szCs w:val="18"/>
        </w:rPr>
      </w:pPr>
      <w:r w:rsidRPr="0087619E">
        <w:rPr>
          <w:i/>
          <w:iCs/>
          <w:szCs w:val="18"/>
        </w:rPr>
        <w:t>De Afdeling adviseert de toelichting op dit punt aan te vullen.</w:t>
      </w:r>
      <w:r w:rsidRPr="0087619E">
        <w:rPr>
          <w:i/>
          <w:iCs/>
          <w:szCs w:val="18"/>
        </w:rPr>
        <w:br/>
      </w:r>
    </w:p>
    <w:p w:rsidRPr="0087619E" w:rsidR="00BD381A" w:rsidP="00BD381A" w:rsidRDefault="00BD381A" w14:paraId="4D9A0AC9" w14:textId="77777777">
      <w:pPr>
        <w:numPr>
          <w:ilvl w:val="0"/>
          <w:numId w:val="48"/>
        </w:numPr>
        <w:spacing w:after="160" w:line="240" w:lineRule="auto"/>
        <w:rPr>
          <w:i/>
          <w:iCs/>
          <w:szCs w:val="18"/>
          <w:u w:val="single"/>
        </w:rPr>
      </w:pPr>
      <w:r w:rsidRPr="0087619E">
        <w:rPr>
          <w:i/>
          <w:iCs/>
          <w:szCs w:val="18"/>
          <w:u w:val="single"/>
        </w:rPr>
        <w:t xml:space="preserve">Delegatie </w:t>
      </w:r>
    </w:p>
    <w:p w:rsidR="00BD381A" w:rsidP="00BD381A" w:rsidRDefault="00BD381A" w14:paraId="299CA773" w14:textId="77777777">
      <w:pPr>
        <w:spacing w:line="240" w:lineRule="auto"/>
        <w:rPr>
          <w:i/>
          <w:iCs/>
          <w:szCs w:val="18"/>
        </w:rPr>
      </w:pPr>
      <w:r w:rsidRPr="0087619E">
        <w:rPr>
          <w:i/>
          <w:iCs/>
          <w:szCs w:val="18"/>
        </w:rPr>
        <w:t>In het wetsvoorstel wordt een delegatiegrondslag gecreëerd op basis waarvan de minister van Buitenlandse Zaken bij ministeriele regeling een verbod of vergunningplicht kan instellen voor de overdacht van programmatuur of technologie van producten voor tweeërlei gebruik. Voor de vormgeving van deze delegatiegrondslag is aangesloten bij die in het Besluit strategische goederen.</w:t>
      </w:r>
      <w:r w:rsidRPr="0087619E">
        <w:rPr>
          <w:i/>
          <w:iCs/>
          <w:szCs w:val="18"/>
          <w:vertAlign w:val="superscript"/>
        </w:rPr>
        <w:footnoteReference w:id="7"/>
      </w:r>
      <w:r w:rsidRPr="0087619E">
        <w:rPr>
          <w:i/>
          <w:iCs/>
          <w:szCs w:val="18"/>
        </w:rPr>
        <w:t xml:space="preserve"> Volgens de toelichting wordt daarmee de regelgeving op dit punt gelijk getrokken.</w:t>
      </w:r>
      <w:r w:rsidRPr="0087619E">
        <w:rPr>
          <w:i/>
          <w:iCs/>
          <w:szCs w:val="18"/>
          <w:vertAlign w:val="superscript"/>
        </w:rPr>
        <w:footnoteReference w:id="8"/>
      </w:r>
    </w:p>
    <w:p w:rsidR="00BD381A" w:rsidP="00BD381A" w:rsidRDefault="00BD381A" w14:paraId="61457F79" w14:textId="77777777">
      <w:pPr>
        <w:spacing w:line="240" w:lineRule="auto"/>
        <w:rPr>
          <w:i/>
          <w:iCs/>
          <w:szCs w:val="18"/>
        </w:rPr>
      </w:pPr>
      <w:r w:rsidRPr="0087619E">
        <w:rPr>
          <w:i/>
          <w:iCs/>
          <w:szCs w:val="18"/>
        </w:rPr>
        <w:lastRenderedPageBreak/>
        <w:t>De delegatie van regelgevende bevoegdheid dient zo concreet en nauwkeurig mogelijk te worden begrensd en is slechts in bepaalde gevallen geoorloofd. Primair zijn ministeriele regelingen bedoeld voor administratieve voorschriften, uitwerking van details, voorschriften die dikwijls wijziging behoeven en voorschriften die met grote spoed moeten worden vastgesteld.</w:t>
      </w:r>
      <w:r w:rsidRPr="0087619E">
        <w:rPr>
          <w:i/>
          <w:iCs/>
          <w:szCs w:val="18"/>
          <w:vertAlign w:val="superscript"/>
        </w:rPr>
        <w:footnoteReference w:id="9"/>
      </w:r>
      <w:r w:rsidRPr="0087619E">
        <w:rPr>
          <w:i/>
          <w:iCs/>
          <w:szCs w:val="18"/>
        </w:rPr>
        <w:t xml:space="preserve"> Voorschriften die de grondslag voor een vergunningstelsel vormen, moeten daarbij zo veel mogelijk worden neergelegd in de wet.</w:t>
      </w:r>
      <w:r w:rsidRPr="0087619E">
        <w:rPr>
          <w:i/>
          <w:iCs/>
          <w:szCs w:val="18"/>
          <w:vertAlign w:val="superscript"/>
        </w:rPr>
        <w:footnoteReference w:id="10"/>
      </w:r>
      <w:r w:rsidRPr="0087619E">
        <w:rPr>
          <w:i/>
          <w:iCs/>
          <w:szCs w:val="18"/>
        </w:rPr>
        <w:t xml:space="preserve"> In de toelichting wordt beperkt ingegaan op de redenen om de bevoegdheid om bij ministeriele regeling over te gaan tot het instellen van verbodsbepalingen en het in het leven roepen van een vergunningplicht. Gelet op het voorgaande adviseert de Afdeling die keuze nader te motiveren. </w:t>
      </w:r>
    </w:p>
    <w:p w:rsidRPr="0087619E" w:rsidR="00BD381A" w:rsidP="00BD381A" w:rsidRDefault="00BD381A" w14:paraId="4238210B" w14:textId="77777777">
      <w:pPr>
        <w:spacing w:line="240" w:lineRule="auto"/>
        <w:rPr>
          <w:i/>
          <w:iCs/>
          <w:szCs w:val="18"/>
        </w:rPr>
      </w:pPr>
    </w:p>
    <w:p w:rsidRPr="0087619E" w:rsidR="00BD381A" w:rsidP="00BD381A" w:rsidRDefault="00BD381A" w14:paraId="7E5885E6" w14:textId="77777777">
      <w:pPr>
        <w:spacing w:line="240" w:lineRule="auto"/>
        <w:rPr>
          <w:i/>
          <w:iCs/>
          <w:szCs w:val="18"/>
        </w:rPr>
      </w:pPr>
      <w:r w:rsidRPr="0087619E">
        <w:rPr>
          <w:i/>
          <w:iCs/>
          <w:szCs w:val="18"/>
        </w:rPr>
        <w:t xml:space="preserve">De Afdeling adviseert de toelichting bij het wetsvoorstel op dit punt aan te passen. </w:t>
      </w:r>
    </w:p>
    <w:p w:rsidRPr="0087619E" w:rsidR="00BD381A" w:rsidP="00BD381A" w:rsidRDefault="00BD381A" w14:paraId="2515BFC4" w14:textId="77777777">
      <w:pPr>
        <w:spacing w:line="240" w:lineRule="auto"/>
        <w:rPr>
          <w:i/>
          <w:iCs/>
          <w:szCs w:val="18"/>
        </w:rPr>
      </w:pPr>
    </w:p>
    <w:p w:rsidRPr="0087619E" w:rsidR="00BD381A" w:rsidP="00BD381A" w:rsidRDefault="00BD381A" w14:paraId="4E6A9BBE" w14:textId="77777777">
      <w:pPr>
        <w:spacing w:line="240" w:lineRule="auto"/>
        <w:rPr>
          <w:i/>
          <w:iCs/>
          <w:szCs w:val="18"/>
        </w:rPr>
      </w:pPr>
      <w:r w:rsidRPr="0087619E">
        <w:rPr>
          <w:i/>
          <w:iCs/>
          <w:szCs w:val="18"/>
        </w:rPr>
        <w:t xml:space="preserve">De Afdeling advisering van de Raad van State heeft een aantal opmerkingen bij het voorstel en adviseert daarmee rekening te houden voordat het voorstel bij de Tweede Kamer der Staten-Generaal wordt ingediend. </w:t>
      </w:r>
    </w:p>
    <w:p w:rsidRPr="00C2648D" w:rsidR="00BD381A" w:rsidP="00BD381A" w:rsidRDefault="00BD381A" w14:paraId="6AE5A42F" w14:textId="77777777">
      <w:pPr>
        <w:spacing w:line="240" w:lineRule="auto"/>
        <w:rPr>
          <w:szCs w:val="18"/>
        </w:rPr>
      </w:pPr>
    </w:p>
    <w:p w:rsidRPr="005E5158" w:rsidR="00BD381A" w:rsidP="00BD381A" w:rsidRDefault="00BD381A" w14:paraId="06D888F4" w14:textId="77777777">
      <w:pPr>
        <w:spacing w:line="240" w:lineRule="auto"/>
        <w:rPr>
          <w:i/>
          <w:iCs/>
          <w:szCs w:val="18"/>
        </w:rPr>
      </w:pPr>
      <w:r w:rsidRPr="005E5158">
        <w:rPr>
          <w:i/>
          <w:iCs/>
          <w:szCs w:val="18"/>
        </w:rPr>
        <w:t>De waarnemend vice-president van de Raad van State,</w:t>
      </w:r>
    </w:p>
    <w:p w:rsidRPr="005E5158" w:rsidR="00BD381A" w:rsidP="00BD381A" w:rsidRDefault="00BD381A" w14:paraId="3C0A9F14" w14:textId="77777777">
      <w:pPr>
        <w:spacing w:line="240" w:lineRule="auto"/>
        <w:rPr>
          <w:i/>
          <w:iCs/>
          <w:szCs w:val="18"/>
        </w:rPr>
      </w:pPr>
      <w:r w:rsidRPr="005E5158">
        <w:rPr>
          <w:i/>
          <w:iCs/>
          <w:szCs w:val="18"/>
        </w:rPr>
        <w:t>L.F.M. Verhey</w:t>
      </w:r>
    </w:p>
    <w:p w:rsidR="00BD381A" w:rsidP="00BD381A" w:rsidRDefault="00BD381A" w14:paraId="7E85A312" w14:textId="77777777">
      <w:pPr>
        <w:spacing w:line="240" w:lineRule="auto"/>
        <w:rPr>
          <w:szCs w:val="18"/>
        </w:rPr>
      </w:pPr>
    </w:p>
    <w:p w:rsidRPr="00C2648D" w:rsidR="00BD381A" w:rsidP="00BD381A" w:rsidRDefault="00BD381A" w14:paraId="67CDDD73" w14:textId="77777777">
      <w:pPr>
        <w:spacing w:line="240" w:lineRule="auto"/>
        <w:rPr>
          <w:szCs w:val="18"/>
        </w:rPr>
      </w:pPr>
    </w:p>
    <w:p w:rsidRPr="00511854" w:rsidR="00BD381A" w:rsidP="00BD381A" w:rsidRDefault="00BD381A" w14:paraId="5FB584FA" w14:textId="77777777">
      <w:pPr>
        <w:rPr>
          <w:bCs/>
          <w:szCs w:val="18"/>
        </w:rPr>
      </w:pPr>
      <w:r w:rsidRPr="00511854">
        <w:rPr>
          <w:szCs w:val="18"/>
        </w:rPr>
        <w:t xml:space="preserve">Aan het advies van de Afdeling om in de toelichting bij het wetsvoorstel in te gaan op de aanleiding voor en de noodzaak van dit wetsvoorstel is gevolg gegeven. In het algemeen deel van de toelichting (onder I, Hoofdlijnen van het wetsvoorstel) is verduidelijkt dat de wijziging van de Wet strategische diensten tot doel heeft de wet, ter bevordering van de internationale rechtsorde, beter af te stemmen op het snel veranderende technologische landschap dat zich in toenemende mate kenmerkt door de ontwikkeling en introductie van hoogwaardige programmatuur en technologie op (inter)nationale markten. Daarnaast is zowel in het algemeen deel van de toelichting (onder I, Hoofdlijnen van het wetsvoorstel) als in het artikelsgewijze deel (artikel I, onderdeel A) verduidelijkt waarom gekozen is om </w:t>
      </w:r>
      <w:r w:rsidRPr="00511854">
        <w:rPr>
          <w:bCs/>
          <w:szCs w:val="18"/>
        </w:rPr>
        <w:t xml:space="preserve">de bevoegdheid tot het instellen van een verbod en het in het leven roepen van een vergunningplicht te regelen bij ministeriële regeling. Die keuze wordt gerechtvaardigd geacht vanwege de snelheid waarmee hoogwaardige programmatuur en technologie hun intrede kunnen doen op de (inter)nationale markten en tegelijkertijd de risico’s op ongewenste inzet daarvan aanzienlijk kunnen zijn. Om die reden is enige flexibiliteit en voortvarendheid gewenst om daarop te kunnen reageren. </w:t>
      </w:r>
    </w:p>
    <w:p w:rsidRPr="008B788B" w:rsidR="00BD381A" w:rsidP="00BD381A" w:rsidRDefault="00BD381A" w14:paraId="51BB62DB" w14:textId="77777777"/>
    <w:p w:rsidRPr="00511854" w:rsidR="00BD381A" w:rsidP="00BD381A" w:rsidRDefault="00BD381A" w14:paraId="1CCC44F3" w14:textId="77777777">
      <w:pPr>
        <w:rPr>
          <w:szCs w:val="18"/>
        </w:rPr>
      </w:pPr>
      <w:r w:rsidRPr="00511854">
        <w:rPr>
          <w:szCs w:val="18"/>
        </w:rPr>
        <w:t>Ik verzoek U het hierbij gevoegde voorstel van wet en de gewijzigde memorie van toelichting aan de Tweede Kamer der Staten-Generaal te zenden.</w:t>
      </w:r>
    </w:p>
    <w:p w:rsidR="00BD381A" w:rsidP="00BD381A" w:rsidRDefault="00BD381A" w14:paraId="637DEC80" w14:textId="77777777">
      <w:pPr>
        <w:spacing w:line="240" w:lineRule="auto"/>
        <w:rPr>
          <w:szCs w:val="18"/>
        </w:rPr>
      </w:pPr>
    </w:p>
    <w:p w:rsidRPr="00C2648D" w:rsidR="00BD381A" w:rsidP="00BD381A" w:rsidRDefault="00BD381A" w14:paraId="70E6DC9D" w14:textId="77777777">
      <w:pPr>
        <w:spacing w:line="240" w:lineRule="auto"/>
        <w:rPr>
          <w:szCs w:val="18"/>
        </w:rPr>
      </w:pPr>
    </w:p>
    <w:p w:rsidRPr="00C2648D" w:rsidR="00BD381A" w:rsidP="00BD381A" w:rsidRDefault="00BD381A" w14:paraId="63AA6560" w14:textId="77777777">
      <w:pPr>
        <w:spacing w:line="240" w:lineRule="auto"/>
        <w:rPr>
          <w:szCs w:val="18"/>
        </w:rPr>
      </w:pPr>
      <w:r w:rsidRPr="00C2648D">
        <w:rPr>
          <w:szCs w:val="18"/>
        </w:rPr>
        <w:t xml:space="preserve">De Minister voor Buitenlandse Handel en Ontwikkelingshulp, </w:t>
      </w:r>
    </w:p>
    <w:p w:rsidR="00BD381A" w:rsidP="00BD381A" w:rsidRDefault="00BD381A" w14:paraId="1AFFF4E9" w14:textId="77777777">
      <w:pPr>
        <w:spacing w:line="240" w:lineRule="auto"/>
        <w:rPr>
          <w:szCs w:val="18"/>
        </w:rPr>
      </w:pPr>
    </w:p>
    <w:p w:rsidR="00BD381A" w:rsidP="00BD381A" w:rsidRDefault="00BD381A" w14:paraId="68634ABC" w14:textId="77777777">
      <w:pPr>
        <w:spacing w:line="240" w:lineRule="auto"/>
        <w:rPr>
          <w:szCs w:val="18"/>
        </w:rPr>
      </w:pPr>
    </w:p>
    <w:p w:rsidR="00BD381A" w:rsidP="00BD381A" w:rsidRDefault="00BD381A" w14:paraId="44370210" w14:textId="77777777">
      <w:pPr>
        <w:spacing w:line="240" w:lineRule="auto"/>
        <w:rPr>
          <w:szCs w:val="18"/>
        </w:rPr>
      </w:pPr>
    </w:p>
    <w:p w:rsidR="00BD381A" w:rsidP="00BD381A" w:rsidRDefault="00BD381A" w14:paraId="0D56EBA5" w14:textId="77777777">
      <w:pPr>
        <w:spacing w:line="240" w:lineRule="auto"/>
        <w:rPr>
          <w:szCs w:val="18"/>
        </w:rPr>
      </w:pPr>
    </w:p>
    <w:p w:rsidRPr="00BD381A" w:rsidR="00BD381A" w:rsidP="00BD381A" w:rsidRDefault="00BD381A" w14:paraId="21C706EE" w14:textId="2C89D9D8">
      <w:pPr>
        <w:spacing w:line="240" w:lineRule="auto"/>
        <w:rPr>
          <w:vanish/>
          <w:szCs w:val="18"/>
          <w:lang w:eastAsia="zh-CN"/>
          <w:specVanish/>
        </w:rPr>
      </w:pPr>
      <w:r w:rsidRPr="000A2B0F">
        <w:rPr>
          <w:szCs w:val="18"/>
        </w:rPr>
        <w:t>R.J. Klever</w:t>
      </w:r>
      <w:r w:rsidRPr="009C5E6A">
        <w:t xml:space="preserve"> </w:t>
      </w:r>
    </w:p>
    <w:p w:rsidR="00F074A1" w:rsidP="0008616E" w:rsidRDefault="00F074A1" w14:paraId="7BF6A4E3" w14:textId="65077445">
      <w:pPr>
        <w:spacing w:line="280" w:lineRule="exact"/>
        <w:ind w:left="1418"/>
        <w:rPr>
          <w:szCs w:val="18"/>
          <w:lang w:eastAsia="zh-CN"/>
        </w:rPr>
      </w:pPr>
    </w:p>
    <w:p w:rsidR="00BD381A" w:rsidP="0008616E" w:rsidRDefault="00BD381A" w14:paraId="62FFA50D" w14:textId="77777777">
      <w:pPr>
        <w:spacing w:line="280" w:lineRule="exact"/>
        <w:ind w:left="1418"/>
        <w:jc w:val="center"/>
        <w:rPr>
          <w:szCs w:val="18"/>
          <w:lang w:eastAsia="zh-CN"/>
        </w:rPr>
      </w:pPr>
    </w:p>
    <w:bookmarkEnd w:id="0"/>
    <w:p w:rsidRPr="006E13E2" w:rsidR="006E13E2" w:rsidP="006E13E2" w:rsidRDefault="006E13E2" w14:paraId="35BD186C" w14:textId="325EB769">
      <w:pPr>
        <w:tabs>
          <w:tab w:val="left" w:pos="2748"/>
        </w:tabs>
      </w:pPr>
      <w:r>
        <w:tab/>
      </w:r>
      <w:bookmarkEnd w:id="1"/>
    </w:p>
    <w:sectPr w:rsidRPr="006E13E2" w:rsidR="006E13E2" w:rsidSect="00535213">
      <w:headerReference w:type="even" r:id="rId12"/>
      <w:footerReference w:type="even" r:id="rId13"/>
      <w:footerReference w:type="default" r:id="rId14"/>
      <w:headerReference w:type="first" r:id="rId15"/>
      <w:footerReference w:type="first" r:id="rId16"/>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9ACE" w14:textId="77777777" w:rsidR="00C718A5" w:rsidRDefault="00C718A5">
      <w:r>
        <w:separator/>
      </w:r>
    </w:p>
    <w:p w14:paraId="79AB8D99" w14:textId="77777777" w:rsidR="00C718A5" w:rsidRDefault="00C718A5"/>
  </w:endnote>
  <w:endnote w:type="continuationSeparator" w:id="0">
    <w:p w14:paraId="2FF9CA48" w14:textId="77777777" w:rsidR="00C718A5" w:rsidRDefault="00C718A5">
      <w:r>
        <w:continuationSeparator/>
      </w:r>
    </w:p>
    <w:p w14:paraId="1CD1EA0D" w14:textId="77777777" w:rsidR="00C718A5" w:rsidRDefault="00C71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5B49" w14:textId="77777777" w:rsidR="00D769D5" w:rsidRPr="009C5E6A" w:rsidRDefault="00D769D5">
    <w:pPr>
      <w:pStyle w:val="Voettekst"/>
    </w:pPr>
  </w:p>
  <w:p w14:paraId="1D4AD7CA" w14:textId="77777777" w:rsidR="00D769D5" w:rsidRPr="009C5E6A" w:rsidRDefault="00D769D5"/>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1404C624" w14:textId="77777777">
      <w:trPr>
        <w:trHeight w:hRule="exact" w:val="240"/>
      </w:trPr>
      <w:tc>
        <w:tcPr>
          <w:tcW w:w="7752" w:type="dxa"/>
          <w:shd w:val="clear" w:color="auto" w:fill="auto"/>
        </w:tcPr>
        <w:p w14:paraId="5B4512CF" w14:textId="77777777" w:rsidR="00D769D5" w:rsidRPr="009C5E6A" w:rsidRDefault="00D769D5"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03EF7269" w14:textId="77777777" w:rsidR="00D769D5" w:rsidRPr="009C5E6A" w:rsidRDefault="00D769D5" w:rsidP="00600CF0">
          <w:pPr>
            <w:pStyle w:val="Huisstijl-Paginanummering"/>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van</w:t>
          </w:r>
          <w:r w:rsidRPr="009C5E6A">
            <w:t xml:space="preserve"> </w:t>
          </w:r>
          <w:fldSimple w:instr=" NUMPAGES   \* MERGEFORMAT ">
            <w:r w:rsidR="00C258F1">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871709"/>
      <w:docPartObj>
        <w:docPartGallery w:val="Page Numbers (Bottom of Page)"/>
        <w:docPartUnique/>
      </w:docPartObj>
    </w:sdtPr>
    <w:sdtEndPr/>
    <w:sdtContent>
      <w:p w14:paraId="4CCF4DAF" w14:textId="6D00112E" w:rsidR="00387AF0" w:rsidRDefault="00387AF0">
        <w:pPr>
          <w:pStyle w:val="Voettekst"/>
          <w:jc w:val="right"/>
        </w:pPr>
        <w:r>
          <w:fldChar w:fldCharType="begin"/>
        </w:r>
        <w:r>
          <w:instrText>PAGE   \* MERGEFORMAT</w:instrText>
        </w:r>
        <w:r>
          <w:fldChar w:fldCharType="separate"/>
        </w:r>
        <w:r>
          <w:t>2</w:t>
        </w:r>
        <w:r>
          <w:fldChar w:fldCharType="end"/>
        </w:r>
      </w:p>
    </w:sdtContent>
  </w:sdt>
  <w:p w14:paraId="36E03D9B" w14:textId="77777777" w:rsidR="00D769D5" w:rsidRPr="009C5E6A" w:rsidRDefault="00D769D5"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575D" w14:textId="77777777" w:rsidR="00D769D5" w:rsidRPr="009C5E6A" w:rsidRDefault="00D769D5"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ECB4" w14:textId="77777777" w:rsidR="00C718A5" w:rsidRDefault="00C718A5">
      <w:r>
        <w:separator/>
      </w:r>
    </w:p>
    <w:p w14:paraId="19418258" w14:textId="77777777" w:rsidR="00C718A5" w:rsidRDefault="00C718A5"/>
  </w:footnote>
  <w:footnote w:type="continuationSeparator" w:id="0">
    <w:p w14:paraId="7DC26C00" w14:textId="77777777" w:rsidR="00C718A5" w:rsidRDefault="00C718A5">
      <w:r>
        <w:continuationSeparator/>
      </w:r>
    </w:p>
    <w:p w14:paraId="26B63CE1" w14:textId="77777777" w:rsidR="00C718A5" w:rsidRDefault="00C718A5"/>
  </w:footnote>
  <w:footnote w:id="1">
    <w:p w14:paraId="52131BEF" w14:textId="77777777" w:rsidR="00BD381A" w:rsidRPr="0087619E" w:rsidRDefault="00BD381A" w:rsidP="00BD381A">
      <w:pPr>
        <w:pStyle w:val="Voetnoottekst"/>
        <w:rPr>
          <w:szCs w:val="13"/>
        </w:rPr>
      </w:pPr>
      <w:r w:rsidRPr="0087619E">
        <w:rPr>
          <w:rStyle w:val="Voetnootmarkering"/>
          <w:szCs w:val="13"/>
        </w:rPr>
        <w:footnoteRef/>
      </w:r>
      <w:r w:rsidRPr="0087619E">
        <w:rPr>
          <w:szCs w:val="13"/>
        </w:rPr>
        <w:t xml:space="preserve"> In verband met de kabinetswisseling wordt het advies gezonden aan de Minister voor Buitenlandse Handel en Ontwikkelingshulp.</w:t>
      </w:r>
    </w:p>
  </w:footnote>
  <w:footnote w:id="2">
    <w:p w14:paraId="422371A5" w14:textId="77777777" w:rsidR="00BD381A" w:rsidRPr="0087619E" w:rsidRDefault="00BD381A" w:rsidP="00BD381A">
      <w:pPr>
        <w:rPr>
          <w:rFonts w:cs="Lohit Hindi"/>
          <w:sz w:val="13"/>
          <w:szCs w:val="13"/>
        </w:rPr>
      </w:pPr>
      <w:r w:rsidRPr="0087619E">
        <w:rPr>
          <w:rStyle w:val="Voetnootmarkering"/>
          <w:sz w:val="13"/>
          <w:szCs w:val="13"/>
        </w:rPr>
        <w:footnoteRef/>
      </w:r>
      <w:r w:rsidRPr="0087619E">
        <w:rPr>
          <w:sz w:val="13"/>
          <w:szCs w:val="13"/>
        </w:rPr>
        <w:t xml:space="preserve"> </w:t>
      </w:r>
      <w:r w:rsidRPr="0087619E">
        <w:rPr>
          <w:rFonts w:cs="Lohit Hindi"/>
          <w:sz w:val="13"/>
          <w:szCs w:val="13"/>
        </w:rPr>
        <w:t xml:space="preserve">PB L 206, 1-461. </w:t>
      </w:r>
    </w:p>
  </w:footnote>
  <w:footnote w:id="3">
    <w:p w14:paraId="79D0A5DD" w14:textId="54C15073" w:rsidR="00BD381A" w:rsidRPr="0087619E" w:rsidRDefault="00BD381A" w:rsidP="00BD381A">
      <w:pPr>
        <w:pStyle w:val="Voetnoottekst"/>
        <w:rPr>
          <w:szCs w:val="13"/>
        </w:rPr>
      </w:pPr>
      <w:r w:rsidRPr="0087619E">
        <w:rPr>
          <w:rStyle w:val="Voetnootmarkering"/>
          <w:szCs w:val="13"/>
        </w:rPr>
        <w:footnoteRef/>
      </w:r>
      <w:r w:rsidRPr="0087619E">
        <w:rPr>
          <w:szCs w:val="13"/>
        </w:rPr>
        <w:t xml:space="preserve"> Stb. 2022, 279</w:t>
      </w:r>
      <w:r w:rsidR="00A77D5B">
        <w:rPr>
          <w:szCs w:val="13"/>
        </w:rPr>
        <w:t>.</w:t>
      </w:r>
    </w:p>
  </w:footnote>
  <w:footnote w:id="4">
    <w:p w14:paraId="54780D3D" w14:textId="77777777" w:rsidR="00BD381A" w:rsidRPr="0087619E" w:rsidRDefault="00BD381A" w:rsidP="00BD381A">
      <w:pPr>
        <w:pStyle w:val="Voetnoottekst"/>
        <w:rPr>
          <w:szCs w:val="13"/>
        </w:rPr>
      </w:pPr>
      <w:r w:rsidRPr="0087619E">
        <w:rPr>
          <w:rStyle w:val="Voetnootmarkering"/>
          <w:szCs w:val="13"/>
        </w:rPr>
        <w:footnoteRef/>
      </w:r>
      <w:r w:rsidRPr="0087619E">
        <w:rPr>
          <w:szCs w:val="13"/>
        </w:rPr>
        <w:t xml:space="preserve"> Memorie van toelichting, Algemeen deel, onder Hoofdlijnen van het voorstel.</w:t>
      </w:r>
    </w:p>
  </w:footnote>
  <w:footnote w:id="5">
    <w:p w14:paraId="1CA0C40A" w14:textId="106F3792" w:rsidR="00BD381A" w:rsidRPr="0087619E" w:rsidRDefault="00BD381A" w:rsidP="00BD381A">
      <w:pPr>
        <w:pStyle w:val="Voetnoottekst"/>
        <w:rPr>
          <w:szCs w:val="13"/>
        </w:rPr>
      </w:pPr>
      <w:r w:rsidRPr="0087619E">
        <w:rPr>
          <w:rStyle w:val="Voetnootmarkering"/>
          <w:szCs w:val="13"/>
        </w:rPr>
        <w:footnoteRef/>
      </w:r>
      <w:r w:rsidRPr="0087619E">
        <w:rPr>
          <w:szCs w:val="13"/>
        </w:rPr>
        <w:t xml:space="preserve"> Kamerstukken II 2010-2011, 32665, nr. 3, p. 38 (transponeringstabel bij artikel 8, eerste lid)</w:t>
      </w:r>
      <w:r w:rsidR="00BB0CE9">
        <w:rPr>
          <w:szCs w:val="13"/>
        </w:rPr>
        <w:t>.</w:t>
      </w:r>
    </w:p>
  </w:footnote>
  <w:footnote w:id="6">
    <w:p w14:paraId="5E8D762B" w14:textId="77777777" w:rsidR="00BD381A" w:rsidRPr="0087619E" w:rsidRDefault="00BD381A" w:rsidP="00BD381A">
      <w:pPr>
        <w:rPr>
          <w:rFonts w:cs="Lohit Hindi"/>
          <w:sz w:val="13"/>
          <w:szCs w:val="13"/>
        </w:rPr>
      </w:pPr>
      <w:r w:rsidRPr="0087619E">
        <w:rPr>
          <w:rStyle w:val="Voetnootmarkering"/>
          <w:sz w:val="13"/>
          <w:szCs w:val="13"/>
        </w:rPr>
        <w:footnoteRef/>
      </w:r>
      <w:r w:rsidRPr="0087619E">
        <w:rPr>
          <w:sz w:val="13"/>
          <w:szCs w:val="13"/>
        </w:rPr>
        <w:t xml:space="preserve"> </w:t>
      </w:r>
      <w:r w:rsidRPr="0087619E">
        <w:rPr>
          <w:rFonts w:cs="Lohit Hindi"/>
          <w:sz w:val="13"/>
          <w:szCs w:val="13"/>
        </w:rPr>
        <w:t xml:space="preserve">Stb. 2022, 279, zie ook Kamerstukken II 2020-2021, 35904, nr. 3, p. 13 (transponeringstabel bij artikel 9, eerste lid). </w:t>
      </w:r>
    </w:p>
    <w:p w14:paraId="73FB34D9" w14:textId="77777777" w:rsidR="00BD381A" w:rsidRPr="00930404" w:rsidRDefault="00BD381A" w:rsidP="00BD381A">
      <w:pPr>
        <w:pStyle w:val="Voetnoottekst"/>
      </w:pPr>
    </w:p>
  </w:footnote>
  <w:footnote w:id="7">
    <w:p w14:paraId="072751E3" w14:textId="77777777" w:rsidR="00BD381A" w:rsidRPr="0087619E" w:rsidRDefault="00BD381A" w:rsidP="00BD381A">
      <w:pPr>
        <w:rPr>
          <w:rFonts w:cs="Lohit Hindi"/>
          <w:sz w:val="13"/>
          <w:szCs w:val="13"/>
        </w:rPr>
      </w:pPr>
      <w:r w:rsidRPr="0087619E">
        <w:rPr>
          <w:rStyle w:val="Voetnootmarkering"/>
          <w:sz w:val="13"/>
          <w:szCs w:val="13"/>
        </w:rPr>
        <w:footnoteRef/>
      </w:r>
      <w:r w:rsidRPr="0087619E">
        <w:rPr>
          <w:sz w:val="13"/>
          <w:szCs w:val="13"/>
        </w:rPr>
        <w:t xml:space="preserve"> </w:t>
      </w:r>
      <w:r w:rsidRPr="0087619E">
        <w:rPr>
          <w:rFonts w:cs="Lohit Hindi"/>
          <w:sz w:val="13"/>
          <w:szCs w:val="13"/>
        </w:rPr>
        <w:t xml:space="preserve">Artikel 4 Besluit strategische goederen. </w:t>
      </w:r>
    </w:p>
  </w:footnote>
  <w:footnote w:id="8">
    <w:p w14:paraId="0A7D180E" w14:textId="77777777" w:rsidR="00BD381A" w:rsidRDefault="00BD381A" w:rsidP="00BD381A">
      <w:pPr>
        <w:pStyle w:val="Voetnoottekst"/>
        <w:rPr>
          <w:szCs w:val="13"/>
        </w:rPr>
      </w:pPr>
      <w:r w:rsidRPr="0087619E">
        <w:rPr>
          <w:rStyle w:val="Voetnootmarkering"/>
          <w:szCs w:val="13"/>
        </w:rPr>
        <w:footnoteRef/>
      </w:r>
      <w:r w:rsidRPr="0087619E">
        <w:rPr>
          <w:szCs w:val="13"/>
        </w:rPr>
        <w:t xml:space="preserve"> Memorie van toelichting, II. Artikelsgewijs, Artikel I (wijziging Wet strategische diensten), Onderdeel A (artikel 2 Wet strategische diensten).</w:t>
      </w:r>
    </w:p>
    <w:p w14:paraId="7C109977" w14:textId="77777777" w:rsidR="00BD381A" w:rsidRDefault="00BD381A" w:rsidP="00BD381A">
      <w:pPr>
        <w:pStyle w:val="Voetnoottekst"/>
        <w:rPr>
          <w:szCs w:val="13"/>
        </w:rPr>
      </w:pPr>
    </w:p>
    <w:p w14:paraId="23DC55E8" w14:textId="77777777" w:rsidR="00BD381A" w:rsidRPr="0087619E" w:rsidRDefault="00BD381A" w:rsidP="00BD381A">
      <w:pPr>
        <w:pStyle w:val="Voetnoottekst"/>
        <w:rPr>
          <w:szCs w:val="13"/>
        </w:rPr>
      </w:pPr>
    </w:p>
  </w:footnote>
  <w:footnote w:id="9">
    <w:p w14:paraId="7E988270" w14:textId="77777777" w:rsidR="00BD381A" w:rsidRPr="0087619E" w:rsidRDefault="00BD381A" w:rsidP="00BD381A">
      <w:pPr>
        <w:pStyle w:val="Voetnoottekst"/>
        <w:rPr>
          <w:szCs w:val="13"/>
        </w:rPr>
      </w:pPr>
      <w:r w:rsidRPr="0087619E">
        <w:rPr>
          <w:rStyle w:val="Voetnootmarkering"/>
          <w:szCs w:val="13"/>
        </w:rPr>
        <w:footnoteRef/>
      </w:r>
      <w:r w:rsidRPr="0087619E">
        <w:rPr>
          <w:szCs w:val="13"/>
        </w:rPr>
        <w:t xml:space="preserve"> Aanwijzingen 2.19 en 2.24 van de Aanwijzingen voor de regelgeving. Zie o.a. het advies W18.22.00184/1V.</w:t>
      </w:r>
    </w:p>
  </w:footnote>
  <w:footnote w:id="10">
    <w:p w14:paraId="3BD0FDF2" w14:textId="77777777" w:rsidR="00BD381A" w:rsidRPr="0087619E" w:rsidRDefault="00BD381A" w:rsidP="00BD381A">
      <w:pPr>
        <w:rPr>
          <w:sz w:val="13"/>
          <w:szCs w:val="13"/>
        </w:rPr>
      </w:pPr>
      <w:r w:rsidRPr="0087619E">
        <w:rPr>
          <w:rStyle w:val="Voetnootmarkering"/>
          <w:sz w:val="13"/>
          <w:szCs w:val="13"/>
        </w:rPr>
        <w:footnoteRef/>
      </w:r>
      <w:r w:rsidRPr="0087619E">
        <w:rPr>
          <w:sz w:val="13"/>
          <w:szCs w:val="13"/>
        </w:rPr>
        <w:t xml:space="preserve"> Aanwijzing 2.21 van de Aanwijzingen voor de regelgeving.</w:t>
      </w:r>
    </w:p>
    <w:p w14:paraId="5BAAFF1C" w14:textId="77777777" w:rsidR="00BD381A" w:rsidRPr="00172683" w:rsidRDefault="00BD381A" w:rsidP="00BD381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DC78" w14:textId="77777777" w:rsidR="00D769D5" w:rsidRPr="009C5E6A" w:rsidRDefault="00D769D5">
    <w:pPr>
      <w:pStyle w:val="Koptekst"/>
    </w:pPr>
  </w:p>
  <w:p w14:paraId="103FD8D0" w14:textId="77777777" w:rsidR="00D769D5" w:rsidRPr="009C5E6A" w:rsidRDefault="00D76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E254" w14:textId="77777777" w:rsidR="00D769D5" w:rsidRPr="009C5E6A" w:rsidRDefault="001C29E5" w:rsidP="00BC4AE3">
    <w:pPr>
      <w:pStyle w:val="Koptekst"/>
    </w:pPr>
    <w:r>
      <w:rPr>
        <w:noProof/>
      </w:rPr>
      <mc:AlternateContent>
        <mc:Choice Requires="wps">
          <w:drawing>
            <wp:anchor distT="0" distB="0" distL="114300" distR="114300" simplePos="0" relativeHeight="251657216" behindDoc="0" locked="0" layoutInCell="1" allowOverlap="1" wp14:anchorId="329AC3E3" wp14:editId="7659AF62">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6972654E" w14:textId="77777777">
                            <w:trPr>
                              <w:trHeight w:val="2636"/>
                            </w:trPr>
                            <w:tc>
                              <w:tcPr>
                                <w:tcW w:w="737" w:type="dxa"/>
                                <w:shd w:val="clear" w:color="auto" w:fill="auto"/>
                              </w:tcPr>
                              <w:p w14:paraId="082E6946" w14:textId="77777777" w:rsidR="00D769D5" w:rsidRDefault="00D769D5" w:rsidP="00B42DFA">
                                <w:pPr>
                                  <w:spacing w:line="240" w:lineRule="auto"/>
                                </w:pPr>
                                <w:bookmarkStart w:id="2" w:name="bm_BZlogo"/>
                                <w:bookmarkEnd w:id="2"/>
                              </w:p>
                            </w:tc>
                            <w:tc>
                              <w:tcPr>
                                <w:tcW w:w="5263" w:type="dxa"/>
                                <w:shd w:val="clear" w:color="auto" w:fill="auto"/>
                              </w:tcPr>
                              <w:p w14:paraId="77894D96" w14:textId="77777777" w:rsidR="00D769D5" w:rsidRDefault="001C29E5" w:rsidP="00B42DFA">
                                <w:pPr>
                                  <w:spacing w:line="240" w:lineRule="auto"/>
                                </w:pPr>
                                <w:r w:rsidRPr="00311AE1">
                                  <w:rPr>
                                    <w:noProof/>
                                  </w:rPr>
                                  <w:drawing>
                                    <wp:inline distT="0" distB="0" distL="0" distR="0" wp14:anchorId="4D3C2A60" wp14:editId="18327221">
                                      <wp:extent cx="2446020" cy="165354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3" w:name="bm_headerlogo"/>
                                <w:bookmarkEnd w:id="3"/>
                              </w:p>
                            </w:tc>
                          </w:tr>
                        </w:tbl>
                        <w:p w14:paraId="64A55E3D" w14:textId="77777777" w:rsidR="00D769D5" w:rsidRDefault="00D769D5"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AC3E3" id="_x0000_t202" coordsize="21600,21600" o:spt="202" path="m,l,21600r21600,l21600,xe">
              <v:stroke joinstyle="miter"/>
              <v:path gradientshapeok="t" o:connecttype="rect"/>
            </v:shapetype>
            <v:shape id="Text Box 31" o:spid="_x0000_s1026"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6972654E" w14:textId="77777777">
                      <w:trPr>
                        <w:trHeight w:val="2636"/>
                      </w:trPr>
                      <w:tc>
                        <w:tcPr>
                          <w:tcW w:w="737" w:type="dxa"/>
                          <w:shd w:val="clear" w:color="auto" w:fill="auto"/>
                        </w:tcPr>
                        <w:p w14:paraId="082E6946" w14:textId="77777777" w:rsidR="00D769D5" w:rsidRDefault="00D769D5" w:rsidP="00B42DFA">
                          <w:pPr>
                            <w:spacing w:line="240" w:lineRule="auto"/>
                          </w:pPr>
                          <w:bookmarkStart w:id="4" w:name="bm_BZlogo"/>
                          <w:bookmarkEnd w:id="4"/>
                        </w:p>
                      </w:tc>
                      <w:tc>
                        <w:tcPr>
                          <w:tcW w:w="5263" w:type="dxa"/>
                          <w:shd w:val="clear" w:color="auto" w:fill="auto"/>
                        </w:tcPr>
                        <w:p w14:paraId="77894D96" w14:textId="77777777" w:rsidR="00D769D5" w:rsidRDefault="001C29E5" w:rsidP="00B42DFA">
                          <w:pPr>
                            <w:spacing w:line="240" w:lineRule="auto"/>
                          </w:pPr>
                          <w:r w:rsidRPr="00311AE1">
                            <w:rPr>
                              <w:noProof/>
                            </w:rPr>
                            <w:drawing>
                              <wp:inline distT="0" distB="0" distL="0" distR="0" wp14:anchorId="4D3C2A60" wp14:editId="18327221">
                                <wp:extent cx="2446020" cy="165354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5" w:name="bm_headerlogo"/>
                          <w:bookmarkEnd w:id="5"/>
                        </w:p>
                      </w:tc>
                    </w:tr>
                  </w:tbl>
                  <w:p w14:paraId="64A55E3D" w14:textId="77777777" w:rsidR="00D769D5" w:rsidRDefault="00D769D5" w:rsidP="00092C5F"/>
                </w:txbxContent>
              </v:textbox>
              <w10:wrap anchory="page"/>
            </v:shape>
          </w:pict>
        </mc:Fallback>
      </mc:AlternateContent>
    </w:r>
  </w:p>
  <w:p w14:paraId="4AEFB630" w14:textId="77777777" w:rsidR="00D769D5" w:rsidRPr="009C5E6A" w:rsidRDefault="00D769D5" w:rsidP="00C84D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jstnummering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9" w15:restartNumberingAfterBreak="0">
    <w:nsid w:val="080603DB"/>
    <w:multiLevelType w:val="hybridMultilevel"/>
    <w:tmpl w:val="48066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0389F"/>
    <w:multiLevelType w:val="multilevel"/>
    <w:tmpl w:val="5AEEDE88"/>
    <w:numStyleLink w:val="StyleBulleted"/>
  </w:abstractNum>
  <w:abstractNum w:abstractNumId="16" w15:restartNumberingAfterBreak="0">
    <w:nsid w:val="3ADC3C4A"/>
    <w:multiLevelType w:val="multilevel"/>
    <w:tmpl w:val="9F0C18F8"/>
    <w:lvl w:ilvl="0">
      <w:start w:val="1"/>
      <w:numFmt w:val="decimal"/>
      <w:pStyle w:val="Lijstnummering"/>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15:restartNumberingAfterBreak="0">
    <w:nsid w:val="3F9A46B7"/>
    <w:multiLevelType w:val="hybridMultilevel"/>
    <w:tmpl w:val="48066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2" w15:restartNumberingAfterBreak="0">
    <w:nsid w:val="5D0731EE"/>
    <w:multiLevelType w:val="multilevel"/>
    <w:tmpl w:val="C6A2B8B4"/>
    <w:numStyleLink w:val="StyleNumbered"/>
  </w:abstractNum>
  <w:abstractNum w:abstractNumId="2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24" w15:restartNumberingAfterBreak="0">
    <w:nsid w:val="65441EC1"/>
    <w:multiLevelType w:val="multilevel"/>
    <w:tmpl w:val="73E8F73E"/>
    <w:lvl w:ilvl="0">
      <w:start w:val="1"/>
      <w:numFmt w:val="bullet"/>
      <w:pStyle w:val="Lijstopsomteken"/>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5"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6"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729814871">
    <w:abstractNumId w:val="12"/>
  </w:num>
  <w:num w:numId="2" w16cid:durableId="1769738585">
    <w:abstractNumId w:val="7"/>
  </w:num>
  <w:num w:numId="3" w16cid:durableId="881404015">
    <w:abstractNumId w:val="6"/>
  </w:num>
  <w:num w:numId="4" w16cid:durableId="481696981">
    <w:abstractNumId w:val="5"/>
  </w:num>
  <w:num w:numId="5" w16cid:durableId="1988631535">
    <w:abstractNumId w:val="4"/>
  </w:num>
  <w:num w:numId="6" w16cid:durableId="1660573454">
    <w:abstractNumId w:val="16"/>
  </w:num>
  <w:num w:numId="7" w16cid:durableId="1491365573">
    <w:abstractNumId w:val="3"/>
  </w:num>
  <w:num w:numId="8" w16cid:durableId="747462357">
    <w:abstractNumId w:val="2"/>
  </w:num>
  <w:num w:numId="9" w16cid:durableId="492794104">
    <w:abstractNumId w:val="1"/>
  </w:num>
  <w:num w:numId="10" w16cid:durableId="525489823">
    <w:abstractNumId w:val="0"/>
  </w:num>
  <w:num w:numId="11" w16cid:durableId="1002930153">
    <w:abstractNumId w:val="10"/>
  </w:num>
  <w:num w:numId="12" w16cid:durableId="1302080016">
    <w:abstractNumId w:val="13"/>
  </w:num>
  <w:num w:numId="13" w16cid:durableId="1305042063">
    <w:abstractNumId w:val="18"/>
  </w:num>
  <w:num w:numId="14" w16cid:durableId="272251592">
    <w:abstractNumId w:val="14"/>
  </w:num>
  <w:num w:numId="15" w16cid:durableId="1336687585">
    <w:abstractNumId w:val="11"/>
  </w:num>
  <w:num w:numId="16" w16cid:durableId="454060852">
    <w:abstractNumId w:val="11"/>
  </w:num>
  <w:num w:numId="17" w16cid:durableId="1825734519">
    <w:abstractNumId w:val="11"/>
  </w:num>
  <w:num w:numId="18" w16cid:durableId="898394319">
    <w:abstractNumId w:val="11"/>
  </w:num>
  <w:num w:numId="19" w16cid:durableId="1566719424">
    <w:abstractNumId w:val="11"/>
  </w:num>
  <w:num w:numId="20" w16cid:durableId="866603629">
    <w:abstractNumId w:val="23"/>
  </w:num>
  <w:num w:numId="21" w16cid:durableId="117991077">
    <w:abstractNumId w:val="23"/>
  </w:num>
  <w:num w:numId="22" w16cid:durableId="616837778">
    <w:abstractNumId w:val="23"/>
  </w:num>
  <w:num w:numId="23" w16cid:durableId="1834833082">
    <w:abstractNumId w:val="23"/>
  </w:num>
  <w:num w:numId="24" w16cid:durableId="1245190226">
    <w:abstractNumId w:val="11"/>
  </w:num>
  <w:num w:numId="25" w16cid:durableId="1979994943">
    <w:abstractNumId w:val="11"/>
  </w:num>
  <w:num w:numId="26" w16cid:durableId="2004552876">
    <w:abstractNumId w:val="11"/>
  </w:num>
  <w:num w:numId="27" w16cid:durableId="215358196">
    <w:abstractNumId w:val="11"/>
  </w:num>
  <w:num w:numId="28" w16cid:durableId="689379242">
    <w:abstractNumId w:val="11"/>
  </w:num>
  <w:num w:numId="29" w16cid:durableId="1371956370">
    <w:abstractNumId w:val="23"/>
  </w:num>
  <w:num w:numId="30" w16cid:durableId="714238934">
    <w:abstractNumId w:val="23"/>
  </w:num>
  <w:num w:numId="31" w16cid:durableId="1517882240">
    <w:abstractNumId w:val="23"/>
  </w:num>
  <w:num w:numId="32" w16cid:durableId="1670908342">
    <w:abstractNumId w:val="23"/>
  </w:num>
  <w:num w:numId="33" w16cid:durableId="349525133">
    <w:abstractNumId w:val="12"/>
  </w:num>
  <w:num w:numId="34" w16cid:durableId="2141462076">
    <w:abstractNumId w:val="7"/>
  </w:num>
  <w:num w:numId="35" w16cid:durableId="182405307">
    <w:abstractNumId w:val="16"/>
  </w:num>
  <w:num w:numId="36" w16cid:durableId="569269444">
    <w:abstractNumId w:val="3"/>
  </w:num>
  <w:num w:numId="37" w16cid:durableId="649138116">
    <w:abstractNumId w:val="22"/>
  </w:num>
  <w:num w:numId="38" w16cid:durableId="968969761">
    <w:abstractNumId w:val="8"/>
  </w:num>
  <w:num w:numId="39" w16cid:durableId="1031609550">
    <w:abstractNumId w:val="19"/>
  </w:num>
  <w:num w:numId="40" w16cid:durableId="1234240890">
    <w:abstractNumId w:val="25"/>
  </w:num>
  <w:num w:numId="41" w16cid:durableId="645090020">
    <w:abstractNumId w:val="15"/>
  </w:num>
  <w:num w:numId="42" w16cid:durableId="2030402779">
    <w:abstractNumId w:val="26"/>
  </w:num>
  <w:num w:numId="43" w16cid:durableId="1123424835">
    <w:abstractNumId w:val="24"/>
  </w:num>
  <w:num w:numId="44" w16cid:durableId="831683425">
    <w:abstractNumId w:val="20"/>
  </w:num>
  <w:num w:numId="45" w16cid:durableId="1513108045">
    <w:abstractNumId w:val="27"/>
  </w:num>
  <w:num w:numId="46" w16cid:durableId="388767635">
    <w:abstractNumId w:val="21"/>
  </w:num>
  <w:num w:numId="47" w16cid:durableId="589044839">
    <w:abstractNumId w:val="9"/>
  </w:num>
  <w:num w:numId="48" w16cid:durableId="64500864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6A"/>
    <w:rsid w:val="00007CA7"/>
    <w:rsid w:val="0001034F"/>
    <w:rsid w:val="000104DA"/>
    <w:rsid w:val="00010AC0"/>
    <w:rsid w:val="0001192B"/>
    <w:rsid w:val="00013862"/>
    <w:rsid w:val="00020189"/>
    <w:rsid w:val="00020EE4"/>
    <w:rsid w:val="00023E9A"/>
    <w:rsid w:val="00024EFC"/>
    <w:rsid w:val="00031CCA"/>
    <w:rsid w:val="00034A84"/>
    <w:rsid w:val="00035E67"/>
    <w:rsid w:val="00045B4B"/>
    <w:rsid w:val="000527C8"/>
    <w:rsid w:val="00054333"/>
    <w:rsid w:val="000574E1"/>
    <w:rsid w:val="00071F28"/>
    <w:rsid w:val="00080A91"/>
    <w:rsid w:val="0008616E"/>
    <w:rsid w:val="00087DCB"/>
    <w:rsid w:val="0009102B"/>
    <w:rsid w:val="00092799"/>
    <w:rsid w:val="00092C5F"/>
    <w:rsid w:val="00094737"/>
    <w:rsid w:val="00096680"/>
    <w:rsid w:val="000A0081"/>
    <w:rsid w:val="000A174A"/>
    <w:rsid w:val="000A1AED"/>
    <w:rsid w:val="000A480F"/>
    <w:rsid w:val="000A65AC"/>
    <w:rsid w:val="000B56C9"/>
    <w:rsid w:val="000B7128"/>
    <w:rsid w:val="000B7281"/>
    <w:rsid w:val="000B7FAB"/>
    <w:rsid w:val="000C0C69"/>
    <w:rsid w:val="000C1D25"/>
    <w:rsid w:val="000C3449"/>
    <w:rsid w:val="000C3EA9"/>
    <w:rsid w:val="000C5E8B"/>
    <w:rsid w:val="000C5EA3"/>
    <w:rsid w:val="000D1B10"/>
    <w:rsid w:val="000D37D5"/>
    <w:rsid w:val="000D595D"/>
    <w:rsid w:val="000E7E8B"/>
    <w:rsid w:val="000F5BE0"/>
    <w:rsid w:val="000F5EAE"/>
    <w:rsid w:val="001013D2"/>
    <w:rsid w:val="00104D99"/>
    <w:rsid w:val="001075CB"/>
    <w:rsid w:val="00107C9D"/>
    <w:rsid w:val="00120734"/>
    <w:rsid w:val="00123704"/>
    <w:rsid w:val="001267E6"/>
    <w:rsid w:val="001270C7"/>
    <w:rsid w:val="00127C7F"/>
    <w:rsid w:val="001312C9"/>
    <w:rsid w:val="00132CC3"/>
    <w:rsid w:val="001350E7"/>
    <w:rsid w:val="00135F63"/>
    <w:rsid w:val="00145C49"/>
    <w:rsid w:val="0014786A"/>
    <w:rsid w:val="001516A4"/>
    <w:rsid w:val="00151E5F"/>
    <w:rsid w:val="00151EB5"/>
    <w:rsid w:val="001569AB"/>
    <w:rsid w:val="00164ED2"/>
    <w:rsid w:val="00165C45"/>
    <w:rsid w:val="001726F3"/>
    <w:rsid w:val="0017532E"/>
    <w:rsid w:val="00175C21"/>
    <w:rsid w:val="00176B48"/>
    <w:rsid w:val="001819CD"/>
    <w:rsid w:val="00185576"/>
    <w:rsid w:val="00185951"/>
    <w:rsid w:val="00186811"/>
    <w:rsid w:val="00193858"/>
    <w:rsid w:val="00195C58"/>
    <w:rsid w:val="00196D1D"/>
    <w:rsid w:val="001A2BEA"/>
    <w:rsid w:val="001A416C"/>
    <w:rsid w:val="001A6D93"/>
    <w:rsid w:val="001C29E5"/>
    <w:rsid w:val="001D028B"/>
    <w:rsid w:val="001D47BA"/>
    <w:rsid w:val="001D4A9C"/>
    <w:rsid w:val="001E0B0C"/>
    <w:rsid w:val="001E34C6"/>
    <w:rsid w:val="001E46B3"/>
    <w:rsid w:val="001E5581"/>
    <w:rsid w:val="001F3C70"/>
    <w:rsid w:val="001F798B"/>
    <w:rsid w:val="0021228E"/>
    <w:rsid w:val="00212C5E"/>
    <w:rsid w:val="00214F2B"/>
    <w:rsid w:val="00216367"/>
    <w:rsid w:val="0023753D"/>
    <w:rsid w:val="002428E3"/>
    <w:rsid w:val="002442BD"/>
    <w:rsid w:val="00244E5B"/>
    <w:rsid w:val="0025088A"/>
    <w:rsid w:val="002551CB"/>
    <w:rsid w:val="002607CA"/>
    <w:rsid w:val="00260BAF"/>
    <w:rsid w:val="00264424"/>
    <w:rsid w:val="002644BF"/>
    <w:rsid w:val="002650F7"/>
    <w:rsid w:val="00271DA1"/>
    <w:rsid w:val="00273F3B"/>
    <w:rsid w:val="00275984"/>
    <w:rsid w:val="00280F74"/>
    <w:rsid w:val="00281752"/>
    <w:rsid w:val="00283773"/>
    <w:rsid w:val="0028393E"/>
    <w:rsid w:val="00285977"/>
    <w:rsid w:val="00286998"/>
    <w:rsid w:val="00291AB7"/>
    <w:rsid w:val="002A16AF"/>
    <w:rsid w:val="002B0F9B"/>
    <w:rsid w:val="002B153C"/>
    <w:rsid w:val="002C2F46"/>
    <w:rsid w:val="002D317B"/>
    <w:rsid w:val="002D502D"/>
    <w:rsid w:val="002E0F69"/>
    <w:rsid w:val="002E4F52"/>
    <w:rsid w:val="002E7C0A"/>
    <w:rsid w:val="002F4078"/>
    <w:rsid w:val="003040E6"/>
    <w:rsid w:val="00312597"/>
    <w:rsid w:val="00312C17"/>
    <w:rsid w:val="00314773"/>
    <w:rsid w:val="003215ED"/>
    <w:rsid w:val="00330E04"/>
    <w:rsid w:val="00341FA0"/>
    <w:rsid w:val="00343C8D"/>
    <w:rsid w:val="00344E82"/>
    <w:rsid w:val="0035177E"/>
    <w:rsid w:val="00353932"/>
    <w:rsid w:val="0036252A"/>
    <w:rsid w:val="00364A96"/>
    <w:rsid w:val="00364D9D"/>
    <w:rsid w:val="00370711"/>
    <w:rsid w:val="0037421D"/>
    <w:rsid w:val="00374348"/>
    <w:rsid w:val="003743CF"/>
    <w:rsid w:val="00383DA1"/>
    <w:rsid w:val="00386089"/>
    <w:rsid w:val="00387AF0"/>
    <w:rsid w:val="0039392D"/>
    <w:rsid w:val="003951BD"/>
    <w:rsid w:val="00395575"/>
    <w:rsid w:val="003A0424"/>
    <w:rsid w:val="003A06C8"/>
    <w:rsid w:val="003A0D7C"/>
    <w:rsid w:val="003A6CAD"/>
    <w:rsid w:val="003B1788"/>
    <w:rsid w:val="003B6003"/>
    <w:rsid w:val="003B77CB"/>
    <w:rsid w:val="003B7EE7"/>
    <w:rsid w:val="003D39EC"/>
    <w:rsid w:val="003E3D54"/>
    <w:rsid w:val="003E3DD5"/>
    <w:rsid w:val="003E5F7A"/>
    <w:rsid w:val="003F07C6"/>
    <w:rsid w:val="003F44B7"/>
    <w:rsid w:val="00407B7E"/>
    <w:rsid w:val="00413452"/>
    <w:rsid w:val="00413D48"/>
    <w:rsid w:val="004211CC"/>
    <w:rsid w:val="00421D2C"/>
    <w:rsid w:val="00425166"/>
    <w:rsid w:val="00427BE6"/>
    <w:rsid w:val="00434295"/>
    <w:rsid w:val="00436F50"/>
    <w:rsid w:val="00441473"/>
    <w:rsid w:val="004418AE"/>
    <w:rsid w:val="00441AC2"/>
    <w:rsid w:val="0044249B"/>
    <w:rsid w:val="0044675F"/>
    <w:rsid w:val="00451A5B"/>
    <w:rsid w:val="00452BCD"/>
    <w:rsid w:val="00452CEA"/>
    <w:rsid w:val="00465B52"/>
    <w:rsid w:val="00474B75"/>
    <w:rsid w:val="0047764A"/>
    <w:rsid w:val="00482A7E"/>
    <w:rsid w:val="00483F0B"/>
    <w:rsid w:val="00492AF1"/>
    <w:rsid w:val="00496319"/>
    <w:rsid w:val="004972F1"/>
    <w:rsid w:val="004976D4"/>
    <w:rsid w:val="004A052B"/>
    <w:rsid w:val="004A7831"/>
    <w:rsid w:val="004B5465"/>
    <w:rsid w:val="004C2487"/>
    <w:rsid w:val="004C4747"/>
    <w:rsid w:val="004D024B"/>
    <w:rsid w:val="004D1AF4"/>
    <w:rsid w:val="004D3DBE"/>
    <w:rsid w:val="004D58E8"/>
    <w:rsid w:val="004D72CA"/>
    <w:rsid w:val="004E271C"/>
    <w:rsid w:val="004E6405"/>
    <w:rsid w:val="004E6E34"/>
    <w:rsid w:val="004E7708"/>
    <w:rsid w:val="004F44C2"/>
    <w:rsid w:val="005100E7"/>
    <w:rsid w:val="00514504"/>
    <w:rsid w:val="00514B01"/>
    <w:rsid w:val="00516022"/>
    <w:rsid w:val="005219B8"/>
    <w:rsid w:val="00521CEE"/>
    <w:rsid w:val="0052650D"/>
    <w:rsid w:val="00535213"/>
    <w:rsid w:val="00541146"/>
    <w:rsid w:val="0054258A"/>
    <w:rsid w:val="005429DC"/>
    <w:rsid w:val="00551D3D"/>
    <w:rsid w:val="00552369"/>
    <w:rsid w:val="005534E3"/>
    <w:rsid w:val="00564E31"/>
    <w:rsid w:val="0056667B"/>
    <w:rsid w:val="00566DED"/>
    <w:rsid w:val="00573041"/>
    <w:rsid w:val="00575B80"/>
    <w:rsid w:val="0057640F"/>
    <w:rsid w:val="00581BBC"/>
    <w:rsid w:val="0059561C"/>
    <w:rsid w:val="00596166"/>
    <w:rsid w:val="005C050A"/>
    <w:rsid w:val="005C388F"/>
    <w:rsid w:val="005C3FE0"/>
    <w:rsid w:val="005C60CB"/>
    <w:rsid w:val="005C740C"/>
    <w:rsid w:val="005D1E37"/>
    <w:rsid w:val="005D393C"/>
    <w:rsid w:val="005E222A"/>
    <w:rsid w:val="005E2FCE"/>
    <w:rsid w:val="005F10ED"/>
    <w:rsid w:val="005F1D89"/>
    <w:rsid w:val="00600CF0"/>
    <w:rsid w:val="006048F4"/>
    <w:rsid w:val="0060660A"/>
    <w:rsid w:val="00617A44"/>
    <w:rsid w:val="006215E9"/>
    <w:rsid w:val="00621AD5"/>
    <w:rsid w:val="006255A4"/>
    <w:rsid w:val="00625CD0"/>
    <w:rsid w:val="00625E30"/>
    <w:rsid w:val="006323B7"/>
    <w:rsid w:val="006405C9"/>
    <w:rsid w:val="00643A91"/>
    <w:rsid w:val="00647E2F"/>
    <w:rsid w:val="00653606"/>
    <w:rsid w:val="00661591"/>
    <w:rsid w:val="0066632F"/>
    <w:rsid w:val="00674AB0"/>
    <w:rsid w:val="006754D1"/>
    <w:rsid w:val="006828A8"/>
    <w:rsid w:val="00687F5A"/>
    <w:rsid w:val="006906E5"/>
    <w:rsid w:val="006A30BE"/>
    <w:rsid w:val="006B52F7"/>
    <w:rsid w:val="006B775E"/>
    <w:rsid w:val="006C2535"/>
    <w:rsid w:val="006C2D9B"/>
    <w:rsid w:val="006C441E"/>
    <w:rsid w:val="006C7B78"/>
    <w:rsid w:val="006D18B0"/>
    <w:rsid w:val="006D32AF"/>
    <w:rsid w:val="006E13E2"/>
    <w:rsid w:val="006E3546"/>
    <w:rsid w:val="006E44E0"/>
    <w:rsid w:val="006E57DC"/>
    <w:rsid w:val="006E7D82"/>
    <w:rsid w:val="006F0F93"/>
    <w:rsid w:val="006F2493"/>
    <w:rsid w:val="006F31F2"/>
    <w:rsid w:val="00702EDB"/>
    <w:rsid w:val="00706D0D"/>
    <w:rsid w:val="00710FC3"/>
    <w:rsid w:val="00714DC5"/>
    <w:rsid w:val="00715237"/>
    <w:rsid w:val="00717741"/>
    <w:rsid w:val="00723118"/>
    <w:rsid w:val="00723E60"/>
    <w:rsid w:val="007254A5"/>
    <w:rsid w:val="00725748"/>
    <w:rsid w:val="00733978"/>
    <w:rsid w:val="0073720D"/>
    <w:rsid w:val="00740712"/>
    <w:rsid w:val="00742AB9"/>
    <w:rsid w:val="00744473"/>
    <w:rsid w:val="007449AB"/>
    <w:rsid w:val="00750081"/>
    <w:rsid w:val="00754231"/>
    <w:rsid w:val="00754FBF"/>
    <w:rsid w:val="00755B48"/>
    <w:rsid w:val="00771D78"/>
    <w:rsid w:val="00775BAD"/>
    <w:rsid w:val="0077662C"/>
    <w:rsid w:val="00777579"/>
    <w:rsid w:val="00783559"/>
    <w:rsid w:val="00797AA5"/>
    <w:rsid w:val="007A0686"/>
    <w:rsid w:val="007A406F"/>
    <w:rsid w:val="007A40EA"/>
    <w:rsid w:val="007A4105"/>
    <w:rsid w:val="007A5D29"/>
    <w:rsid w:val="007B4503"/>
    <w:rsid w:val="007B729C"/>
    <w:rsid w:val="007B7F1F"/>
    <w:rsid w:val="007C2173"/>
    <w:rsid w:val="007C406E"/>
    <w:rsid w:val="007C46B8"/>
    <w:rsid w:val="007C5183"/>
    <w:rsid w:val="007D23D9"/>
    <w:rsid w:val="007D45AF"/>
    <w:rsid w:val="007D5DCF"/>
    <w:rsid w:val="007D6ADF"/>
    <w:rsid w:val="007E3B6C"/>
    <w:rsid w:val="007F5D19"/>
    <w:rsid w:val="00800CCA"/>
    <w:rsid w:val="00806120"/>
    <w:rsid w:val="00806D37"/>
    <w:rsid w:val="00807E4C"/>
    <w:rsid w:val="00812028"/>
    <w:rsid w:val="00813082"/>
    <w:rsid w:val="00814D03"/>
    <w:rsid w:val="00826E32"/>
    <w:rsid w:val="00827D9B"/>
    <w:rsid w:val="00827E58"/>
    <w:rsid w:val="0083178B"/>
    <w:rsid w:val="00833695"/>
    <w:rsid w:val="008336B7"/>
    <w:rsid w:val="00842CD8"/>
    <w:rsid w:val="00844946"/>
    <w:rsid w:val="00846884"/>
    <w:rsid w:val="008468A5"/>
    <w:rsid w:val="0084741C"/>
    <w:rsid w:val="008478F4"/>
    <w:rsid w:val="00847A83"/>
    <w:rsid w:val="008547BA"/>
    <w:rsid w:val="008553C7"/>
    <w:rsid w:val="0085716A"/>
    <w:rsid w:val="00857FEB"/>
    <w:rsid w:val="0086101E"/>
    <w:rsid w:val="00872271"/>
    <w:rsid w:val="0087649F"/>
    <w:rsid w:val="00877DD2"/>
    <w:rsid w:val="00886593"/>
    <w:rsid w:val="00887E81"/>
    <w:rsid w:val="00890DD0"/>
    <w:rsid w:val="008A7A3C"/>
    <w:rsid w:val="008B3929"/>
    <w:rsid w:val="008B4CB3"/>
    <w:rsid w:val="008D1662"/>
    <w:rsid w:val="008D5492"/>
    <w:rsid w:val="008D605F"/>
    <w:rsid w:val="008E0C05"/>
    <w:rsid w:val="008E49AD"/>
    <w:rsid w:val="008F1FFF"/>
    <w:rsid w:val="008F3246"/>
    <w:rsid w:val="008F508C"/>
    <w:rsid w:val="0090415F"/>
    <w:rsid w:val="0090574D"/>
    <w:rsid w:val="00910642"/>
    <w:rsid w:val="00916CBB"/>
    <w:rsid w:val="0092062B"/>
    <w:rsid w:val="00923961"/>
    <w:rsid w:val="00927EDD"/>
    <w:rsid w:val="009311C8"/>
    <w:rsid w:val="00931E9A"/>
    <w:rsid w:val="00933376"/>
    <w:rsid w:val="00933A2F"/>
    <w:rsid w:val="00960908"/>
    <w:rsid w:val="00961E6E"/>
    <w:rsid w:val="0096413D"/>
    <w:rsid w:val="0096431B"/>
    <w:rsid w:val="00964C07"/>
    <w:rsid w:val="009718F9"/>
    <w:rsid w:val="0097363B"/>
    <w:rsid w:val="00975112"/>
    <w:rsid w:val="00975852"/>
    <w:rsid w:val="00981465"/>
    <w:rsid w:val="00984803"/>
    <w:rsid w:val="00986981"/>
    <w:rsid w:val="00994FDA"/>
    <w:rsid w:val="009A3B71"/>
    <w:rsid w:val="009A61BC"/>
    <w:rsid w:val="009B0B9C"/>
    <w:rsid w:val="009C1A8D"/>
    <w:rsid w:val="009C3A33"/>
    <w:rsid w:val="009C3F20"/>
    <w:rsid w:val="009C5E6A"/>
    <w:rsid w:val="009D4D26"/>
    <w:rsid w:val="009D5FF9"/>
    <w:rsid w:val="009D6A0B"/>
    <w:rsid w:val="009E4B3E"/>
    <w:rsid w:val="009F20F8"/>
    <w:rsid w:val="009F3CEC"/>
    <w:rsid w:val="009F71D8"/>
    <w:rsid w:val="00A0257B"/>
    <w:rsid w:val="00A14713"/>
    <w:rsid w:val="00A17A3B"/>
    <w:rsid w:val="00A2047E"/>
    <w:rsid w:val="00A21E76"/>
    <w:rsid w:val="00A27C4C"/>
    <w:rsid w:val="00A30B67"/>
    <w:rsid w:val="00A30E68"/>
    <w:rsid w:val="00A34AA0"/>
    <w:rsid w:val="00A44542"/>
    <w:rsid w:val="00A445DB"/>
    <w:rsid w:val="00A5652A"/>
    <w:rsid w:val="00A56946"/>
    <w:rsid w:val="00A60DC6"/>
    <w:rsid w:val="00A62BE2"/>
    <w:rsid w:val="00A67B2D"/>
    <w:rsid w:val="00A7369C"/>
    <w:rsid w:val="00A76F70"/>
    <w:rsid w:val="00A7726B"/>
    <w:rsid w:val="00A77D5B"/>
    <w:rsid w:val="00A831FD"/>
    <w:rsid w:val="00A863E5"/>
    <w:rsid w:val="00A87199"/>
    <w:rsid w:val="00A94567"/>
    <w:rsid w:val="00A970D3"/>
    <w:rsid w:val="00AA0C4F"/>
    <w:rsid w:val="00AB523F"/>
    <w:rsid w:val="00AB5933"/>
    <w:rsid w:val="00AC2429"/>
    <w:rsid w:val="00AD1066"/>
    <w:rsid w:val="00AD3A06"/>
    <w:rsid w:val="00AD3D4F"/>
    <w:rsid w:val="00AD3EB6"/>
    <w:rsid w:val="00AE013D"/>
    <w:rsid w:val="00AE11B7"/>
    <w:rsid w:val="00AE3CE3"/>
    <w:rsid w:val="00AF193A"/>
    <w:rsid w:val="00AF7237"/>
    <w:rsid w:val="00B00D75"/>
    <w:rsid w:val="00B0678A"/>
    <w:rsid w:val="00B070CB"/>
    <w:rsid w:val="00B10986"/>
    <w:rsid w:val="00B13207"/>
    <w:rsid w:val="00B155AA"/>
    <w:rsid w:val="00B178E5"/>
    <w:rsid w:val="00B21609"/>
    <w:rsid w:val="00B26CCF"/>
    <w:rsid w:val="00B26FD5"/>
    <w:rsid w:val="00B30C20"/>
    <w:rsid w:val="00B310E7"/>
    <w:rsid w:val="00B3355B"/>
    <w:rsid w:val="00B3752D"/>
    <w:rsid w:val="00B41404"/>
    <w:rsid w:val="00B42DFA"/>
    <w:rsid w:val="00B443D1"/>
    <w:rsid w:val="00B513C3"/>
    <w:rsid w:val="00B51C45"/>
    <w:rsid w:val="00B531DD"/>
    <w:rsid w:val="00B5325F"/>
    <w:rsid w:val="00B61E2E"/>
    <w:rsid w:val="00B62A58"/>
    <w:rsid w:val="00B66384"/>
    <w:rsid w:val="00B67EC6"/>
    <w:rsid w:val="00B71257"/>
    <w:rsid w:val="00B71358"/>
    <w:rsid w:val="00B71DC2"/>
    <w:rsid w:val="00B75FC1"/>
    <w:rsid w:val="00B84753"/>
    <w:rsid w:val="00B847D9"/>
    <w:rsid w:val="00B8572C"/>
    <w:rsid w:val="00B935D2"/>
    <w:rsid w:val="00B93893"/>
    <w:rsid w:val="00B96161"/>
    <w:rsid w:val="00BA649C"/>
    <w:rsid w:val="00BB0CE9"/>
    <w:rsid w:val="00BB531F"/>
    <w:rsid w:val="00BC3B53"/>
    <w:rsid w:val="00BC3B96"/>
    <w:rsid w:val="00BC4AE3"/>
    <w:rsid w:val="00BC5E96"/>
    <w:rsid w:val="00BC62C6"/>
    <w:rsid w:val="00BD381A"/>
    <w:rsid w:val="00BD49EC"/>
    <w:rsid w:val="00BD4D44"/>
    <w:rsid w:val="00BE3F88"/>
    <w:rsid w:val="00BE4756"/>
    <w:rsid w:val="00C00E6C"/>
    <w:rsid w:val="00C01B2B"/>
    <w:rsid w:val="00C01DDB"/>
    <w:rsid w:val="00C0778E"/>
    <w:rsid w:val="00C17C2D"/>
    <w:rsid w:val="00C20614"/>
    <w:rsid w:val="00C206F1"/>
    <w:rsid w:val="00C20E52"/>
    <w:rsid w:val="00C258F1"/>
    <w:rsid w:val="00C40C60"/>
    <w:rsid w:val="00C5258E"/>
    <w:rsid w:val="00C600AD"/>
    <w:rsid w:val="00C70CE9"/>
    <w:rsid w:val="00C718A5"/>
    <w:rsid w:val="00C77F13"/>
    <w:rsid w:val="00C816BF"/>
    <w:rsid w:val="00C8233F"/>
    <w:rsid w:val="00C84D65"/>
    <w:rsid w:val="00C85AD9"/>
    <w:rsid w:val="00C86596"/>
    <w:rsid w:val="00C932C9"/>
    <w:rsid w:val="00C97C80"/>
    <w:rsid w:val="00CA075D"/>
    <w:rsid w:val="00CA47D3"/>
    <w:rsid w:val="00CB1C05"/>
    <w:rsid w:val="00CB23F9"/>
    <w:rsid w:val="00CB36E5"/>
    <w:rsid w:val="00CC2CC0"/>
    <w:rsid w:val="00CC5935"/>
    <w:rsid w:val="00CD1828"/>
    <w:rsid w:val="00CD362D"/>
    <w:rsid w:val="00CF03C9"/>
    <w:rsid w:val="00CF053F"/>
    <w:rsid w:val="00CF309A"/>
    <w:rsid w:val="00CF51D4"/>
    <w:rsid w:val="00D027D3"/>
    <w:rsid w:val="00D0285D"/>
    <w:rsid w:val="00D04249"/>
    <w:rsid w:val="00D078E1"/>
    <w:rsid w:val="00D100E9"/>
    <w:rsid w:val="00D13FBD"/>
    <w:rsid w:val="00D21E4B"/>
    <w:rsid w:val="00D2312B"/>
    <w:rsid w:val="00D23522"/>
    <w:rsid w:val="00D27CEC"/>
    <w:rsid w:val="00D335A6"/>
    <w:rsid w:val="00D516BE"/>
    <w:rsid w:val="00D53967"/>
    <w:rsid w:val="00D5423B"/>
    <w:rsid w:val="00D54F4E"/>
    <w:rsid w:val="00D55BA9"/>
    <w:rsid w:val="00D566F3"/>
    <w:rsid w:val="00D573F0"/>
    <w:rsid w:val="00D60BA4"/>
    <w:rsid w:val="00D62419"/>
    <w:rsid w:val="00D62C92"/>
    <w:rsid w:val="00D665FE"/>
    <w:rsid w:val="00D716A0"/>
    <w:rsid w:val="00D768F1"/>
    <w:rsid w:val="00D769D5"/>
    <w:rsid w:val="00D77870"/>
    <w:rsid w:val="00D80CCE"/>
    <w:rsid w:val="00D8157D"/>
    <w:rsid w:val="00D95C88"/>
    <w:rsid w:val="00D97B2E"/>
    <w:rsid w:val="00DA0290"/>
    <w:rsid w:val="00DA4FE7"/>
    <w:rsid w:val="00DA768C"/>
    <w:rsid w:val="00DA7EAB"/>
    <w:rsid w:val="00DB36FE"/>
    <w:rsid w:val="00DB7806"/>
    <w:rsid w:val="00DC09A0"/>
    <w:rsid w:val="00DC132C"/>
    <w:rsid w:val="00DC7A25"/>
    <w:rsid w:val="00DD0E47"/>
    <w:rsid w:val="00DD2AB8"/>
    <w:rsid w:val="00DE22FF"/>
    <w:rsid w:val="00DE34A4"/>
    <w:rsid w:val="00DE578A"/>
    <w:rsid w:val="00DE5A68"/>
    <w:rsid w:val="00DF00A4"/>
    <w:rsid w:val="00DF20D4"/>
    <w:rsid w:val="00DF2583"/>
    <w:rsid w:val="00DF3366"/>
    <w:rsid w:val="00DF54D9"/>
    <w:rsid w:val="00E07298"/>
    <w:rsid w:val="00E10DC6"/>
    <w:rsid w:val="00E11F8E"/>
    <w:rsid w:val="00E16D97"/>
    <w:rsid w:val="00E17467"/>
    <w:rsid w:val="00E21245"/>
    <w:rsid w:val="00E3731D"/>
    <w:rsid w:val="00E4222F"/>
    <w:rsid w:val="00E50D43"/>
    <w:rsid w:val="00E50E9C"/>
    <w:rsid w:val="00E51ABD"/>
    <w:rsid w:val="00E62B01"/>
    <w:rsid w:val="00E634E3"/>
    <w:rsid w:val="00E658F6"/>
    <w:rsid w:val="00E735EC"/>
    <w:rsid w:val="00E770E9"/>
    <w:rsid w:val="00E77F89"/>
    <w:rsid w:val="00E95ADD"/>
    <w:rsid w:val="00E9640D"/>
    <w:rsid w:val="00EA7215"/>
    <w:rsid w:val="00EA78AE"/>
    <w:rsid w:val="00EC06B8"/>
    <w:rsid w:val="00EC0DFF"/>
    <w:rsid w:val="00EC237D"/>
    <w:rsid w:val="00EC55A9"/>
    <w:rsid w:val="00ED072A"/>
    <w:rsid w:val="00ED4B19"/>
    <w:rsid w:val="00EE0639"/>
    <w:rsid w:val="00EE2AF7"/>
    <w:rsid w:val="00EE4A1F"/>
    <w:rsid w:val="00EF106B"/>
    <w:rsid w:val="00EF158A"/>
    <w:rsid w:val="00EF1B5A"/>
    <w:rsid w:val="00EF2CCA"/>
    <w:rsid w:val="00EF4291"/>
    <w:rsid w:val="00EF690F"/>
    <w:rsid w:val="00F0177F"/>
    <w:rsid w:val="00F03963"/>
    <w:rsid w:val="00F074A1"/>
    <w:rsid w:val="00F10EE0"/>
    <w:rsid w:val="00F1256D"/>
    <w:rsid w:val="00F12E23"/>
    <w:rsid w:val="00F13A4E"/>
    <w:rsid w:val="00F172BB"/>
    <w:rsid w:val="00F179FB"/>
    <w:rsid w:val="00F2033D"/>
    <w:rsid w:val="00F21BEF"/>
    <w:rsid w:val="00F24CA6"/>
    <w:rsid w:val="00F26F8B"/>
    <w:rsid w:val="00F35992"/>
    <w:rsid w:val="00F41E50"/>
    <w:rsid w:val="00F43176"/>
    <w:rsid w:val="00F44DAD"/>
    <w:rsid w:val="00F46948"/>
    <w:rsid w:val="00F50F86"/>
    <w:rsid w:val="00F52970"/>
    <w:rsid w:val="00F53392"/>
    <w:rsid w:val="00F53F91"/>
    <w:rsid w:val="00F61A72"/>
    <w:rsid w:val="00F663C3"/>
    <w:rsid w:val="00F66F13"/>
    <w:rsid w:val="00F74073"/>
    <w:rsid w:val="00F8713B"/>
    <w:rsid w:val="00F92DFF"/>
    <w:rsid w:val="00F93F9E"/>
    <w:rsid w:val="00FA054D"/>
    <w:rsid w:val="00FA4670"/>
    <w:rsid w:val="00FA580A"/>
    <w:rsid w:val="00FB06ED"/>
    <w:rsid w:val="00FB41A3"/>
    <w:rsid w:val="00FC0F3F"/>
    <w:rsid w:val="00FC17EC"/>
    <w:rsid w:val="00FC36AB"/>
    <w:rsid w:val="00FC38C1"/>
    <w:rsid w:val="00FC39DF"/>
    <w:rsid w:val="00FD08F1"/>
    <w:rsid w:val="00FE0DBA"/>
    <w:rsid w:val="00FE2C36"/>
    <w:rsid w:val="00FE4F08"/>
    <w:rsid w:val="00FE4F31"/>
    <w:rsid w:val="00FF1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stroke="f">
      <v:fill color="white" on="f"/>
      <v:stroke on="f"/>
    </o:shapedefaults>
    <o:shapelayout v:ext="edit">
      <o:idmap v:ext="edit" data="2"/>
    </o:shapelayout>
  </w:shapeDefaults>
  <w:decimalSymbol w:val=","/>
  <w:listSeparator w:val=";"/>
  <w14:docId w14:val="5C5AA7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4424"/>
    <w:pPr>
      <w:spacing w:line="240" w:lineRule="atLeast"/>
    </w:pPr>
    <w:rPr>
      <w:rFonts w:ascii="Verdana" w:hAnsi="Verdana"/>
      <w:sz w:val="18"/>
      <w:szCs w:val="24"/>
    </w:rPr>
  </w:style>
  <w:style w:type="paragraph" w:styleId="Kop1">
    <w:name w:val="heading 1"/>
    <w:basedOn w:val="Standaard"/>
    <w:next w:val="Standaard"/>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Kop2">
    <w:name w:val="heading 2"/>
    <w:basedOn w:val="Kop1"/>
    <w:next w:val="Standaard"/>
    <w:link w:val="Kop2Char"/>
    <w:qFormat/>
    <w:rsid w:val="0026442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26442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264424"/>
    <w:pPr>
      <w:numPr>
        <w:ilvl w:val="4"/>
        <w:numId w:val="28"/>
      </w:numPr>
      <w:spacing w:before="240" w:after="60"/>
      <w:outlineLvl w:val="4"/>
    </w:pPr>
    <w:rPr>
      <w:b/>
      <w:bCs/>
      <w:i/>
      <w:iCs/>
      <w:sz w:val="26"/>
      <w:szCs w:val="26"/>
    </w:rPr>
  </w:style>
  <w:style w:type="paragraph" w:styleId="Kop6">
    <w:name w:val="heading 6"/>
    <w:basedOn w:val="Standaard"/>
    <w:next w:val="Standaard"/>
    <w:qFormat/>
    <w:rsid w:val="00264424"/>
    <w:pPr>
      <w:numPr>
        <w:ilvl w:val="5"/>
        <w:numId w:val="3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264424"/>
    <w:pPr>
      <w:numPr>
        <w:ilvl w:val="6"/>
        <w:numId w:val="32"/>
      </w:numPr>
      <w:spacing w:before="240" w:after="60"/>
      <w:outlineLvl w:val="6"/>
    </w:pPr>
    <w:rPr>
      <w:rFonts w:ascii="Times New Roman" w:hAnsi="Times New Roman"/>
      <w:sz w:val="24"/>
    </w:rPr>
  </w:style>
  <w:style w:type="paragraph" w:styleId="Kop8">
    <w:name w:val="heading 8"/>
    <w:basedOn w:val="Standaard"/>
    <w:next w:val="Standaard"/>
    <w:qFormat/>
    <w:rsid w:val="00264424"/>
    <w:pPr>
      <w:numPr>
        <w:ilvl w:val="7"/>
        <w:numId w:val="32"/>
      </w:numPr>
      <w:spacing w:before="240" w:after="60"/>
      <w:outlineLvl w:val="7"/>
    </w:pPr>
    <w:rPr>
      <w:rFonts w:ascii="Times New Roman" w:hAnsi="Times New Roman"/>
      <w:i/>
      <w:iCs/>
      <w:sz w:val="24"/>
    </w:rPr>
  </w:style>
  <w:style w:type="paragraph" w:styleId="Kop9">
    <w:name w:val="heading 9"/>
    <w:basedOn w:val="Standaard"/>
    <w:next w:val="Standaard"/>
    <w:qFormat/>
    <w:rsid w:val="00264424"/>
    <w:pPr>
      <w:numPr>
        <w:ilvl w:val="8"/>
        <w:numId w:val="3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4424"/>
    <w:pPr>
      <w:tabs>
        <w:tab w:val="center" w:pos="4536"/>
        <w:tab w:val="right" w:pos="9072"/>
      </w:tabs>
    </w:pPr>
  </w:style>
  <w:style w:type="paragraph" w:styleId="Voettekst">
    <w:name w:val="footer"/>
    <w:basedOn w:val="Standaard"/>
    <w:link w:val="VoettekstChar"/>
    <w:uiPriority w:val="99"/>
    <w:rsid w:val="00264424"/>
    <w:pPr>
      <w:tabs>
        <w:tab w:val="center" w:pos="4536"/>
        <w:tab w:val="right" w:pos="9072"/>
      </w:tabs>
    </w:pPr>
  </w:style>
  <w:style w:type="table" w:styleId="Tabelraster">
    <w:name w:val="Table Grid"/>
    <w:basedOn w:val="Standaardtabe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Geenlijst"/>
    <w:rsid w:val="00A62BE2"/>
    <w:pPr>
      <w:numPr>
        <w:numId w:val="38"/>
      </w:numPr>
    </w:p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Geenlij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Bestandsnaam">
    <w:name w:val="Bestandsnaam"/>
    <w:basedOn w:val="Koptekst"/>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264424"/>
    <w:pPr>
      <w:spacing w:line="180" w:lineRule="exact"/>
    </w:pPr>
    <w:rPr>
      <w:noProof/>
      <w:sz w:val="13"/>
    </w:rPr>
  </w:style>
  <w:style w:type="paragraph" w:customStyle="1" w:styleId="Minuut">
    <w:name w:val="Minuut"/>
    <w:basedOn w:val="Standaard"/>
    <w:rsid w:val="000A480F"/>
    <w:pPr>
      <w:spacing w:line="280" w:lineRule="exact"/>
    </w:pPr>
    <w:rPr>
      <w:rFonts w:ascii="Times New Roman" w:hAnsi="Times New Roman"/>
      <w:b/>
      <w:sz w:val="20"/>
      <w:szCs w:val="20"/>
      <w:lang w:eastAsia="en-US"/>
    </w:rPr>
  </w:style>
  <w:style w:type="paragraph" w:styleId="Lijstopsomteken">
    <w:name w:val="List Bullet"/>
    <w:basedOn w:val="Standaard"/>
    <w:rsid w:val="00B62A58"/>
    <w:pPr>
      <w:numPr>
        <w:numId w:val="43"/>
      </w:numPr>
    </w:pPr>
  </w:style>
  <w:style w:type="paragraph" w:styleId="Lijstnummering">
    <w:name w:val="List Number"/>
    <w:basedOn w:val="Standaard"/>
    <w:rsid w:val="00D62C92"/>
    <w:pPr>
      <w:numPr>
        <w:numId w:val="6"/>
      </w:numPr>
    </w:pPr>
  </w:style>
  <w:style w:type="paragraph" w:styleId="Lijstnummering2">
    <w:name w:val="List Number 2"/>
    <w:basedOn w:val="Standaard"/>
    <w:rsid w:val="00D62C92"/>
    <w:pPr>
      <w:numPr>
        <w:numId w:val="7"/>
      </w:numPr>
    </w:pPr>
  </w:style>
  <w:style w:type="paragraph" w:customStyle="1" w:styleId="FirstLineLetter">
    <w:name w:val="FirstLineLetter"/>
    <w:basedOn w:val="Standaard"/>
    <w:next w:val="Standaard"/>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indnootmarkering">
    <w:name w:val="endnote reference"/>
    <w:semiHidden/>
    <w:rsid w:val="00264424"/>
    <w:rPr>
      <w:vertAlign w:val="superscript"/>
    </w:rPr>
  </w:style>
  <w:style w:type="paragraph" w:styleId="Eindnoottekst">
    <w:name w:val="endnote text"/>
    <w:basedOn w:val="Standaard"/>
    <w:semiHidden/>
    <w:rsid w:val="00264424"/>
    <w:rPr>
      <w:sz w:val="20"/>
      <w:szCs w:val="20"/>
    </w:rPr>
  </w:style>
  <w:style w:type="character" w:styleId="Voetnootmarkering">
    <w:name w:val="footnote reference"/>
    <w:uiPriority w:val="99"/>
    <w:semiHidden/>
    <w:rsid w:val="00984803"/>
    <w:rPr>
      <w:vertAlign w:val="superscript"/>
    </w:rPr>
  </w:style>
  <w:style w:type="paragraph" w:styleId="Voetnoottekst">
    <w:name w:val="footnote text"/>
    <w:basedOn w:val="Standaard"/>
    <w:link w:val="VoetnoottekstChar"/>
    <w:uiPriority w:val="99"/>
    <w:rsid w:val="00264424"/>
    <w:pPr>
      <w:tabs>
        <w:tab w:val="left" w:pos="600"/>
      </w:tabs>
      <w:spacing w:line="180" w:lineRule="atLeast"/>
      <w:ind w:left="240" w:hanging="240"/>
    </w:pPr>
    <w:rPr>
      <w:sz w:val="13"/>
      <w:szCs w:val="20"/>
    </w:rPr>
  </w:style>
  <w:style w:type="paragraph" w:customStyle="1" w:styleId="Huisstijl-Bijschrift">
    <w:name w:val="Huisstijl-Bijschrift"/>
    <w:basedOn w:val="Standaard"/>
    <w:next w:val="Standaard"/>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Standaardtabe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Standaard"/>
    <w:rsid w:val="00264424"/>
    <w:pPr>
      <w:spacing w:after="700" w:line="300" w:lineRule="atLeast"/>
      <w:contextualSpacing/>
    </w:pPr>
    <w:rPr>
      <w:sz w:val="24"/>
    </w:rPr>
  </w:style>
  <w:style w:type="paragraph" w:customStyle="1" w:styleId="Kop-Inhoudsopgave">
    <w:name w:val="Kop-Inhoudsopgave"/>
    <w:basedOn w:val="Kopzondernummering"/>
    <w:next w:val="Standaard"/>
    <w:rsid w:val="00264424"/>
  </w:style>
  <w:style w:type="paragraph" w:styleId="Normaalweb">
    <w:name w:val="Normal (Web)"/>
    <w:basedOn w:val="Standaard"/>
    <w:rsid w:val="00264424"/>
  </w:style>
  <w:style w:type="paragraph" w:styleId="Ondertitel">
    <w:name w:val="Subtitle"/>
    <w:basedOn w:val="Standaard"/>
    <w:next w:val="Standaard"/>
    <w:qFormat/>
    <w:rsid w:val="00264424"/>
    <w:pPr>
      <w:spacing w:line="320" w:lineRule="atLeast"/>
      <w:outlineLvl w:val="1"/>
    </w:pPr>
    <w:rPr>
      <w:sz w:val="24"/>
    </w:rPr>
  </w:style>
  <w:style w:type="paragraph" w:styleId="Titel">
    <w:name w:val="Title"/>
    <w:basedOn w:val="Standaard"/>
    <w:qFormat/>
    <w:rsid w:val="00264424"/>
    <w:pPr>
      <w:spacing w:line="320" w:lineRule="atLeast"/>
      <w:outlineLvl w:val="0"/>
    </w:pPr>
    <w:rPr>
      <w:rFonts w:cs="Arial"/>
      <w:b/>
      <w:bCs/>
      <w:kern w:val="28"/>
      <w:sz w:val="24"/>
      <w:szCs w:val="32"/>
    </w:rPr>
  </w:style>
  <w:style w:type="paragraph" w:styleId="Inhopg1">
    <w:name w:val="toc 1"/>
    <w:basedOn w:val="Standaard"/>
    <w:next w:val="Standaard"/>
    <w:semiHidden/>
    <w:rsid w:val="00264424"/>
  </w:style>
  <w:style w:type="paragraph" w:styleId="Inhopg2">
    <w:name w:val="toc 2"/>
    <w:basedOn w:val="Inhopg1"/>
    <w:next w:val="Standaard"/>
    <w:semiHidden/>
    <w:rsid w:val="00264424"/>
    <w:pPr>
      <w:tabs>
        <w:tab w:val="left" w:pos="0"/>
      </w:tabs>
      <w:spacing w:before="240"/>
      <w:ind w:left="-1160"/>
    </w:pPr>
    <w:rPr>
      <w:b/>
    </w:rPr>
  </w:style>
  <w:style w:type="paragraph" w:styleId="Inhopg3">
    <w:name w:val="toc 3"/>
    <w:basedOn w:val="Inhopg2"/>
    <w:next w:val="Standaard"/>
    <w:semiHidden/>
    <w:rsid w:val="00264424"/>
    <w:pPr>
      <w:spacing w:before="0"/>
    </w:pPr>
    <w:rPr>
      <w:b w:val="0"/>
    </w:rPr>
  </w:style>
  <w:style w:type="paragraph" w:styleId="Inhopg4">
    <w:name w:val="toc 4"/>
    <w:basedOn w:val="Inhopg3"/>
    <w:next w:val="Standaard"/>
    <w:semiHidden/>
    <w:rsid w:val="00264424"/>
  </w:style>
  <w:style w:type="paragraph" w:styleId="Inhopg5">
    <w:name w:val="toc 5"/>
    <w:basedOn w:val="Standaard"/>
    <w:next w:val="Standaard"/>
    <w:autoRedefine/>
    <w:semiHidden/>
    <w:rsid w:val="00264424"/>
    <w:pPr>
      <w:ind w:left="720"/>
    </w:pPr>
  </w:style>
  <w:style w:type="paragraph" w:customStyle="1" w:styleId="XML">
    <w:name w:val="XML"/>
    <w:rsid w:val="00847A83"/>
    <w:rPr>
      <w:rFonts w:ascii="Verdana" w:hAnsi="Verdana"/>
      <w:vanish/>
      <w:sz w:val="18"/>
      <w:szCs w:val="24"/>
    </w:rPr>
  </w:style>
  <w:style w:type="paragraph" w:styleId="Bijschrift">
    <w:name w:val="caption"/>
    <w:basedOn w:val="Standaard"/>
    <w:next w:val="Standaard"/>
    <w:qFormat/>
    <w:rsid w:val="0090574D"/>
    <w:rPr>
      <w:b/>
      <w:bCs/>
      <w:szCs w:val="20"/>
    </w:rPr>
  </w:style>
  <w:style w:type="paragraph" w:styleId="Ballontekst">
    <w:name w:val="Balloon Text"/>
    <w:basedOn w:val="Standaard"/>
    <w:link w:val="BallontekstChar"/>
    <w:rsid w:val="007A0686"/>
    <w:pPr>
      <w:spacing w:line="240" w:lineRule="auto"/>
    </w:pPr>
    <w:rPr>
      <w:rFonts w:ascii="Tahoma" w:hAnsi="Tahoma" w:cs="Tahoma"/>
      <w:sz w:val="16"/>
      <w:szCs w:val="16"/>
    </w:rPr>
  </w:style>
  <w:style w:type="character" w:customStyle="1" w:styleId="BallontekstChar">
    <w:name w:val="Ballontekst Char"/>
    <w:link w:val="Ballontekst"/>
    <w:rsid w:val="007A0686"/>
    <w:rPr>
      <w:rFonts w:ascii="Tahoma" w:hAnsi="Tahoma" w:cs="Tahoma"/>
      <w:sz w:val="16"/>
      <w:szCs w:val="16"/>
      <w:lang w:val="nl-NL" w:eastAsia="nl-NL"/>
    </w:rPr>
  </w:style>
  <w:style w:type="paragraph" w:styleId="Plattetekstinspringen">
    <w:name w:val="Body Text Indent"/>
    <w:basedOn w:val="Standaard"/>
    <w:link w:val="PlattetekstinspringenChar"/>
    <w:rsid w:val="0039392D"/>
    <w:pPr>
      <w:spacing w:line="280" w:lineRule="exact"/>
      <w:ind w:left="1418"/>
    </w:pPr>
    <w:rPr>
      <w:rFonts w:ascii="Times New Roman" w:hAnsi="Times New Roman"/>
      <w:sz w:val="24"/>
      <w:szCs w:val="20"/>
      <w:lang w:val="en-US" w:eastAsia="zh-CN"/>
    </w:rPr>
  </w:style>
  <w:style w:type="character" w:customStyle="1" w:styleId="PlattetekstinspringenChar">
    <w:name w:val="Platte tekst inspringen Char"/>
    <w:link w:val="Plattetekstinspringen"/>
    <w:rsid w:val="0039392D"/>
    <w:rPr>
      <w:sz w:val="24"/>
      <w:lang w:val="en-US" w:eastAsia="zh-CN"/>
    </w:rPr>
  </w:style>
  <w:style w:type="paragraph" w:styleId="Revisie">
    <w:name w:val="Revision"/>
    <w:hidden/>
    <w:uiPriority w:val="99"/>
    <w:semiHidden/>
    <w:rsid w:val="0044675F"/>
    <w:rPr>
      <w:rFonts w:ascii="Verdana" w:hAnsi="Verdana"/>
      <w:sz w:val="18"/>
      <w:szCs w:val="24"/>
    </w:rPr>
  </w:style>
  <w:style w:type="character" w:customStyle="1" w:styleId="preformatted">
    <w:name w:val="preformatted"/>
    <w:rsid w:val="00A60DC6"/>
  </w:style>
  <w:style w:type="character" w:customStyle="1" w:styleId="Kop2Char">
    <w:name w:val="Kop 2 Char"/>
    <w:link w:val="Kop2"/>
    <w:rsid w:val="00BD381A"/>
    <w:rPr>
      <w:rFonts w:ascii="Verdana" w:hAnsi="Verdana" w:cs="Arial"/>
      <w:b/>
      <w:iCs/>
      <w:kern w:val="32"/>
      <w:sz w:val="18"/>
      <w:szCs w:val="28"/>
    </w:rPr>
  </w:style>
  <w:style w:type="character" w:customStyle="1" w:styleId="VoetnoottekstChar">
    <w:name w:val="Voetnoottekst Char"/>
    <w:link w:val="Voetnoottekst"/>
    <w:uiPriority w:val="99"/>
    <w:rsid w:val="00BD381A"/>
    <w:rPr>
      <w:rFonts w:ascii="Verdana" w:hAnsi="Verdana"/>
      <w:sz w:val="13"/>
    </w:rPr>
  </w:style>
  <w:style w:type="character" w:customStyle="1" w:styleId="VoettekstChar">
    <w:name w:val="Voettekst Char"/>
    <w:basedOn w:val="Standaardalinea-lettertype"/>
    <w:link w:val="Voettekst"/>
    <w:uiPriority w:val="99"/>
    <w:rsid w:val="00387AF0"/>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01410">
      <w:bodyDiv w:val="1"/>
      <w:marLeft w:val="0"/>
      <w:marRight w:val="0"/>
      <w:marTop w:val="0"/>
      <w:marBottom w:val="0"/>
      <w:divBdr>
        <w:top w:val="none" w:sz="0" w:space="0" w:color="auto"/>
        <w:left w:val="none" w:sz="0" w:space="0" w:color="auto"/>
        <w:bottom w:val="none" w:sz="0" w:space="0" w:color="auto"/>
        <w:right w:val="none" w:sz="0" w:space="0" w:color="auto"/>
      </w:divBdr>
    </w:div>
    <w:div w:id="17377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1357</ap:Words>
  <ap:Characters>7466</ap:Characters>
  <ap:DocSecurity>4</ap:DocSecurity>
  <ap:Lines>62</ap:Lines>
  <ap:Paragraphs>17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Nader Rapport – Verdrag tussen het Koninkrijk der Nederlanden en Nieuw-Zeeland inzake wederzijdse administratieve bijstand in douanezaken (originele handtekening)</vt:lpstr>
      <vt:lpstr>Nader Rapport – Verdrag tussen het Koninkrijk der Nederlanden en Nieuw-Zeeland inzake wederzijdse administratieve bijstand in douanezaken (originele handtekening)</vt:lpstr>
    </vt:vector>
  </ap:TitlesOfParts>
  <ap:LinksUpToDate>false</ap:LinksUpToDate>
  <ap:CharactersWithSpaces>8806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2024-08-28T10:36:00.0000000Z</dcterms:created>
  <dcterms:modified xsi:type="dcterms:W3CDTF">2024-08-28T10:36:00.0000000Z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0x0101009C7CE436063D44E9BE7DC0259EF7C32F006EB9F9836A634AE58B6169785FD3936F005C3CF2AE0F69714E87FF529BA291144E</vt:lpwstr>
  </property>
  <property fmtid="{D5CDD505-2E9C-101B-9397-08002B2CF9AE}" pid="3" name="BZ_Forum">
    <vt:lpwstr>3;#Not applicable|0049e722-bfb1-4a3f-9d08-af7366a9af40</vt:lpwstr>
  </property>
  <property fmtid="{D5CDD505-2E9C-101B-9397-08002B2CF9AE}" pid="4" name="BZ_Country">
    <vt:lpwstr>2;#The Netherlands|7f69a7bb-478c-499d-a6cf-5869916dfee4</vt:lpwstr>
  </property>
  <property fmtid="{D5CDD505-2E9C-101B-9397-08002B2CF9AE}" pid="5" name="BZ_Theme">
    <vt:lpwstr>1;#Not applicable|ec01d90b-9d0f-4785-8785-e1ea615196bf</vt:lpwstr>
  </property>
  <property fmtid="{D5CDD505-2E9C-101B-9397-08002B2CF9AE}" pid="6" name="BZ_Classification">
    <vt:lpwstr>4;#UNCLASSIFIED|d92c6340-bc14-4cb2-a9a6-6deda93c493b;#5;#NO MARKING|879e64ec-6597-483b-94db-f5f70afd7299</vt:lpwstr>
  </property>
  <property fmtid="{D5CDD505-2E9C-101B-9397-08002B2CF9AE}" pid="7" name="_dlc_DocIdItemGuid">
    <vt:lpwstr>920581f7-c9d2-46c0-b50d-558e95ddc6c4</vt:lpwstr>
  </property>
  <property fmtid="{D5CDD505-2E9C-101B-9397-08002B2CF9AE}" pid="8" name="_docset_NoMedatataSyncRequired">
    <vt:lpwstr>False</vt:lpwstr>
  </property>
  <property fmtid="{D5CDD505-2E9C-101B-9397-08002B2CF9AE}" pid="9" name="BZForumOrganisation">
    <vt:lpwstr>2;#Not applicable|0049e722-bfb1-4a3f-9d08-af7366a9af40</vt:lpwstr>
  </property>
  <property fmtid="{D5CDD505-2E9C-101B-9397-08002B2CF9AE}" pid="10" name="BZTheme">
    <vt:lpwstr>1;#Not applicable|ec01d90b-9d0f-4785-8785-e1ea615196bf</vt:lpwstr>
  </property>
  <property fmtid="{D5CDD505-2E9C-101B-9397-08002B2CF9AE}" pid="11" name="BZCountryState">
    <vt:lpwstr>3;#Not applicable|ec01d90b-9d0f-4785-8785-e1ea615196bf</vt:lpwstr>
  </property>
  <property fmtid="{D5CDD505-2E9C-101B-9397-08002B2CF9AE}" pid="12" name="BZMarking">
    <vt:lpwstr>5;#NO MARKING|0a4eb9ae-69eb-4d9e-b573-43ab99ef8592</vt:lpwstr>
  </property>
  <property fmtid="{D5CDD505-2E9C-101B-9397-08002B2CF9AE}" pid="13" name="BZClassification">
    <vt:lpwstr>4;#UNCLASSIFIED (U)|284e6a62-15ab-4017-be27-a1e965f4e940</vt:lpwstr>
  </property>
</Properties>
</file>