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45210" w:rsidR="00514E0C" w:rsidP="00145210" w:rsidRDefault="00514E0C" w14:paraId="2243518A" w14:textId="77777777">
      <w:pPr>
        <w:spacing w:line="240" w:lineRule="auto"/>
      </w:pPr>
      <w:r w:rsidRPr="00145210">
        <w:t xml:space="preserve">Hierbij bied ik u het toezichtverslag 2024 aan (bijlage 1). Dit verslag geeft een overzicht van de bevindingen van het door mijn ministerie uitgeoefende financiële toezicht op de provincies en de gemeenschappelijke regelingen, waaraan provincies deelnemen uit hoofde van artikel 207 van de Provinciewet. Daarnaast ontvangt u een overzicht van de financiële kengetallen van provincies (bijlage 2). </w:t>
      </w:r>
    </w:p>
    <w:p w:rsidRPr="00145210" w:rsidR="00514E0C" w:rsidP="00145210" w:rsidRDefault="00514E0C" w14:paraId="0B9BEB76" w14:textId="77777777">
      <w:pPr>
        <w:spacing w:line="240" w:lineRule="auto"/>
      </w:pPr>
    </w:p>
    <w:p w:rsidR="00514E0C" w:rsidP="00145210" w:rsidRDefault="00514E0C" w14:paraId="77A4B68D" w14:textId="77777777">
      <w:pPr>
        <w:spacing w:line="240" w:lineRule="auto"/>
      </w:pPr>
      <w:r w:rsidRPr="00145210">
        <w:t xml:space="preserve">Ook zend ik u ter kennisname het gezamenlijk door de provincies opgestelde </w:t>
      </w:r>
      <w:proofErr w:type="gramStart"/>
      <w:r w:rsidRPr="00145210">
        <w:t>verslag</w:t>
      </w:r>
      <w:proofErr w:type="gramEnd"/>
      <w:r w:rsidRPr="00145210">
        <w:t xml:space="preserve"> over het door hen uitgeoefende financieel toezicht op de gemeenten en de gemeenschappelijke regelingen, waar gemeenten aan deelnemen (bijlage 3)</w:t>
      </w:r>
      <w:r w:rsidR="00ED2BA5">
        <w:t>,</w:t>
      </w:r>
      <w:r w:rsidRPr="00145210">
        <w:t xml:space="preserve"> en een overzicht van gemeenten en gemeenschappelijke regelingen dat onder preventief toezicht staat in 2024 (bijlage 4). Deze verslagen hebben betrekking op de begrotingen 2024 en de meerjarenramingen 2025-2027.</w:t>
      </w:r>
      <w:r w:rsidR="006F488A">
        <w:t xml:space="preserve"> </w:t>
      </w:r>
      <w:bookmarkStart w:name="_Hlk172127569" w:id="0"/>
      <w:r w:rsidR="00C851C7">
        <w:t>Het beeld dat wordt geschetst door de provinciale toezichthouders is gebaseerd op het uitgevoerde toezicht eind 2023</w:t>
      </w:r>
      <w:r w:rsidR="00E37BE5">
        <w:t>.</w:t>
      </w:r>
      <w:r w:rsidR="00AA3578">
        <w:t xml:space="preserve"> De ontwikkelingen die zich recentelijk hebben voorgedaan</w:t>
      </w:r>
      <w:r w:rsidR="00452DED">
        <w:t xml:space="preserve">, zoals de besluitvorming over de </w:t>
      </w:r>
      <w:r w:rsidR="00205330">
        <w:t>financiën</w:t>
      </w:r>
      <w:r w:rsidR="00452DED">
        <w:t xml:space="preserve"> van medeoverheden bij de Voorjaarsnota 2024,</w:t>
      </w:r>
      <w:r w:rsidR="00AA3578">
        <w:t xml:space="preserve"> </w:t>
      </w:r>
      <w:r w:rsidR="00C14B0B">
        <w:t>zijn</w:t>
      </w:r>
      <w:r w:rsidR="00AA3578">
        <w:t xml:space="preserve"> daar</w:t>
      </w:r>
      <w:r w:rsidR="00452DED">
        <w:t>door</w:t>
      </w:r>
      <w:r w:rsidR="00AA3578">
        <w:t xml:space="preserve"> niet </w:t>
      </w:r>
      <w:r w:rsidR="00C14B0B">
        <w:t>meegenomen</w:t>
      </w:r>
      <w:r w:rsidR="00AA3578">
        <w:t xml:space="preserve"> </w:t>
      </w:r>
      <w:r w:rsidR="003D6DE8">
        <w:t>bij</w:t>
      </w:r>
      <w:r w:rsidR="00AA3578">
        <w:t xml:space="preserve"> </w:t>
      </w:r>
      <w:r w:rsidR="003D6DE8">
        <w:t>hun</w:t>
      </w:r>
      <w:r w:rsidR="00AA3578">
        <w:t xml:space="preserve"> constateringen </w:t>
      </w:r>
      <w:r w:rsidR="003D6DE8">
        <w:t>in</w:t>
      </w:r>
      <w:r w:rsidR="00AA3578">
        <w:t xml:space="preserve"> het toezichtverslag. </w:t>
      </w:r>
    </w:p>
    <w:bookmarkEnd w:id="0"/>
    <w:p w:rsidRPr="00145210" w:rsidR="00EE1B97" w:rsidP="00145210" w:rsidRDefault="00EE1B97" w14:paraId="04FC3144" w14:textId="77777777">
      <w:pPr>
        <w:spacing w:line="240" w:lineRule="auto"/>
      </w:pPr>
    </w:p>
    <w:p w:rsidRPr="00145210" w:rsidR="006244F3" w:rsidP="00145210" w:rsidRDefault="00EE1B97" w14:paraId="59FAC2DC" w14:textId="77777777">
      <w:pPr>
        <w:spacing w:line="240" w:lineRule="auto"/>
      </w:pPr>
      <w:r w:rsidRPr="00145210">
        <w:t xml:space="preserve">De provinciale toezichthouders geven in hun verslag aan dat het begrotingsjaar 2024 en het jaar 2025 van de meerjarenraming bij de meeste gemeenten structureel en reëel sluitend zijn. </w:t>
      </w:r>
      <w:r w:rsidRPr="00145210" w:rsidR="001F37AE">
        <w:t xml:space="preserve">Daarentegen is een structureel en reëel sluitende meerjarenraming </w:t>
      </w:r>
      <w:r w:rsidRPr="00145210" w:rsidR="00C842D2">
        <w:t>vanaf</w:t>
      </w:r>
      <w:r w:rsidRPr="00145210" w:rsidR="001F37AE">
        <w:t xml:space="preserve"> 2026 niet voor alle gemeenten mogelijk.</w:t>
      </w:r>
      <w:r w:rsidRPr="00145210" w:rsidR="002F5E4E">
        <w:t xml:space="preserve"> </w:t>
      </w:r>
      <w:r w:rsidRPr="00145210" w:rsidR="00514E0C">
        <w:t>Hiervoor geven de provinciale toezichthouders een aantal onzekerheden</w:t>
      </w:r>
      <w:r w:rsidRPr="00145210" w:rsidR="002F5E4E">
        <w:t xml:space="preserve"> en ontwikkelingen</w:t>
      </w:r>
      <w:r w:rsidRPr="00145210" w:rsidR="00514E0C">
        <w:t xml:space="preserve"> als oorzaak aan. </w:t>
      </w:r>
      <w:r w:rsidRPr="00145210" w:rsidR="006244F3">
        <w:t xml:space="preserve">Dit betreft onder meer </w:t>
      </w:r>
      <w:r w:rsidRPr="00145210" w:rsidR="002F5E4E">
        <w:t xml:space="preserve">de onzekerheid over de omvang van de algemene uitkering van het </w:t>
      </w:r>
      <w:r w:rsidR="00495F4C">
        <w:t>G</w:t>
      </w:r>
      <w:r w:rsidRPr="00145210" w:rsidR="002F5E4E">
        <w:t>emeentefonds</w:t>
      </w:r>
      <w:r w:rsidR="00495F4C">
        <w:t>,</w:t>
      </w:r>
      <w:r w:rsidRPr="00145210" w:rsidR="006244F3">
        <w:t xml:space="preserve"> in afwachting van </w:t>
      </w:r>
      <w:r w:rsidR="00ED2BA5">
        <w:t xml:space="preserve">(op het moment van vaststellen van de begrotingen 2024) </w:t>
      </w:r>
      <w:r w:rsidRPr="00145210" w:rsidR="006244F3">
        <w:t>het nieuwe kabinet</w:t>
      </w:r>
      <w:r w:rsidR="00ED2BA5">
        <w:t xml:space="preserve">. Daarnaast signaleren toezichthouders </w:t>
      </w:r>
      <w:r w:rsidRPr="00145210" w:rsidR="00E0712C">
        <w:t xml:space="preserve">onduidelijkheid </w:t>
      </w:r>
      <w:r w:rsidRPr="00145210" w:rsidR="00242A12">
        <w:t xml:space="preserve">over de </w:t>
      </w:r>
      <w:r w:rsidRPr="00145210" w:rsidR="00E0712C">
        <w:t xml:space="preserve">vervolgstappen van de </w:t>
      </w:r>
      <w:r w:rsidRPr="00145210" w:rsidR="00242A12">
        <w:t xml:space="preserve">herijking van het </w:t>
      </w:r>
      <w:r w:rsidR="00ED2BA5">
        <w:t>G</w:t>
      </w:r>
      <w:r w:rsidRPr="00145210" w:rsidR="00242A12">
        <w:t>emeentefonds na 2025</w:t>
      </w:r>
      <w:r w:rsidRPr="00145210" w:rsidR="00E0712C">
        <w:t xml:space="preserve"> en de ontwikkeling van de lasten in de jeugdzorg</w:t>
      </w:r>
      <w:r w:rsidRPr="00145210" w:rsidR="00B2083A">
        <w:t xml:space="preserve">. </w:t>
      </w:r>
      <w:r w:rsidRPr="00145210" w:rsidR="00A32078">
        <w:t>Vanwege de krapte op de arbeidsmarkt hebben gemeenten ook meer moeite om vacatures met vast personeel te vullen</w:t>
      </w:r>
      <w:r w:rsidR="00ED2BA5">
        <w:t>. Deze</w:t>
      </w:r>
      <w:r w:rsidRPr="00145210" w:rsidR="00A32078">
        <w:t xml:space="preserve"> krapte</w:t>
      </w:r>
      <w:r w:rsidR="00ED2BA5">
        <w:t xml:space="preserve"> zorgt volgens de toezichthouders</w:t>
      </w:r>
      <w:r w:rsidRPr="00145210" w:rsidR="00A32078">
        <w:t xml:space="preserve"> voor de vertraging van investeringen, die ondertussen steeds </w:t>
      </w:r>
      <w:r w:rsidR="00495F4C">
        <w:t>hoger</w:t>
      </w:r>
      <w:r w:rsidRPr="00145210" w:rsidR="00A32078">
        <w:t xml:space="preserve"> worden</w:t>
      </w:r>
      <w:r w:rsidR="00495F4C">
        <w:t>,</w:t>
      </w:r>
      <w:r w:rsidRPr="00145210" w:rsidR="00A32078">
        <w:t xml:space="preserve"> wat </w:t>
      </w:r>
      <w:r w:rsidRPr="00145210" w:rsidR="008A43DC">
        <w:t xml:space="preserve">weer </w:t>
      </w:r>
      <w:r w:rsidRPr="00145210" w:rsidR="00A32078">
        <w:t>resulteert in hogere kapitaallasten.</w:t>
      </w:r>
    </w:p>
    <w:p w:rsidRPr="00145210" w:rsidR="0021118B" w:rsidP="00145210" w:rsidRDefault="0021118B" w14:paraId="041264DE" w14:textId="77777777">
      <w:pPr>
        <w:spacing w:line="240" w:lineRule="auto"/>
      </w:pPr>
    </w:p>
    <w:p w:rsidRPr="00145210" w:rsidR="00514E0C" w:rsidP="00145210" w:rsidRDefault="00514E0C" w14:paraId="50B43E30" w14:textId="77777777">
      <w:pPr>
        <w:spacing w:line="240" w:lineRule="auto"/>
      </w:pPr>
      <w:r w:rsidRPr="00145210">
        <w:t>Ten slotte wordt in het verslag over het provinciaal toezicht op gemeenten gemeld dat de jaarrekeningen van gemeenten in 2022 hogere positieve resultaten hebben laten zien. Dit komt hoofdzakelijk door de tekorten op de arbeidsmarkt</w:t>
      </w:r>
      <w:r w:rsidR="005C750B">
        <w:t xml:space="preserve"> en</w:t>
      </w:r>
      <w:r w:rsidRPr="00145210" w:rsidR="008A43DC">
        <w:t xml:space="preserve"> middelen vanuit het Rijk die later in het jaar beschikbaar kwamen</w:t>
      </w:r>
      <w:r w:rsidRPr="00145210">
        <w:t xml:space="preserve">. </w:t>
      </w:r>
      <w:bookmarkStart w:name="_Hlk138689375" w:id="1"/>
      <w:bookmarkStart w:name="_Hlk138673707" w:id="2"/>
      <w:bookmarkEnd w:id="1"/>
      <w:bookmarkEnd w:id="2"/>
    </w:p>
    <w:p w:rsidRPr="00145210" w:rsidR="00514E0C" w:rsidP="00145210" w:rsidRDefault="00514E0C" w14:paraId="2DC2915A" w14:textId="77777777">
      <w:pPr>
        <w:spacing w:line="240" w:lineRule="auto"/>
      </w:pPr>
    </w:p>
    <w:p w:rsidRPr="00145210" w:rsidR="003F3F02" w:rsidP="00145210" w:rsidRDefault="00514E0C" w14:paraId="1C4F0257" w14:textId="77777777">
      <w:pPr>
        <w:spacing w:line="240" w:lineRule="auto"/>
      </w:pPr>
      <w:bookmarkStart w:name="_Hlk138925769" w:id="3"/>
      <w:r w:rsidRPr="00145210">
        <w:t>Het kabinet heeft oog voor de financiële positie van gemeenten</w:t>
      </w:r>
      <w:r w:rsidRPr="00145210" w:rsidR="003F3F02">
        <w:t xml:space="preserve"> en </w:t>
      </w:r>
      <w:r w:rsidRPr="00145210" w:rsidR="003F3F02">
        <w:rPr>
          <w:rFonts w:cs="Calibri"/>
        </w:rPr>
        <w:t xml:space="preserve">is zich ervan bewust dat het een gedeelde verantwoordelijkheid is van </w:t>
      </w:r>
      <w:r w:rsidR="005C750B">
        <w:rPr>
          <w:rFonts w:cs="Calibri"/>
        </w:rPr>
        <w:t>R</w:t>
      </w:r>
      <w:r w:rsidRPr="00145210" w:rsidR="003F3F02">
        <w:rPr>
          <w:rFonts w:cs="Calibri"/>
        </w:rPr>
        <w:t>ijk en gemeenten om samen aan de balans tussen ambities, taken, middelen en uitvoeringskracht te werken.</w:t>
      </w:r>
      <w:r w:rsidRPr="00145210" w:rsidR="003F3F02">
        <w:t xml:space="preserve"> </w:t>
      </w:r>
    </w:p>
    <w:p w:rsidRPr="00145210" w:rsidR="003F3F02" w:rsidP="00145210" w:rsidRDefault="003F3F02" w14:paraId="1E197283" w14:textId="77777777">
      <w:pPr>
        <w:spacing w:line="240" w:lineRule="auto"/>
      </w:pPr>
      <w:r w:rsidRPr="00145210">
        <w:lastRenderedPageBreak/>
        <w:t xml:space="preserve">Op 21 november 2023 </w:t>
      </w:r>
      <w:r w:rsidR="00205330">
        <w:t xml:space="preserve">is </w:t>
      </w:r>
      <w:r w:rsidRPr="00145210">
        <w:t xml:space="preserve">in het Bestuurlijk Overleg over de </w:t>
      </w:r>
      <w:r w:rsidR="005C750B">
        <w:t>f</w:t>
      </w:r>
      <w:r w:rsidRPr="00145210">
        <w:t>inanciële verhoudingen met de medeoverheden</w:t>
      </w:r>
      <w:r w:rsidR="005C750B">
        <w:t xml:space="preserve"> (</w:t>
      </w:r>
      <w:proofErr w:type="spellStart"/>
      <w:r w:rsidR="005C750B">
        <w:t>BOFv</w:t>
      </w:r>
      <w:proofErr w:type="spellEnd"/>
      <w:r w:rsidR="005C750B">
        <w:t>)</w:t>
      </w:r>
      <w:r w:rsidRPr="00145210">
        <w:t xml:space="preserve"> de notitie incidenteel-structureel vastgesteld</w:t>
      </w:r>
      <w:r w:rsidR="005C750B">
        <w:t>,</w:t>
      </w:r>
      <w:r w:rsidRPr="00145210">
        <w:t xml:space="preserve"> waarin de mogelijkheid staat om jaarlijks onder voorwaarden het surplus van de algemene reserve (dat deel dat niet nodig is voor afdekking van toekomstige risico’s) in te zetten als structureel dekkingsmiddel. Dit kan bijdragen aan het verkleinen van tekorten of het overbruggen naar een sluitende begroting. Dit is geen oplossing voor structurele tekorten die zich nu of in de toekomst </w:t>
      </w:r>
      <w:r w:rsidR="005C750B">
        <w:t xml:space="preserve">kunnen </w:t>
      </w:r>
      <w:r w:rsidRPr="00145210">
        <w:t>voordoen, maar draagt wel bij aan het oplossen van actuele knelpunten.</w:t>
      </w:r>
    </w:p>
    <w:p w:rsidRPr="00145210" w:rsidR="003F3F02" w:rsidP="00145210" w:rsidRDefault="003F3F02" w14:paraId="514ADA30" w14:textId="77777777">
      <w:pPr>
        <w:spacing w:line="240" w:lineRule="auto"/>
      </w:pPr>
    </w:p>
    <w:p w:rsidRPr="00145210" w:rsidR="003F3F02" w:rsidP="00145210" w:rsidRDefault="003F3F02" w14:paraId="3FA15208" w14:textId="77777777">
      <w:pPr>
        <w:spacing w:line="240" w:lineRule="auto"/>
        <w:rPr>
          <w:rFonts w:cs="Calibri"/>
        </w:rPr>
      </w:pPr>
      <w:r w:rsidRPr="00145210">
        <w:rPr>
          <w:rFonts w:cs="Calibri"/>
        </w:rPr>
        <w:t xml:space="preserve">Daarnaast zijn er dit voorjaar intensieve en constructieve gesprekken gevoerd met de VNG, het IPO en de UvW. Er </w:t>
      </w:r>
      <w:r w:rsidR="005C750B">
        <w:rPr>
          <w:rFonts w:cs="Calibri"/>
        </w:rPr>
        <w:t>is hierbij</w:t>
      </w:r>
      <w:r w:rsidRPr="00145210">
        <w:rPr>
          <w:rFonts w:cs="Calibri"/>
        </w:rPr>
        <w:t xml:space="preserve"> een aantal concrete afspraken gemaakt</w:t>
      </w:r>
      <w:r w:rsidR="005C750B">
        <w:rPr>
          <w:rFonts w:cs="Calibri"/>
        </w:rPr>
        <w:t>,</w:t>
      </w:r>
      <w:r w:rsidRPr="00145210">
        <w:rPr>
          <w:rFonts w:cs="Calibri"/>
        </w:rPr>
        <w:t xml:space="preserve"> die gemeenten duidelijkheid bieden over de inkomsten die zij de komende jaren mogen verwachten vanuit het Rijk en </w:t>
      </w:r>
      <w:r w:rsidR="005C750B">
        <w:rPr>
          <w:rFonts w:cs="Calibri"/>
        </w:rPr>
        <w:t xml:space="preserve">over </w:t>
      </w:r>
      <w:r w:rsidRPr="00145210">
        <w:rPr>
          <w:rFonts w:cs="Calibri"/>
        </w:rPr>
        <w:t xml:space="preserve">de wijze waarop het </w:t>
      </w:r>
      <w:r w:rsidR="005C750B">
        <w:rPr>
          <w:rFonts w:cs="Calibri"/>
        </w:rPr>
        <w:t>G</w:t>
      </w:r>
      <w:r w:rsidRPr="00145210">
        <w:rPr>
          <w:rFonts w:cs="Calibri"/>
        </w:rPr>
        <w:t>emeentefonds zich in de toekomst zal ontwikkelen</w:t>
      </w:r>
      <w:r w:rsidR="005C750B">
        <w:rPr>
          <w:rFonts w:cs="Calibri"/>
        </w:rPr>
        <w:t>:</w:t>
      </w:r>
    </w:p>
    <w:p w:rsidRPr="00145210" w:rsidR="00643DB8" w:rsidP="00145210" w:rsidRDefault="006D229D" w14:paraId="2AD4DAA5" w14:textId="77777777">
      <w:pPr>
        <w:pStyle w:val="Lijstalinea"/>
        <w:numPr>
          <w:ilvl w:val="0"/>
          <w:numId w:val="7"/>
        </w:numPr>
        <w:autoSpaceDE w:val="0"/>
        <w:adjustRightInd w:val="0"/>
        <w:spacing w:line="240" w:lineRule="auto"/>
        <w:rPr>
          <w:rFonts w:ascii="Verdana" w:hAnsi="Verdana"/>
          <w:sz w:val="18"/>
          <w:szCs w:val="18"/>
        </w:rPr>
      </w:pPr>
      <w:r w:rsidRPr="00145210">
        <w:rPr>
          <w:rFonts w:ascii="Verdana" w:hAnsi="Verdana"/>
          <w:sz w:val="18"/>
          <w:szCs w:val="18"/>
        </w:rPr>
        <w:t xml:space="preserve">In </w:t>
      </w:r>
      <w:proofErr w:type="spellStart"/>
      <w:r w:rsidRPr="00145210">
        <w:rPr>
          <w:rFonts w:ascii="Verdana" w:hAnsi="Verdana"/>
          <w:sz w:val="18"/>
          <w:szCs w:val="18"/>
        </w:rPr>
        <w:t>lĳn</w:t>
      </w:r>
      <w:proofErr w:type="spellEnd"/>
      <w:r w:rsidRPr="00145210">
        <w:rPr>
          <w:rFonts w:ascii="Verdana" w:hAnsi="Verdana"/>
          <w:sz w:val="18"/>
          <w:szCs w:val="18"/>
        </w:rPr>
        <w:t xml:space="preserve"> met het advies van de Raad van State wordt de </w:t>
      </w:r>
      <w:r w:rsidRPr="00145210" w:rsidR="00E0712C">
        <w:rPr>
          <w:rFonts w:ascii="Verdana" w:hAnsi="Verdana"/>
          <w:sz w:val="18"/>
          <w:szCs w:val="18"/>
        </w:rPr>
        <w:t>nieuwe financierings</w:t>
      </w:r>
      <w:r w:rsidRPr="00145210">
        <w:rPr>
          <w:rFonts w:ascii="Verdana" w:hAnsi="Verdana"/>
          <w:sz w:val="18"/>
          <w:szCs w:val="18"/>
        </w:rPr>
        <w:t xml:space="preserve">systematiek </w:t>
      </w:r>
      <w:r w:rsidRPr="00145210" w:rsidR="00E0712C">
        <w:rPr>
          <w:rFonts w:ascii="Verdana" w:hAnsi="Verdana"/>
          <w:sz w:val="18"/>
          <w:szCs w:val="18"/>
        </w:rPr>
        <w:t xml:space="preserve">(koppeling aan het bruto binnenlands product (bbp)) </w:t>
      </w:r>
      <w:r w:rsidRPr="00145210">
        <w:rPr>
          <w:rFonts w:ascii="Verdana" w:hAnsi="Verdana"/>
          <w:sz w:val="18"/>
          <w:szCs w:val="18"/>
        </w:rPr>
        <w:t xml:space="preserve">vanaf 2024 vervroegd </w:t>
      </w:r>
      <w:r w:rsidRPr="00145210" w:rsidR="00E0712C">
        <w:rPr>
          <w:rFonts w:ascii="Verdana" w:hAnsi="Verdana"/>
          <w:sz w:val="18"/>
          <w:szCs w:val="18"/>
        </w:rPr>
        <w:t>ingevoerd</w:t>
      </w:r>
      <w:r w:rsidRPr="00145210">
        <w:rPr>
          <w:rFonts w:ascii="Verdana" w:hAnsi="Verdana"/>
          <w:sz w:val="18"/>
          <w:szCs w:val="18"/>
        </w:rPr>
        <w:t>. Dit is terug te vinden in de Voorjaarsnota 2024</w:t>
      </w:r>
      <w:r w:rsidRPr="00145210">
        <w:rPr>
          <w:rFonts w:ascii="Verdana" w:hAnsi="Verdana"/>
          <w:sz w:val="18"/>
          <w:szCs w:val="18"/>
          <w:vertAlign w:val="superscript"/>
        </w:rPr>
        <w:footnoteReference w:id="2"/>
      </w:r>
      <w:r w:rsidRPr="00145210">
        <w:rPr>
          <w:rFonts w:ascii="Verdana" w:hAnsi="Verdana"/>
          <w:sz w:val="18"/>
          <w:szCs w:val="18"/>
        </w:rPr>
        <w:t xml:space="preserve">. Dit biedt gemeenten en provincies een stabiele inkomstenbron en </w:t>
      </w:r>
      <w:proofErr w:type="spellStart"/>
      <w:r w:rsidRPr="00145210">
        <w:rPr>
          <w:rFonts w:ascii="Verdana" w:hAnsi="Verdana"/>
          <w:sz w:val="18"/>
          <w:szCs w:val="18"/>
        </w:rPr>
        <w:t>duidelĳkheid</w:t>
      </w:r>
      <w:proofErr w:type="spellEnd"/>
      <w:r w:rsidRPr="00145210">
        <w:rPr>
          <w:rFonts w:ascii="Verdana" w:hAnsi="Verdana"/>
          <w:sz w:val="18"/>
          <w:szCs w:val="18"/>
        </w:rPr>
        <w:t xml:space="preserve"> over de </w:t>
      </w:r>
      <w:proofErr w:type="spellStart"/>
      <w:r w:rsidRPr="00145210">
        <w:rPr>
          <w:rFonts w:ascii="Verdana" w:hAnsi="Verdana"/>
          <w:sz w:val="18"/>
          <w:szCs w:val="18"/>
        </w:rPr>
        <w:t>wĳze</w:t>
      </w:r>
      <w:proofErr w:type="spellEnd"/>
      <w:r w:rsidRPr="00145210">
        <w:rPr>
          <w:rFonts w:ascii="Verdana" w:hAnsi="Verdana"/>
          <w:sz w:val="18"/>
          <w:szCs w:val="18"/>
        </w:rPr>
        <w:t xml:space="preserve"> waarop het </w:t>
      </w:r>
      <w:r w:rsidR="005C750B">
        <w:rPr>
          <w:rFonts w:ascii="Verdana" w:hAnsi="Verdana"/>
          <w:sz w:val="18"/>
          <w:szCs w:val="18"/>
        </w:rPr>
        <w:t>G</w:t>
      </w:r>
      <w:r w:rsidRPr="00145210">
        <w:rPr>
          <w:rFonts w:ascii="Verdana" w:hAnsi="Verdana"/>
          <w:sz w:val="18"/>
          <w:szCs w:val="18"/>
        </w:rPr>
        <w:t xml:space="preserve">emeente- en </w:t>
      </w:r>
      <w:r w:rsidR="005C750B">
        <w:rPr>
          <w:rFonts w:ascii="Verdana" w:hAnsi="Verdana"/>
          <w:sz w:val="18"/>
          <w:szCs w:val="18"/>
        </w:rPr>
        <w:t>P</w:t>
      </w:r>
      <w:r w:rsidRPr="00145210">
        <w:rPr>
          <w:rFonts w:ascii="Verdana" w:hAnsi="Verdana"/>
          <w:sz w:val="18"/>
          <w:szCs w:val="18"/>
        </w:rPr>
        <w:t xml:space="preserve">rovinciefonds zich in de toekomst ontwikkelen. </w:t>
      </w:r>
      <w:r w:rsidRPr="00145210" w:rsidR="00AE4089">
        <w:rPr>
          <w:rFonts w:ascii="Verdana" w:hAnsi="Verdana"/>
          <w:sz w:val="18"/>
          <w:szCs w:val="18"/>
        </w:rPr>
        <w:t xml:space="preserve">Dit </w:t>
      </w:r>
      <w:r w:rsidRPr="00145210" w:rsidR="006F12EE">
        <w:rPr>
          <w:rFonts w:ascii="Verdana" w:hAnsi="Verdana"/>
          <w:sz w:val="18"/>
          <w:szCs w:val="18"/>
        </w:rPr>
        <w:t>besluit heeft invloed op de lopende begroting van gemeenten en provincies</w:t>
      </w:r>
      <w:r w:rsidRPr="00145210" w:rsidR="00AE4089">
        <w:rPr>
          <w:rFonts w:ascii="Verdana" w:hAnsi="Verdana"/>
          <w:sz w:val="18"/>
          <w:szCs w:val="18"/>
        </w:rPr>
        <w:t xml:space="preserve"> </w:t>
      </w:r>
      <w:r w:rsidRPr="00145210" w:rsidR="00DD5AB3">
        <w:rPr>
          <w:rFonts w:ascii="Verdana" w:hAnsi="Verdana"/>
          <w:sz w:val="18"/>
          <w:szCs w:val="18"/>
        </w:rPr>
        <w:t xml:space="preserve">en </w:t>
      </w:r>
      <w:r w:rsidRPr="00145210" w:rsidR="00643DB8">
        <w:rPr>
          <w:rFonts w:ascii="Verdana" w:hAnsi="Verdana"/>
          <w:sz w:val="18"/>
          <w:szCs w:val="18"/>
        </w:rPr>
        <w:t>om die reden</w:t>
      </w:r>
      <w:r w:rsidRPr="00145210" w:rsidR="006F12EE">
        <w:rPr>
          <w:rFonts w:ascii="Verdana" w:hAnsi="Verdana"/>
          <w:sz w:val="18"/>
          <w:szCs w:val="18"/>
        </w:rPr>
        <w:t xml:space="preserve"> </w:t>
      </w:r>
      <w:r w:rsidRPr="00145210" w:rsidR="00AE4089">
        <w:rPr>
          <w:rFonts w:ascii="Verdana" w:hAnsi="Verdana"/>
          <w:sz w:val="18"/>
          <w:szCs w:val="18"/>
        </w:rPr>
        <w:t xml:space="preserve">is </w:t>
      </w:r>
      <w:r w:rsidRPr="00145210" w:rsidR="00643DB8">
        <w:rPr>
          <w:rFonts w:ascii="Verdana" w:hAnsi="Verdana"/>
          <w:sz w:val="18"/>
          <w:szCs w:val="18"/>
        </w:rPr>
        <w:t xml:space="preserve">besloten </w:t>
      </w:r>
      <w:r w:rsidRPr="00145210" w:rsidR="006F12EE">
        <w:rPr>
          <w:rFonts w:ascii="Verdana" w:hAnsi="Verdana"/>
          <w:sz w:val="18"/>
          <w:szCs w:val="18"/>
        </w:rPr>
        <w:t>de impact hiervan volledig (2024) en deels (2025) te dempen. Ook voor 2026 tot en met 2029 vindt compensatie plaats.</w:t>
      </w:r>
      <w:r w:rsidRPr="00145210" w:rsidR="00643DB8">
        <w:rPr>
          <w:rFonts w:ascii="Verdana" w:hAnsi="Verdana"/>
          <w:sz w:val="18"/>
          <w:szCs w:val="18"/>
        </w:rPr>
        <w:t xml:space="preserve"> </w:t>
      </w:r>
    </w:p>
    <w:p w:rsidRPr="00145210" w:rsidR="006F12EE" w:rsidP="00145210" w:rsidRDefault="00643DB8" w14:paraId="42D4A855" w14:textId="77777777">
      <w:pPr>
        <w:pStyle w:val="Lijstalinea"/>
        <w:numPr>
          <w:ilvl w:val="0"/>
          <w:numId w:val="7"/>
        </w:numPr>
        <w:autoSpaceDE w:val="0"/>
        <w:adjustRightInd w:val="0"/>
        <w:spacing w:line="240" w:lineRule="auto"/>
        <w:rPr>
          <w:rFonts w:ascii="Verdana" w:hAnsi="Verdana"/>
          <w:sz w:val="18"/>
          <w:szCs w:val="18"/>
        </w:rPr>
      </w:pPr>
      <w:r w:rsidRPr="00145210">
        <w:rPr>
          <w:rFonts w:ascii="Verdana" w:hAnsi="Verdana"/>
          <w:sz w:val="18"/>
          <w:szCs w:val="18"/>
        </w:rPr>
        <w:t>Er</w:t>
      </w:r>
      <w:r w:rsidRPr="00145210" w:rsidR="006F12EE">
        <w:rPr>
          <w:rFonts w:ascii="Verdana" w:hAnsi="Verdana"/>
          <w:sz w:val="18"/>
          <w:szCs w:val="18"/>
        </w:rPr>
        <w:t xml:space="preserve"> is daarnaast besloten </w:t>
      </w:r>
      <w:r w:rsidR="005C750B">
        <w:rPr>
          <w:rFonts w:ascii="Verdana" w:hAnsi="Verdana"/>
          <w:sz w:val="18"/>
          <w:szCs w:val="18"/>
        </w:rPr>
        <w:t xml:space="preserve">om </w:t>
      </w:r>
      <w:r w:rsidRPr="00145210" w:rsidR="006F12EE">
        <w:rPr>
          <w:rFonts w:ascii="Verdana" w:hAnsi="Verdana"/>
          <w:sz w:val="18"/>
          <w:szCs w:val="18"/>
        </w:rPr>
        <w:t>over te gaan tot het schrappen van de oploop van de opschalingskorting per 2026. Het schrappen van de opschalingskorting resulteert in een plus van 675 miljoen voor gemeenten en een plus van ruim 40 miljoen voor provincies vanaf 2026.</w:t>
      </w:r>
    </w:p>
    <w:bookmarkEnd w:id="3"/>
    <w:p w:rsidR="00585449" w:rsidP="00145210" w:rsidRDefault="0021118B" w14:paraId="734AAE26" w14:textId="77777777">
      <w:pPr>
        <w:pStyle w:val="Lijstalinea"/>
        <w:numPr>
          <w:ilvl w:val="0"/>
          <w:numId w:val="7"/>
        </w:numPr>
        <w:autoSpaceDE w:val="0"/>
        <w:adjustRightInd w:val="0"/>
        <w:spacing w:line="240" w:lineRule="auto"/>
        <w:rPr>
          <w:rFonts w:ascii="Verdana" w:hAnsi="Verdana"/>
          <w:sz w:val="18"/>
          <w:szCs w:val="18"/>
        </w:rPr>
      </w:pPr>
      <w:r w:rsidRPr="00145210">
        <w:rPr>
          <w:rFonts w:ascii="Verdana" w:hAnsi="Verdana"/>
          <w:sz w:val="18"/>
          <w:szCs w:val="18"/>
        </w:rPr>
        <w:t>Ten slotte blijft het kabinet</w:t>
      </w:r>
      <w:r w:rsidRPr="00145210" w:rsidR="00514E0C">
        <w:rPr>
          <w:rFonts w:ascii="Verdana" w:hAnsi="Verdana"/>
          <w:sz w:val="18"/>
          <w:szCs w:val="18"/>
        </w:rPr>
        <w:t xml:space="preserve"> in gesprek met de koepelorganisaties van gemeenten, provincies en waterschappen over </w:t>
      </w:r>
      <w:r w:rsidRPr="00145210" w:rsidR="00643DB8">
        <w:rPr>
          <w:rFonts w:ascii="Verdana" w:hAnsi="Verdana"/>
          <w:sz w:val="18"/>
          <w:szCs w:val="18"/>
        </w:rPr>
        <w:t xml:space="preserve">de gedeelde verantwoordelijkheid om te werken aan de balans tussen </w:t>
      </w:r>
      <w:r w:rsidRPr="00145210" w:rsidR="00514E0C">
        <w:rPr>
          <w:rFonts w:ascii="Verdana" w:hAnsi="Verdana"/>
          <w:sz w:val="18"/>
          <w:szCs w:val="18"/>
        </w:rPr>
        <w:t>ambities</w:t>
      </w:r>
      <w:r w:rsidRPr="00145210" w:rsidR="00643DB8">
        <w:rPr>
          <w:rFonts w:ascii="Verdana" w:hAnsi="Verdana"/>
          <w:sz w:val="18"/>
          <w:szCs w:val="18"/>
        </w:rPr>
        <w:t>,</w:t>
      </w:r>
      <w:r w:rsidRPr="00145210" w:rsidR="00514E0C">
        <w:rPr>
          <w:rFonts w:ascii="Verdana" w:hAnsi="Verdana"/>
          <w:sz w:val="18"/>
          <w:szCs w:val="18"/>
        </w:rPr>
        <w:t xml:space="preserve"> taken </w:t>
      </w:r>
      <w:r w:rsidRPr="00145210" w:rsidR="00643DB8">
        <w:rPr>
          <w:rFonts w:ascii="Verdana" w:hAnsi="Verdana"/>
          <w:sz w:val="18"/>
          <w:szCs w:val="18"/>
        </w:rPr>
        <w:t xml:space="preserve">middelen en uitvoeringskracht. Zo gaan Rijk en gemeenten gezamenlijk werken om de beheersbaarheid van de uitgaven in relatie tot de wettelijke zorgtaken van de </w:t>
      </w:r>
      <w:proofErr w:type="spellStart"/>
      <w:r w:rsidRPr="00145210" w:rsidR="00643DB8">
        <w:rPr>
          <w:rFonts w:ascii="Verdana" w:hAnsi="Verdana"/>
          <w:sz w:val="18"/>
          <w:szCs w:val="18"/>
        </w:rPr>
        <w:t>Wmo</w:t>
      </w:r>
      <w:proofErr w:type="spellEnd"/>
      <w:r w:rsidRPr="00145210" w:rsidR="00643DB8">
        <w:rPr>
          <w:rFonts w:ascii="Verdana" w:hAnsi="Verdana"/>
          <w:sz w:val="18"/>
          <w:szCs w:val="18"/>
        </w:rPr>
        <w:t xml:space="preserve"> 2015 te borgen. </w:t>
      </w:r>
      <w:proofErr w:type="spellStart"/>
      <w:r w:rsidRPr="00145210" w:rsidR="00643DB8">
        <w:rPr>
          <w:rFonts w:ascii="Verdana" w:hAnsi="Verdana"/>
          <w:sz w:val="18"/>
          <w:szCs w:val="18"/>
        </w:rPr>
        <w:t>Rĳk</w:t>
      </w:r>
      <w:proofErr w:type="spellEnd"/>
      <w:r w:rsidRPr="00145210" w:rsidR="00643DB8">
        <w:rPr>
          <w:rFonts w:ascii="Verdana" w:hAnsi="Verdana"/>
          <w:sz w:val="18"/>
          <w:szCs w:val="18"/>
        </w:rPr>
        <w:t xml:space="preserve"> en gemeenten werken er gezamenlijk aan om het openeinde-deel van de regeling te beëindigen. Uitgaande van de demografie raming van het CPB voor de </w:t>
      </w:r>
      <w:proofErr w:type="spellStart"/>
      <w:r w:rsidRPr="00145210" w:rsidR="00643DB8">
        <w:rPr>
          <w:rFonts w:ascii="Verdana" w:hAnsi="Verdana"/>
          <w:sz w:val="18"/>
          <w:szCs w:val="18"/>
        </w:rPr>
        <w:t>Wlz</w:t>
      </w:r>
      <w:proofErr w:type="spellEnd"/>
      <w:r w:rsidRPr="00145210" w:rsidR="00643DB8">
        <w:rPr>
          <w:rFonts w:ascii="Verdana" w:hAnsi="Verdana"/>
          <w:sz w:val="18"/>
          <w:szCs w:val="18"/>
        </w:rPr>
        <w:t xml:space="preserve"> van 1,7 procent en de actuele CBS-realisatie heeft het </w:t>
      </w:r>
      <w:proofErr w:type="spellStart"/>
      <w:r w:rsidRPr="00145210" w:rsidR="00643DB8">
        <w:rPr>
          <w:rFonts w:ascii="Verdana" w:hAnsi="Verdana"/>
          <w:sz w:val="18"/>
          <w:szCs w:val="18"/>
        </w:rPr>
        <w:t>Rĳk</w:t>
      </w:r>
      <w:proofErr w:type="spellEnd"/>
      <w:r w:rsidRPr="00145210" w:rsidR="00643DB8">
        <w:rPr>
          <w:rFonts w:ascii="Verdana" w:hAnsi="Verdana"/>
          <w:sz w:val="18"/>
          <w:szCs w:val="18"/>
        </w:rPr>
        <w:t xml:space="preserve"> op de Aanvullende Post vanaf 2026 een </w:t>
      </w:r>
      <w:proofErr w:type="spellStart"/>
      <w:r w:rsidRPr="00145210" w:rsidR="00643DB8">
        <w:rPr>
          <w:rFonts w:ascii="Verdana" w:hAnsi="Verdana"/>
          <w:sz w:val="18"/>
          <w:szCs w:val="18"/>
        </w:rPr>
        <w:t>jaarlĳkse</w:t>
      </w:r>
      <w:proofErr w:type="spellEnd"/>
      <w:r w:rsidRPr="00145210" w:rsidR="00643DB8">
        <w:rPr>
          <w:rFonts w:ascii="Verdana" w:hAnsi="Verdana"/>
          <w:sz w:val="18"/>
          <w:szCs w:val="18"/>
        </w:rPr>
        <w:t xml:space="preserve"> tranche van </w:t>
      </w:r>
      <w:proofErr w:type="gramStart"/>
      <w:r w:rsidRPr="00145210" w:rsidR="00643DB8">
        <w:rPr>
          <w:rFonts w:ascii="Verdana" w:hAnsi="Verdana"/>
          <w:sz w:val="18"/>
          <w:szCs w:val="18"/>
        </w:rPr>
        <w:t>circa</w:t>
      </w:r>
      <w:proofErr w:type="gramEnd"/>
      <w:r w:rsidRPr="00145210" w:rsidR="00643DB8">
        <w:rPr>
          <w:rFonts w:ascii="Verdana" w:hAnsi="Verdana"/>
          <w:sz w:val="18"/>
          <w:szCs w:val="18"/>
        </w:rPr>
        <w:t xml:space="preserve"> 75 miljoen euro additioneel</w:t>
      </w:r>
      <w:r w:rsidR="005C750B">
        <w:rPr>
          <w:rFonts w:ascii="Verdana" w:hAnsi="Verdana"/>
          <w:sz w:val="18"/>
          <w:szCs w:val="18"/>
        </w:rPr>
        <w:t>,</w:t>
      </w:r>
      <w:r w:rsidRPr="00145210" w:rsidR="00643DB8">
        <w:rPr>
          <w:rFonts w:ascii="Verdana" w:hAnsi="Verdana"/>
          <w:sz w:val="18"/>
          <w:szCs w:val="18"/>
        </w:rPr>
        <w:t xml:space="preserve"> oplopend tot 300 miljoen euro in 2029</w:t>
      </w:r>
      <w:r w:rsidR="005C750B">
        <w:rPr>
          <w:rFonts w:ascii="Verdana" w:hAnsi="Verdana"/>
          <w:sz w:val="18"/>
          <w:szCs w:val="18"/>
        </w:rPr>
        <w:t>,</w:t>
      </w:r>
      <w:r w:rsidRPr="00145210" w:rsidR="00643DB8">
        <w:rPr>
          <w:rFonts w:ascii="Verdana" w:hAnsi="Verdana"/>
          <w:sz w:val="18"/>
          <w:szCs w:val="18"/>
        </w:rPr>
        <w:t xml:space="preserve"> voor gemeenten gereserveerd. </w:t>
      </w:r>
    </w:p>
    <w:p w:rsidR="009268F9" w:rsidP="00C14B0B" w:rsidRDefault="009C6CCD" w14:paraId="1307EFE1" w14:textId="77777777">
      <w:pPr>
        <w:autoSpaceDE w:val="0"/>
        <w:adjustRightInd w:val="0"/>
        <w:spacing w:line="240" w:lineRule="auto"/>
      </w:pPr>
      <w:bookmarkStart w:name="_Hlk172127627" w:id="4"/>
      <w:r>
        <w:t xml:space="preserve">De financiële consequenties van </w:t>
      </w:r>
      <w:r w:rsidR="00452DED">
        <w:t>hierboven</w:t>
      </w:r>
      <w:r>
        <w:t xml:space="preserve"> genoemde afspraken</w:t>
      </w:r>
      <w:r w:rsidR="00C14B0B">
        <w:t xml:space="preserve"> worden door gemeenten verwerkt in de begroting 2025 en de meerjarenraming 2026-2028. De provinciale toezichthouders zullen </w:t>
      </w:r>
      <w:r w:rsidR="00F10532">
        <w:t xml:space="preserve">deze </w:t>
      </w:r>
      <w:r w:rsidR="00C14B0B">
        <w:t>eind 2024 opnieuw beoordelen.</w:t>
      </w:r>
      <w:r w:rsidR="009268F9">
        <w:t xml:space="preserve"> </w:t>
      </w:r>
    </w:p>
    <w:p w:rsidR="00CE12FC" w:rsidP="00C14B0B" w:rsidRDefault="00CE12FC" w14:paraId="328A38D2" w14:textId="77777777">
      <w:pPr>
        <w:autoSpaceDE w:val="0"/>
        <w:adjustRightInd w:val="0"/>
        <w:spacing w:line="240" w:lineRule="auto"/>
      </w:pPr>
    </w:p>
    <w:p w:rsidRPr="00145210" w:rsidR="00CE12FC" w:rsidP="00CE12FC" w:rsidRDefault="00CE12FC" w14:paraId="7BB29EF6" w14:textId="77777777">
      <w:pPr>
        <w:spacing w:line="240" w:lineRule="auto"/>
      </w:pPr>
      <w:r>
        <w:t xml:space="preserve">Jaarlijks wordt ook </w:t>
      </w:r>
      <w:r w:rsidR="00452DED">
        <w:t>in het najaar</w:t>
      </w:r>
      <w:r w:rsidR="008755D3">
        <w:t xml:space="preserve"> </w:t>
      </w:r>
      <w:r>
        <w:t xml:space="preserve">het Integraal Overzicht Financiën Gemeenten </w:t>
      </w:r>
      <w:r w:rsidR="009C6CCD">
        <w:t>aan uw Kamer gestuurd</w:t>
      </w:r>
      <w:r w:rsidR="00452DED">
        <w:t>,</w:t>
      </w:r>
      <w:r>
        <w:t xml:space="preserve"> waarin een overzicht wordt gegeven </w:t>
      </w:r>
      <w:r w:rsidR="00ED4EFD">
        <w:t>van</w:t>
      </w:r>
      <w:r>
        <w:t xml:space="preserve"> de financiële positie van gemeenten </w:t>
      </w:r>
      <w:r w:rsidR="00452DED">
        <w:t>en provincies,</w:t>
      </w:r>
      <w:r w:rsidR="00C451E0">
        <w:t xml:space="preserve"> </w:t>
      </w:r>
      <w:r w:rsidRPr="00452DED" w:rsidR="00452DED">
        <w:t>inkomsten en uitgaven van decentrale overheden en van het oordeel van de accountant over de jaarrekening over 2022.</w:t>
      </w:r>
      <w:r w:rsidR="00452DED">
        <w:t xml:space="preserve"> Hierbij wordt wat de financiële positie betreft naar verschillende aspecten gekeken, zoals de exploitatieresultaten van gemeenten, het aantal gemeenten met tekorten en de solvabiliteit. </w:t>
      </w:r>
      <w:r>
        <w:t xml:space="preserve">Het komende overzicht zal de begroting 2024 en de jaarrekeningen 2019 tot en met 2023 beslaan. De begrotingen van 2025 kunnen hier nog niet in meegenomen worden. </w:t>
      </w:r>
    </w:p>
    <w:bookmarkEnd w:id="4"/>
    <w:p w:rsidR="009268F9" w:rsidP="00C14B0B" w:rsidRDefault="009268F9" w14:paraId="0E8938EF" w14:textId="77777777">
      <w:pPr>
        <w:autoSpaceDE w:val="0"/>
        <w:adjustRightInd w:val="0"/>
        <w:spacing w:line="240" w:lineRule="auto"/>
      </w:pPr>
    </w:p>
    <w:p w:rsidRPr="00145210" w:rsidR="00AD6CB9" w:rsidP="00145210" w:rsidRDefault="00AD6CB9" w14:paraId="4159DC26" w14:textId="77777777">
      <w:pPr>
        <w:autoSpaceDE w:val="0"/>
        <w:adjustRightInd w:val="0"/>
        <w:spacing w:line="240" w:lineRule="auto"/>
      </w:pPr>
      <w:bookmarkStart w:name="_Hlk170804132" w:id="5"/>
      <w:r w:rsidRPr="00145210">
        <w:t xml:space="preserve">Op het vlak van het sociaal domein bevat de Hervormingsagenda Jeugd een omvangrijk pakket </w:t>
      </w:r>
      <w:r w:rsidR="00452DED">
        <w:t xml:space="preserve">aan </w:t>
      </w:r>
      <w:r w:rsidRPr="00145210">
        <w:t>afspraken met als doel de jeugdzorg te verbeteren en financieel gezond</w:t>
      </w:r>
      <w:r w:rsidRPr="00145210" w:rsidR="00DE3F19">
        <w:t>er</w:t>
      </w:r>
      <w:r w:rsidRPr="00145210">
        <w:t xml:space="preserve"> te maken. Dit vraagt inzet van en samenwerking tussen alle betrokken partijen uit de zogeheten vijfhoek. Gemeenten en het </w:t>
      </w:r>
      <w:r w:rsidR="005C750B">
        <w:t>R</w:t>
      </w:r>
      <w:r w:rsidRPr="00145210">
        <w:t>ijk gaan structureel investeren in de landelijke kwaliteit en effectiviteit van jeugdhulp. Daarnaast wordt de Jeugdwet aangepast, waardoor duidelijker wordt waarvoor kinderen en ouders hulp kunnen krijgen.</w:t>
      </w:r>
    </w:p>
    <w:p w:rsidRPr="00145210" w:rsidR="00AD6CB9" w:rsidP="00145210" w:rsidRDefault="00AD6CB9" w14:paraId="2F5F87E8" w14:textId="77777777">
      <w:pPr>
        <w:spacing w:line="240" w:lineRule="auto"/>
      </w:pPr>
      <w:bookmarkStart w:name="_Hlk170728914" w:id="6"/>
      <w:bookmarkEnd w:id="5"/>
    </w:p>
    <w:p w:rsidRPr="00145210" w:rsidR="000D2696" w:rsidP="00145210" w:rsidRDefault="000D2696" w14:paraId="7EED8A8C" w14:textId="77777777">
      <w:pPr>
        <w:spacing w:line="240" w:lineRule="auto"/>
      </w:pPr>
      <w:r w:rsidRPr="00145210">
        <w:t xml:space="preserve">Met betrekking tot de vervolgstappen van de herijking van het </w:t>
      </w:r>
      <w:r w:rsidR="005C750B">
        <w:t>G</w:t>
      </w:r>
      <w:r w:rsidRPr="00145210">
        <w:t xml:space="preserve">emeentefonds na 2025 geldt dat de bedragen voor 2026 en verder voor de suppletie-uitkering </w:t>
      </w:r>
    </w:p>
    <w:p w:rsidRPr="00145210" w:rsidR="000D2696" w:rsidP="00145210" w:rsidRDefault="000D2696" w14:paraId="79E910B2" w14:textId="77777777">
      <w:pPr>
        <w:spacing w:line="240" w:lineRule="auto"/>
      </w:pPr>
      <w:proofErr w:type="gramStart"/>
      <w:r w:rsidRPr="00145210">
        <w:t>afhankelijk</w:t>
      </w:r>
      <w:proofErr w:type="gramEnd"/>
      <w:r w:rsidRPr="00145210">
        <w:t xml:space="preserve"> zijn van verdere besluitvorming. In afwachting hiervan is ervoor </w:t>
      </w:r>
    </w:p>
    <w:p w:rsidRPr="00145210" w:rsidR="000D2696" w:rsidP="00145210" w:rsidRDefault="000D2696" w14:paraId="7D3275F8" w14:textId="77777777">
      <w:pPr>
        <w:spacing w:line="240" w:lineRule="auto"/>
      </w:pPr>
      <w:proofErr w:type="gramStart"/>
      <w:r w:rsidRPr="00145210">
        <w:t>gekozen</w:t>
      </w:r>
      <w:proofErr w:type="gramEnd"/>
      <w:r w:rsidRPr="00145210">
        <w:t xml:space="preserve"> om voor 2026 en verder uit te gaan van de stand 2025 en dus de </w:t>
      </w:r>
    </w:p>
    <w:p w:rsidR="000D2696" w:rsidP="00145210" w:rsidRDefault="000D2696" w14:paraId="13E4AE4C" w14:textId="77777777">
      <w:pPr>
        <w:spacing w:line="240" w:lineRule="auto"/>
      </w:pPr>
      <w:proofErr w:type="gramStart"/>
      <w:r w:rsidRPr="00145210">
        <w:t>suppletie</w:t>
      </w:r>
      <w:proofErr w:type="gramEnd"/>
      <w:r w:rsidRPr="00145210">
        <w:t xml:space="preserve">-uitkering door te trekken. De gemeenten zullen uiterlijk in de meicirculaire 2025 worden geïnformeerd over het </w:t>
      </w:r>
      <w:proofErr w:type="spellStart"/>
      <w:r w:rsidRPr="00145210">
        <w:t>ingroeipad</w:t>
      </w:r>
      <w:proofErr w:type="spellEnd"/>
      <w:r w:rsidRPr="00145210">
        <w:t xml:space="preserve"> vanaf 202</w:t>
      </w:r>
      <w:r w:rsidRPr="00145210" w:rsidR="00580E6F">
        <w:t>6</w:t>
      </w:r>
      <w:r w:rsidRPr="00145210">
        <w:t>.</w:t>
      </w:r>
    </w:p>
    <w:p w:rsidR="005C750B" w:rsidP="00145210" w:rsidRDefault="005C750B" w14:paraId="46FF4F2F" w14:textId="77777777">
      <w:pPr>
        <w:spacing w:line="240" w:lineRule="auto"/>
      </w:pPr>
    </w:p>
    <w:p w:rsidRPr="005C750B" w:rsidR="005C750B" w:rsidP="005C750B" w:rsidRDefault="005C750B" w14:paraId="4B8D930B" w14:textId="77777777">
      <w:pPr>
        <w:spacing w:line="240" w:lineRule="auto"/>
      </w:pPr>
      <w:r>
        <w:t xml:space="preserve">Ik hoop u hiermee helder aangegeven te hebben, welke maatregelen de afgelopen periode genomen zijn die de financiën van medeoverheden raken, deels ook na het opgestelde provinciale toezichtverslag, waarmee ook meer helderheid is gekomen op geadresseerde zorgpunten. Ik blijf de komende tijd uiteraard graag in constructief overleg met medeoverheden </w:t>
      </w:r>
      <w:r w:rsidR="0076771B">
        <w:t>werken aan</w:t>
      </w:r>
      <w:r>
        <w:t xml:space="preserve"> </w:t>
      </w:r>
      <w:r w:rsidR="0076771B">
        <w:t xml:space="preserve">een goede </w:t>
      </w:r>
      <w:r>
        <w:t>de balans t</w:t>
      </w:r>
      <w:r w:rsidRPr="005C750B">
        <w:t xml:space="preserve">ussen ambities, taken, middelen en uitvoeringskracht. </w:t>
      </w:r>
    </w:p>
    <w:p w:rsidRPr="00145210" w:rsidR="005C750B" w:rsidP="00145210" w:rsidRDefault="005C750B" w14:paraId="114EE617" w14:textId="77777777">
      <w:pPr>
        <w:spacing w:line="240" w:lineRule="auto"/>
      </w:pPr>
    </w:p>
    <w:bookmarkEnd w:id="6"/>
    <w:p w:rsidRPr="00145210" w:rsidR="000D2696" w:rsidP="00145210" w:rsidRDefault="000D2696" w14:paraId="1ADDB2B6" w14:textId="77777777">
      <w:pPr>
        <w:spacing w:line="240" w:lineRule="auto"/>
      </w:pPr>
    </w:p>
    <w:p w:rsidRPr="00145210" w:rsidR="00514E0C" w:rsidP="00145210" w:rsidRDefault="00514E0C" w14:paraId="461DA5FE" w14:textId="77777777">
      <w:pPr>
        <w:spacing w:line="240" w:lineRule="auto"/>
      </w:pPr>
      <w:r w:rsidRPr="00145210">
        <w:t>De minister van Binnenlandse Zaken en Koninkrijksrelaties,</w:t>
      </w:r>
    </w:p>
    <w:p w:rsidRPr="00145210" w:rsidR="00B906F8" w:rsidP="00145210" w:rsidRDefault="00B906F8" w14:paraId="7A75CBC0" w14:textId="77777777">
      <w:pPr>
        <w:spacing w:line="240" w:lineRule="auto"/>
      </w:pPr>
    </w:p>
    <w:p w:rsidRPr="00145210" w:rsidR="002F326D" w:rsidP="00145210" w:rsidRDefault="002F326D" w14:paraId="141673B9" w14:textId="77777777">
      <w:pPr>
        <w:spacing w:line="240" w:lineRule="auto"/>
      </w:pPr>
    </w:p>
    <w:p w:rsidRPr="00145210" w:rsidR="00EE678D" w:rsidP="00145210" w:rsidRDefault="001838B4" w14:paraId="3C623422" w14:textId="0C10182B">
      <w:pPr>
        <w:spacing w:line="240" w:lineRule="auto"/>
      </w:pPr>
      <w:r>
        <w:br/>
      </w:r>
    </w:p>
    <w:p w:rsidRPr="00145210" w:rsidR="00585449" w:rsidP="00145210" w:rsidRDefault="00585449" w14:paraId="1E76D179" w14:textId="77777777">
      <w:pPr>
        <w:spacing w:line="240" w:lineRule="auto"/>
      </w:pPr>
    </w:p>
    <w:p w:rsidRPr="00145210" w:rsidR="00585449" w:rsidP="00145210" w:rsidRDefault="00AF56E1" w14:paraId="4F4ECF9F" w14:textId="77777777">
      <w:pPr>
        <w:spacing w:line="240" w:lineRule="auto"/>
      </w:pPr>
      <w:r w:rsidRPr="00145210">
        <w:t>J.J.M</w:t>
      </w:r>
      <w:r w:rsidRPr="00145210" w:rsidR="0008798D">
        <w:t>.</w:t>
      </w:r>
      <w:r w:rsidRPr="00145210" w:rsidR="00E86203">
        <w:t xml:space="preserve"> Uitermark</w:t>
      </w:r>
    </w:p>
    <w:sectPr w:rsidRPr="00145210" w:rsidR="00585449">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AEE4D" w14:textId="77777777" w:rsidR="0060214E" w:rsidRDefault="0060214E">
      <w:pPr>
        <w:spacing w:line="240" w:lineRule="auto"/>
      </w:pPr>
      <w:r>
        <w:separator/>
      </w:r>
    </w:p>
  </w:endnote>
  <w:endnote w:type="continuationSeparator" w:id="0">
    <w:p w14:paraId="22ABC6CD" w14:textId="77777777" w:rsidR="0060214E" w:rsidRDefault="0060214E">
      <w:pPr>
        <w:spacing w:line="240" w:lineRule="auto"/>
      </w:pPr>
      <w:r>
        <w:continuationSeparator/>
      </w:r>
    </w:p>
  </w:endnote>
  <w:endnote w:type="continuationNotice" w:id="1">
    <w:p w14:paraId="304D0C4B" w14:textId="77777777" w:rsidR="0060214E" w:rsidRDefault="006021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4D328" w14:textId="77777777" w:rsidR="008027E0" w:rsidRDefault="008027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6602" w14:textId="77777777" w:rsidR="008027E0" w:rsidRDefault="008027E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7FD0" w14:textId="77777777" w:rsidR="008027E0" w:rsidRDefault="008027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00572" w14:textId="77777777" w:rsidR="0060214E" w:rsidRDefault="0060214E">
      <w:pPr>
        <w:spacing w:line="240" w:lineRule="auto"/>
      </w:pPr>
      <w:r>
        <w:separator/>
      </w:r>
    </w:p>
  </w:footnote>
  <w:footnote w:type="continuationSeparator" w:id="0">
    <w:p w14:paraId="79EB8FBA" w14:textId="77777777" w:rsidR="0060214E" w:rsidRDefault="0060214E">
      <w:pPr>
        <w:spacing w:line="240" w:lineRule="auto"/>
      </w:pPr>
      <w:r>
        <w:continuationSeparator/>
      </w:r>
    </w:p>
  </w:footnote>
  <w:footnote w:type="continuationNotice" w:id="1">
    <w:p w14:paraId="5F7852AB" w14:textId="77777777" w:rsidR="0060214E" w:rsidRDefault="0060214E">
      <w:pPr>
        <w:spacing w:line="240" w:lineRule="auto"/>
      </w:pPr>
    </w:p>
  </w:footnote>
  <w:footnote w:id="2">
    <w:p w14:paraId="1228C242" w14:textId="77777777" w:rsidR="006D229D" w:rsidRPr="00B2083A" w:rsidRDefault="006D229D" w:rsidP="006D229D">
      <w:pPr>
        <w:pStyle w:val="Voetnoottekst"/>
        <w:rPr>
          <w:sz w:val="16"/>
          <w:szCs w:val="16"/>
          <w:highlight w:val="yellow"/>
        </w:rPr>
      </w:pPr>
      <w:r w:rsidRPr="00BD4C8E">
        <w:rPr>
          <w:rStyle w:val="Voetnootmarkering"/>
        </w:rPr>
        <w:footnoteRef/>
      </w:r>
      <w:r w:rsidRPr="00BD4C8E">
        <w:t xml:space="preserve"> </w:t>
      </w:r>
      <w:r w:rsidRPr="00BD4C8E">
        <w:rPr>
          <w:sz w:val="16"/>
          <w:szCs w:val="16"/>
        </w:rPr>
        <w:t>Tweede Kamer, vergaderjaar 2023-2024, 36 550, nr. 1 p.59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26564" w14:textId="77777777" w:rsidR="008027E0" w:rsidRDefault="008027E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69A6" w14:textId="77777777" w:rsidR="00B906F8" w:rsidRDefault="00D00E4E">
    <w:r>
      <w:rPr>
        <w:noProof/>
      </w:rPr>
      <mc:AlternateContent>
        <mc:Choice Requires="wps">
          <w:drawing>
            <wp:anchor distT="0" distB="0" distL="0" distR="0" simplePos="0" relativeHeight="251658240" behindDoc="0" locked="1" layoutInCell="1" allowOverlap="1" wp14:anchorId="398E6246" wp14:editId="265CF9D0">
              <wp:simplePos x="0" y="0"/>
              <wp:positionH relativeFrom="page">
                <wp:posOffset>1007744</wp:posOffset>
              </wp:positionH>
              <wp:positionV relativeFrom="page">
                <wp:posOffset>1965325</wp:posOffset>
              </wp:positionV>
              <wp:extent cx="4787900" cy="161925"/>
              <wp:effectExtent l="0" t="0" r="0" b="0"/>
              <wp:wrapNone/>
              <wp:docPr id="1" name="Tekstvak 1"/>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5840EF7" w14:textId="6FCA3564" w:rsidR="000E27F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398E6246" id="_x0000_t202" coordsize="21600,21600" o:spt="202" path="m,l,21600r21600,l21600,xe">
              <v:stroke joinstyle="miter"/>
              <v:path gradientshapeok="t" o:connecttype="rect"/>
            </v:shapetype>
            <v:shape id="Tekstvak 1" o:spid="_x0000_s1026" type="#_x0000_t202" style="position:absolute;margin-left:79.35pt;margin-top:154.7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65840EF7" w14:textId="6FCA3564" w:rsidR="000E27F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57E866FE" wp14:editId="09C41497">
              <wp:simplePos x="0" y="0"/>
              <wp:positionH relativeFrom="page">
                <wp:posOffset>5921375</wp:posOffset>
              </wp:positionH>
              <wp:positionV relativeFrom="page">
                <wp:posOffset>1965325</wp:posOffset>
              </wp:positionV>
              <wp:extent cx="1277620" cy="8009890"/>
              <wp:effectExtent l="0" t="0" r="0" b="0"/>
              <wp:wrapNone/>
              <wp:docPr id="2" name="Tekstvak 2"/>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9046EDA" w14:textId="77777777" w:rsidR="00B906F8" w:rsidRDefault="00D00E4E">
                          <w:pPr>
                            <w:pStyle w:val="Referentiegegevensbold"/>
                          </w:pPr>
                          <w:r>
                            <w:t xml:space="preserve">DG Openbaar Bestuur &amp; </w:t>
                          </w:r>
                          <w:proofErr w:type="spellStart"/>
                          <w:r>
                            <w:t>Democr</w:t>
                          </w:r>
                          <w:proofErr w:type="spellEnd"/>
                          <w:r>
                            <w:t xml:space="preserve"> Rechtsstaat</w:t>
                          </w:r>
                        </w:p>
                        <w:p w14:paraId="0A1D5353" w14:textId="77777777" w:rsidR="00B906F8" w:rsidRDefault="00D00E4E">
                          <w:pPr>
                            <w:pStyle w:val="Referentiegegevens"/>
                          </w:pPr>
                          <w:r>
                            <w:t>DGOBDR-BFR-</w:t>
                          </w:r>
                          <w:proofErr w:type="spellStart"/>
                          <w:r>
                            <w:t>Regelg</w:t>
                          </w:r>
                          <w:proofErr w:type="spellEnd"/>
                          <w:r>
                            <w:t>. Toezicht &amp; Monitoring</w:t>
                          </w:r>
                        </w:p>
                        <w:p w14:paraId="22125E7C" w14:textId="77777777" w:rsidR="00B906F8" w:rsidRDefault="00B906F8">
                          <w:pPr>
                            <w:pStyle w:val="WitregelW2"/>
                          </w:pPr>
                        </w:p>
                        <w:p w14:paraId="114C9F50" w14:textId="78BE33FF" w:rsidR="000E27F4" w:rsidRDefault="000E27F4" w:rsidP="008027E0">
                          <w:pPr>
                            <w:pStyle w:val="Referentiegegevensbold"/>
                          </w:pPr>
                        </w:p>
                        <w:p w14:paraId="43887E7A" w14:textId="77777777" w:rsidR="00B906F8" w:rsidRDefault="00B906F8">
                          <w:pPr>
                            <w:pStyle w:val="WitregelW1"/>
                          </w:pPr>
                        </w:p>
                        <w:p w14:paraId="6668F3EC" w14:textId="77777777" w:rsidR="00B906F8" w:rsidRDefault="00D00E4E">
                          <w:pPr>
                            <w:pStyle w:val="Referentiegegevensbold"/>
                          </w:pPr>
                          <w:r>
                            <w:t>Onze referentie</w:t>
                          </w:r>
                        </w:p>
                        <w:p w14:paraId="63628A43" w14:textId="53FE78AB" w:rsidR="000E27F4" w:rsidRDefault="00000000">
                          <w:pPr>
                            <w:pStyle w:val="Referentiegegevens"/>
                          </w:pPr>
                          <w:fldSimple w:instr="DOCPROPERTY  &quot;Kenmerk&quot;  \* MERGEFORMAT ">
                            <w:r w:rsidR="008027E0">
                              <w:t>2024-0000344854</w:t>
                            </w:r>
                          </w:fldSimple>
                        </w:p>
                      </w:txbxContent>
                    </wps:txbx>
                    <wps:bodyPr vert="horz" wrap="square" lIns="0" tIns="0" rIns="0" bIns="0" anchor="t" anchorCtr="0"/>
                  </wps:wsp>
                </a:graphicData>
              </a:graphic>
            </wp:anchor>
          </w:drawing>
        </mc:Choice>
        <mc:Fallback>
          <w:pict>
            <v:shape w14:anchorId="57E866FE" id="Tekstvak 2" o:spid="_x0000_s1027" type="#_x0000_t202" style="position:absolute;margin-left:466.25pt;margin-top:154.75pt;width:100.6pt;height:630.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9046EDA" w14:textId="77777777" w:rsidR="00B906F8" w:rsidRDefault="00D00E4E">
                    <w:pPr>
                      <w:pStyle w:val="Referentiegegevensbold"/>
                    </w:pPr>
                    <w:r>
                      <w:t xml:space="preserve">DG Openbaar Bestuur &amp; </w:t>
                    </w:r>
                    <w:proofErr w:type="spellStart"/>
                    <w:r>
                      <w:t>Democr</w:t>
                    </w:r>
                    <w:proofErr w:type="spellEnd"/>
                    <w:r>
                      <w:t xml:space="preserve"> Rechtsstaat</w:t>
                    </w:r>
                  </w:p>
                  <w:p w14:paraId="0A1D5353" w14:textId="77777777" w:rsidR="00B906F8" w:rsidRDefault="00D00E4E">
                    <w:pPr>
                      <w:pStyle w:val="Referentiegegevens"/>
                    </w:pPr>
                    <w:r>
                      <w:t>DGOBDR-BFR-</w:t>
                    </w:r>
                    <w:proofErr w:type="spellStart"/>
                    <w:r>
                      <w:t>Regelg</w:t>
                    </w:r>
                    <w:proofErr w:type="spellEnd"/>
                    <w:r>
                      <w:t>. Toezicht &amp; Monitoring</w:t>
                    </w:r>
                  </w:p>
                  <w:p w14:paraId="22125E7C" w14:textId="77777777" w:rsidR="00B906F8" w:rsidRDefault="00B906F8">
                    <w:pPr>
                      <w:pStyle w:val="WitregelW2"/>
                    </w:pPr>
                  </w:p>
                  <w:p w14:paraId="114C9F50" w14:textId="78BE33FF" w:rsidR="000E27F4" w:rsidRDefault="000E27F4" w:rsidP="008027E0">
                    <w:pPr>
                      <w:pStyle w:val="Referentiegegevensbold"/>
                    </w:pPr>
                  </w:p>
                  <w:p w14:paraId="43887E7A" w14:textId="77777777" w:rsidR="00B906F8" w:rsidRDefault="00B906F8">
                    <w:pPr>
                      <w:pStyle w:val="WitregelW1"/>
                    </w:pPr>
                  </w:p>
                  <w:p w14:paraId="6668F3EC" w14:textId="77777777" w:rsidR="00B906F8" w:rsidRDefault="00D00E4E">
                    <w:pPr>
                      <w:pStyle w:val="Referentiegegevensbold"/>
                    </w:pPr>
                    <w:r>
                      <w:t>Onze referentie</w:t>
                    </w:r>
                  </w:p>
                  <w:p w14:paraId="63628A43" w14:textId="53FE78AB" w:rsidR="000E27F4" w:rsidRDefault="00000000">
                    <w:pPr>
                      <w:pStyle w:val="Referentiegegevens"/>
                    </w:pPr>
                    <w:fldSimple w:instr="DOCPROPERTY  &quot;Kenmerk&quot;  \* MERGEFORMAT ">
                      <w:r w:rsidR="008027E0">
                        <w:t>2024-0000344854</w:t>
                      </w:r>
                    </w:fldSimple>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42569110" wp14:editId="0E07F319">
              <wp:simplePos x="0" y="0"/>
              <wp:positionH relativeFrom="page">
                <wp:posOffset>1007744</wp:posOffset>
              </wp:positionH>
              <wp:positionV relativeFrom="page">
                <wp:posOffset>10194925</wp:posOffset>
              </wp:positionV>
              <wp:extent cx="4787900" cy="161925"/>
              <wp:effectExtent l="0" t="0" r="0" b="0"/>
              <wp:wrapNone/>
              <wp:docPr id="3" name="Tekstvak 3"/>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731FC3D" w14:textId="57A9242B" w:rsidR="000E27F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42569110" id="Tekstvak 3" o:spid="_x0000_s1028" type="#_x0000_t202" style="position:absolute;margin-left:79.35pt;margin-top:802.75pt;width:37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731FC3D" w14:textId="57A9242B" w:rsidR="000E27F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6205C937" wp14:editId="13053998">
              <wp:simplePos x="0" y="0"/>
              <wp:positionH relativeFrom="page">
                <wp:posOffset>5921375</wp:posOffset>
              </wp:positionH>
              <wp:positionV relativeFrom="page">
                <wp:posOffset>10194925</wp:posOffset>
              </wp:positionV>
              <wp:extent cx="1285875" cy="161925"/>
              <wp:effectExtent l="0" t="0" r="0" b="0"/>
              <wp:wrapNone/>
              <wp:docPr id="4" name="Tekstvak 4"/>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28E0746" w14:textId="77777777" w:rsidR="000E27F4"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205C937" id="Tekstvak 4" o:spid="_x0000_s1029" type="#_x0000_t202" style="position:absolute;margin-left:466.25pt;margin-top:802.75pt;width:101.2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528E0746" w14:textId="77777777" w:rsidR="000E27F4"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61FD2" w14:textId="77777777" w:rsidR="00B906F8" w:rsidRDefault="00D00E4E">
    <w:pPr>
      <w:spacing w:after="6377" w:line="14" w:lineRule="exact"/>
    </w:pPr>
    <w:r>
      <w:rPr>
        <w:noProof/>
      </w:rPr>
      <mc:AlternateContent>
        <mc:Choice Requires="wps">
          <w:drawing>
            <wp:anchor distT="0" distB="0" distL="0" distR="0" simplePos="0" relativeHeight="251658244" behindDoc="0" locked="1" layoutInCell="1" allowOverlap="1" wp14:anchorId="4A7F444D" wp14:editId="0F6C0DC6">
              <wp:simplePos x="0" y="0"/>
              <wp:positionH relativeFrom="page">
                <wp:posOffset>3545840</wp:posOffset>
              </wp:positionH>
              <wp:positionV relativeFrom="page">
                <wp:posOffset>0</wp:posOffset>
              </wp:positionV>
              <wp:extent cx="467995" cy="1583690"/>
              <wp:effectExtent l="0" t="0" r="0" b="0"/>
              <wp:wrapNone/>
              <wp:docPr id="5" name="Tekstvak 5"/>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E4FCC91" w14:textId="77777777" w:rsidR="00B906F8" w:rsidRDefault="00D00E4E">
                          <w:pPr>
                            <w:spacing w:line="240" w:lineRule="auto"/>
                          </w:pPr>
                          <w:r>
                            <w:rPr>
                              <w:noProof/>
                            </w:rPr>
                            <w:drawing>
                              <wp:inline distT="0" distB="0" distL="0" distR="0" wp14:anchorId="06421B33" wp14:editId="311A2881">
                                <wp:extent cx="467995" cy="1583865"/>
                                <wp:effectExtent l="0" t="0" r="0" b="0"/>
                                <wp:docPr id="6" name="Afbeelding 6"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A7F444D" id="_x0000_t202" coordsize="21600,21600" o:spt="202" path="m,l,21600r21600,l21600,xe">
              <v:stroke joinstyle="miter"/>
              <v:path gradientshapeok="t" o:connecttype="rect"/>
            </v:shapetype>
            <v:shape id="Tekstvak 5" o:spid="_x0000_s1030" type="#_x0000_t202" style="position:absolute;margin-left:279.2pt;margin-top:0;width:36.85pt;height:124.7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4E4FCC91" w14:textId="77777777" w:rsidR="00B906F8" w:rsidRDefault="00D00E4E">
                    <w:pPr>
                      <w:spacing w:line="240" w:lineRule="auto"/>
                    </w:pPr>
                    <w:r>
                      <w:rPr>
                        <w:noProof/>
                      </w:rPr>
                      <w:drawing>
                        <wp:inline distT="0" distB="0" distL="0" distR="0" wp14:anchorId="06421B33" wp14:editId="311A2881">
                          <wp:extent cx="467995" cy="1583865"/>
                          <wp:effectExtent l="0" t="0" r="0" b="0"/>
                          <wp:docPr id="6" name="Afbeelding 6"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F592990" wp14:editId="5A9C61D6">
              <wp:simplePos x="0" y="0"/>
              <wp:positionH relativeFrom="page">
                <wp:posOffset>3995420</wp:posOffset>
              </wp:positionH>
              <wp:positionV relativeFrom="page">
                <wp:posOffset>0</wp:posOffset>
              </wp:positionV>
              <wp:extent cx="2339975" cy="1583690"/>
              <wp:effectExtent l="0" t="0" r="0" b="0"/>
              <wp:wrapNone/>
              <wp:docPr id="7" name="Tekstvak 7"/>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3CBBF8A" w14:textId="77777777" w:rsidR="00B906F8" w:rsidRDefault="00D00E4E">
                          <w:pPr>
                            <w:spacing w:line="240" w:lineRule="auto"/>
                          </w:pPr>
                          <w:r>
                            <w:rPr>
                              <w:noProof/>
                            </w:rPr>
                            <w:drawing>
                              <wp:inline distT="0" distB="0" distL="0" distR="0" wp14:anchorId="5390A073" wp14:editId="6E682F78">
                                <wp:extent cx="2339975" cy="1582834"/>
                                <wp:effectExtent l="0" t="0" r="0" b="0"/>
                                <wp:docPr id="8" name="Afbeelding 8"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F592990" id="Tekstvak 7" o:spid="_x0000_s1031" type="#_x0000_t202" style="position:absolute;margin-left:314.6pt;margin-top:0;width:184.25pt;height:124.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3CBBF8A" w14:textId="77777777" w:rsidR="00B906F8" w:rsidRDefault="00D00E4E">
                    <w:pPr>
                      <w:spacing w:line="240" w:lineRule="auto"/>
                    </w:pPr>
                    <w:r>
                      <w:rPr>
                        <w:noProof/>
                      </w:rPr>
                      <w:drawing>
                        <wp:inline distT="0" distB="0" distL="0" distR="0" wp14:anchorId="5390A073" wp14:editId="6E682F78">
                          <wp:extent cx="2339975" cy="1582834"/>
                          <wp:effectExtent l="0" t="0" r="0" b="0"/>
                          <wp:docPr id="8" name="Afbeelding 8"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3C62377E" wp14:editId="1EF7B411">
              <wp:simplePos x="0" y="0"/>
              <wp:positionH relativeFrom="page">
                <wp:posOffset>1007744</wp:posOffset>
              </wp:positionH>
              <wp:positionV relativeFrom="page">
                <wp:posOffset>1727835</wp:posOffset>
              </wp:positionV>
              <wp:extent cx="4787900" cy="161925"/>
              <wp:effectExtent l="0" t="0" r="0" b="0"/>
              <wp:wrapNone/>
              <wp:docPr id="9" name="Tekstvak 9"/>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6273DFF" w14:textId="77777777" w:rsidR="00B906F8" w:rsidRDefault="00D00E4E">
                          <w:pPr>
                            <w:pStyle w:val="Referentiegegevens"/>
                          </w:pPr>
                          <w:r>
                            <w:t xml:space="preserve">&gt; Retouradres    </w:t>
                          </w:r>
                        </w:p>
                      </w:txbxContent>
                    </wps:txbx>
                    <wps:bodyPr vert="horz" wrap="square" lIns="0" tIns="0" rIns="0" bIns="0" anchor="t" anchorCtr="0"/>
                  </wps:wsp>
                </a:graphicData>
              </a:graphic>
            </wp:anchor>
          </w:drawing>
        </mc:Choice>
        <mc:Fallback>
          <w:pict>
            <v:shape w14:anchorId="3C62377E" id="Tekstvak 9" o:spid="_x0000_s1032" type="#_x0000_t202" style="position:absolute;margin-left:79.35pt;margin-top:136.05pt;width:377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06273DFF" w14:textId="77777777" w:rsidR="00B906F8" w:rsidRDefault="00D00E4E">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1FC3BB1B" wp14:editId="32EDC6DD">
              <wp:simplePos x="0" y="0"/>
              <wp:positionH relativeFrom="page">
                <wp:posOffset>1007744</wp:posOffset>
              </wp:positionH>
              <wp:positionV relativeFrom="page">
                <wp:posOffset>1954530</wp:posOffset>
              </wp:positionV>
              <wp:extent cx="4787900" cy="1115695"/>
              <wp:effectExtent l="0" t="0" r="0" b="0"/>
              <wp:wrapNone/>
              <wp:docPr id="10" name="Tekstvak 10"/>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DDBB1E9" w14:textId="28D02620" w:rsidR="000E27F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5045112F" w14:textId="4EE39676" w:rsidR="00B906F8" w:rsidRDefault="001838B4">
                          <w:r>
                            <w:t>Aan d</w:t>
                          </w:r>
                          <w:r w:rsidR="00D00E4E">
                            <w:t xml:space="preserve">e </w:t>
                          </w:r>
                          <w:r>
                            <w:t>V</w:t>
                          </w:r>
                          <w:r w:rsidR="00D00E4E">
                            <w:t xml:space="preserve">oorzitter van de Tweede Kamer der Staten-Generaal  </w:t>
                          </w:r>
                        </w:p>
                        <w:p w14:paraId="04B1143D" w14:textId="77777777" w:rsidR="00B906F8" w:rsidRDefault="00D00E4E">
                          <w:r>
                            <w:t xml:space="preserve">Postbus 20018 </w:t>
                          </w:r>
                        </w:p>
                        <w:p w14:paraId="18622BAC" w14:textId="77777777" w:rsidR="00B906F8" w:rsidRDefault="00D00E4E">
                          <w:r>
                            <w:t>2500 EA   DEN HAAG</w:t>
                          </w:r>
                        </w:p>
                      </w:txbxContent>
                    </wps:txbx>
                    <wps:bodyPr vert="horz" wrap="square" lIns="0" tIns="0" rIns="0" bIns="0" anchor="t" anchorCtr="0"/>
                  </wps:wsp>
                </a:graphicData>
              </a:graphic>
            </wp:anchor>
          </w:drawing>
        </mc:Choice>
        <mc:Fallback>
          <w:pict>
            <v:shape w14:anchorId="1FC3BB1B" id="Tekstvak 10" o:spid="_x0000_s1033" type="#_x0000_t202" style="position:absolute;margin-left:79.35pt;margin-top:153.9pt;width:377pt;height:87.8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5DDBB1E9" w14:textId="28D02620" w:rsidR="000E27F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5045112F" w14:textId="4EE39676" w:rsidR="00B906F8" w:rsidRDefault="001838B4">
                    <w:r>
                      <w:t>Aan d</w:t>
                    </w:r>
                    <w:r w:rsidR="00D00E4E">
                      <w:t xml:space="preserve">e </w:t>
                    </w:r>
                    <w:r>
                      <w:t>V</w:t>
                    </w:r>
                    <w:r w:rsidR="00D00E4E">
                      <w:t xml:space="preserve">oorzitter van de Tweede Kamer der Staten-Generaal  </w:t>
                    </w:r>
                  </w:p>
                  <w:p w14:paraId="04B1143D" w14:textId="77777777" w:rsidR="00B906F8" w:rsidRDefault="00D00E4E">
                    <w:r>
                      <w:t xml:space="preserve">Postbus 20018 </w:t>
                    </w:r>
                  </w:p>
                  <w:p w14:paraId="18622BAC" w14:textId="77777777" w:rsidR="00B906F8" w:rsidRDefault="00D00E4E">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66F2CDC5" wp14:editId="0BCCF555">
              <wp:simplePos x="0" y="0"/>
              <wp:positionH relativeFrom="page">
                <wp:posOffset>1019810</wp:posOffset>
              </wp:positionH>
              <wp:positionV relativeFrom="page">
                <wp:posOffset>3339465</wp:posOffset>
              </wp:positionV>
              <wp:extent cx="4772025" cy="32385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4772025" cy="3238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B906F8" w14:paraId="19DF7CBD" w14:textId="77777777">
                            <w:trPr>
                              <w:trHeight w:val="240"/>
                            </w:trPr>
                            <w:tc>
                              <w:tcPr>
                                <w:tcW w:w="1140" w:type="dxa"/>
                              </w:tcPr>
                              <w:p w14:paraId="65BD1B74" w14:textId="77777777" w:rsidR="00B906F8" w:rsidRDefault="00D00E4E">
                                <w:r>
                                  <w:t>Datum</w:t>
                                </w:r>
                              </w:p>
                            </w:tc>
                            <w:tc>
                              <w:tcPr>
                                <w:tcW w:w="5918" w:type="dxa"/>
                              </w:tcPr>
                              <w:p w14:paraId="22D3292E" w14:textId="50BFE398" w:rsidR="000E27F4" w:rsidRDefault="008027E0">
                                <w:r>
                                  <w:t>16 augustus 2024</w:t>
                                </w:r>
                              </w:p>
                            </w:tc>
                          </w:tr>
                          <w:tr w:rsidR="00B906F8" w14:paraId="4C1E4C52" w14:textId="77777777">
                            <w:trPr>
                              <w:trHeight w:val="240"/>
                            </w:trPr>
                            <w:tc>
                              <w:tcPr>
                                <w:tcW w:w="1140" w:type="dxa"/>
                              </w:tcPr>
                              <w:p w14:paraId="2DC12CE3" w14:textId="77777777" w:rsidR="00B906F8" w:rsidRDefault="00D00E4E">
                                <w:r>
                                  <w:t>Betreft</w:t>
                                </w:r>
                              </w:p>
                            </w:tc>
                            <w:tc>
                              <w:tcPr>
                                <w:tcW w:w="5918" w:type="dxa"/>
                              </w:tcPr>
                              <w:p w14:paraId="66E3CC37" w14:textId="54629D36" w:rsidR="000E27F4" w:rsidRDefault="00000000">
                                <w:fldSimple w:instr=" DOCPROPERTY  &quot;Onderwerp&quot;  \* MERGEFORMAT ">
                                  <w:r w:rsidR="008027E0">
                                    <w:t>Verslagen financieel toezicht 2024</w:t>
                                  </w:r>
                                </w:fldSimple>
                              </w:p>
                            </w:tc>
                          </w:tr>
                        </w:tbl>
                        <w:p w14:paraId="4162C6AC" w14:textId="77777777" w:rsidR="00D00E4E" w:rsidRDefault="00D00E4E"/>
                      </w:txbxContent>
                    </wps:txbx>
                    <wps:bodyPr vert="horz" wrap="square" lIns="0" tIns="0" rIns="0" bIns="0" anchor="t" anchorCtr="0"/>
                  </wps:wsp>
                </a:graphicData>
              </a:graphic>
            </wp:anchor>
          </w:drawing>
        </mc:Choice>
        <mc:Fallback>
          <w:pict>
            <v:shape w14:anchorId="66F2CDC5" id="Tekstvak 11" o:spid="_x0000_s1034" type="#_x0000_t202" style="position:absolute;margin-left:80.3pt;margin-top:262.95pt;width:375.75pt;height:25.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B906F8" w14:paraId="19DF7CBD" w14:textId="77777777">
                      <w:trPr>
                        <w:trHeight w:val="240"/>
                      </w:trPr>
                      <w:tc>
                        <w:tcPr>
                          <w:tcW w:w="1140" w:type="dxa"/>
                        </w:tcPr>
                        <w:p w14:paraId="65BD1B74" w14:textId="77777777" w:rsidR="00B906F8" w:rsidRDefault="00D00E4E">
                          <w:r>
                            <w:t>Datum</w:t>
                          </w:r>
                        </w:p>
                      </w:tc>
                      <w:tc>
                        <w:tcPr>
                          <w:tcW w:w="5918" w:type="dxa"/>
                        </w:tcPr>
                        <w:p w14:paraId="22D3292E" w14:textId="50BFE398" w:rsidR="000E27F4" w:rsidRDefault="008027E0">
                          <w:r>
                            <w:t>16 augustus 2024</w:t>
                          </w:r>
                        </w:p>
                      </w:tc>
                    </w:tr>
                    <w:tr w:rsidR="00B906F8" w14:paraId="4C1E4C52" w14:textId="77777777">
                      <w:trPr>
                        <w:trHeight w:val="240"/>
                      </w:trPr>
                      <w:tc>
                        <w:tcPr>
                          <w:tcW w:w="1140" w:type="dxa"/>
                        </w:tcPr>
                        <w:p w14:paraId="2DC12CE3" w14:textId="77777777" w:rsidR="00B906F8" w:rsidRDefault="00D00E4E">
                          <w:r>
                            <w:t>Betreft</w:t>
                          </w:r>
                        </w:p>
                      </w:tc>
                      <w:tc>
                        <w:tcPr>
                          <w:tcW w:w="5918" w:type="dxa"/>
                        </w:tcPr>
                        <w:p w14:paraId="66E3CC37" w14:textId="54629D36" w:rsidR="000E27F4" w:rsidRDefault="00000000">
                          <w:fldSimple w:instr=" DOCPROPERTY  &quot;Onderwerp&quot;  \* MERGEFORMAT ">
                            <w:r w:rsidR="008027E0">
                              <w:t>Verslagen financieel toezicht 2024</w:t>
                            </w:r>
                          </w:fldSimple>
                        </w:p>
                      </w:tc>
                    </w:tr>
                  </w:tbl>
                  <w:p w14:paraId="4162C6AC" w14:textId="77777777" w:rsidR="00D00E4E" w:rsidRDefault="00D00E4E"/>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50EC6D88" wp14:editId="1932E854">
              <wp:simplePos x="0" y="0"/>
              <wp:positionH relativeFrom="page">
                <wp:posOffset>5921375</wp:posOffset>
              </wp:positionH>
              <wp:positionV relativeFrom="page">
                <wp:posOffset>1954530</wp:posOffset>
              </wp:positionV>
              <wp:extent cx="1277620" cy="8009890"/>
              <wp:effectExtent l="0" t="0" r="0" b="0"/>
              <wp:wrapNone/>
              <wp:docPr id="12" name="Tekstvak 12"/>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FD0C102" w14:textId="77777777" w:rsidR="00B906F8" w:rsidRDefault="00D00E4E">
                          <w:pPr>
                            <w:pStyle w:val="Referentiegegevensbold"/>
                          </w:pPr>
                          <w:r>
                            <w:t xml:space="preserve">DG Openbaar Bestuur &amp; </w:t>
                          </w:r>
                          <w:proofErr w:type="spellStart"/>
                          <w:r>
                            <w:t>Democr</w:t>
                          </w:r>
                          <w:proofErr w:type="spellEnd"/>
                          <w:r>
                            <w:t xml:space="preserve"> Rechtsstaat</w:t>
                          </w:r>
                        </w:p>
                        <w:p w14:paraId="768934CD" w14:textId="77777777" w:rsidR="00B906F8" w:rsidRDefault="00D00E4E">
                          <w:pPr>
                            <w:pStyle w:val="Referentiegegevens"/>
                          </w:pPr>
                          <w:r>
                            <w:t>DGOBDR-BFR-</w:t>
                          </w:r>
                          <w:proofErr w:type="spellStart"/>
                          <w:r>
                            <w:t>Regelg</w:t>
                          </w:r>
                          <w:proofErr w:type="spellEnd"/>
                          <w:r>
                            <w:t>. Toezicht &amp; Monitoring</w:t>
                          </w:r>
                        </w:p>
                        <w:p w14:paraId="08BB9CD4" w14:textId="77777777" w:rsidR="00B906F8" w:rsidRDefault="00B906F8">
                          <w:pPr>
                            <w:pStyle w:val="WitregelW1"/>
                          </w:pPr>
                        </w:p>
                        <w:p w14:paraId="207C2A57" w14:textId="77777777" w:rsidR="00B906F8" w:rsidRDefault="00D00E4E">
                          <w:pPr>
                            <w:pStyle w:val="Referentiegegevens"/>
                          </w:pPr>
                          <w:r>
                            <w:t>Turfmarkt 147</w:t>
                          </w:r>
                        </w:p>
                        <w:p w14:paraId="5670FD5B" w14:textId="77777777" w:rsidR="00B906F8" w:rsidRDefault="00D00E4E">
                          <w:pPr>
                            <w:pStyle w:val="Referentiegegevens"/>
                          </w:pPr>
                          <w:r>
                            <w:t>2511 DP  Den Haag</w:t>
                          </w:r>
                        </w:p>
                        <w:p w14:paraId="47B47D46" w14:textId="77777777" w:rsidR="00B906F8" w:rsidRDefault="00B906F8">
                          <w:pPr>
                            <w:pStyle w:val="WitregelW1"/>
                          </w:pPr>
                        </w:p>
                        <w:p w14:paraId="7236D1E0" w14:textId="77777777" w:rsidR="00B906F8" w:rsidRDefault="00B906F8">
                          <w:pPr>
                            <w:pStyle w:val="WitregelW1"/>
                          </w:pPr>
                        </w:p>
                        <w:p w14:paraId="3C1E6A59" w14:textId="77777777" w:rsidR="00B906F8" w:rsidRDefault="00D00E4E">
                          <w:pPr>
                            <w:pStyle w:val="Referentiegegevensbold"/>
                          </w:pPr>
                          <w:r>
                            <w:t>Onze referentie</w:t>
                          </w:r>
                        </w:p>
                        <w:p w14:paraId="75E2A86D" w14:textId="42C18A8D" w:rsidR="000E27F4" w:rsidRDefault="00000000">
                          <w:pPr>
                            <w:pStyle w:val="Referentiegegevens"/>
                          </w:pPr>
                          <w:fldSimple w:instr=" DOCPROPERTY  &quot;Kenmerk&quot;  \* MERGEFORMAT ">
                            <w:r w:rsidR="008027E0">
                              <w:t>2024-0000344854</w:t>
                            </w:r>
                          </w:fldSimple>
                        </w:p>
                        <w:p w14:paraId="13646479" w14:textId="77777777" w:rsidR="00B906F8" w:rsidRDefault="00B906F8">
                          <w:pPr>
                            <w:pStyle w:val="WitregelW1"/>
                          </w:pPr>
                        </w:p>
                        <w:p w14:paraId="0D6F27A3" w14:textId="77777777" w:rsidR="00B906F8" w:rsidRDefault="00D00E4E">
                          <w:pPr>
                            <w:pStyle w:val="Referentiegegevensbold"/>
                          </w:pPr>
                          <w:r>
                            <w:t>Uw referentie</w:t>
                          </w:r>
                        </w:p>
                        <w:p w14:paraId="7C505C19" w14:textId="44D6FC9B" w:rsidR="000E27F4"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50EC6D88" id="Tekstvak 12" o:spid="_x0000_s1035" type="#_x0000_t202" style="position:absolute;margin-left:466.25pt;margin-top:153.9pt;width:100.6pt;height:630.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2FD0C102" w14:textId="77777777" w:rsidR="00B906F8" w:rsidRDefault="00D00E4E">
                    <w:pPr>
                      <w:pStyle w:val="Referentiegegevensbold"/>
                    </w:pPr>
                    <w:r>
                      <w:t xml:space="preserve">DG Openbaar Bestuur &amp; </w:t>
                    </w:r>
                    <w:proofErr w:type="spellStart"/>
                    <w:r>
                      <w:t>Democr</w:t>
                    </w:r>
                    <w:proofErr w:type="spellEnd"/>
                    <w:r>
                      <w:t xml:space="preserve"> Rechtsstaat</w:t>
                    </w:r>
                  </w:p>
                  <w:p w14:paraId="768934CD" w14:textId="77777777" w:rsidR="00B906F8" w:rsidRDefault="00D00E4E">
                    <w:pPr>
                      <w:pStyle w:val="Referentiegegevens"/>
                    </w:pPr>
                    <w:r>
                      <w:t>DGOBDR-BFR-</w:t>
                    </w:r>
                    <w:proofErr w:type="spellStart"/>
                    <w:r>
                      <w:t>Regelg</w:t>
                    </w:r>
                    <w:proofErr w:type="spellEnd"/>
                    <w:r>
                      <w:t>. Toezicht &amp; Monitoring</w:t>
                    </w:r>
                  </w:p>
                  <w:p w14:paraId="08BB9CD4" w14:textId="77777777" w:rsidR="00B906F8" w:rsidRDefault="00B906F8">
                    <w:pPr>
                      <w:pStyle w:val="WitregelW1"/>
                    </w:pPr>
                  </w:p>
                  <w:p w14:paraId="207C2A57" w14:textId="77777777" w:rsidR="00B906F8" w:rsidRDefault="00D00E4E">
                    <w:pPr>
                      <w:pStyle w:val="Referentiegegevens"/>
                    </w:pPr>
                    <w:r>
                      <w:t>Turfmarkt 147</w:t>
                    </w:r>
                  </w:p>
                  <w:p w14:paraId="5670FD5B" w14:textId="77777777" w:rsidR="00B906F8" w:rsidRDefault="00D00E4E">
                    <w:pPr>
                      <w:pStyle w:val="Referentiegegevens"/>
                    </w:pPr>
                    <w:r>
                      <w:t>2511 DP  Den Haag</w:t>
                    </w:r>
                  </w:p>
                  <w:p w14:paraId="47B47D46" w14:textId="77777777" w:rsidR="00B906F8" w:rsidRDefault="00B906F8">
                    <w:pPr>
                      <w:pStyle w:val="WitregelW1"/>
                    </w:pPr>
                  </w:p>
                  <w:p w14:paraId="7236D1E0" w14:textId="77777777" w:rsidR="00B906F8" w:rsidRDefault="00B906F8">
                    <w:pPr>
                      <w:pStyle w:val="WitregelW1"/>
                    </w:pPr>
                  </w:p>
                  <w:p w14:paraId="3C1E6A59" w14:textId="77777777" w:rsidR="00B906F8" w:rsidRDefault="00D00E4E">
                    <w:pPr>
                      <w:pStyle w:val="Referentiegegevensbold"/>
                    </w:pPr>
                    <w:r>
                      <w:t>Onze referentie</w:t>
                    </w:r>
                  </w:p>
                  <w:p w14:paraId="75E2A86D" w14:textId="42C18A8D" w:rsidR="000E27F4" w:rsidRDefault="00000000">
                    <w:pPr>
                      <w:pStyle w:val="Referentiegegevens"/>
                    </w:pPr>
                    <w:fldSimple w:instr=" DOCPROPERTY  &quot;Kenmerk&quot;  \* MERGEFORMAT ">
                      <w:r w:rsidR="008027E0">
                        <w:t>2024-0000344854</w:t>
                      </w:r>
                    </w:fldSimple>
                  </w:p>
                  <w:p w14:paraId="13646479" w14:textId="77777777" w:rsidR="00B906F8" w:rsidRDefault="00B906F8">
                    <w:pPr>
                      <w:pStyle w:val="WitregelW1"/>
                    </w:pPr>
                  </w:p>
                  <w:p w14:paraId="0D6F27A3" w14:textId="77777777" w:rsidR="00B906F8" w:rsidRDefault="00D00E4E">
                    <w:pPr>
                      <w:pStyle w:val="Referentiegegevensbold"/>
                    </w:pPr>
                    <w:r>
                      <w:t>Uw referentie</w:t>
                    </w:r>
                  </w:p>
                  <w:p w14:paraId="7C505C19" w14:textId="44D6FC9B" w:rsidR="000E27F4"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5107A3E6" wp14:editId="2D27900A">
              <wp:simplePos x="0" y="0"/>
              <wp:positionH relativeFrom="page">
                <wp:posOffset>5921375</wp:posOffset>
              </wp:positionH>
              <wp:positionV relativeFrom="page">
                <wp:posOffset>10194925</wp:posOffset>
              </wp:positionV>
              <wp:extent cx="1285875" cy="161925"/>
              <wp:effectExtent l="0" t="0" r="0" b="0"/>
              <wp:wrapNone/>
              <wp:docPr id="13" name="Tekstvak 1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D0D3DF9" w14:textId="77777777" w:rsidR="000E27F4"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107A3E6" id="Tekstvak 13" o:spid="_x0000_s1036" type="#_x0000_t202" style="position:absolute;margin-left:466.25pt;margin-top:802.75pt;width:101.2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7D0D3DF9" w14:textId="77777777" w:rsidR="000E27F4"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61CD8F2C" wp14:editId="25FA6606">
              <wp:simplePos x="0" y="0"/>
              <wp:positionH relativeFrom="page">
                <wp:posOffset>1007744</wp:posOffset>
              </wp:positionH>
              <wp:positionV relativeFrom="page">
                <wp:posOffset>10194925</wp:posOffset>
              </wp:positionV>
              <wp:extent cx="4787900" cy="161925"/>
              <wp:effectExtent l="0" t="0" r="0" b="0"/>
              <wp:wrapNone/>
              <wp:docPr id="14" name="Tekstvak 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CD4F8E6" w14:textId="77777777" w:rsidR="00D00E4E" w:rsidRDefault="00D00E4E"/>
                      </w:txbxContent>
                    </wps:txbx>
                    <wps:bodyPr vert="horz" wrap="square" lIns="0" tIns="0" rIns="0" bIns="0" anchor="t" anchorCtr="0"/>
                  </wps:wsp>
                </a:graphicData>
              </a:graphic>
            </wp:anchor>
          </w:drawing>
        </mc:Choice>
        <mc:Fallback>
          <w:pict>
            <v:shape w14:anchorId="61CD8F2C" id="Tekstvak 14" o:spid="_x0000_s1037" type="#_x0000_t202" style="position:absolute;margin-left:79.35pt;margin-top:802.75pt;width:377pt;height:12.7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6CD4F8E6" w14:textId="77777777" w:rsidR="00D00E4E" w:rsidRDefault="00D00E4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9F5ECE"/>
    <w:multiLevelType w:val="multilevel"/>
    <w:tmpl w:val="BF2CB63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F7F60D2C"/>
    <w:multiLevelType w:val="multilevel"/>
    <w:tmpl w:val="79F7F90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1A8207A6"/>
    <w:multiLevelType w:val="multilevel"/>
    <w:tmpl w:val="4F02319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32864B"/>
    <w:multiLevelType w:val="multilevel"/>
    <w:tmpl w:val="7484E15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A6105E6"/>
    <w:multiLevelType w:val="hybridMultilevel"/>
    <w:tmpl w:val="B79EA12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273AD37"/>
    <w:multiLevelType w:val="multilevel"/>
    <w:tmpl w:val="0142A16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4D730630"/>
    <w:multiLevelType w:val="hybridMultilevel"/>
    <w:tmpl w:val="31E6D4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B7F6F90"/>
    <w:multiLevelType w:val="hybridMultilevel"/>
    <w:tmpl w:val="82D000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29081331">
    <w:abstractNumId w:val="3"/>
  </w:num>
  <w:num w:numId="2" w16cid:durableId="637030590">
    <w:abstractNumId w:val="0"/>
  </w:num>
  <w:num w:numId="3" w16cid:durableId="1704285701">
    <w:abstractNumId w:val="1"/>
  </w:num>
  <w:num w:numId="4" w16cid:durableId="1661350030">
    <w:abstractNumId w:val="2"/>
  </w:num>
  <w:num w:numId="5" w16cid:durableId="2064714711">
    <w:abstractNumId w:val="5"/>
  </w:num>
  <w:num w:numId="6" w16cid:durableId="564343808">
    <w:abstractNumId w:val="6"/>
  </w:num>
  <w:num w:numId="7" w16cid:durableId="1187524271">
    <w:abstractNumId w:val="4"/>
  </w:num>
  <w:num w:numId="8" w16cid:durableId="19497002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6F8"/>
    <w:rsid w:val="00013EB2"/>
    <w:rsid w:val="00022052"/>
    <w:rsid w:val="000677BB"/>
    <w:rsid w:val="0008798D"/>
    <w:rsid w:val="000A4A78"/>
    <w:rsid w:val="000D2696"/>
    <w:rsid w:val="000E1B6B"/>
    <w:rsid w:val="000E27F4"/>
    <w:rsid w:val="00110982"/>
    <w:rsid w:val="00121A36"/>
    <w:rsid w:val="00145210"/>
    <w:rsid w:val="001801BF"/>
    <w:rsid w:val="001838B4"/>
    <w:rsid w:val="00186561"/>
    <w:rsid w:val="00197CF2"/>
    <w:rsid w:val="001A0362"/>
    <w:rsid w:val="001D094A"/>
    <w:rsid w:val="001D6CD8"/>
    <w:rsid w:val="001F0F5F"/>
    <w:rsid w:val="001F37AE"/>
    <w:rsid w:val="00205330"/>
    <w:rsid w:val="0021118B"/>
    <w:rsid w:val="00242A12"/>
    <w:rsid w:val="002F2F5C"/>
    <w:rsid w:val="002F326D"/>
    <w:rsid w:val="002F5E4E"/>
    <w:rsid w:val="003020B1"/>
    <w:rsid w:val="00310B5A"/>
    <w:rsid w:val="003145D1"/>
    <w:rsid w:val="00314CB9"/>
    <w:rsid w:val="00385963"/>
    <w:rsid w:val="003D6DE8"/>
    <w:rsid w:val="003F3F02"/>
    <w:rsid w:val="00430211"/>
    <w:rsid w:val="00430D95"/>
    <w:rsid w:val="00452DED"/>
    <w:rsid w:val="00495F4C"/>
    <w:rsid w:val="004C6929"/>
    <w:rsid w:val="00511FF1"/>
    <w:rsid w:val="00514E0C"/>
    <w:rsid w:val="00544FBF"/>
    <w:rsid w:val="00560B32"/>
    <w:rsid w:val="005610AD"/>
    <w:rsid w:val="00564EB9"/>
    <w:rsid w:val="00565D4B"/>
    <w:rsid w:val="00573F7C"/>
    <w:rsid w:val="00576BDD"/>
    <w:rsid w:val="00580E6F"/>
    <w:rsid w:val="00582DF6"/>
    <w:rsid w:val="00585449"/>
    <w:rsid w:val="005C750B"/>
    <w:rsid w:val="0060214E"/>
    <w:rsid w:val="006244F3"/>
    <w:rsid w:val="00643DB8"/>
    <w:rsid w:val="00662099"/>
    <w:rsid w:val="00682DCC"/>
    <w:rsid w:val="006D229D"/>
    <w:rsid w:val="006D4022"/>
    <w:rsid w:val="006F12EE"/>
    <w:rsid w:val="006F488A"/>
    <w:rsid w:val="0076771B"/>
    <w:rsid w:val="00780C3E"/>
    <w:rsid w:val="007C1780"/>
    <w:rsid w:val="008027E0"/>
    <w:rsid w:val="008357B4"/>
    <w:rsid w:val="008755D3"/>
    <w:rsid w:val="00885F67"/>
    <w:rsid w:val="00890D1D"/>
    <w:rsid w:val="00894622"/>
    <w:rsid w:val="008A43DC"/>
    <w:rsid w:val="009035CE"/>
    <w:rsid w:val="009268F9"/>
    <w:rsid w:val="00964F57"/>
    <w:rsid w:val="009A42D3"/>
    <w:rsid w:val="009B5367"/>
    <w:rsid w:val="009C6CCD"/>
    <w:rsid w:val="009E7934"/>
    <w:rsid w:val="009F1DDF"/>
    <w:rsid w:val="00A16884"/>
    <w:rsid w:val="00A32078"/>
    <w:rsid w:val="00A330FA"/>
    <w:rsid w:val="00A36691"/>
    <w:rsid w:val="00A5152E"/>
    <w:rsid w:val="00AA0014"/>
    <w:rsid w:val="00AA3578"/>
    <w:rsid w:val="00AD6CB9"/>
    <w:rsid w:val="00AE4089"/>
    <w:rsid w:val="00AF56E1"/>
    <w:rsid w:val="00B0397B"/>
    <w:rsid w:val="00B2083A"/>
    <w:rsid w:val="00B906F8"/>
    <w:rsid w:val="00B9338F"/>
    <w:rsid w:val="00BB762A"/>
    <w:rsid w:val="00BD4AC6"/>
    <w:rsid w:val="00BD4C8E"/>
    <w:rsid w:val="00BD55B4"/>
    <w:rsid w:val="00BD7BB8"/>
    <w:rsid w:val="00C14B0B"/>
    <w:rsid w:val="00C25920"/>
    <w:rsid w:val="00C451E0"/>
    <w:rsid w:val="00C54A29"/>
    <w:rsid w:val="00C61EE7"/>
    <w:rsid w:val="00C805F9"/>
    <w:rsid w:val="00C80AEA"/>
    <w:rsid w:val="00C842D2"/>
    <w:rsid w:val="00C851C7"/>
    <w:rsid w:val="00CE12FC"/>
    <w:rsid w:val="00D00E4E"/>
    <w:rsid w:val="00D34EB1"/>
    <w:rsid w:val="00D87EF5"/>
    <w:rsid w:val="00DD2180"/>
    <w:rsid w:val="00DD5AB3"/>
    <w:rsid w:val="00DE3F19"/>
    <w:rsid w:val="00DF1D8E"/>
    <w:rsid w:val="00E0712C"/>
    <w:rsid w:val="00E1568E"/>
    <w:rsid w:val="00E24294"/>
    <w:rsid w:val="00E37BE5"/>
    <w:rsid w:val="00E44EC7"/>
    <w:rsid w:val="00E82DF1"/>
    <w:rsid w:val="00E86203"/>
    <w:rsid w:val="00EB0C01"/>
    <w:rsid w:val="00ED2BA5"/>
    <w:rsid w:val="00ED4EFD"/>
    <w:rsid w:val="00EE1B97"/>
    <w:rsid w:val="00EE229E"/>
    <w:rsid w:val="00EE678D"/>
    <w:rsid w:val="00F06F45"/>
    <w:rsid w:val="00F10532"/>
    <w:rsid w:val="00F26948"/>
    <w:rsid w:val="00F609C1"/>
    <w:rsid w:val="00F7006C"/>
    <w:rsid w:val="00F93318"/>
    <w:rsid w:val="00F96472"/>
    <w:rsid w:val="00FA7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060E5"/>
  <w15:docId w15:val="{D2C2339F-94E2-45B3-9EE0-16DC09D6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14E0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14E0C"/>
    <w:rPr>
      <w:rFonts w:ascii="Verdana" w:hAnsi="Verdana"/>
      <w:color w:val="000000"/>
      <w:sz w:val="18"/>
      <w:szCs w:val="18"/>
    </w:rPr>
  </w:style>
  <w:style w:type="paragraph" w:styleId="Voettekst">
    <w:name w:val="footer"/>
    <w:basedOn w:val="Standaard"/>
    <w:link w:val="VoettekstChar"/>
    <w:uiPriority w:val="99"/>
    <w:unhideWhenUsed/>
    <w:rsid w:val="00514E0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14E0C"/>
    <w:rPr>
      <w:rFonts w:ascii="Verdana" w:hAnsi="Verdana"/>
      <w:color w:val="000000"/>
      <w:sz w:val="18"/>
      <w:szCs w:val="18"/>
    </w:rPr>
  </w:style>
  <w:style w:type="paragraph" w:styleId="Voetnoottekst">
    <w:name w:val="footnote text"/>
    <w:basedOn w:val="Standaard"/>
    <w:link w:val="VoetnoottekstChar"/>
    <w:uiPriority w:val="99"/>
    <w:semiHidden/>
    <w:unhideWhenUsed/>
    <w:rsid w:val="00514E0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14E0C"/>
    <w:rPr>
      <w:rFonts w:ascii="Verdana" w:hAnsi="Verdana"/>
      <w:color w:val="000000"/>
    </w:rPr>
  </w:style>
  <w:style w:type="character" w:styleId="Voetnootmarkering">
    <w:name w:val="footnote reference"/>
    <w:basedOn w:val="Standaardalinea-lettertype"/>
    <w:uiPriority w:val="99"/>
    <w:semiHidden/>
    <w:unhideWhenUsed/>
    <w:rsid w:val="00514E0C"/>
    <w:rPr>
      <w:vertAlign w:val="superscript"/>
    </w:rPr>
  </w:style>
  <w:style w:type="character" w:styleId="Verwijzingopmerking">
    <w:name w:val="annotation reference"/>
    <w:basedOn w:val="Standaardalinea-lettertype"/>
    <w:uiPriority w:val="99"/>
    <w:semiHidden/>
    <w:unhideWhenUsed/>
    <w:rsid w:val="00121A36"/>
    <w:rPr>
      <w:sz w:val="16"/>
      <w:szCs w:val="16"/>
    </w:rPr>
  </w:style>
  <w:style w:type="paragraph" w:styleId="Tekstopmerking">
    <w:name w:val="annotation text"/>
    <w:basedOn w:val="Standaard"/>
    <w:link w:val="TekstopmerkingChar"/>
    <w:uiPriority w:val="99"/>
    <w:unhideWhenUsed/>
    <w:rsid w:val="00121A36"/>
    <w:pPr>
      <w:spacing w:line="240" w:lineRule="auto"/>
    </w:pPr>
    <w:rPr>
      <w:sz w:val="20"/>
      <w:szCs w:val="20"/>
    </w:rPr>
  </w:style>
  <w:style w:type="character" w:customStyle="1" w:styleId="TekstopmerkingChar">
    <w:name w:val="Tekst opmerking Char"/>
    <w:basedOn w:val="Standaardalinea-lettertype"/>
    <w:link w:val="Tekstopmerking"/>
    <w:uiPriority w:val="99"/>
    <w:rsid w:val="00121A3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21A36"/>
    <w:rPr>
      <w:b/>
      <w:bCs/>
    </w:rPr>
  </w:style>
  <w:style w:type="character" w:customStyle="1" w:styleId="OnderwerpvanopmerkingChar">
    <w:name w:val="Onderwerp van opmerking Char"/>
    <w:basedOn w:val="TekstopmerkingChar"/>
    <w:link w:val="Onderwerpvanopmerking"/>
    <w:uiPriority w:val="99"/>
    <w:semiHidden/>
    <w:rsid w:val="00121A36"/>
    <w:rPr>
      <w:rFonts w:ascii="Verdana" w:hAnsi="Verdana"/>
      <w:b/>
      <w:bCs/>
      <w:color w:val="000000"/>
    </w:rPr>
  </w:style>
  <w:style w:type="paragraph" w:styleId="Revisie">
    <w:name w:val="Revision"/>
    <w:hidden/>
    <w:uiPriority w:val="99"/>
    <w:semiHidden/>
    <w:rsid w:val="001D094A"/>
    <w:pPr>
      <w:autoSpaceDN/>
      <w:textAlignment w:val="auto"/>
    </w:pPr>
    <w:rPr>
      <w:rFonts w:ascii="Verdana" w:hAnsi="Verdana"/>
      <w:color w:val="000000"/>
      <w:sz w:val="18"/>
      <w:szCs w:val="18"/>
    </w:rPr>
  </w:style>
  <w:style w:type="paragraph" w:styleId="Lijstalinea">
    <w:name w:val="List Paragraph"/>
    <w:basedOn w:val="Standaard"/>
    <w:uiPriority w:val="34"/>
    <w:qFormat/>
    <w:rsid w:val="003F3F02"/>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1188</ap:Words>
  <ap:Characters>6535</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Brief - Verslagen financieel toezicht 2024</vt:lpstr>
    </vt:vector>
  </ap:TitlesOfParts>
  <ap:LinksUpToDate>false</ap:LinksUpToDate>
  <ap:CharactersWithSpaces>7708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2024-06-10T07:22:00.0000000Z</dcterms:created>
  <dcterms:modified xsi:type="dcterms:W3CDTF">2024-08-16T14:09:00.0000000Z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Verslagen financieel toezicht 2024</vt:lpwstr>
  </property>
  <property fmtid="{D5CDD505-2E9C-101B-9397-08002B2CF9AE}" pid="5" name="Publicatiedatum">
    <vt:lpwstr/>
  </property>
  <property fmtid="{D5CDD505-2E9C-101B-9397-08002B2CF9AE}" pid="6" name="Verantwoordelijke organisatie">
    <vt:lpwstr>DGOBDR-BFR-Regelg. Toezicht &amp; Monitoring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Aan de Voorzitter van de Tweede Kamer der Staten-Generaal  _x000d_
 _x000d_
Postbus 20018_x000d_
2500 EA  DEN HAAG</vt:lpwstr>
  </property>
  <property fmtid="{D5CDD505-2E9C-101B-9397-08002B2CF9AE}" pid="11" name="Van">
    <vt:lpwstr/>
  </property>
  <property fmtid="{D5CDD505-2E9C-101B-9397-08002B2CF9AE}" pid="12" name="Datum">
    <vt:lpwstr>19 juli 2024</vt:lpwstr>
  </property>
  <property fmtid="{D5CDD505-2E9C-101B-9397-08002B2CF9AE}" pid="13" name="Opgesteld door, Naam">
    <vt:lpwstr>Lu Lan Stelpstra</vt:lpwstr>
  </property>
  <property fmtid="{D5CDD505-2E9C-101B-9397-08002B2CF9AE}" pid="14" name="Opgesteld door, Telefoonnummer">
    <vt:lpwstr/>
  </property>
  <property fmtid="{D5CDD505-2E9C-101B-9397-08002B2CF9AE}" pid="15" name="Kenmerk">
    <vt:lpwstr>2024-0000344854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Verslagen financieel toezicht 2024</vt:lpwstr>
  </property>
  <property fmtid="{D5CDD505-2E9C-101B-9397-08002B2CF9AE}" pid="30" name="UwKenmerk">
    <vt:lpwstr/>
  </property>
</Properties>
</file>