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0305" w:rsidP="006E0305" w:rsidRDefault="006E0305" w14:paraId="7BD93C27" w14:textId="77777777">
      <w:r>
        <w:t>Geachte Voorzitter,</w:t>
      </w:r>
    </w:p>
    <w:p w:rsidR="006E0305" w:rsidP="006E0305" w:rsidRDefault="006E0305" w14:paraId="57E59D1A" w14:textId="77777777"/>
    <w:p w:rsidR="006E0305" w:rsidP="006E0305" w:rsidRDefault="006E0305" w14:paraId="1EC8CEE1" w14:textId="5FAC4D6A">
      <w:r>
        <w:t>Met deze brief informeer ik de Kamer dat het Centraal Bureau voor de Statistiek (hierna: CBS) op 15 augustus 2024 de tweede kwartaalrapportage 2024 over de fosfaat- en stikstofexcretie door de Nederlandse veestapel</w:t>
      </w:r>
      <w:r>
        <w:rPr>
          <w:rStyle w:val="Voetnootmarkering"/>
        </w:rPr>
        <w:footnoteReference w:id="1"/>
      </w:r>
      <w:r>
        <w:t xml:space="preserve"> heeft gepubliceerd.</w:t>
      </w:r>
    </w:p>
    <w:p w:rsidR="006E0305" w:rsidP="006E0305" w:rsidRDefault="006E0305" w14:paraId="18B55ED0" w14:textId="77777777"/>
    <w:p w:rsidRPr="003424C0" w:rsidR="009C00D8" w:rsidP="006E0305" w:rsidRDefault="006E0305" w14:paraId="6295AEA2" w14:textId="38E3592F">
      <w:r>
        <w:t>Ook dit jaar stelt het CBS op mijn verzoek na afloop van ieder kwartaal een berekening samen van de verwachte fosfaat- en stikstofexcretie van de Nederlandse veestapel. De tweede kwartaalrapportage 2024 geeft een momentopname van de verwachte fosfaat- en stikstofexcretie over geheel 2024 op basis van de op 1 juli 2024 beschikbaar gekomen nieuwe en actuele gegevens over de omvang van de rundveestapel, de melkproductie per koe en de beschikbaarheid en samenstelling van krachtvoer en ruwvoer. De voor 2024 verwachte fosfaat- en stikstofexcretie van de Nederlandse veestapel is weergegeven in tabel 1.</w:t>
      </w:r>
      <w:r w:rsidR="009C00D8">
        <w:t xml:space="preserve"> </w:t>
      </w:r>
      <w:r w:rsidRPr="009C00D8" w:rsidR="009C00D8">
        <w:t>De door het CBS gehanteerde systematiek en de door hen verwerkte gegevens waarop de verwachting is gebaseerd, zijn omschreven in de rapportage van het CBS.</w:t>
      </w:r>
      <w:r w:rsidRPr="009C00D8" w:rsidR="009C00D8">
        <w:rPr>
          <w:rStyle w:val="Voetnootmarkering"/>
        </w:rPr>
        <w:footnoteReference w:id="2"/>
      </w:r>
    </w:p>
    <w:p w:rsidR="006E0305" w:rsidP="006E0305" w:rsidRDefault="006E0305" w14:paraId="6EF8BEDE" w14:textId="77777777">
      <w:pPr>
        <w:rPr>
          <w:i/>
          <w:iCs/>
          <w:sz w:val="16"/>
          <w:szCs w:val="16"/>
        </w:rPr>
      </w:pPr>
    </w:p>
    <w:p w:rsidR="006E0305" w:rsidP="006E0305" w:rsidRDefault="006E0305" w14:paraId="57BF39C4" w14:textId="77777777">
      <w:pPr>
        <w:ind w:left="709" w:hanging="709"/>
        <w:rPr>
          <w:i/>
          <w:iCs/>
          <w:sz w:val="16"/>
          <w:szCs w:val="16"/>
        </w:rPr>
      </w:pPr>
      <w:r w:rsidRPr="007A4AD5">
        <w:rPr>
          <w:i/>
          <w:iCs/>
          <w:sz w:val="16"/>
          <w:szCs w:val="16"/>
        </w:rPr>
        <w:t>Tabel 1:</w:t>
      </w:r>
      <w:r w:rsidRPr="007A4AD5">
        <w:rPr>
          <w:i/>
          <w:iCs/>
          <w:sz w:val="16"/>
          <w:szCs w:val="16"/>
        </w:rPr>
        <w:tab/>
        <w:t>Momentopname van de verwachte fosfaat- en stikstofexcretie van de Nederlandse veestapel over 202</w:t>
      </w:r>
      <w:r>
        <w:rPr>
          <w:i/>
          <w:iCs/>
          <w:sz w:val="16"/>
          <w:szCs w:val="16"/>
        </w:rPr>
        <w:t>4</w:t>
      </w:r>
      <w:r w:rsidRPr="007A4AD5">
        <w:rPr>
          <w:i/>
          <w:iCs/>
          <w:sz w:val="16"/>
          <w:szCs w:val="16"/>
        </w:rPr>
        <w:t xml:space="preserve"> (in miljoen kg)</w:t>
      </w:r>
    </w:p>
    <w:p w:rsidR="006E0305" w:rsidP="006E0305" w:rsidRDefault="006E0305" w14:paraId="5E1807F7" w14:textId="77777777">
      <w:pPr>
        <w:ind w:left="709" w:hanging="709"/>
        <w:rPr>
          <w:i/>
          <w:iCs/>
          <w:sz w:val="16"/>
          <w:szCs w:val="16"/>
        </w:rPr>
      </w:pPr>
    </w:p>
    <w:tbl>
      <w:tblPr>
        <w:tblStyle w:val="Tabelraster"/>
        <w:tblW w:w="0" w:type="auto"/>
        <w:tblInd w:w="709" w:type="dxa"/>
        <w:tblLook w:val="04A0" w:firstRow="1" w:lastRow="0" w:firstColumn="1" w:lastColumn="0" w:noHBand="0" w:noVBand="1"/>
      </w:tblPr>
      <w:tblGrid>
        <w:gridCol w:w="1078"/>
        <w:gridCol w:w="857"/>
        <w:gridCol w:w="959"/>
        <w:gridCol w:w="795"/>
        <w:gridCol w:w="278"/>
        <w:gridCol w:w="932"/>
        <w:gridCol w:w="1028"/>
        <w:gridCol w:w="872"/>
      </w:tblGrid>
      <w:tr w:rsidR="006E0305" w:rsidTr="00D54ED2" w14:paraId="7D03D6D0" w14:textId="77777777">
        <w:tc>
          <w:tcPr>
            <w:tcW w:w="1078" w:type="dxa"/>
          </w:tcPr>
          <w:p w:rsidR="006E0305" w:rsidP="00D54ED2" w:rsidRDefault="006E0305" w14:paraId="5AF680EB" w14:textId="77777777">
            <w:pPr>
              <w:rPr>
                <w:sz w:val="16"/>
                <w:szCs w:val="16"/>
              </w:rPr>
            </w:pPr>
          </w:p>
        </w:tc>
        <w:tc>
          <w:tcPr>
            <w:tcW w:w="2611" w:type="dxa"/>
            <w:gridSpan w:val="3"/>
          </w:tcPr>
          <w:p w:rsidR="006E0305" w:rsidP="00D54ED2" w:rsidRDefault="006E0305" w14:paraId="3DBCB0AE" w14:textId="77777777">
            <w:pPr>
              <w:ind w:left="709"/>
              <w:rPr>
                <w:sz w:val="16"/>
                <w:szCs w:val="16"/>
              </w:rPr>
            </w:pPr>
            <w:r>
              <w:rPr>
                <w:sz w:val="16"/>
                <w:szCs w:val="16"/>
              </w:rPr>
              <w:t>Fosfaat</w:t>
            </w:r>
          </w:p>
        </w:tc>
        <w:tc>
          <w:tcPr>
            <w:tcW w:w="278" w:type="dxa"/>
          </w:tcPr>
          <w:p w:rsidR="006E0305" w:rsidP="00D54ED2" w:rsidRDefault="006E0305" w14:paraId="0AD2DFFA" w14:textId="77777777">
            <w:pPr>
              <w:rPr>
                <w:sz w:val="16"/>
                <w:szCs w:val="16"/>
              </w:rPr>
            </w:pPr>
          </w:p>
        </w:tc>
        <w:tc>
          <w:tcPr>
            <w:tcW w:w="2832" w:type="dxa"/>
            <w:gridSpan w:val="3"/>
          </w:tcPr>
          <w:p w:rsidR="006E0305" w:rsidP="00D54ED2" w:rsidRDefault="006E0305" w14:paraId="56E7285A" w14:textId="77777777">
            <w:pPr>
              <w:jc w:val="center"/>
              <w:rPr>
                <w:sz w:val="16"/>
                <w:szCs w:val="16"/>
              </w:rPr>
            </w:pPr>
            <w:r>
              <w:rPr>
                <w:sz w:val="16"/>
                <w:szCs w:val="16"/>
              </w:rPr>
              <w:t>Stikstof</w:t>
            </w:r>
          </w:p>
        </w:tc>
      </w:tr>
      <w:tr w:rsidR="006E0305" w:rsidTr="00D54ED2" w14:paraId="349DECF3" w14:textId="77777777">
        <w:tc>
          <w:tcPr>
            <w:tcW w:w="1078" w:type="dxa"/>
          </w:tcPr>
          <w:p w:rsidR="006E0305" w:rsidP="00D54ED2" w:rsidRDefault="006E0305" w14:paraId="1754ECC4" w14:textId="77777777">
            <w:pPr>
              <w:rPr>
                <w:sz w:val="16"/>
                <w:szCs w:val="16"/>
              </w:rPr>
            </w:pPr>
          </w:p>
        </w:tc>
        <w:tc>
          <w:tcPr>
            <w:tcW w:w="857" w:type="dxa"/>
          </w:tcPr>
          <w:p w:rsidR="006E0305" w:rsidP="00D54ED2" w:rsidRDefault="006E0305" w14:paraId="300BD0C7" w14:textId="77777777">
            <w:pPr>
              <w:jc w:val="center"/>
              <w:rPr>
                <w:sz w:val="16"/>
                <w:szCs w:val="16"/>
              </w:rPr>
            </w:pPr>
            <w:r>
              <w:rPr>
                <w:sz w:val="16"/>
                <w:szCs w:val="16"/>
              </w:rPr>
              <w:t>Plafond</w:t>
            </w:r>
          </w:p>
          <w:p w:rsidRPr="00A97EFF" w:rsidR="006E0305" w:rsidP="00D54ED2" w:rsidRDefault="006E0305" w14:paraId="50553743" w14:textId="77777777">
            <w:pPr>
              <w:jc w:val="center"/>
              <w:rPr>
                <w:sz w:val="16"/>
                <w:szCs w:val="16"/>
                <w:vertAlign w:val="superscript"/>
              </w:rPr>
            </w:pPr>
            <w:r>
              <w:rPr>
                <w:sz w:val="16"/>
                <w:szCs w:val="16"/>
              </w:rPr>
              <w:t>2024</w:t>
            </w:r>
          </w:p>
        </w:tc>
        <w:tc>
          <w:tcPr>
            <w:tcW w:w="959" w:type="dxa"/>
          </w:tcPr>
          <w:p w:rsidR="006E0305" w:rsidP="00D54ED2" w:rsidRDefault="006E0305" w14:paraId="7035DE6D" w14:textId="77777777">
            <w:pPr>
              <w:jc w:val="center"/>
              <w:rPr>
                <w:sz w:val="16"/>
                <w:szCs w:val="16"/>
              </w:rPr>
            </w:pPr>
            <w:r>
              <w:rPr>
                <w:sz w:val="16"/>
                <w:szCs w:val="16"/>
              </w:rPr>
              <w:t>1</w:t>
            </w:r>
            <w:r w:rsidRPr="007A4AD5">
              <w:rPr>
                <w:sz w:val="16"/>
                <w:szCs w:val="16"/>
                <w:vertAlign w:val="superscript"/>
              </w:rPr>
              <w:t>e</w:t>
            </w:r>
            <w:r>
              <w:rPr>
                <w:sz w:val="16"/>
                <w:szCs w:val="16"/>
              </w:rPr>
              <w:t xml:space="preserve"> kw 2024</w:t>
            </w:r>
          </w:p>
        </w:tc>
        <w:tc>
          <w:tcPr>
            <w:tcW w:w="795" w:type="dxa"/>
          </w:tcPr>
          <w:p w:rsidRPr="0016436A" w:rsidR="006E0305" w:rsidP="00D54ED2" w:rsidRDefault="006E0305" w14:paraId="5DA2FAAD" w14:textId="77777777">
            <w:pPr>
              <w:rPr>
                <w:sz w:val="16"/>
                <w:szCs w:val="16"/>
              </w:rPr>
            </w:pPr>
            <w:r>
              <w:rPr>
                <w:sz w:val="16"/>
                <w:szCs w:val="16"/>
              </w:rPr>
              <w:t>2</w:t>
            </w:r>
            <w:r>
              <w:rPr>
                <w:sz w:val="16"/>
                <w:szCs w:val="16"/>
                <w:vertAlign w:val="superscript"/>
              </w:rPr>
              <w:t>e</w:t>
            </w:r>
            <w:r>
              <w:rPr>
                <w:sz w:val="16"/>
                <w:szCs w:val="16"/>
              </w:rPr>
              <w:t xml:space="preserve"> kw 2024</w:t>
            </w:r>
          </w:p>
        </w:tc>
        <w:tc>
          <w:tcPr>
            <w:tcW w:w="278" w:type="dxa"/>
          </w:tcPr>
          <w:p w:rsidR="006E0305" w:rsidP="00D54ED2" w:rsidRDefault="006E0305" w14:paraId="50779B15" w14:textId="77777777">
            <w:pPr>
              <w:jc w:val="center"/>
              <w:rPr>
                <w:sz w:val="16"/>
                <w:szCs w:val="16"/>
              </w:rPr>
            </w:pPr>
          </w:p>
        </w:tc>
        <w:tc>
          <w:tcPr>
            <w:tcW w:w="932" w:type="dxa"/>
          </w:tcPr>
          <w:p w:rsidR="006E0305" w:rsidP="00D54ED2" w:rsidRDefault="006E0305" w14:paraId="17856579" w14:textId="77777777">
            <w:pPr>
              <w:jc w:val="center"/>
              <w:rPr>
                <w:sz w:val="16"/>
                <w:szCs w:val="16"/>
              </w:rPr>
            </w:pPr>
            <w:r>
              <w:rPr>
                <w:sz w:val="16"/>
                <w:szCs w:val="16"/>
              </w:rPr>
              <w:t>Plafond</w:t>
            </w:r>
          </w:p>
          <w:p w:rsidRPr="00A97EFF" w:rsidR="006E0305" w:rsidP="00D54ED2" w:rsidRDefault="006E0305" w14:paraId="73929B8F" w14:textId="77777777">
            <w:pPr>
              <w:jc w:val="center"/>
              <w:rPr>
                <w:sz w:val="16"/>
                <w:szCs w:val="16"/>
                <w:vertAlign w:val="superscript"/>
              </w:rPr>
            </w:pPr>
            <w:r>
              <w:rPr>
                <w:sz w:val="16"/>
                <w:szCs w:val="16"/>
              </w:rPr>
              <w:t>2024</w:t>
            </w:r>
          </w:p>
        </w:tc>
        <w:tc>
          <w:tcPr>
            <w:tcW w:w="1028" w:type="dxa"/>
          </w:tcPr>
          <w:p w:rsidR="006E0305" w:rsidP="00D54ED2" w:rsidRDefault="006E0305" w14:paraId="5A66BD86" w14:textId="77777777">
            <w:pPr>
              <w:jc w:val="center"/>
              <w:rPr>
                <w:sz w:val="16"/>
                <w:szCs w:val="16"/>
              </w:rPr>
            </w:pPr>
            <w:r>
              <w:rPr>
                <w:sz w:val="16"/>
                <w:szCs w:val="16"/>
              </w:rPr>
              <w:t>1</w:t>
            </w:r>
            <w:r w:rsidRPr="007A4AD5">
              <w:rPr>
                <w:sz w:val="16"/>
                <w:szCs w:val="16"/>
                <w:vertAlign w:val="superscript"/>
              </w:rPr>
              <w:t>e</w:t>
            </w:r>
            <w:r>
              <w:rPr>
                <w:sz w:val="16"/>
                <w:szCs w:val="16"/>
              </w:rPr>
              <w:t xml:space="preserve"> kw 2024</w:t>
            </w:r>
          </w:p>
        </w:tc>
        <w:tc>
          <w:tcPr>
            <w:tcW w:w="872" w:type="dxa"/>
          </w:tcPr>
          <w:p w:rsidRPr="0016436A" w:rsidR="006E0305" w:rsidP="00D54ED2" w:rsidRDefault="006E0305" w14:paraId="3281B232" w14:textId="77777777">
            <w:pPr>
              <w:rPr>
                <w:sz w:val="16"/>
                <w:szCs w:val="16"/>
              </w:rPr>
            </w:pPr>
            <w:r>
              <w:rPr>
                <w:sz w:val="16"/>
                <w:szCs w:val="16"/>
              </w:rPr>
              <w:t>2</w:t>
            </w:r>
            <w:r>
              <w:rPr>
                <w:sz w:val="16"/>
                <w:szCs w:val="16"/>
                <w:vertAlign w:val="superscript"/>
              </w:rPr>
              <w:t>e</w:t>
            </w:r>
            <w:r>
              <w:rPr>
                <w:sz w:val="16"/>
                <w:szCs w:val="16"/>
              </w:rPr>
              <w:t xml:space="preserve"> kw 2024</w:t>
            </w:r>
          </w:p>
        </w:tc>
      </w:tr>
      <w:tr w:rsidR="006E0305" w:rsidTr="00D54ED2" w14:paraId="24005572" w14:textId="77777777">
        <w:tc>
          <w:tcPr>
            <w:tcW w:w="1078" w:type="dxa"/>
          </w:tcPr>
          <w:p w:rsidR="006E0305" w:rsidP="00D54ED2" w:rsidRDefault="006E0305" w14:paraId="2997F661" w14:textId="77777777">
            <w:pPr>
              <w:rPr>
                <w:sz w:val="16"/>
                <w:szCs w:val="16"/>
              </w:rPr>
            </w:pPr>
            <w:r>
              <w:rPr>
                <w:sz w:val="16"/>
                <w:szCs w:val="16"/>
              </w:rPr>
              <w:t>Nationaal</w:t>
            </w:r>
          </w:p>
        </w:tc>
        <w:tc>
          <w:tcPr>
            <w:tcW w:w="857" w:type="dxa"/>
          </w:tcPr>
          <w:p w:rsidR="006E0305" w:rsidP="00D54ED2" w:rsidRDefault="006E0305" w14:paraId="45D3A162" w14:textId="77777777">
            <w:pPr>
              <w:tabs>
                <w:tab w:val="decimal" w:pos="390"/>
              </w:tabs>
              <w:rPr>
                <w:sz w:val="16"/>
                <w:szCs w:val="16"/>
              </w:rPr>
            </w:pPr>
            <w:r>
              <w:rPr>
                <w:sz w:val="16"/>
                <w:szCs w:val="16"/>
              </w:rPr>
              <w:t>150,7</w:t>
            </w:r>
          </w:p>
        </w:tc>
        <w:tc>
          <w:tcPr>
            <w:tcW w:w="959" w:type="dxa"/>
          </w:tcPr>
          <w:p w:rsidR="006E0305" w:rsidP="00D54ED2" w:rsidRDefault="006E0305" w14:paraId="62E304A4" w14:textId="77777777">
            <w:pPr>
              <w:jc w:val="center"/>
              <w:rPr>
                <w:sz w:val="16"/>
                <w:szCs w:val="16"/>
              </w:rPr>
            </w:pPr>
            <w:r>
              <w:rPr>
                <w:sz w:val="16"/>
                <w:szCs w:val="16"/>
              </w:rPr>
              <w:t>147,5</w:t>
            </w:r>
          </w:p>
        </w:tc>
        <w:tc>
          <w:tcPr>
            <w:tcW w:w="795" w:type="dxa"/>
          </w:tcPr>
          <w:p w:rsidR="006E0305" w:rsidP="00D54ED2" w:rsidRDefault="006E0305" w14:paraId="3A35F1D4" w14:textId="77777777">
            <w:pPr>
              <w:tabs>
                <w:tab w:val="decimal" w:pos="380"/>
              </w:tabs>
              <w:rPr>
                <w:sz w:val="16"/>
                <w:szCs w:val="16"/>
              </w:rPr>
            </w:pPr>
            <w:r>
              <w:rPr>
                <w:sz w:val="16"/>
                <w:szCs w:val="16"/>
              </w:rPr>
              <w:t>148,0</w:t>
            </w:r>
          </w:p>
        </w:tc>
        <w:tc>
          <w:tcPr>
            <w:tcW w:w="278" w:type="dxa"/>
          </w:tcPr>
          <w:p w:rsidR="006E0305" w:rsidP="00D54ED2" w:rsidRDefault="006E0305" w14:paraId="428B1B39" w14:textId="77777777">
            <w:pPr>
              <w:jc w:val="center"/>
              <w:rPr>
                <w:sz w:val="16"/>
                <w:szCs w:val="16"/>
              </w:rPr>
            </w:pPr>
          </w:p>
        </w:tc>
        <w:tc>
          <w:tcPr>
            <w:tcW w:w="932" w:type="dxa"/>
          </w:tcPr>
          <w:p w:rsidR="006E0305" w:rsidP="00D54ED2" w:rsidRDefault="006E0305" w14:paraId="6DA01EF0" w14:textId="77777777">
            <w:pPr>
              <w:tabs>
                <w:tab w:val="decimal" w:pos="419"/>
              </w:tabs>
              <w:rPr>
                <w:sz w:val="16"/>
                <w:szCs w:val="16"/>
              </w:rPr>
            </w:pPr>
            <w:r>
              <w:rPr>
                <w:sz w:val="16"/>
                <w:szCs w:val="16"/>
              </w:rPr>
              <w:t>489,4</w:t>
            </w:r>
          </w:p>
        </w:tc>
        <w:tc>
          <w:tcPr>
            <w:tcW w:w="1028" w:type="dxa"/>
          </w:tcPr>
          <w:p w:rsidR="006E0305" w:rsidP="00D54ED2" w:rsidRDefault="006E0305" w14:paraId="32CFD719" w14:textId="77777777">
            <w:pPr>
              <w:jc w:val="center"/>
              <w:rPr>
                <w:sz w:val="16"/>
                <w:szCs w:val="16"/>
              </w:rPr>
            </w:pPr>
            <w:r>
              <w:rPr>
                <w:sz w:val="16"/>
                <w:szCs w:val="16"/>
              </w:rPr>
              <w:t>468,9</w:t>
            </w:r>
          </w:p>
        </w:tc>
        <w:tc>
          <w:tcPr>
            <w:tcW w:w="872" w:type="dxa"/>
          </w:tcPr>
          <w:p w:rsidR="006E0305" w:rsidP="00D54ED2" w:rsidRDefault="006E0305" w14:paraId="6A7BA1F0" w14:textId="77777777">
            <w:pPr>
              <w:tabs>
                <w:tab w:val="decimal" w:pos="409"/>
              </w:tabs>
              <w:rPr>
                <w:sz w:val="16"/>
                <w:szCs w:val="16"/>
              </w:rPr>
            </w:pPr>
            <w:r>
              <w:rPr>
                <w:sz w:val="16"/>
                <w:szCs w:val="16"/>
              </w:rPr>
              <w:t>461,7</w:t>
            </w:r>
          </w:p>
        </w:tc>
      </w:tr>
      <w:tr w:rsidRPr="00D53E7E" w:rsidR="006E0305" w:rsidTr="00D54ED2" w14:paraId="3D25A929" w14:textId="77777777">
        <w:tc>
          <w:tcPr>
            <w:tcW w:w="1078" w:type="dxa"/>
          </w:tcPr>
          <w:p w:rsidRPr="00D53E7E" w:rsidR="006E0305" w:rsidP="00D54ED2" w:rsidRDefault="006E0305" w14:paraId="3BDAC76A" w14:textId="77777777">
            <w:pPr>
              <w:rPr>
                <w:i/>
                <w:iCs/>
                <w:sz w:val="16"/>
                <w:szCs w:val="16"/>
              </w:rPr>
            </w:pPr>
            <w:r w:rsidRPr="00D53E7E">
              <w:rPr>
                <w:i/>
                <w:iCs/>
                <w:sz w:val="16"/>
                <w:szCs w:val="16"/>
              </w:rPr>
              <w:t>Melkvee</w:t>
            </w:r>
          </w:p>
        </w:tc>
        <w:tc>
          <w:tcPr>
            <w:tcW w:w="857" w:type="dxa"/>
          </w:tcPr>
          <w:p w:rsidRPr="00D53E7E" w:rsidR="006E0305" w:rsidP="00D54ED2" w:rsidRDefault="006E0305" w14:paraId="5320EE8B" w14:textId="77777777">
            <w:pPr>
              <w:tabs>
                <w:tab w:val="decimal" w:pos="390"/>
              </w:tabs>
              <w:rPr>
                <w:i/>
                <w:iCs/>
                <w:sz w:val="16"/>
                <w:szCs w:val="16"/>
              </w:rPr>
            </w:pPr>
            <w:r w:rsidRPr="00D53E7E">
              <w:rPr>
                <w:i/>
                <w:iCs/>
                <w:sz w:val="16"/>
                <w:szCs w:val="16"/>
              </w:rPr>
              <w:t>73,6</w:t>
            </w:r>
          </w:p>
        </w:tc>
        <w:tc>
          <w:tcPr>
            <w:tcW w:w="959" w:type="dxa"/>
          </w:tcPr>
          <w:p w:rsidRPr="00D53E7E" w:rsidR="006E0305" w:rsidP="00D54ED2" w:rsidRDefault="006E0305" w14:paraId="316C3DD0" w14:textId="77777777">
            <w:pPr>
              <w:tabs>
                <w:tab w:val="decimal" w:pos="425"/>
              </w:tabs>
              <w:rPr>
                <w:i/>
                <w:iCs/>
                <w:sz w:val="16"/>
                <w:szCs w:val="16"/>
              </w:rPr>
            </w:pPr>
            <w:r w:rsidRPr="00D53E7E">
              <w:rPr>
                <w:i/>
                <w:iCs/>
                <w:sz w:val="16"/>
                <w:szCs w:val="16"/>
              </w:rPr>
              <w:t>76,6</w:t>
            </w:r>
          </w:p>
        </w:tc>
        <w:tc>
          <w:tcPr>
            <w:tcW w:w="795" w:type="dxa"/>
          </w:tcPr>
          <w:p w:rsidRPr="00D53E7E" w:rsidR="006E0305" w:rsidP="00D54ED2" w:rsidRDefault="006E0305" w14:paraId="208C1CF2" w14:textId="77777777">
            <w:pPr>
              <w:tabs>
                <w:tab w:val="decimal" w:pos="380"/>
              </w:tabs>
              <w:rPr>
                <w:i/>
                <w:iCs/>
                <w:sz w:val="16"/>
                <w:szCs w:val="16"/>
              </w:rPr>
            </w:pPr>
            <w:r>
              <w:rPr>
                <w:i/>
                <w:iCs/>
                <w:sz w:val="16"/>
                <w:szCs w:val="16"/>
              </w:rPr>
              <w:t>76,4</w:t>
            </w:r>
          </w:p>
        </w:tc>
        <w:tc>
          <w:tcPr>
            <w:tcW w:w="278" w:type="dxa"/>
          </w:tcPr>
          <w:p w:rsidRPr="00D53E7E" w:rsidR="006E0305" w:rsidP="00D54ED2" w:rsidRDefault="006E0305" w14:paraId="3A3F3539" w14:textId="77777777">
            <w:pPr>
              <w:rPr>
                <w:i/>
                <w:iCs/>
                <w:sz w:val="16"/>
                <w:szCs w:val="16"/>
              </w:rPr>
            </w:pPr>
          </w:p>
        </w:tc>
        <w:tc>
          <w:tcPr>
            <w:tcW w:w="932" w:type="dxa"/>
          </w:tcPr>
          <w:p w:rsidRPr="00D53E7E" w:rsidR="006E0305" w:rsidP="00D54ED2" w:rsidRDefault="006E0305" w14:paraId="25E9A639" w14:textId="77777777">
            <w:pPr>
              <w:tabs>
                <w:tab w:val="decimal" w:pos="419"/>
              </w:tabs>
              <w:rPr>
                <w:i/>
                <w:iCs/>
                <w:sz w:val="16"/>
                <w:szCs w:val="16"/>
              </w:rPr>
            </w:pPr>
            <w:r w:rsidRPr="00D53E7E">
              <w:rPr>
                <w:i/>
                <w:iCs/>
                <w:sz w:val="16"/>
                <w:szCs w:val="16"/>
              </w:rPr>
              <w:t>286,5</w:t>
            </w:r>
          </w:p>
        </w:tc>
        <w:tc>
          <w:tcPr>
            <w:tcW w:w="1028" w:type="dxa"/>
          </w:tcPr>
          <w:p w:rsidRPr="00D53E7E" w:rsidR="006E0305" w:rsidP="00D54ED2" w:rsidRDefault="006E0305" w14:paraId="0F9A9C5F" w14:textId="77777777">
            <w:pPr>
              <w:tabs>
                <w:tab w:val="decimal" w:pos="545"/>
              </w:tabs>
              <w:rPr>
                <w:i/>
                <w:iCs/>
                <w:sz w:val="16"/>
                <w:szCs w:val="16"/>
              </w:rPr>
            </w:pPr>
            <w:r w:rsidRPr="00D53E7E">
              <w:rPr>
                <w:i/>
                <w:iCs/>
                <w:sz w:val="16"/>
                <w:szCs w:val="16"/>
              </w:rPr>
              <w:t>277,5</w:t>
            </w:r>
          </w:p>
        </w:tc>
        <w:tc>
          <w:tcPr>
            <w:tcW w:w="872" w:type="dxa"/>
          </w:tcPr>
          <w:p w:rsidRPr="00D53E7E" w:rsidR="006E0305" w:rsidP="00D54ED2" w:rsidRDefault="006E0305" w14:paraId="396D9CD0" w14:textId="77777777">
            <w:pPr>
              <w:tabs>
                <w:tab w:val="decimal" w:pos="409"/>
              </w:tabs>
              <w:rPr>
                <w:i/>
                <w:iCs/>
                <w:sz w:val="16"/>
                <w:szCs w:val="16"/>
              </w:rPr>
            </w:pPr>
            <w:r>
              <w:rPr>
                <w:i/>
                <w:iCs/>
                <w:sz w:val="16"/>
                <w:szCs w:val="16"/>
              </w:rPr>
              <w:t>273,2</w:t>
            </w:r>
          </w:p>
        </w:tc>
      </w:tr>
      <w:tr w:rsidRPr="00D53E7E" w:rsidR="006E0305" w:rsidTr="00D54ED2" w14:paraId="1E163FC0" w14:textId="77777777">
        <w:tc>
          <w:tcPr>
            <w:tcW w:w="1078" w:type="dxa"/>
          </w:tcPr>
          <w:p w:rsidRPr="00D53E7E" w:rsidR="006E0305" w:rsidP="00D54ED2" w:rsidRDefault="006E0305" w14:paraId="68D75C50" w14:textId="77777777">
            <w:pPr>
              <w:rPr>
                <w:i/>
                <w:iCs/>
                <w:sz w:val="16"/>
                <w:szCs w:val="16"/>
              </w:rPr>
            </w:pPr>
            <w:r w:rsidRPr="00D53E7E">
              <w:rPr>
                <w:i/>
                <w:iCs/>
                <w:sz w:val="16"/>
                <w:szCs w:val="16"/>
              </w:rPr>
              <w:t>Varkens</w:t>
            </w:r>
          </w:p>
        </w:tc>
        <w:tc>
          <w:tcPr>
            <w:tcW w:w="857" w:type="dxa"/>
          </w:tcPr>
          <w:p w:rsidRPr="00D53E7E" w:rsidR="006E0305" w:rsidP="00D54ED2" w:rsidRDefault="006E0305" w14:paraId="28FD61C6" w14:textId="77777777">
            <w:pPr>
              <w:tabs>
                <w:tab w:val="decimal" w:pos="390"/>
              </w:tabs>
              <w:rPr>
                <w:i/>
                <w:iCs/>
                <w:sz w:val="16"/>
                <w:szCs w:val="16"/>
              </w:rPr>
            </w:pPr>
            <w:r w:rsidRPr="00D53E7E">
              <w:rPr>
                <w:i/>
                <w:iCs/>
                <w:sz w:val="16"/>
                <w:szCs w:val="16"/>
              </w:rPr>
              <w:t>36,7</w:t>
            </w:r>
          </w:p>
        </w:tc>
        <w:tc>
          <w:tcPr>
            <w:tcW w:w="959" w:type="dxa"/>
          </w:tcPr>
          <w:p w:rsidRPr="00D53E7E" w:rsidR="006E0305" w:rsidP="00D54ED2" w:rsidRDefault="006E0305" w14:paraId="1B9CB44F" w14:textId="77777777">
            <w:pPr>
              <w:tabs>
                <w:tab w:val="decimal" w:pos="425"/>
              </w:tabs>
              <w:rPr>
                <w:i/>
                <w:iCs/>
                <w:sz w:val="16"/>
                <w:szCs w:val="16"/>
              </w:rPr>
            </w:pPr>
            <w:r w:rsidRPr="00D53E7E">
              <w:rPr>
                <w:i/>
                <w:iCs/>
                <w:sz w:val="16"/>
                <w:szCs w:val="16"/>
              </w:rPr>
              <w:t>32,4</w:t>
            </w:r>
          </w:p>
        </w:tc>
        <w:tc>
          <w:tcPr>
            <w:tcW w:w="795" w:type="dxa"/>
          </w:tcPr>
          <w:p w:rsidRPr="00D53E7E" w:rsidR="006E0305" w:rsidP="00D54ED2" w:rsidRDefault="006E0305" w14:paraId="65BE0A32" w14:textId="77777777">
            <w:pPr>
              <w:tabs>
                <w:tab w:val="decimal" w:pos="380"/>
              </w:tabs>
              <w:rPr>
                <w:i/>
                <w:iCs/>
                <w:sz w:val="16"/>
                <w:szCs w:val="16"/>
              </w:rPr>
            </w:pPr>
            <w:r>
              <w:rPr>
                <w:i/>
                <w:iCs/>
                <w:sz w:val="16"/>
                <w:szCs w:val="16"/>
              </w:rPr>
              <w:t>32,8</w:t>
            </w:r>
          </w:p>
        </w:tc>
        <w:tc>
          <w:tcPr>
            <w:tcW w:w="278" w:type="dxa"/>
          </w:tcPr>
          <w:p w:rsidRPr="00D53E7E" w:rsidR="006E0305" w:rsidP="00D54ED2" w:rsidRDefault="006E0305" w14:paraId="469A15A7" w14:textId="77777777">
            <w:pPr>
              <w:rPr>
                <w:i/>
                <w:iCs/>
                <w:sz w:val="16"/>
                <w:szCs w:val="16"/>
              </w:rPr>
            </w:pPr>
          </w:p>
        </w:tc>
        <w:tc>
          <w:tcPr>
            <w:tcW w:w="932" w:type="dxa"/>
          </w:tcPr>
          <w:p w:rsidRPr="00D53E7E" w:rsidR="006E0305" w:rsidP="00D54ED2" w:rsidRDefault="006E0305" w14:paraId="203D7A51" w14:textId="77777777">
            <w:pPr>
              <w:tabs>
                <w:tab w:val="decimal" w:pos="419"/>
              </w:tabs>
              <w:rPr>
                <w:i/>
                <w:iCs/>
                <w:sz w:val="16"/>
                <w:szCs w:val="16"/>
              </w:rPr>
            </w:pPr>
            <w:r w:rsidRPr="00D53E7E">
              <w:rPr>
                <w:i/>
                <w:iCs/>
                <w:sz w:val="16"/>
                <w:szCs w:val="16"/>
              </w:rPr>
              <w:t>91,8</w:t>
            </w:r>
          </w:p>
        </w:tc>
        <w:tc>
          <w:tcPr>
            <w:tcW w:w="1028" w:type="dxa"/>
          </w:tcPr>
          <w:p w:rsidRPr="00D53E7E" w:rsidR="006E0305" w:rsidP="00D54ED2" w:rsidRDefault="006E0305" w14:paraId="718A3650" w14:textId="77777777">
            <w:pPr>
              <w:tabs>
                <w:tab w:val="decimal" w:pos="545"/>
              </w:tabs>
              <w:rPr>
                <w:i/>
                <w:iCs/>
                <w:sz w:val="16"/>
                <w:szCs w:val="16"/>
              </w:rPr>
            </w:pPr>
            <w:r w:rsidRPr="00D53E7E">
              <w:rPr>
                <w:i/>
                <w:iCs/>
                <w:sz w:val="16"/>
                <w:szCs w:val="16"/>
              </w:rPr>
              <w:t>84,2</w:t>
            </w:r>
          </w:p>
        </w:tc>
        <w:tc>
          <w:tcPr>
            <w:tcW w:w="872" w:type="dxa"/>
          </w:tcPr>
          <w:p w:rsidRPr="00D53E7E" w:rsidR="006E0305" w:rsidP="00D54ED2" w:rsidRDefault="006E0305" w14:paraId="5E528070" w14:textId="77777777">
            <w:pPr>
              <w:tabs>
                <w:tab w:val="decimal" w:pos="409"/>
              </w:tabs>
              <w:rPr>
                <w:i/>
                <w:iCs/>
                <w:sz w:val="16"/>
                <w:szCs w:val="16"/>
              </w:rPr>
            </w:pPr>
            <w:r>
              <w:rPr>
                <w:i/>
                <w:iCs/>
                <w:sz w:val="16"/>
                <w:szCs w:val="16"/>
              </w:rPr>
              <w:t>81,7</w:t>
            </w:r>
          </w:p>
        </w:tc>
      </w:tr>
      <w:tr w:rsidRPr="00D53E7E" w:rsidR="006E0305" w:rsidTr="00D54ED2" w14:paraId="1453DA02" w14:textId="77777777">
        <w:tc>
          <w:tcPr>
            <w:tcW w:w="1078" w:type="dxa"/>
          </w:tcPr>
          <w:p w:rsidRPr="00D53E7E" w:rsidR="006E0305" w:rsidP="00D54ED2" w:rsidRDefault="006E0305" w14:paraId="56987447" w14:textId="77777777">
            <w:pPr>
              <w:rPr>
                <w:i/>
                <w:iCs/>
                <w:sz w:val="16"/>
                <w:szCs w:val="16"/>
              </w:rPr>
            </w:pPr>
            <w:r w:rsidRPr="00D53E7E">
              <w:rPr>
                <w:i/>
                <w:iCs/>
                <w:sz w:val="16"/>
                <w:szCs w:val="16"/>
              </w:rPr>
              <w:t>Pluimvee</w:t>
            </w:r>
          </w:p>
        </w:tc>
        <w:tc>
          <w:tcPr>
            <w:tcW w:w="857" w:type="dxa"/>
          </w:tcPr>
          <w:p w:rsidRPr="00D53E7E" w:rsidR="006E0305" w:rsidP="00D54ED2" w:rsidRDefault="006E0305" w14:paraId="31B1A53B" w14:textId="77777777">
            <w:pPr>
              <w:tabs>
                <w:tab w:val="decimal" w:pos="390"/>
              </w:tabs>
              <w:rPr>
                <w:i/>
                <w:iCs/>
                <w:sz w:val="16"/>
                <w:szCs w:val="16"/>
              </w:rPr>
            </w:pPr>
            <w:r w:rsidRPr="00D53E7E">
              <w:rPr>
                <w:i/>
                <w:iCs/>
                <w:sz w:val="16"/>
                <w:szCs w:val="16"/>
              </w:rPr>
              <w:t>24,1</w:t>
            </w:r>
          </w:p>
        </w:tc>
        <w:tc>
          <w:tcPr>
            <w:tcW w:w="959" w:type="dxa"/>
          </w:tcPr>
          <w:p w:rsidRPr="00D53E7E" w:rsidR="006E0305" w:rsidP="00D54ED2" w:rsidRDefault="006E0305" w14:paraId="071C8F52" w14:textId="77777777">
            <w:pPr>
              <w:tabs>
                <w:tab w:val="decimal" w:pos="425"/>
              </w:tabs>
              <w:rPr>
                <w:i/>
                <w:iCs/>
                <w:sz w:val="16"/>
                <w:szCs w:val="16"/>
              </w:rPr>
            </w:pPr>
            <w:r w:rsidRPr="00D53E7E">
              <w:rPr>
                <w:i/>
                <w:iCs/>
                <w:sz w:val="16"/>
                <w:szCs w:val="16"/>
              </w:rPr>
              <w:t>22,</w:t>
            </w:r>
            <w:r>
              <w:rPr>
                <w:i/>
                <w:iCs/>
                <w:sz w:val="16"/>
                <w:szCs w:val="16"/>
              </w:rPr>
              <w:t>3</w:t>
            </w:r>
          </w:p>
        </w:tc>
        <w:tc>
          <w:tcPr>
            <w:tcW w:w="795" w:type="dxa"/>
          </w:tcPr>
          <w:p w:rsidRPr="00D53E7E" w:rsidR="006E0305" w:rsidP="00D54ED2" w:rsidRDefault="006E0305" w14:paraId="6DB2E9D2" w14:textId="77777777">
            <w:pPr>
              <w:tabs>
                <w:tab w:val="decimal" w:pos="380"/>
              </w:tabs>
              <w:rPr>
                <w:i/>
                <w:iCs/>
                <w:sz w:val="16"/>
                <w:szCs w:val="16"/>
              </w:rPr>
            </w:pPr>
            <w:r>
              <w:rPr>
                <w:i/>
                <w:iCs/>
                <w:sz w:val="16"/>
                <w:szCs w:val="16"/>
              </w:rPr>
              <w:t>22,8</w:t>
            </w:r>
          </w:p>
        </w:tc>
        <w:tc>
          <w:tcPr>
            <w:tcW w:w="278" w:type="dxa"/>
          </w:tcPr>
          <w:p w:rsidRPr="00D53E7E" w:rsidR="006E0305" w:rsidP="00D54ED2" w:rsidRDefault="006E0305" w14:paraId="03C0FD80" w14:textId="77777777">
            <w:pPr>
              <w:rPr>
                <w:i/>
                <w:iCs/>
                <w:sz w:val="16"/>
                <w:szCs w:val="16"/>
              </w:rPr>
            </w:pPr>
          </w:p>
        </w:tc>
        <w:tc>
          <w:tcPr>
            <w:tcW w:w="932" w:type="dxa"/>
          </w:tcPr>
          <w:p w:rsidRPr="00D53E7E" w:rsidR="006E0305" w:rsidP="00D54ED2" w:rsidRDefault="006E0305" w14:paraId="1DC9D3AB" w14:textId="77777777">
            <w:pPr>
              <w:tabs>
                <w:tab w:val="decimal" w:pos="419"/>
              </w:tabs>
              <w:rPr>
                <w:i/>
                <w:iCs/>
                <w:sz w:val="16"/>
                <w:szCs w:val="16"/>
              </w:rPr>
            </w:pPr>
            <w:r w:rsidRPr="00D53E7E">
              <w:rPr>
                <w:i/>
                <w:iCs/>
                <w:sz w:val="16"/>
                <w:szCs w:val="16"/>
              </w:rPr>
              <w:t>54,7</w:t>
            </w:r>
          </w:p>
        </w:tc>
        <w:tc>
          <w:tcPr>
            <w:tcW w:w="1028" w:type="dxa"/>
          </w:tcPr>
          <w:p w:rsidRPr="00D53E7E" w:rsidR="006E0305" w:rsidP="00D54ED2" w:rsidRDefault="006E0305" w14:paraId="62CA1B7D" w14:textId="77777777">
            <w:pPr>
              <w:tabs>
                <w:tab w:val="decimal" w:pos="545"/>
              </w:tabs>
              <w:rPr>
                <w:i/>
                <w:iCs/>
                <w:sz w:val="16"/>
                <w:szCs w:val="16"/>
              </w:rPr>
            </w:pPr>
            <w:r w:rsidRPr="00D53E7E">
              <w:rPr>
                <w:i/>
                <w:iCs/>
                <w:sz w:val="16"/>
                <w:szCs w:val="16"/>
              </w:rPr>
              <w:t>5</w:t>
            </w:r>
            <w:r>
              <w:rPr>
                <w:i/>
                <w:iCs/>
                <w:sz w:val="16"/>
                <w:szCs w:val="16"/>
              </w:rPr>
              <w:t>2,2</w:t>
            </w:r>
          </w:p>
        </w:tc>
        <w:tc>
          <w:tcPr>
            <w:tcW w:w="872" w:type="dxa"/>
          </w:tcPr>
          <w:p w:rsidRPr="00D53E7E" w:rsidR="006E0305" w:rsidP="00D54ED2" w:rsidRDefault="006E0305" w14:paraId="7E8D787A" w14:textId="77777777">
            <w:pPr>
              <w:tabs>
                <w:tab w:val="decimal" w:pos="409"/>
              </w:tabs>
              <w:rPr>
                <w:i/>
                <w:iCs/>
                <w:sz w:val="16"/>
                <w:szCs w:val="16"/>
              </w:rPr>
            </w:pPr>
            <w:r>
              <w:rPr>
                <w:i/>
                <w:iCs/>
                <w:sz w:val="16"/>
                <w:szCs w:val="16"/>
              </w:rPr>
              <w:t>52,3</w:t>
            </w:r>
          </w:p>
        </w:tc>
      </w:tr>
      <w:tr w:rsidRPr="00D53E7E" w:rsidR="006E0305" w:rsidTr="00D54ED2" w14:paraId="1C6017AA" w14:textId="77777777">
        <w:tc>
          <w:tcPr>
            <w:tcW w:w="1078" w:type="dxa"/>
          </w:tcPr>
          <w:p w:rsidRPr="00D53E7E" w:rsidR="006E0305" w:rsidP="00D54ED2" w:rsidRDefault="006E0305" w14:paraId="6FDF319A" w14:textId="77777777">
            <w:pPr>
              <w:rPr>
                <w:i/>
                <w:iCs/>
                <w:sz w:val="16"/>
                <w:szCs w:val="16"/>
                <w:vertAlign w:val="superscript"/>
              </w:rPr>
            </w:pPr>
            <w:r w:rsidRPr="00D53E7E">
              <w:rPr>
                <w:i/>
                <w:iCs/>
                <w:sz w:val="16"/>
                <w:szCs w:val="16"/>
              </w:rPr>
              <w:t>Overig</w:t>
            </w:r>
            <w:r w:rsidRPr="00D72F38">
              <w:rPr>
                <w:i/>
                <w:iCs/>
                <w:sz w:val="16"/>
                <w:szCs w:val="16"/>
                <w:vertAlign w:val="superscript"/>
              </w:rPr>
              <w:t>1</w:t>
            </w:r>
          </w:p>
        </w:tc>
        <w:tc>
          <w:tcPr>
            <w:tcW w:w="857" w:type="dxa"/>
          </w:tcPr>
          <w:p w:rsidRPr="00D53E7E" w:rsidR="006E0305" w:rsidP="00D54ED2" w:rsidRDefault="006E0305" w14:paraId="607EC798" w14:textId="77777777">
            <w:pPr>
              <w:tabs>
                <w:tab w:val="decimal" w:pos="390"/>
              </w:tabs>
              <w:rPr>
                <w:i/>
                <w:iCs/>
                <w:sz w:val="16"/>
                <w:szCs w:val="16"/>
              </w:rPr>
            </w:pPr>
            <w:r w:rsidRPr="00D53E7E">
              <w:rPr>
                <w:i/>
                <w:iCs/>
                <w:sz w:val="16"/>
                <w:szCs w:val="16"/>
              </w:rPr>
              <w:t>16,3</w:t>
            </w:r>
          </w:p>
        </w:tc>
        <w:tc>
          <w:tcPr>
            <w:tcW w:w="959" w:type="dxa"/>
          </w:tcPr>
          <w:p w:rsidRPr="00D53E7E" w:rsidR="006E0305" w:rsidP="00D54ED2" w:rsidRDefault="006E0305" w14:paraId="7ABC0CB9" w14:textId="77777777">
            <w:pPr>
              <w:tabs>
                <w:tab w:val="decimal" w:pos="425"/>
              </w:tabs>
              <w:rPr>
                <w:i/>
                <w:iCs/>
                <w:sz w:val="16"/>
                <w:szCs w:val="16"/>
              </w:rPr>
            </w:pPr>
            <w:r w:rsidRPr="00D53E7E">
              <w:rPr>
                <w:i/>
                <w:iCs/>
                <w:sz w:val="16"/>
                <w:szCs w:val="16"/>
              </w:rPr>
              <w:t>16,</w:t>
            </w:r>
            <w:r>
              <w:rPr>
                <w:i/>
                <w:iCs/>
                <w:sz w:val="16"/>
                <w:szCs w:val="16"/>
              </w:rPr>
              <w:t>2</w:t>
            </w:r>
          </w:p>
        </w:tc>
        <w:tc>
          <w:tcPr>
            <w:tcW w:w="795" w:type="dxa"/>
          </w:tcPr>
          <w:p w:rsidRPr="00D53E7E" w:rsidR="006E0305" w:rsidP="00D54ED2" w:rsidRDefault="006E0305" w14:paraId="1B4114BD" w14:textId="77777777">
            <w:pPr>
              <w:tabs>
                <w:tab w:val="decimal" w:pos="380"/>
              </w:tabs>
              <w:rPr>
                <w:i/>
                <w:iCs/>
                <w:sz w:val="16"/>
                <w:szCs w:val="16"/>
              </w:rPr>
            </w:pPr>
            <w:r>
              <w:rPr>
                <w:i/>
                <w:iCs/>
                <w:sz w:val="16"/>
                <w:szCs w:val="16"/>
              </w:rPr>
              <w:t>16,0</w:t>
            </w:r>
          </w:p>
        </w:tc>
        <w:tc>
          <w:tcPr>
            <w:tcW w:w="278" w:type="dxa"/>
          </w:tcPr>
          <w:p w:rsidRPr="00D53E7E" w:rsidR="006E0305" w:rsidP="00D54ED2" w:rsidRDefault="006E0305" w14:paraId="2AC55022" w14:textId="77777777">
            <w:pPr>
              <w:rPr>
                <w:i/>
                <w:iCs/>
                <w:sz w:val="16"/>
                <w:szCs w:val="16"/>
              </w:rPr>
            </w:pPr>
          </w:p>
        </w:tc>
        <w:tc>
          <w:tcPr>
            <w:tcW w:w="932" w:type="dxa"/>
          </w:tcPr>
          <w:p w:rsidRPr="00D53E7E" w:rsidR="006E0305" w:rsidP="00D54ED2" w:rsidRDefault="006E0305" w14:paraId="6E9FE80A" w14:textId="77777777">
            <w:pPr>
              <w:tabs>
                <w:tab w:val="decimal" w:pos="419"/>
              </w:tabs>
              <w:rPr>
                <w:i/>
                <w:iCs/>
                <w:sz w:val="16"/>
                <w:szCs w:val="16"/>
              </w:rPr>
            </w:pPr>
            <w:r w:rsidRPr="00D53E7E">
              <w:rPr>
                <w:i/>
                <w:iCs/>
                <w:sz w:val="16"/>
                <w:szCs w:val="16"/>
              </w:rPr>
              <w:t>56,4</w:t>
            </w:r>
          </w:p>
        </w:tc>
        <w:tc>
          <w:tcPr>
            <w:tcW w:w="1028" w:type="dxa"/>
          </w:tcPr>
          <w:p w:rsidRPr="00D53E7E" w:rsidR="006E0305" w:rsidP="00D54ED2" w:rsidRDefault="006E0305" w14:paraId="0795B09C" w14:textId="77777777">
            <w:pPr>
              <w:tabs>
                <w:tab w:val="decimal" w:pos="545"/>
              </w:tabs>
              <w:rPr>
                <w:i/>
                <w:iCs/>
                <w:sz w:val="16"/>
                <w:szCs w:val="16"/>
              </w:rPr>
            </w:pPr>
            <w:r w:rsidRPr="00D53E7E">
              <w:rPr>
                <w:i/>
                <w:iCs/>
                <w:sz w:val="16"/>
                <w:szCs w:val="16"/>
              </w:rPr>
              <w:t>5</w:t>
            </w:r>
            <w:r>
              <w:rPr>
                <w:i/>
                <w:iCs/>
                <w:sz w:val="16"/>
                <w:szCs w:val="16"/>
              </w:rPr>
              <w:t>5,0</w:t>
            </w:r>
          </w:p>
        </w:tc>
        <w:tc>
          <w:tcPr>
            <w:tcW w:w="872" w:type="dxa"/>
          </w:tcPr>
          <w:p w:rsidRPr="00D53E7E" w:rsidR="006E0305" w:rsidP="00D54ED2" w:rsidRDefault="006E0305" w14:paraId="14A51695" w14:textId="77777777">
            <w:pPr>
              <w:tabs>
                <w:tab w:val="decimal" w:pos="409"/>
              </w:tabs>
              <w:rPr>
                <w:i/>
                <w:iCs/>
                <w:sz w:val="16"/>
                <w:szCs w:val="16"/>
              </w:rPr>
            </w:pPr>
            <w:r>
              <w:rPr>
                <w:i/>
                <w:iCs/>
                <w:sz w:val="16"/>
                <w:szCs w:val="16"/>
              </w:rPr>
              <w:t>54,5</w:t>
            </w:r>
          </w:p>
        </w:tc>
      </w:tr>
    </w:tbl>
    <w:p w:rsidR="006E0305" w:rsidP="006E0305" w:rsidRDefault="006E0305" w14:paraId="2D789DD0" w14:textId="77777777">
      <w:pPr>
        <w:ind w:left="709" w:hanging="709"/>
        <w:rPr>
          <w:i/>
          <w:iCs/>
          <w:sz w:val="16"/>
          <w:szCs w:val="16"/>
        </w:rPr>
      </w:pPr>
      <w:r>
        <w:rPr>
          <w:sz w:val="16"/>
          <w:szCs w:val="16"/>
        </w:rPr>
        <w:tab/>
      </w:r>
      <w:r>
        <w:rPr>
          <w:i/>
          <w:iCs/>
          <w:sz w:val="16"/>
          <w:szCs w:val="16"/>
        </w:rPr>
        <w:t>N.B. Door afrondingen kan de som van de cijfers afwijken van het totaal.</w:t>
      </w:r>
    </w:p>
    <w:p w:rsidR="006E0305" w:rsidP="006E0305" w:rsidRDefault="006E0305" w14:paraId="074B123A" w14:textId="77777777">
      <w:pPr>
        <w:ind w:left="709" w:hanging="709"/>
        <w:rPr>
          <w:i/>
          <w:iCs/>
          <w:sz w:val="16"/>
          <w:szCs w:val="16"/>
        </w:rPr>
      </w:pPr>
    </w:p>
    <w:p w:rsidRPr="00D71BDD" w:rsidR="006E0305" w:rsidP="006E0305" w:rsidRDefault="006E0305" w14:paraId="6606F07E" w14:textId="77777777">
      <w:pPr>
        <w:ind w:left="426" w:hanging="284"/>
        <w:rPr>
          <w:sz w:val="16"/>
          <w:szCs w:val="16"/>
        </w:rPr>
      </w:pPr>
      <w:r>
        <w:rPr>
          <w:sz w:val="16"/>
          <w:szCs w:val="16"/>
          <w:vertAlign w:val="superscript"/>
        </w:rPr>
        <w:t>1</w:t>
      </w:r>
      <w:r>
        <w:rPr>
          <w:sz w:val="16"/>
          <w:szCs w:val="16"/>
        </w:rPr>
        <w:t xml:space="preserve">) </w:t>
      </w:r>
      <w:r>
        <w:rPr>
          <w:sz w:val="16"/>
          <w:szCs w:val="16"/>
        </w:rPr>
        <w:tab/>
      </w:r>
      <w:r w:rsidRPr="00D71BDD">
        <w:rPr>
          <w:sz w:val="16"/>
          <w:szCs w:val="16"/>
        </w:rPr>
        <w:t>Voor ‘overig’ is in de M</w:t>
      </w:r>
      <w:r>
        <w:rPr>
          <w:sz w:val="16"/>
          <w:szCs w:val="16"/>
        </w:rPr>
        <w:t>sw</w:t>
      </w:r>
      <w:r w:rsidRPr="00D71BDD">
        <w:rPr>
          <w:sz w:val="16"/>
          <w:szCs w:val="16"/>
        </w:rPr>
        <w:t xml:space="preserve"> geen </w:t>
      </w:r>
      <w:r>
        <w:rPr>
          <w:sz w:val="16"/>
          <w:szCs w:val="16"/>
        </w:rPr>
        <w:t xml:space="preserve">sectoraal </w:t>
      </w:r>
      <w:r w:rsidRPr="00D71BDD">
        <w:rPr>
          <w:sz w:val="16"/>
          <w:szCs w:val="16"/>
        </w:rPr>
        <w:t>plafond v</w:t>
      </w:r>
      <w:r>
        <w:rPr>
          <w:sz w:val="16"/>
          <w:szCs w:val="16"/>
        </w:rPr>
        <w:t>ermeld. Het hier vermelde plafond i</w:t>
      </w:r>
      <w:r w:rsidRPr="00D71BDD">
        <w:rPr>
          <w:sz w:val="16"/>
          <w:szCs w:val="16"/>
        </w:rPr>
        <w:t xml:space="preserve">s afgeleid van </w:t>
      </w:r>
      <w:r>
        <w:rPr>
          <w:sz w:val="16"/>
          <w:szCs w:val="16"/>
        </w:rPr>
        <w:t xml:space="preserve">het </w:t>
      </w:r>
      <w:r w:rsidRPr="00D71BDD">
        <w:rPr>
          <w:sz w:val="16"/>
          <w:szCs w:val="16"/>
        </w:rPr>
        <w:t xml:space="preserve">nationale </w:t>
      </w:r>
      <w:r>
        <w:rPr>
          <w:sz w:val="16"/>
          <w:szCs w:val="16"/>
        </w:rPr>
        <w:t>plafond en de plafonds voor melkvee, varkens en pluimvee.</w:t>
      </w:r>
    </w:p>
    <w:p w:rsidR="006E0305" w:rsidP="006E0305" w:rsidRDefault="006E0305" w14:paraId="3344FF2B" w14:textId="77777777">
      <w:pPr>
        <w:rPr>
          <w:szCs w:val="18"/>
        </w:rPr>
      </w:pPr>
    </w:p>
    <w:p w:rsidR="006E0305" w:rsidP="006E0305" w:rsidRDefault="006E0305" w14:paraId="78FDF5F3" w14:textId="426F647D">
      <w:r>
        <w:t>Uit tabel 1 blijkt dat het CBS verwacht dat in 2024 de fosfaatexcretie (- 1,8%) en stikstofexcretie (- 5,7%) van de Nederlandse veestapel onder het nu geldende nationale plafond uitkomt. In 2025 zal het nationaal plafond, conform de bepalingen in de derogatiebeschikking 2022-2025</w:t>
      </w:r>
      <w:r>
        <w:rPr>
          <w:rStyle w:val="Voetnootmarkering"/>
        </w:rPr>
        <w:footnoteReference w:id="3"/>
      </w:r>
      <w:r>
        <w:t>, verlaagd worden tot 135,0</w:t>
      </w:r>
      <w:r w:rsidR="00154222">
        <w:t> </w:t>
      </w:r>
      <w:r>
        <w:t>mln kg fosfaat respectievelijk 440,0 mln kg stikstof. Als de voor 2024 verwachte excreties hiertegen worden afgezet, zal in 2025 - bij verder ongewijzigde omstandigheden - het nationaal plafond worden overschreden met respectievelijk 9,6% voor fosfaat en 4,9% voor stikstof.</w:t>
      </w:r>
    </w:p>
    <w:p w:rsidR="006E0305" w:rsidP="006E0305" w:rsidRDefault="006E0305" w14:paraId="41D1699B" w14:textId="77777777"/>
    <w:p w:rsidR="006E0305" w:rsidP="006E0305" w:rsidRDefault="006E0305" w14:paraId="19CD42BE" w14:textId="77777777">
      <w:r w:rsidRPr="00F1401C">
        <w:t xml:space="preserve">Als gekeken wordt naar de afzonderlijke sectoren dan blijkt dat het CBS op dit moment verwacht dat in 2024 het fosfaatplafond voor melkvee overschreden zal worden </w:t>
      </w:r>
      <w:r>
        <w:t>met 3,8%</w:t>
      </w:r>
      <w:r w:rsidRPr="00F1401C">
        <w:t xml:space="preserve">. </w:t>
      </w:r>
      <w:r>
        <w:t>De andere sectorale productieplafonds zullen naar verwachting niet overschreden worden.</w:t>
      </w:r>
    </w:p>
    <w:p w:rsidR="006E0305" w:rsidP="006E0305" w:rsidRDefault="006E0305" w14:paraId="728627EC" w14:textId="77777777"/>
    <w:p w:rsidR="006E0305" w:rsidP="006E0305" w:rsidRDefault="006E0305" w14:paraId="1FB66BB8" w14:textId="77777777">
      <w:r>
        <w:t>Met de melkveesector is in het kader van de stikstofproblematiek afgesproken om op sectorniveau te streven het ruweiwitgehalte in het melkveevoerrantsoen te verlagen en deze in 2025 niet hoger te laten zijn dan 160 gr RE/kg droge stof</w:t>
      </w:r>
      <w:r>
        <w:rPr>
          <w:rStyle w:val="Voetnootmarkering"/>
        </w:rPr>
        <w:footnoteReference w:id="4"/>
      </w:r>
      <w:r>
        <w:t>. Om de voortgang hierop te monitoren is de monitor van het CBS uitgebreid met een prognose van het ruweiwitgehalte in het melkveevoerrantsoen. Deze prognose is in tabel 2 weergegeven.</w:t>
      </w:r>
    </w:p>
    <w:p w:rsidR="006E0305" w:rsidP="006E0305" w:rsidRDefault="006E0305" w14:paraId="344F235F" w14:textId="77777777"/>
    <w:p w:rsidR="006E0305" w:rsidP="006E0305" w:rsidRDefault="006E0305" w14:paraId="5B0CCFD2" w14:textId="77777777">
      <w:pPr>
        <w:ind w:left="709" w:hanging="709"/>
        <w:rPr>
          <w:sz w:val="16"/>
          <w:szCs w:val="16"/>
        </w:rPr>
      </w:pPr>
      <w:r>
        <w:rPr>
          <w:i/>
          <w:iCs/>
          <w:sz w:val="16"/>
          <w:szCs w:val="16"/>
        </w:rPr>
        <w:t>Tabel 2:</w:t>
      </w:r>
      <w:r>
        <w:rPr>
          <w:i/>
          <w:iCs/>
          <w:sz w:val="16"/>
          <w:szCs w:val="16"/>
        </w:rPr>
        <w:tab/>
        <w:t>RE-gehalte in het melkveevoerrantsoen in 2022, 2023 en het verwachte RE-gehalte in 2024 (in g/kg droge stof)</w:t>
      </w:r>
    </w:p>
    <w:p w:rsidR="006E0305" w:rsidP="006E0305" w:rsidRDefault="006E0305" w14:paraId="158DA31A" w14:textId="77777777">
      <w:pPr>
        <w:ind w:left="709" w:hanging="709"/>
        <w:rPr>
          <w:sz w:val="16"/>
          <w:szCs w:val="16"/>
        </w:rPr>
      </w:pPr>
    </w:p>
    <w:tbl>
      <w:tblPr>
        <w:tblStyle w:val="Tabelraster"/>
        <w:tblW w:w="5508" w:type="dxa"/>
        <w:tblInd w:w="817" w:type="dxa"/>
        <w:tblLook w:val="04A0" w:firstRow="1" w:lastRow="0" w:firstColumn="1" w:lastColumn="0" w:noHBand="0" w:noVBand="1"/>
      </w:tblPr>
      <w:tblGrid>
        <w:gridCol w:w="2439"/>
        <w:gridCol w:w="695"/>
        <w:gridCol w:w="747"/>
        <w:gridCol w:w="813"/>
        <w:gridCol w:w="814"/>
      </w:tblGrid>
      <w:tr w:rsidR="006E0305" w:rsidTr="00D54ED2" w14:paraId="0CAD6675" w14:textId="77777777">
        <w:tc>
          <w:tcPr>
            <w:tcW w:w="2439" w:type="dxa"/>
            <w:tcBorders>
              <w:top w:val="single" w:color="auto" w:sz="4" w:space="0"/>
              <w:left w:val="single" w:color="auto" w:sz="4" w:space="0"/>
              <w:bottom w:val="single" w:color="auto" w:sz="4" w:space="0"/>
              <w:right w:val="single" w:color="auto" w:sz="4" w:space="0"/>
            </w:tcBorders>
          </w:tcPr>
          <w:p w:rsidRPr="00A5726D" w:rsidR="006E0305" w:rsidP="00D54ED2" w:rsidRDefault="006E0305" w14:paraId="75B6E0ED" w14:textId="77777777">
            <w:pPr>
              <w:rPr>
                <w:sz w:val="16"/>
                <w:szCs w:val="16"/>
                <w:lang w:eastAsia="en-US"/>
              </w:rPr>
            </w:pPr>
          </w:p>
        </w:tc>
        <w:tc>
          <w:tcPr>
            <w:tcW w:w="695" w:type="dxa"/>
            <w:tcBorders>
              <w:top w:val="single" w:color="auto" w:sz="4" w:space="0"/>
              <w:left w:val="single" w:color="auto" w:sz="4" w:space="0"/>
              <w:bottom w:val="single" w:color="auto" w:sz="4" w:space="0"/>
              <w:right w:val="single" w:color="auto" w:sz="4" w:space="0"/>
            </w:tcBorders>
            <w:vAlign w:val="bottom"/>
            <w:hideMark/>
          </w:tcPr>
          <w:p w:rsidR="006E0305" w:rsidP="00D54ED2" w:rsidRDefault="006E0305" w14:paraId="03DFE50E" w14:textId="77777777">
            <w:pPr>
              <w:jc w:val="center"/>
              <w:rPr>
                <w:sz w:val="16"/>
                <w:szCs w:val="16"/>
                <w:lang w:val="en-US" w:eastAsia="en-US"/>
              </w:rPr>
            </w:pPr>
            <w:r>
              <w:rPr>
                <w:sz w:val="16"/>
                <w:szCs w:val="16"/>
                <w:lang w:val="en-US" w:eastAsia="en-US"/>
              </w:rPr>
              <w:t>2022</w:t>
            </w:r>
          </w:p>
        </w:tc>
        <w:tc>
          <w:tcPr>
            <w:tcW w:w="747" w:type="dxa"/>
            <w:tcBorders>
              <w:top w:val="single" w:color="auto" w:sz="4" w:space="0"/>
              <w:left w:val="single" w:color="auto" w:sz="4" w:space="0"/>
              <w:bottom w:val="single" w:color="auto" w:sz="4" w:space="0"/>
              <w:right w:val="single" w:color="auto" w:sz="4" w:space="0"/>
            </w:tcBorders>
            <w:vAlign w:val="bottom"/>
          </w:tcPr>
          <w:p w:rsidR="006E0305" w:rsidP="00D54ED2" w:rsidRDefault="006E0305" w14:paraId="3F62EE6D" w14:textId="77777777">
            <w:pPr>
              <w:jc w:val="center"/>
              <w:rPr>
                <w:sz w:val="16"/>
                <w:szCs w:val="16"/>
                <w:lang w:val="en-US" w:eastAsia="en-US"/>
              </w:rPr>
            </w:pPr>
            <w:r>
              <w:rPr>
                <w:sz w:val="16"/>
                <w:szCs w:val="16"/>
                <w:lang w:val="en-US" w:eastAsia="en-US"/>
              </w:rPr>
              <w:t>2023</w:t>
            </w:r>
          </w:p>
        </w:tc>
        <w:tc>
          <w:tcPr>
            <w:tcW w:w="813" w:type="dxa"/>
            <w:tcBorders>
              <w:top w:val="single" w:color="auto" w:sz="4" w:space="0"/>
              <w:left w:val="single" w:color="auto" w:sz="4" w:space="0"/>
              <w:bottom w:val="single" w:color="auto" w:sz="4" w:space="0"/>
              <w:right w:val="single" w:color="auto" w:sz="4" w:space="0"/>
            </w:tcBorders>
            <w:hideMark/>
          </w:tcPr>
          <w:p w:rsidR="006E0305" w:rsidP="00D54ED2" w:rsidRDefault="006E0305" w14:paraId="5161A91C" w14:textId="77777777">
            <w:pPr>
              <w:jc w:val="center"/>
              <w:rPr>
                <w:sz w:val="16"/>
                <w:szCs w:val="16"/>
                <w:lang w:val="en-US" w:eastAsia="en-US"/>
              </w:rPr>
            </w:pPr>
            <w:r>
              <w:rPr>
                <w:sz w:val="16"/>
                <w:szCs w:val="16"/>
                <w:lang w:val="en-US" w:eastAsia="en-US"/>
              </w:rPr>
              <w:t>1</w:t>
            </w:r>
            <w:r>
              <w:rPr>
                <w:sz w:val="16"/>
                <w:szCs w:val="16"/>
                <w:vertAlign w:val="superscript"/>
                <w:lang w:val="en-US" w:eastAsia="en-US"/>
              </w:rPr>
              <w:t>e</w:t>
            </w:r>
            <w:r>
              <w:rPr>
                <w:sz w:val="16"/>
                <w:szCs w:val="16"/>
                <w:lang w:val="en-US" w:eastAsia="en-US"/>
              </w:rPr>
              <w:t xml:space="preserve"> kw. 2024</w:t>
            </w:r>
          </w:p>
        </w:tc>
        <w:tc>
          <w:tcPr>
            <w:tcW w:w="814" w:type="dxa"/>
            <w:tcBorders>
              <w:top w:val="single" w:color="auto" w:sz="4" w:space="0"/>
              <w:left w:val="single" w:color="auto" w:sz="4" w:space="0"/>
              <w:bottom w:val="single" w:color="auto" w:sz="4" w:space="0"/>
              <w:right w:val="single" w:color="auto" w:sz="4" w:space="0"/>
            </w:tcBorders>
            <w:hideMark/>
          </w:tcPr>
          <w:p w:rsidR="006E0305" w:rsidP="00D54ED2" w:rsidRDefault="006E0305" w14:paraId="2AA16506" w14:textId="77777777">
            <w:pPr>
              <w:jc w:val="center"/>
              <w:rPr>
                <w:sz w:val="16"/>
                <w:szCs w:val="16"/>
                <w:lang w:val="en-US" w:eastAsia="en-US"/>
              </w:rPr>
            </w:pPr>
            <w:r>
              <w:rPr>
                <w:sz w:val="16"/>
                <w:szCs w:val="16"/>
                <w:lang w:val="en-US" w:eastAsia="en-US"/>
              </w:rPr>
              <w:t>2</w:t>
            </w:r>
            <w:r>
              <w:rPr>
                <w:sz w:val="16"/>
                <w:szCs w:val="16"/>
                <w:vertAlign w:val="superscript"/>
                <w:lang w:val="en-US" w:eastAsia="en-US"/>
              </w:rPr>
              <w:t>e</w:t>
            </w:r>
            <w:r>
              <w:rPr>
                <w:sz w:val="16"/>
                <w:szCs w:val="16"/>
                <w:lang w:val="en-US" w:eastAsia="en-US"/>
              </w:rPr>
              <w:t xml:space="preserve"> kw. 2024</w:t>
            </w:r>
          </w:p>
        </w:tc>
      </w:tr>
      <w:tr w:rsidR="006E0305" w:rsidTr="00D54ED2" w14:paraId="61E8BFA8" w14:textId="77777777">
        <w:tc>
          <w:tcPr>
            <w:tcW w:w="2439" w:type="dxa"/>
            <w:tcBorders>
              <w:top w:val="single" w:color="auto" w:sz="4" w:space="0"/>
              <w:left w:val="single" w:color="auto" w:sz="4" w:space="0"/>
              <w:bottom w:val="single" w:color="auto" w:sz="4" w:space="0"/>
              <w:right w:val="single" w:color="auto" w:sz="4" w:space="0"/>
            </w:tcBorders>
            <w:hideMark/>
          </w:tcPr>
          <w:p w:rsidRPr="00A5726D" w:rsidR="006E0305" w:rsidP="00D54ED2" w:rsidRDefault="006E0305" w14:paraId="734050B8" w14:textId="77777777">
            <w:pPr>
              <w:rPr>
                <w:sz w:val="16"/>
                <w:szCs w:val="16"/>
                <w:lang w:eastAsia="en-US"/>
              </w:rPr>
            </w:pPr>
            <w:r w:rsidRPr="00A5726D">
              <w:rPr>
                <w:sz w:val="16"/>
                <w:szCs w:val="16"/>
                <w:lang w:eastAsia="en-US"/>
              </w:rPr>
              <w:t>Melkveevoerrantsoen</w:t>
            </w:r>
          </w:p>
          <w:p w:rsidRPr="00A5726D" w:rsidR="006E0305" w:rsidP="00D54ED2" w:rsidRDefault="006E0305" w14:paraId="0565A838" w14:textId="77777777">
            <w:pPr>
              <w:rPr>
                <w:i/>
                <w:iCs/>
                <w:sz w:val="16"/>
                <w:szCs w:val="16"/>
                <w:lang w:eastAsia="en-US"/>
              </w:rPr>
            </w:pPr>
            <w:r w:rsidRPr="00A5726D">
              <w:rPr>
                <w:i/>
                <w:iCs/>
                <w:sz w:val="16"/>
                <w:szCs w:val="16"/>
                <w:lang w:eastAsia="en-US"/>
              </w:rPr>
              <w:t>(melk- en kalfkoeien en bijbehorend jongvee)</w:t>
            </w:r>
          </w:p>
        </w:tc>
        <w:tc>
          <w:tcPr>
            <w:tcW w:w="695" w:type="dxa"/>
            <w:tcBorders>
              <w:top w:val="single" w:color="auto" w:sz="4" w:space="0"/>
              <w:left w:val="single" w:color="auto" w:sz="4" w:space="0"/>
              <w:bottom w:val="single" w:color="auto" w:sz="4" w:space="0"/>
              <w:right w:val="single" w:color="auto" w:sz="4" w:space="0"/>
            </w:tcBorders>
            <w:vAlign w:val="center"/>
            <w:hideMark/>
          </w:tcPr>
          <w:p w:rsidR="006E0305" w:rsidP="00D54ED2" w:rsidRDefault="006E0305" w14:paraId="27F32C1C" w14:textId="77777777">
            <w:pPr>
              <w:jc w:val="center"/>
              <w:rPr>
                <w:sz w:val="16"/>
                <w:szCs w:val="16"/>
                <w:lang w:val="en-US" w:eastAsia="en-US"/>
              </w:rPr>
            </w:pPr>
            <w:r>
              <w:rPr>
                <w:sz w:val="16"/>
                <w:szCs w:val="16"/>
                <w:lang w:val="en-US" w:eastAsia="en-US"/>
              </w:rPr>
              <w:t>161</w:t>
            </w:r>
          </w:p>
        </w:tc>
        <w:tc>
          <w:tcPr>
            <w:tcW w:w="747" w:type="dxa"/>
            <w:tcBorders>
              <w:top w:val="single" w:color="auto" w:sz="4" w:space="0"/>
              <w:left w:val="single" w:color="auto" w:sz="4" w:space="0"/>
              <w:bottom w:val="single" w:color="auto" w:sz="4" w:space="0"/>
              <w:right w:val="single" w:color="auto" w:sz="4" w:space="0"/>
            </w:tcBorders>
            <w:vAlign w:val="center"/>
          </w:tcPr>
          <w:p w:rsidR="006E0305" w:rsidP="00D54ED2" w:rsidRDefault="006E0305" w14:paraId="36EFF7C1" w14:textId="77777777">
            <w:pPr>
              <w:jc w:val="center"/>
              <w:rPr>
                <w:sz w:val="16"/>
                <w:szCs w:val="16"/>
                <w:lang w:val="en-US" w:eastAsia="en-US"/>
              </w:rPr>
            </w:pPr>
            <w:r>
              <w:rPr>
                <w:sz w:val="16"/>
                <w:szCs w:val="16"/>
                <w:lang w:val="en-US" w:eastAsia="en-US"/>
              </w:rPr>
              <w:t>163</w:t>
            </w:r>
          </w:p>
        </w:tc>
        <w:tc>
          <w:tcPr>
            <w:tcW w:w="813" w:type="dxa"/>
            <w:tcBorders>
              <w:top w:val="single" w:color="auto" w:sz="4" w:space="0"/>
              <w:left w:val="single" w:color="auto" w:sz="4" w:space="0"/>
              <w:bottom w:val="single" w:color="auto" w:sz="4" w:space="0"/>
              <w:right w:val="single" w:color="auto" w:sz="4" w:space="0"/>
            </w:tcBorders>
            <w:vAlign w:val="center"/>
            <w:hideMark/>
          </w:tcPr>
          <w:p w:rsidR="006E0305" w:rsidP="00D54ED2" w:rsidRDefault="006E0305" w14:paraId="2F0068D4" w14:textId="77777777">
            <w:pPr>
              <w:jc w:val="center"/>
              <w:rPr>
                <w:sz w:val="16"/>
                <w:szCs w:val="16"/>
                <w:vertAlign w:val="superscript"/>
                <w:lang w:val="en-US" w:eastAsia="en-US"/>
              </w:rPr>
            </w:pPr>
            <w:r>
              <w:rPr>
                <w:sz w:val="16"/>
                <w:szCs w:val="16"/>
                <w:lang w:val="en-US" w:eastAsia="en-US"/>
              </w:rPr>
              <w:t xml:space="preserve">- </w:t>
            </w:r>
            <w:r>
              <w:rPr>
                <w:sz w:val="16"/>
                <w:szCs w:val="16"/>
                <w:vertAlign w:val="superscript"/>
                <w:lang w:val="en-US" w:eastAsia="en-US"/>
              </w:rPr>
              <w:t>1</w:t>
            </w:r>
          </w:p>
        </w:tc>
        <w:tc>
          <w:tcPr>
            <w:tcW w:w="814" w:type="dxa"/>
            <w:tcBorders>
              <w:top w:val="single" w:color="auto" w:sz="4" w:space="0"/>
              <w:left w:val="single" w:color="auto" w:sz="4" w:space="0"/>
              <w:bottom w:val="single" w:color="auto" w:sz="4" w:space="0"/>
              <w:right w:val="single" w:color="auto" w:sz="4" w:space="0"/>
            </w:tcBorders>
            <w:vAlign w:val="center"/>
            <w:hideMark/>
          </w:tcPr>
          <w:p w:rsidR="006E0305" w:rsidP="00D54ED2" w:rsidRDefault="006E0305" w14:paraId="3DC24BF5" w14:textId="77777777">
            <w:pPr>
              <w:jc w:val="center"/>
              <w:rPr>
                <w:sz w:val="16"/>
                <w:szCs w:val="16"/>
                <w:lang w:val="en-US" w:eastAsia="en-US"/>
              </w:rPr>
            </w:pPr>
            <w:r>
              <w:rPr>
                <w:sz w:val="16"/>
                <w:szCs w:val="16"/>
                <w:lang w:val="en-US" w:eastAsia="en-US"/>
              </w:rPr>
              <w:t>164</w:t>
            </w:r>
          </w:p>
        </w:tc>
      </w:tr>
    </w:tbl>
    <w:p w:rsidR="006E0305" w:rsidP="006E0305" w:rsidRDefault="006E0305" w14:paraId="390D7F13" w14:textId="77777777">
      <w:pPr>
        <w:ind w:left="709" w:hanging="709"/>
        <w:rPr>
          <w:sz w:val="16"/>
          <w:szCs w:val="16"/>
        </w:rPr>
      </w:pPr>
    </w:p>
    <w:p w:rsidR="006E0305" w:rsidP="006E0305" w:rsidRDefault="006E0305" w14:paraId="55D0DD15" w14:textId="77777777">
      <w:pPr>
        <w:rPr>
          <w:sz w:val="16"/>
          <w:szCs w:val="16"/>
        </w:rPr>
      </w:pPr>
      <w:r>
        <w:rPr>
          <w:sz w:val="16"/>
          <w:szCs w:val="16"/>
          <w:vertAlign w:val="superscript"/>
        </w:rPr>
        <w:t>1</w:t>
      </w:r>
      <w:r>
        <w:rPr>
          <w:sz w:val="16"/>
          <w:szCs w:val="16"/>
        </w:rPr>
        <w:t>) Er waren onvoldoende gegevens beschikbaar om een indicatie te kunnen geven</w:t>
      </w:r>
    </w:p>
    <w:p w:rsidR="006E0305" w:rsidP="006E0305" w:rsidRDefault="006E0305" w14:paraId="48BE5F05" w14:textId="77777777"/>
    <w:p w:rsidR="00584BAC" w:rsidP="00810C93" w:rsidRDefault="00F5650C" w14:paraId="16C2185F" w14:textId="77777777">
      <w:r>
        <w:t>Hoogachtend,</w:t>
      </w:r>
    </w:p>
    <w:p w:rsidRPr="00EC58D9" w:rsidR="00F71F9E" w:rsidP="007255FC" w:rsidRDefault="00F71F9E" w14:paraId="2F2DB002" w14:textId="77777777"/>
    <w:p w:rsidRPr="00EC58D9" w:rsidR="007239A1" w:rsidP="007255FC" w:rsidRDefault="007239A1" w14:paraId="06C5F8BF" w14:textId="77777777"/>
    <w:p w:rsidR="007239A1" w:rsidP="007255FC" w:rsidRDefault="007239A1" w14:paraId="73E47DD1" w14:textId="77777777"/>
    <w:p w:rsidRPr="00EC58D9" w:rsidR="00C75ED6" w:rsidP="007255FC" w:rsidRDefault="00C75ED6" w14:paraId="2FA861F7" w14:textId="77777777"/>
    <w:p w:rsidRPr="006A15A5" w:rsidR="007239A1" w:rsidP="007255FC" w:rsidRDefault="00F5650C" w14:paraId="1FBBB13D" w14:textId="77777777">
      <w:pPr>
        <w:rPr>
          <w:szCs w:val="18"/>
        </w:rPr>
      </w:pPr>
      <w:r w:rsidRPr="00B11DD6">
        <w:t>Femke Marije Wiersma</w:t>
      </w:r>
    </w:p>
    <w:p w:rsidRPr="00006C01" w:rsidR="00481085" w:rsidP="00524FB4" w:rsidRDefault="00F5650C" w14:paraId="3FB51D16" w14:textId="38E49528">
      <w:r w:rsidRPr="00EC58D9">
        <w:t xml:space="preserve">Minister van </w:t>
      </w:r>
      <w:r w:rsidR="00704E60">
        <w:rPr>
          <w:rFonts w:cs="Calibri"/>
          <w:szCs w:val="18"/>
        </w:rPr>
        <w:t>Landbouw, Visserij, Voedselzekerheid en Natuur</w:t>
      </w:r>
    </w:p>
    <w:sectPr w:rsidRPr="00006C01" w:rsidR="00481085"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CCADC" w14:textId="77777777" w:rsidR="003B19F5" w:rsidRDefault="003B19F5">
      <w:r>
        <w:separator/>
      </w:r>
    </w:p>
    <w:p w14:paraId="1DCF4C7D" w14:textId="77777777" w:rsidR="003B19F5" w:rsidRDefault="003B19F5"/>
  </w:endnote>
  <w:endnote w:type="continuationSeparator" w:id="0">
    <w:p w14:paraId="4AFF87C5" w14:textId="77777777" w:rsidR="003B19F5" w:rsidRDefault="003B19F5">
      <w:r>
        <w:continuationSeparator/>
      </w:r>
    </w:p>
    <w:p w14:paraId="48086336" w14:textId="77777777" w:rsidR="003B19F5" w:rsidRDefault="003B19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859A8" w14:textId="77777777" w:rsidR="006259D9" w:rsidRDefault="006259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4A14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652D3" w14:paraId="5E5F69D4" w14:textId="77777777" w:rsidTr="00CA6A25">
      <w:trPr>
        <w:trHeight w:hRule="exact" w:val="240"/>
      </w:trPr>
      <w:tc>
        <w:tcPr>
          <w:tcW w:w="7601" w:type="dxa"/>
          <w:shd w:val="clear" w:color="auto" w:fill="auto"/>
        </w:tcPr>
        <w:p w14:paraId="720C919C" w14:textId="77777777" w:rsidR="00527BD4" w:rsidRDefault="00527BD4" w:rsidP="003F1F6B">
          <w:pPr>
            <w:pStyle w:val="Huisstijl-Rubricering"/>
          </w:pPr>
        </w:p>
      </w:tc>
      <w:tc>
        <w:tcPr>
          <w:tcW w:w="2156" w:type="dxa"/>
        </w:tcPr>
        <w:p w14:paraId="673B05EE" w14:textId="5FF7B0D5" w:rsidR="00527BD4" w:rsidRPr="00645414" w:rsidRDefault="00F5650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2013D3">
              <w:t>2</w:t>
            </w:r>
          </w:fldSimple>
        </w:p>
      </w:tc>
    </w:tr>
  </w:tbl>
  <w:p w14:paraId="0D6BD936"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652D3" w14:paraId="3912CEF9" w14:textId="77777777" w:rsidTr="00CA6A25">
      <w:trPr>
        <w:trHeight w:hRule="exact" w:val="240"/>
      </w:trPr>
      <w:tc>
        <w:tcPr>
          <w:tcW w:w="7601" w:type="dxa"/>
          <w:shd w:val="clear" w:color="auto" w:fill="auto"/>
        </w:tcPr>
        <w:p w14:paraId="55498528" w14:textId="77777777" w:rsidR="00527BD4" w:rsidRDefault="00527BD4" w:rsidP="008C356D">
          <w:pPr>
            <w:pStyle w:val="Huisstijl-Rubricering"/>
          </w:pPr>
        </w:p>
      </w:tc>
      <w:tc>
        <w:tcPr>
          <w:tcW w:w="2170" w:type="dxa"/>
        </w:tcPr>
        <w:p w14:paraId="00863E5B" w14:textId="379646E7" w:rsidR="00527BD4" w:rsidRPr="00ED539E" w:rsidRDefault="00F5650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3B19F5">
              <w:t>1</w:t>
            </w:r>
          </w:fldSimple>
        </w:p>
      </w:tc>
    </w:tr>
  </w:tbl>
  <w:p w14:paraId="219AFCDA" w14:textId="77777777" w:rsidR="00527BD4" w:rsidRPr="00BC3B53" w:rsidRDefault="00527BD4" w:rsidP="008C356D">
    <w:pPr>
      <w:pStyle w:val="Voettekst"/>
      <w:spacing w:line="240" w:lineRule="auto"/>
      <w:rPr>
        <w:sz w:val="2"/>
        <w:szCs w:val="2"/>
      </w:rPr>
    </w:pPr>
  </w:p>
  <w:p w14:paraId="51E306B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4B975" w14:textId="77777777" w:rsidR="003B19F5" w:rsidRDefault="003B19F5">
      <w:r>
        <w:separator/>
      </w:r>
    </w:p>
    <w:p w14:paraId="7A1B8A61" w14:textId="77777777" w:rsidR="003B19F5" w:rsidRDefault="003B19F5"/>
  </w:footnote>
  <w:footnote w:type="continuationSeparator" w:id="0">
    <w:p w14:paraId="314CC9F6" w14:textId="77777777" w:rsidR="003B19F5" w:rsidRDefault="003B19F5">
      <w:r>
        <w:continuationSeparator/>
      </w:r>
    </w:p>
    <w:p w14:paraId="69EC9D1C" w14:textId="77777777" w:rsidR="003B19F5" w:rsidRDefault="003B19F5"/>
  </w:footnote>
  <w:footnote w:id="1">
    <w:p w14:paraId="010E8C30" w14:textId="77777777" w:rsidR="006E0305" w:rsidRDefault="006E0305" w:rsidP="006E0305">
      <w:pPr>
        <w:pStyle w:val="Voetnoottekst"/>
      </w:pPr>
      <w:r>
        <w:rPr>
          <w:rStyle w:val="Voetnootmarkering"/>
        </w:rPr>
        <w:footnoteRef/>
      </w:r>
      <w:r>
        <w:t xml:space="preserve"> </w:t>
      </w:r>
      <w:r>
        <w:rPr>
          <w:szCs w:val="13"/>
        </w:rPr>
        <w:t>https://www.cbs.nl/nl-nl/longread/aanvullende-statistische-diensten/2024/monitor-fosfaat-en-stikstofexcretie-in-dierlijke-mest-tweede-kwartaal-2024</w:t>
      </w:r>
    </w:p>
  </w:footnote>
  <w:footnote w:id="2">
    <w:p w14:paraId="44C7F269" w14:textId="07735B5E" w:rsidR="009C00D8" w:rsidRDefault="009C00D8">
      <w:pPr>
        <w:pStyle w:val="Voetnoottekst"/>
      </w:pPr>
      <w:r>
        <w:rPr>
          <w:rStyle w:val="Voetnootmarkering"/>
        </w:rPr>
        <w:footnoteRef/>
      </w:r>
      <w:r>
        <w:t xml:space="preserve"> </w:t>
      </w:r>
      <w:r>
        <w:rPr>
          <w:szCs w:val="13"/>
        </w:rPr>
        <w:t>https://www.cbs.nl/nl-nl/longread/aanvullende-statistische-diensten/2024/monitor-fosfaat-en-stikstofexcretie-in-dierlijke-mest-tweede-kwartaal-2024</w:t>
      </w:r>
    </w:p>
  </w:footnote>
  <w:footnote w:id="3">
    <w:p w14:paraId="2624B2FA" w14:textId="7D1A8633" w:rsidR="006E0305" w:rsidRDefault="006E0305" w:rsidP="006E0305">
      <w:pPr>
        <w:pStyle w:val="Voetnoottekst"/>
      </w:pPr>
      <w:r>
        <w:rPr>
          <w:rStyle w:val="Voetnootmarkering"/>
        </w:rPr>
        <w:footnoteRef/>
      </w:r>
      <w:r>
        <w:t xml:space="preserve"> Kamerstuk</w:t>
      </w:r>
      <w:r w:rsidR="00C75ED6">
        <w:t xml:space="preserve"> </w:t>
      </w:r>
      <w:r>
        <w:t>33 037, nr. 480</w:t>
      </w:r>
    </w:p>
  </w:footnote>
  <w:footnote w:id="4">
    <w:p w14:paraId="68F2FABC" w14:textId="109D6CD4" w:rsidR="006E0305" w:rsidRDefault="006E0305" w:rsidP="006E0305">
      <w:pPr>
        <w:pStyle w:val="Voetnoottekst"/>
      </w:pPr>
      <w:r w:rsidRPr="00511DC0">
        <w:rPr>
          <w:rStyle w:val="Voetnootmarkering"/>
        </w:rPr>
        <w:footnoteRef/>
      </w:r>
      <w:r w:rsidRPr="00511DC0">
        <w:t xml:space="preserve"> Kamerstuk 35 334</w:t>
      </w:r>
      <w:r>
        <w:t xml:space="preserve">, </w:t>
      </w:r>
      <w:r w:rsidRPr="00511DC0">
        <w:t>nr. 159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9E1F3" w14:textId="77777777" w:rsidR="006259D9" w:rsidRDefault="006259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652D3" w14:paraId="09ED1F39" w14:textId="77777777" w:rsidTr="00A50CF6">
      <w:tc>
        <w:tcPr>
          <w:tcW w:w="2156" w:type="dxa"/>
          <w:shd w:val="clear" w:color="auto" w:fill="auto"/>
        </w:tcPr>
        <w:p w14:paraId="47510301" w14:textId="77777777" w:rsidR="00527BD4" w:rsidRPr="005819CE" w:rsidRDefault="00F5650C" w:rsidP="00A50CF6">
          <w:pPr>
            <w:pStyle w:val="Huisstijl-Adres"/>
            <w:rPr>
              <w:b/>
            </w:rPr>
          </w:pPr>
          <w:r>
            <w:rPr>
              <w:b/>
            </w:rPr>
            <w:t>Directoraat-generaal Agro</w:t>
          </w:r>
          <w:r w:rsidRPr="005819CE">
            <w:rPr>
              <w:b/>
            </w:rPr>
            <w:br/>
          </w:r>
          <w:r>
            <w:t>Directie Plantaardige Agroketens en Voedselkwaliteit</w:t>
          </w:r>
        </w:p>
      </w:tc>
    </w:tr>
    <w:tr w:rsidR="00E652D3" w14:paraId="16576B01" w14:textId="77777777" w:rsidTr="00A50CF6">
      <w:trPr>
        <w:trHeight w:hRule="exact" w:val="200"/>
      </w:trPr>
      <w:tc>
        <w:tcPr>
          <w:tcW w:w="2156" w:type="dxa"/>
          <w:shd w:val="clear" w:color="auto" w:fill="auto"/>
        </w:tcPr>
        <w:p w14:paraId="68D389B9" w14:textId="77777777" w:rsidR="00527BD4" w:rsidRPr="005819CE" w:rsidRDefault="00527BD4" w:rsidP="00A50CF6"/>
      </w:tc>
    </w:tr>
    <w:tr w:rsidR="00E652D3" w14:paraId="66FA9722" w14:textId="77777777" w:rsidTr="00502512">
      <w:trPr>
        <w:trHeight w:hRule="exact" w:val="774"/>
      </w:trPr>
      <w:tc>
        <w:tcPr>
          <w:tcW w:w="2156" w:type="dxa"/>
          <w:shd w:val="clear" w:color="auto" w:fill="auto"/>
        </w:tcPr>
        <w:p w14:paraId="32B0D550" w14:textId="77777777" w:rsidR="00527BD4" w:rsidRDefault="00F5650C" w:rsidP="003A5290">
          <w:pPr>
            <w:pStyle w:val="Huisstijl-Kopje"/>
          </w:pPr>
          <w:r>
            <w:t>Ons kenmerk</w:t>
          </w:r>
        </w:p>
        <w:p w14:paraId="44F430A2" w14:textId="77777777" w:rsidR="00527BD4" w:rsidRPr="005819CE" w:rsidRDefault="00F5650C" w:rsidP="001E6117">
          <w:pPr>
            <w:pStyle w:val="Huisstijl-Kopje"/>
          </w:pPr>
          <w:r>
            <w:rPr>
              <w:b w:val="0"/>
            </w:rPr>
            <w:t>DGA-PAV</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documentId</w:t>
              </w:r>
              <w:r w:rsidR="00F90A14">
                <w:rPr>
                  <w:b w:val="0"/>
                </w:rPr>
                <w:fldChar w:fldCharType="end"/>
              </w:r>
            </w:sdtContent>
          </w:sdt>
        </w:p>
      </w:tc>
    </w:tr>
  </w:tbl>
  <w:p w14:paraId="3684DCDA" w14:textId="77777777" w:rsidR="00527BD4" w:rsidRDefault="00527BD4" w:rsidP="008C356D"/>
  <w:p w14:paraId="22196772" w14:textId="77777777" w:rsidR="00527BD4" w:rsidRPr="00740712" w:rsidRDefault="00527BD4" w:rsidP="008C356D"/>
  <w:p w14:paraId="43A2487F" w14:textId="77777777" w:rsidR="00527BD4" w:rsidRPr="00217880" w:rsidRDefault="00527BD4" w:rsidP="008C356D">
    <w:pPr>
      <w:spacing w:line="0" w:lineRule="atLeast"/>
      <w:rPr>
        <w:sz w:val="2"/>
        <w:szCs w:val="2"/>
      </w:rPr>
    </w:pPr>
  </w:p>
  <w:p w14:paraId="43C3FFEF" w14:textId="77777777" w:rsidR="00527BD4" w:rsidRDefault="00527BD4" w:rsidP="004F44C2">
    <w:pPr>
      <w:pStyle w:val="Koptekst"/>
      <w:rPr>
        <w:rFonts w:cs="Verdana-Bold"/>
        <w:b/>
        <w:bCs/>
        <w:smallCaps/>
        <w:szCs w:val="18"/>
      </w:rPr>
    </w:pPr>
  </w:p>
  <w:p w14:paraId="513E5ED2" w14:textId="77777777" w:rsidR="00527BD4" w:rsidRDefault="00527BD4" w:rsidP="004F44C2"/>
  <w:p w14:paraId="60C886D0" w14:textId="77777777" w:rsidR="00527BD4" w:rsidRPr="00740712" w:rsidRDefault="00527BD4" w:rsidP="004F44C2"/>
  <w:p w14:paraId="07E8C251"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652D3" w14:paraId="4311D565" w14:textId="77777777" w:rsidTr="00751A6A">
      <w:trPr>
        <w:trHeight w:val="2636"/>
      </w:trPr>
      <w:tc>
        <w:tcPr>
          <w:tcW w:w="737" w:type="dxa"/>
          <w:shd w:val="clear" w:color="auto" w:fill="auto"/>
        </w:tcPr>
        <w:p w14:paraId="1AD2E5A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7C170D1" w14:textId="77777777" w:rsidR="00527BD4" w:rsidRDefault="00F5650C"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04335CCC" wp14:editId="417BBD20">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1E346ADF" w14:textId="77777777" w:rsidR="00527BD4" w:rsidRDefault="00527BD4" w:rsidP="00D0609E">
    <w:pPr>
      <w:framePr w:w="6340" w:h="2750" w:hRule="exact" w:hSpace="180" w:wrap="around" w:vAnchor="page" w:hAnchor="text" w:x="3873" w:y="-140"/>
    </w:pPr>
  </w:p>
  <w:p w14:paraId="5BF4A50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652D3" w:rsidRPr="009C00D8" w14:paraId="66E4ECB4" w14:textId="77777777" w:rsidTr="00A50CF6">
      <w:tc>
        <w:tcPr>
          <w:tcW w:w="2160" w:type="dxa"/>
          <w:shd w:val="clear" w:color="auto" w:fill="auto"/>
        </w:tcPr>
        <w:p w14:paraId="536D0531" w14:textId="77777777" w:rsidR="00527BD4" w:rsidRPr="005819CE" w:rsidRDefault="00F5650C" w:rsidP="00A50CF6">
          <w:pPr>
            <w:pStyle w:val="Huisstijl-Adres"/>
            <w:rPr>
              <w:b/>
            </w:rPr>
          </w:pPr>
          <w:r>
            <w:rPr>
              <w:b/>
            </w:rPr>
            <w:t>Directoraat-generaal Agro</w:t>
          </w:r>
          <w:r w:rsidRPr="005819CE">
            <w:rPr>
              <w:b/>
            </w:rPr>
            <w:br/>
          </w:r>
          <w:r>
            <w:t>Directie Plantaardige Agroketens en Voedselkwaliteit</w:t>
          </w:r>
        </w:p>
        <w:p w14:paraId="186D135A" w14:textId="77777777" w:rsidR="00527BD4" w:rsidRPr="00BE5ED9" w:rsidRDefault="00F5650C" w:rsidP="00A50CF6">
          <w:pPr>
            <w:pStyle w:val="Huisstijl-Adres"/>
          </w:pPr>
          <w:r>
            <w:rPr>
              <w:b/>
            </w:rPr>
            <w:t>Bezoekadres</w:t>
          </w:r>
          <w:r>
            <w:rPr>
              <w:b/>
            </w:rPr>
            <w:br/>
          </w:r>
          <w:r>
            <w:t>Bezuidenhoutseweg 73</w:t>
          </w:r>
          <w:r w:rsidRPr="005819CE">
            <w:br/>
          </w:r>
          <w:r>
            <w:t>2594 AC Den Haag</w:t>
          </w:r>
        </w:p>
        <w:p w14:paraId="2B8C2269" w14:textId="77777777" w:rsidR="00EF495B" w:rsidRDefault="00F5650C" w:rsidP="0098788A">
          <w:pPr>
            <w:pStyle w:val="Huisstijl-Adres"/>
          </w:pPr>
          <w:r>
            <w:rPr>
              <w:b/>
            </w:rPr>
            <w:t>Postadres</w:t>
          </w:r>
          <w:r>
            <w:rPr>
              <w:b/>
            </w:rPr>
            <w:br/>
          </w:r>
          <w:r>
            <w:t>Postbus 20401</w:t>
          </w:r>
          <w:r w:rsidRPr="005819CE">
            <w:br/>
            <w:t>2500 E</w:t>
          </w:r>
          <w:r>
            <w:t>K</w:t>
          </w:r>
          <w:r w:rsidRPr="005819CE">
            <w:t xml:space="preserve"> Den Haag</w:t>
          </w:r>
        </w:p>
        <w:p w14:paraId="3A10F142" w14:textId="77777777" w:rsidR="00556BEE" w:rsidRPr="005B3814" w:rsidRDefault="00F5650C" w:rsidP="0098788A">
          <w:pPr>
            <w:pStyle w:val="Huisstijl-Adres"/>
          </w:pPr>
          <w:r>
            <w:rPr>
              <w:b/>
            </w:rPr>
            <w:t>Overheidsidentificatienr</w:t>
          </w:r>
          <w:r>
            <w:rPr>
              <w:b/>
            </w:rPr>
            <w:br/>
          </w:r>
          <w:r w:rsidR="00BA129E">
            <w:rPr>
              <w:rFonts w:cs="Agrofont"/>
              <w:iCs/>
            </w:rPr>
            <w:t>00000001858272854000</w:t>
          </w:r>
        </w:p>
        <w:p w14:paraId="08C41EF9" w14:textId="1B8F9729" w:rsidR="00527BD4" w:rsidRPr="00154222" w:rsidRDefault="00F5650C" w:rsidP="00154222">
          <w:pPr>
            <w:pStyle w:val="Huisstijl-Adres"/>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E652D3" w:rsidRPr="009C00D8" w14:paraId="44C3FA7B" w14:textId="77777777" w:rsidTr="00A50CF6">
      <w:trPr>
        <w:trHeight w:hRule="exact" w:val="200"/>
      </w:trPr>
      <w:tc>
        <w:tcPr>
          <w:tcW w:w="2160" w:type="dxa"/>
          <w:shd w:val="clear" w:color="auto" w:fill="auto"/>
        </w:tcPr>
        <w:p w14:paraId="7759A2B5" w14:textId="77777777" w:rsidR="00527BD4" w:rsidRPr="00154222" w:rsidRDefault="00527BD4" w:rsidP="00A50CF6"/>
      </w:tc>
    </w:tr>
    <w:tr w:rsidR="00E652D3" w14:paraId="333D8446" w14:textId="77777777" w:rsidTr="00A50CF6">
      <w:tc>
        <w:tcPr>
          <w:tcW w:w="2160" w:type="dxa"/>
          <w:shd w:val="clear" w:color="auto" w:fill="auto"/>
        </w:tcPr>
        <w:p w14:paraId="2D6D1CEC" w14:textId="77777777" w:rsidR="000C0163" w:rsidRPr="005819CE" w:rsidRDefault="00F5650C" w:rsidP="000C0163">
          <w:pPr>
            <w:pStyle w:val="Huisstijl-Kopje"/>
          </w:pPr>
          <w:r>
            <w:t>Ons kenmerk</w:t>
          </w:r>
          <w:r w:rsidRPr="005819CE">
            <w:t xml:space="preserve"> </w:t>
          </w:r>
        </w:p>
        <w:p w14:paraId="4DFB5436" w14:textId="77777777" w:rsidR="000C0163" w:rsidRPr="005819CE" w:rsidRDefault="00F5650C" w:rsidP="000C0163">
          <w:pPr>
            <w:pStyle w:val="Huisstijl-Gegeven"/>
          </w:pPr>
          <w:r>
            <w:t>DGA-PAV /</w:t>
          </w:r>
          <w:r w:rsidR="00486354">
            <w:t xml:space="preserve"> </w:t>
          </w:r>
          <w:r>
            <w:t>85910102</w:t>
          </w:r>
        </w:p>
        <w:p w14:paraId="24B44811" w14:textId="77777777" w:rsidR="00527BD4" w:rsidRPr="005819CE" w:rsidRDefault="00527BD4" w:rsidP="00154222">
          <w:pPr>
            <w:pStyle w:val="Huisstijl-Kopje"/>
          </w:pPr>
        </w:p>
      </w:tc>
    </w:tr>
  </w:tbl>
  <w:p w14:paraId="5A0851F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652D3" w14:paraId="7DDF6751" w14:textId="77777777" w:rsidTr="009E2051">
      <w:trPr>
        <w:trHeight w:val="400"/>
      </w:trPr>
      <w:tc>
        <w:tcPr>
          <w:tcW w:w="7520" w:type="dxa"/>
          <w:gridSpan w:val="2"/>
          <w:shd w:val="clear" w:color="auto" w:fill="auto"/>
        </w:tcPr>
        <w:p w14:paraId="0C3C3C3B" w14:textId="77777777" w:rsidR="00527BD4" w:rsidRPr="00BC3B53" w:rsidRDefault="00F5650C" w:rsidP="00A50CF6">
          <w:pPr>
            <w:pStyle w:val="Huisstijl-Retouradres"/>
          </w:pPr>
          <w:r>
            <w:t>&gt; Retouradres Postbus 20401 2500 EK Den Haag</w:t>
          </w:r>
        </w:p>
      </w:tc>
    </w:tr>
    <w:tr w:rsidR="00E652D3" w14:paraId="486D64F2" w14:textId="77777777" w:rsidTr="009E2051">
      <w:tc>
        <w:tcPr>
          <w:tcW w:w="7520" w:type="dxa"/>
          <w:gridSpan w:val="2"/>
          <w:shd w:val="clear" w:color="auto" w:fill="auto"/>
        </w:tcPr>
        <w:p w14:paraId="7E8B7DFE" w14:textId="77777777" w:rsidR="00527BD4" w:rsidRPr="00983E8F" w:rsidRDefault="00527BD4" w:rsidP="00A50CF6">
          <w:pPr>
            <w:pStyle w:val="Huisstijl-Rubricering"/>
          </w:pPr>
        </w:p>
      </w:tc>
    </w:tr>
    <w:tr w:rsidR="00E652D3" w14:paraId="640454F2" w14:textId="77777777" w:rsidTr="009E2051">
      <w:trPr>
        <w:trHeight w:hRule="exact" w:val="2440"/>
      </w:trPr>
      <w:tc>
        <w:tcPr>
          <w:tcW w:w="7520" w:type="dxa"/>
          <w:gridSpan w:val="2"/>
          <w:shd w:val="clear" w:color="auto" w:fill="auto"/>
        </w:tcPr>
        <w:p w14:paraId="27C67281" w14:textId="77777777" w:rsidR="00527BD4" w:rsidRDefault="00F5650C" w:rsidP="00A50CF6">
          <w:pPr>
            <w:pStyle w:val="Huisstijl-NAW"/>
          </w:pPr>
          <w:r>
            <w:t>De Voorzitter van de Tweede Kamer</w:t>
          </w:r>
        </w:p>
        <w:p w14:paraId="0323897F" w14:textId="77777777" w:rsidR="00E652D3" w:rsidRDefault="00F5650C">
          <w:pPr>
            <w:pStyle w:val="Huisstijl-NAW"/>
          </w:pPr>
          <w:r>
            <w:t>der Staten-Generaal</w:t>
          </w:r>
        </w:p>
        <w:p w14:paraId="055E7D52" w14:textId="77777777" w:rsidR="00E652D3" w:rsidRDefault="00F5650C">
          <w:pPr>
            <w:pStyle w:val="Huisstijl-NAW"/>
          </w:pPr>
          <w:r>
            <w:t>Prinses Irenestraat 6</w:t>
          </w:r>
        </w:p>
        <w:p w14:paraId="14FA5E67" w14:textId="77777777" w:rsidR="00E652D3" w:rsidRDefault="00F5650C">
          <w:pPr>
            <w:pStyle w:val="Huisstijl-NAW"/>
          </w:pPr>
          <w:r>
            <w:t xml:space="preserve">2595 BD  DEN HAAG </w:t>
          </w:r>
          <w:r w:rsidR="00486354">
            <w:t xml:space="preserve"> </w:t>
          </w:r>
        </w:p>
      </w:tc>
    </w:tr>
    <w:tr w:rsidR="00E652D3" w14:paraId="2F5E00C8" w14:textId="77777777" w:rsidTr="009E2051">
      <w:trPr>
        <w:trHeight w:hRule="exact" w:val="400"/>
      </w:trPr>
      <w:tc>
        <w:tcPr>
          <w:tcW w:w="7520" w:type="dxa"/>
          <w:gridSpan w:val="2"/>
          <w:shd w:val="clear" w:color="auto" w:fill="auto"/>
        </w:tcPr>
        <w:p w14:paraId="153BBA1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652D3" w14:paraId="49F2DB67" w14:textId="77777777" w:rsidTr="009E2051">
      <w:trPr>
        <w:trHeight w:val="240"/>
      </w:trPr>
      <w:tc>
        <w:tcPr>
          <w:tcW w:w="900" w:type="dxa"/>
          <w:shd w:val="clear" w:color="auto" w:fill="auto"/>
        </w:tcPr>
        <w:p w14:paraId="4450D3FE" w14:textId="77777777" w:rsidR="00527BD4" w:rsidRPr="007709EF" w:rsidRDefault="00F5650C" w:rsidP="00A50CF6">
          <w:pPr>
            <w:rPr>
              <w:szCs w:val="18"/>
            </w:rPr>
          </w:pPr>
          <w:r>
            <w:rPr>
              <w:szCs w:val="18"/>
            </w:rPr>
            <w:t>Datum</w:t>
          </w:r>
        </w:p>
      </w:tc>
      <w:tc>
        <w:tcPr>
          <w:tcW w:w="6620" w:type="dxa"/>
          <w:shd w:val="clear" w:color="auto" w:fill="auto"/>
        </w:tcPr>
        <w:p w14:paraId="6BE1A138" w14:textId="6CCD77EC" w:rsidR="00527BD4" w:rsidRPr="007709EF" w:rsidRDefault="006259D9" w:rsidP="00A50CF6">
          <w:r>
            <w:t>15 augustus 2024</w:t>
          </w:r>
        </w:p>
      </w:tc>
    </w:tr>
    <w:tr w:rsidR="00E652D3" w14:paraId="5E59BC99" w14:textId="77777777" w:rsidTr="009E2051">
      <w:trPr>
        <w:trHeight w:val="240"/>
      </w:trPr>
      <w:tc>
        <w:tcPr>
          <w:tcW w:w="900" w:type="dxa"/>
          <w:shd w:val="clear" w:color="auto" w:fill="auto"/>
        </w:tcPr>
        <w:p w14:paraId="04D7D437" w14:textId="77777777" w:rsidR="00527BD4" w:rsidRPr="007709EF" w:rsidRDefault="00F5650C" w:rsidP="00A50CF6">
          <w:pPr>
            <w:rPr>
              <w:szCs w:val="18"/>
            </w:rPr>
          </w:pPr>
          <w:r>
            <w:rPr>
              <w:szCs w:val="18"/>
            </w:rPr>
            <w:t>Betreft</w:t>
          </w:r>
        </w:p>
      </w:tc>
      <w:tc>
        <w:tcPr>
          <w:tcW w:w="6620" w:type="dxa"/>
          <w:shd w:val="clear" w:color="auto" w:fill="auto"/>
        </w:tcPr>
        <w:p w14:paraId="66F4F4A1" w14:textId="77777777" w:rsidR="00527BD4" w:rsidRPr="007709EF" w:rsidRDefault="00F5650C" w:rsidP="00A50CF6">
          <w:r>
            <w:t>Publicatie CBS Monitor fosfaat- en stikstofexcretie in dierlijke mest - tweede kwartaal 2024</w:t>
          </w:r>
        </w:p>
      </w:tc>
    </w:tr>
  </w:tbl>
  <w:p w14:paraId="33A519F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1022514">
      <w:start w:val="1"/>
      <w:numFmt w:val="bullet"/>
      <w:pStyle w:val="Lijstopsomteken"/>
      <w:lvlText w:val="•"/>
      <w:lvlJc w:val="left"/>
      <w:pPr>
        <w:tabs>
          <w:tab w:val="num" w:pos="227"/>
        </w:tabs>
        <w:ind w:left="227" w:hanging="227"/>
      </w:pPr>
      <w:rPr>
        <w:rFonts w:ascii="Verdana" w:hAnsi="Verdana" w:hint="default"/>
        <w:sz w:val="18"/>
        <w:szCs w:val="18"/>
      </w:rPr>
    </w:lvl>
    <w:lvl w:ilvl="1" w:tplc="F8D81E5A" w:tentative="1">
      <w:start w:val="1"/>
      <w:numFmt w:val="bullet"/>
      <w:lvlText w:val="o"/>
      <w:lvlJc w:val="left"/>
      <w:pPr>
        <w:tabs>
          <w:tab w:val="num" w:pos="1440"/>
        </w:tabs>
        <w:ind w:left="1440" w:hanging="360"/>
      </w:pPr>
      <w:rPr>
        <w:rFonts w:ascii="Courier New" w:hAnsi="Courier New" w:cs="Courier New" w:hint="default"/>
      </w:rPr>
    </w:lvl>
    <w:lvl w:ilvl="2" w:tplc="BCE88232" w:tentative="1">
      <w:start w:val="1"/>
      <w:numFmt w:val="bullet"/>
      <w:lvlText w:val=""/>
      <w:lvlJc w:val="left"/>
      <w:pPr>
        <w:tabs>
          <w:tab w:val="num" w:pos="2160"/>
        </w:tabs>
        <w:ind w:left="2160" w:hanging="360"/>
      </w:pPr>
      <w:rPr>
        <w:rFonts w:ascii="Wingdings" w:hAnsi="Wingdings" w:hint="default"/>
      </w:rPr>
    </w:lvl>
    <w:lvl w:ilvl="3" w:tplc="4BA08F40" w:tentative="1">
      <w:start w:val="1"/>
      <w:numFmt w:val="bullet"/>
      <w:lvlText w:val=""/>
      <w:lvlJc w:val="left"/>
      <w:pPr>
        <w:tabs>
          <w:tab w:val="num" w:pos="2880"/>
        </w:tabs>
        <w:ind w:left="2880" w:hanging="360"/>
      </w:pPr>
      <w:rPr>
        <w:rFonts w:ascii="Symbol" w:hAnsi="Symbol" w:hint="default"/>
      </w:rPr>
    </w:lvl>
    <w:lvl w:ilvl="4" w:tplc="334C710C" w:tentative="1">
      <w:start w:val="1"/>
      <w:numFmt w:val="bullet"/>
      <w:lvlText w:val="o"/>
      <w:lvlJc w:val="left"/>
      <w:pPr>
        <w:tabs>
          <w:tab w:val="num" w:pos="3600"/>
        </w:tabs>
        <w:ind w:left="3600" w:hanging="360"/>
      </w:pPr>
      <w:rPr>
        <w:rFonts w:ascii="Courier New" w:hAnsi="Courier New" w:cs="Courier New" w:hint="default"/>
      </w:rPr>
    </w:lvl>
    <w:lvl w:ilvl="5" w:tplc="6E52AB22" w:tentative="1">
      <w:start w:val="1"/>
      <w:numFmt w:val="bullet"/>
      <w:lvlText w:val=""/>
      <w:lvlJc w:val="left"/>
      <w:pPr>
        <w:tabs>
          <w:tab w:val="num" w:pos="4320"/>
        </w:tabs>
        <w:ind w:left="4320" w:hanging="360"/>
      </w:pPr>
      <w:rPr>
        <w:rFonts w:ascii="Wingdings" w:hAnsi="Wingdings" w:hint="default"/>
      </w:rPr>
    </w:lvl>
    <w:lvl w:ilvl="6" w:tplc="C422EC4C" w:tentative="1">
      <w:start w:val="1"/>
      <w:numFmt w:val="bullet"/>
      <w:lvlText w:val=""/>
      <w:lvlJc w:val="left"/>
      <w:pPr>
        <w:tabs>
          <w:tab w:val="num" w:pos="5040"/>
        </w:tabs>
        <w:ind w:left="5040" w:hanging="360"/>
      </w:pPr>
      <w:rPr>
        <w:rFonts w:ascii="Symbol" w:hAnsi="Symbol" w:hint="default"/>
      </w:rPr>
    </w:lvl>
    <w:lvl w:ilvl="7" w:tplc="E0D88072" w:tentative="1">
      <w:start w:val="1"/>
      <w:numFmt w:val="bullet"/>
      <w:lvlText w:val="o"/>
      <w:lvlJc w:val="left"/>
      <w:pPr>
        <w:tabs>
          <w:tab w:val="num" w:pos="5760"/>
        </w:tabs>
        <w:ind w:left="5760" w:hanging="360"/>
      </w:pPr>
      <w:rPr>
        <w:rFonts w:ascii="Courier New" w:hAnsi="Courier New" w:cs="Courier New" w:hint="default"/>
      </w:rPr>
    </w:lvl>
    <w:lvl w:ilvl="8" w:tplc="3BFA4AF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576D50A">
      <w:start w:val="1"/>
      <w:numFmt w:val="bullet"/>
      <w:pStyle w:val="Lijstopsomteken2"/>
      <w:lvlText w:val="–"/>
      <w:lvlJc w:val="left"/>
      <w:pPr>
        <w:tabs>
          <w:tab w:val="num" w:pos="227"/>
        </w:tabs>
        <w:ind w:left="227" w:firstLine="0"/>
      </w:pPr>
      <w:rPr>
        <w:rFonts w:ascii="Verdana" w:hAnsi="Verdana" w:hint="default"/>
      </w:rPr>
    </w:lvl>
    <w:lvl w:ilvl="1" w:tplc="8280DC16" w:tentative="1">
      <w:start w:val="1"/>
      <w:numFmt w:val="bullet"/>
      <w:lvlText w:val="o"/>
      <w:lvlJc w:val="left"/>
      <w:pPr>
        <w:tabs>
          <w:tab w:val="num" w:pos="1440"/>
        </w:tabs>
        <w:ind w:left="1440" w:hanging="360"/>
      </w:pPr>
      <w:rPr>
        <w:rFonts w:ascii="Courier New" w:hAnsi="Courier New" w:cs="Courier New" w:hint="default"/>
      </w:rPr>
    </w:lvl>
    <w:lvl w:ilvl="2" w:tplc="F272863E" w:tentative="1">
      <w:start w:val="1"/>
      <w:numFmt w:val="bullet"/>
      <w:lvlText w:val=""/>
      <w:lvlJc w:val="left"/>
      <w:pPr>
        <w:tabs>
          <w:tab w:val="num" w:pos="2160"/>
        </w:tabs>
        <w:ind w:left="2160" w:hanging="360"/>
      </w:pPr>
      <w:rPr>
        <w:rFonts w:ascii="Wingdings" w:hAnsi="Wingdings" w:hint="default"/>
      </w:rPr>
    </w:lvl>
    <w:lvl w:ilvl="3" w:tplc="95184416" w:tentative="1">
      <w:start w:val="1"/>
      <w:numFmt w:val="bullet"/>
      <w:lvlText w:val=""/>
      <w:lvlJc w:val="left"/>
      <w:pPr>
        <w:tabs>
          <w:tab w:val="num" w:pos="2880"/>
        </w:tabs>
        <w:ind w:left="2880" w:hanging="360"/>
      </w:pPr>
      <w:rPr>
        <w:rFonts w:ascii="Symbol" w:hAnsi="Symbol" w:hint="default"/>
      </w:rPr>
    </w:lvl>
    <w:lvl w:ilvl="4" w:tplc="61428B58" w:tentative="1">
      <w:start w:val="1"/>
      <w:numFmt w:val="bullet"/>
      <w:lvlText w:val="o"/>
      <w:lvlJc w:val="left"/>
      <w:pPr>
        <w:tabs>
          <w:tab w:val="num" w:pos="3600"/>
        </w:tabs>
        <w:ind w:left="3600" w:hanging="360"/>
      </w:pPr>
      <w:rPr>
        <w:rFonts w:ascii="Courier New" w:hAnsi="Courier New" w:cs="Courier New" w:hint="default"/>
      </w:rPr>
    </w:lvl>
    <w:lvl w:ilvl="5" w:tplc="369E9446" w:tentative="1">
      <w:start w:val="1"/>
      <w:numFmt w:val="bullet"/>
      <w:lvlText w:val=""/>
      <w:lvlJc w:val="left"/>
      <w:pPr>
        <w:tabs>
          <w:tab w:val="num" w:pos="4320"/>
        </w:tabs>
        <w:ind w:left="4320" w:hanging="360"/>
      </w:pPr>
      <w:rPr>
        <w:rFonts w:ascii="Wingdings" w:hAnsi="Wingdings" w:hint="default"/>
      </w:rPr>
    </w:lvl>
    <w:lvl w:ilvl="6" w:tplc="B12C5E2A" w:tentative="1">
      <w:start w:val="1"/>
      <w:numFmt w:val="bullet"/>
      <w:lvlText w:val=""/>
      <w:lvlJc w:val="left"/>
      <w:pPr>
        <w:tabs>
          <w:tab w:val="num" w:pos="5040"/>
        </w:tabs>
        <w:ind w:left="5040" w:hanging="360"/>
      </w:pPr>
      <w:rPr>
        <w:rFonts w:ascii="Symbol" w:hAnsi="Symbol" w:hint="default"/>
      </w:rPr>
    </w:lvl>
    <w:lvl w:ilvl="7" w:tplc="F1086412" w:tentative="1">
      <w:start w:val="1"/>
      <w:numFmt w:val="bullet"/>
      <w:lvlText w:val="o"/>
      <w:lvlJc w:val="left"/>
      <w:pPr>
        <w:tabs>
          <w:tab w:val="num" w:pos="5760"/>
        </w:tabs>
        <w:ind w:left="5760" w:hanging="360"/>
      </w:pPr>
      <w:rPr>
        <w:rFonts w:ascii="Courier New" w:hAnsi="Courier New" w:cs="Courier New" w:hint="default"/>
      </w:rPr>
    </w:lvl>
    <w:lvl w:ilvl="8" w:tplc="8970F8A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48868170">
    <w:abstractNumId w:val="10"/>
  </w:num>
  <w:num w:numId="2" w16cid:durableId="1265915757">
    <w:abstractNumId w:val="7"/>
  </w:num>
  <w:num w:numId="3" w16cid:durableId="169099190">
    <w:abstractNumId w:val="6"/>
  </w:num>
  <w:num w:numId="4" w16cid:durableId="1789664625">
    <w:abstractNumId w:val="5"/>
  </w:num>
  <w:num w:numId="5" w16cid:durableId="1649164149">
    <w:abstractNumId w:val="4"/>
  </w:num>
  <w:num w:numId="6" w16cid:durableId="1362512237">
    <w:abstractNumId w:val="8"/>
  </w:num>
  <w:num w:numId="7" w16cid:durableId="255481803">
    <w:abstractNumId w:val="3"/>
  </w:num>
  <w:num w:numId="8" w16cid:durableId="1298727867">
    <w:abstractNumId w:val="2"/>
  </w:num>
  <w:num w:numId="9" w16cid:durableId="1964194794">
    <w:abstractNumId w:val="1"/>
  </w:num>
  <w:num w:numId="10" w16cid:durableId="743337356">
    <w:abstractNumId w:val="0"/>
  </w:num>
  <w:num w:numId="11" w16cid:durableId="1382754149">
    <w:abstractNumId w:val="9"/>
  </w:num>
  <w:num w:numId="12" w16cid:durableId="431246521">
    <w:abstractNumId w:val="11"/>
  </w:num>
  <w:num w:numId="13" w16cid:durableId="2135441326">
    <w:abstractNumId w:val="13"/>
  </w:num>
  <w:num w:numId="14" w16cid:durableId="195744831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786A"/>
    <w:rsid w:val="001516A4"/>
    <w:rsid w:val="00151E5F"/>
    <w:rsid w:val="001536B3"/>
    <w:rsid w:val="00154222"/>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3D3"/>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19F5"/>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1CBF"/>
    <w:rsid w:val="006247BE"/>
    <w:rsid w:val="006259D9"/>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0305"/>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64F8C"/>
    <w:rsid w:val="007709EF"/>
    <w:rsid w:val="00783559"/>
    <w:rsid w:val="0079551B"/>
    <w:rsid w:val="00797AA5"/>
    <w:rsid w:val="007A26BD"/>
    <w:rsid w:val="007A4105"/>
    <w:rsid w:val="007B4503"/>
    <w:rsid w:val="007C406E"/>
    <w:rsid w:val="007C5183"/>
    <w:rsid w:val="007C7573"/>
    <w:rsid w:val="007D410C"/>
    <w:rsid w:val="007E2B20"/>
    <w:rsid w:val="007E2B88"/>
    <w:rsid w:val="007F5331"/>
    <w:rsid w:val="00800CCA"/>
    <w:rsid w:val="00806120"/>
    <w:rsid w:val="00810C93"/>
    <w:rsid w:val="00812028"/>
    <w:rsid w:val="00812DD8"/>
    <w:rsid w:val="00813082"/>
    <w:rsid w:val="008131C3"/>
    <w:rsid w:val="00814D03"/>
    <w:rsid w:val="00821FC1"/>
    <w:rsid w:val="00823AE2"/>
    <w:rsid w:val="00824696"/>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00D8"/>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48F"/>
    <w:rsid w:val="00A715F8"/>
    <w:rsid w:val="00A75525"/>
    <w:rsid w:val="00A7562F"/>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75ED6"/>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652D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50F86"/>
    <w:rsid w:val="00F53F91"/>
    <w:rsid w:val="00F5650C"/>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46CCF"/>
  <w15:docId w15:val="{F069DCDB-F4A0-4A91-8410-B17CF2F2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6E03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937817">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2132BD"/>
    <w:rsid w:val="003A1B16"/>
    <w:rsid w:val="00621CBF"/>
    <w:rsid w:val="00764F8C"/>
    <w:rsid w:val="008131C3"/>
    <w:rsid w:val="00824696"/>
    <w:rsid w:val="009216B2"/>
    <w:rsid w:val="00937817"/>
    <w:rsid w:val="009574FF"/>
    <w:rsid w:val="00A7562F"/>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520</ap:Words>
  <ap:Characters>2864</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2024-08-09T12:37:00.0000000Z</dcterms:created>
  <dcterms:modified xsi:type="dcterms:W3CDTF">2024-08-15T09:47:00.0000000Z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MaathuisE1</vt:lpwstr>
  </property>
  <property fmtid="{D5CDD505-2E9C-101B-9397-08002B2CF9AE}" pid="3" name="AUTHOR_ID">
    <vt:lpwstr>MaathuisE1</vt:lpwstr>
  </property>
  <property fmtid="{D5CDD505-2E9C-101B-9397-08002B2CF9AE}" pid="4" name="A_ADRES">
    <vt:lpwstr>De Voorzitter van de Tweede Kamer
der Staten-Generaal
Prinses Irenestraat 6
2595 BD  DEN HAAG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Publicatie CBS Monitor fosfaat- en stikstofexcretie in dierlijke mest - tweede kwartaal 2024</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MaathuisE1</vt:lpwstr>
  </property>
</Properties>
</file>