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83" w:rsidRDefault="00FE6416" w14:paraId="3B7D3F6E" w14:textId="1C07636D">
      <w:bookmarkStart w:name="_GoBack" w:id="0"/>
      <w:bookmarkEnd w:id="0"/>
      <w:r>
        <w:t>Geachte voorzitter,</w:t>
      </w:r>
    </w:p>
    <w:p w:rsidR="00FE6416" w:rsidRDefault="00FE6416" w14:paraId="175704C2" w14:textId="77777777"/>
    <w:p w:rsidR="00FE6416" w:rsidRDefault="00FE6416" w14:paraId="3AC52D19" w14:textId="6FC95F01">
      <w:r>
        <w:t xml:space="preserve">De vaste commissie voor Infrastructuur en Waterstaat heeft op 19 juni vragen gesteld over de ontwerp </w:t>
      </w:r>
      <w:r w:rsidR="00146CE3">
        <w:t>t</w:t>
      </w:r>
      <w:r>
        <w:t>ijdelijke subsidieregeling wa</w:t>
      </w:r>
      <w:r w:rsidR="00146CE3">
        <w:t>ls</w:t>
      </w:r>
      <w:r>
        <w:t>troom zeeschepen 2024-2027. Graag ga ik hier in deze brief op in.</w:t>
      </w:r>
    </w:p>
    <w:p w:rsidR="00FE6416" w:rsidRDefault="00FE6416" w14:paraId="2863353E" w14:textId="77777777"/>
    <w:p w:rsidR="00FE6416" w:rsidRDefault="00FE6416" w14:paraId="37953436" w14:textId="60F80A00">
      <w:r>
        <w:t xml:space="preserve">De leden van de PVV-fractie vragen </w:t>
      </w:r>
      <w:r w:rsidRPr="00FE6416">
        <w:t>hoeveel woningen er zijn gebouwd dankzij de stikstofwinst uit de eerste regeling en hoeveel woningen de minister verwacht te kunnen bouwen naar aanleiding van de beoogde stikstofwinst uit deze regeling.</w:t>
      </w:r>
      <w:r>
        <w:t xml:space="preserve"> </w:t>
      </w:r>
    </w:p>
    <w:p w:rsidR="00FE6416" w:rsidRDefault="00FE6416" w14:paraId="215D6289" w14:textId="250E533C">
      <w:r>
        <w:t xml:space="preserve">Op dit moment is nog onduidelijk hoeveel woningen gebouwd kunnen worden dankzij de </w:t>
      </w:r>
      <w:r w:rsidR="00E40D6D">
        <w:t>reductie van stikstofdepositie</w:t>
      </w:r>
      <w:r>
        <w:t xml:space="preserve"> </w:t>
      </w:r>
      <w:r w:rsidR="00E40D6D">
        <w:t>van</w:t>
      </w:r>
      <w:r>
        <w:t xml:space="preserve">uit de eerste regeling. </w:t>
      </w:r>
      <w:r w:rsidR="00E40D6D">
        <w:t xml:space="preserve">De subsidieregeling heeft gestuurd op </w:t>
      </w:r>
      <w:r w:rsidR="00BF3F66">
        <w:t xml:space="preserve">de stimulering van </w:t>
      </w:r>
      <w:r w:rsidR="00E40D6D">
        <w:t xml:space="preserve">walstroomprojecten in zeehavens met de grootste stikstofreductie </w:t>
      </w:r>
      <w:r w:rsidR="0064577F">
        <w:t>op</w:t>
      </w:r>
      <w:r w:rsidR="00E40D6D">
        <w:t xml:space="preserve"> met stikstof overbelaste Natura</w:t>
      </w:r>
      <w:r w:rsidR="0010110E">
        <w:t xml:space="preserve"> </w:t>
      </w:r>
      <w:r w:rsidR="00E40D6D">
        <w:t>2000</w:t>
      </w:r>
      <w:r w:rsidR="007D7F09">
        <w:t>-</w:t>
      </w:r>
      <w:r w:rsidR="00E40D6D">
        <w:t xml:space="preserve">gebieden in de kustprovincies. </w:t>
      </w:r>
      <w:r w:rsidR="00024362">
        <w:t>Dit heeft geresulteerd in 17 walstroomprojecten met positieve effecten op de stikstofdepositie in met stikstof overbelaste Natura</w:t>
      </w:r>
      <w:r w:rsidR="0010110E">
        <w:t xml:space="preserve"> </w:t>
      </w:r>
      <w:r w:rsidR="00024362">
        <w:t>2000</w:t>
      </w:r>
      <w:r w:rsidR="0010110E">
        <w:t>-</w:t>
      </w:r>
      <w:r w:rsidR="00024362">
        <w:t xml:space="preserve">gebieden (zie </w:t>
      </w:r>
      <w:r w:rsidR="00991374">
        <w:t xml:space="preserve">ook de </w:t>
      </w:r>
      <w:r w:rsidR="00024362">
        <w:t xml:space="preserve">tabel hieronder). </w:t>
      </w:r>
      <w:r w:rsidR="000D24CC">
        <w:t>Hier</w:t>
      </w:r>
      <w:r w:rsidR="00024362">
        <w:t>bij</w:t>
      </w:r>
      <w:r w:rsidR="000D24CC">
        <w:t xml:space="preserve"> is het streven om, daar waar mogelijk, een deel van de stikstofreductie beschikbaar te </w:t>
      </w:r>
      <w:r w:rsidR="00024362">
        <w:t xml:space="preserve">gaan </w:t>
      </w:r>
      <w:r w:rsidR="000D24CC">
        <w:t>stellen aan de woningbouwopgave via het stikstofregistratiesysteem (SSRS)</w:t>
      </w:r>
      <w:r w:rsidRPr="00BF3F66" w:rsidR="00BF3F66">
        <w:t xml:space="preserve">. </w:t>
      </w:r>
      <w:r>
        <w:t>Momenteel verkent het ministerie van L</w:t>
      </w:r>
      <w:r w:rsidR="001112BF">
        <w:t>VV</w:t>
      </w:r>
      <w:r>
        <w:t>N</w:t>
      </w:r>
      <w:r w:rsidR="008E5462">
        <w:t xml:space="preserve">, samen met de ministeries van BZK en IenW, </w:t>
      </w:r>
      <w:r w:rsidR="00F41995">
        <w:t xml:space="preserve">welke </w:t>
      </w:r>
      <w:r w:rsidR="00146CE3">
        <w:t>walstroomprojecten</w:t>
      </w:r>
      <w:r w:rsidR="00F41995">
        <w:t xml:space="preserve"> </w:t>
      </w:r>
      <w:r w:rsidR="00BF3F66">
        <w:t>(en de daar</w:t>
      </w:r>
      <w:r w:rsidR="00912671">
        <w:t>mee gerealiseerde depositiereductie</w:t>
      </w:r>
      <w:r w:rsidR="00BF3F66">
        <w:t xml:space="preserve">) </w:t>
      </w:r>
      <w:r w:rsidR="00F41995">
        <w:t>het meest geschikt zijn</w:t>
      </w:r>
      <w:r w:rsidR="008E5462">
        <w:t xml:space="preserve"> </w:t>
      </w:r>
      <w:r w:rsidR="000D24CC">
        <w:t xml:space="preserve">(en </w:t>
      </w:r>
      <w:r w:rsidR="00024362">
        <w:t>voldoen aan de voorwaarden</w:t>
      </w:r>
      <w:r w:rsidR="000709D5">
        <w:t>, zie verderop in deze brief</w:t>
      </w:r>
      <w:r w:rsidR="00024362">
        <w:t xml:space="preserve">) </w:t>
      </w:r>
      <w:r w:rsidR="008E5462">
        <w:t>om in te zetten in het SSRS</w:t>
      </w:r>
      <w:r w:rsidR="0060079B">
        <w:t>.</w:t>
      </w:r>
    </w:p>
    <w:p w:rsidR="00081A17" w:rsidRDefault="00081A17" w14:paraId="20005067" w14:textId="77777777"/>
    <w:p w:rsidR="00081A17" w:rsidRDefault="00081A17" w14:paraId="5D51D562" w14:textId="21BD60CA">
      <w:r>
        <w:t xml:space="preserve">De leden van de PVV-fractie vragen daarnaast </w:t>
      </w:r>
      <w:r w:rsidR="00F41995">
        <w:t xml:space="preserve">om </w:t>
      </w:r>
      <w:r>
        <w:t xml:space="preserve">een inschatting van de reductie van stikstofdepositie die de walstroomprojecten gaan opleveren. In onderstaande tabel wordt een inschatting gegeven </w:t>
      </w:r>
      <w:r w:rsidR="00F41995">
        <w:t>van de vooraf berekende reductie van stikstofdepositie</w:t>
      </w:r>
      <w:r>
        <w:t>.</w:t>
      </w:r>
    </w:p>
    <w:p w:rsidR="004466DB" w:rsidRDefault="004466DB" w14:paraId="005912A1" w14:textId="77777777"/>
    <w:p w:rsidR="00A05C3F" w:rsidRDefault="00A05C3F" w14:paraId="643CCB01" w14:textId="77777777"/>
    <w:p w:rsidR="00A05C3F" w:rsidRDefault="00A05C3F" w14:paraId="6767FF8F" w14:textId="77777777"/>
    <w:p w:rsidR="00A05C3F" w:rsidRDefault="00A05C3F" w14:paraId="4BC1979E" w14:textId="77777777"/>
    <w:p w:rsidR="00A05C3F" w:rsidRDefault="00A05C3F" w14:paraId="71C32824" w14:textId="77777777"/>
    <w:p w:rsidR="00A05C3F" w:rsidRDefault="00A05C3F" w14:paraId="6B94E8BE" w14:textId="77777777"/>
    <w:p w:rsidR="00081A17" w:rsidRDefault="00081A17" w14:paraId="279C3B35" w14:textId="77777777"/>
    <w:p w:rsidR="00081A17" w:rsidRDefault="00081A17" w14:paraId="2F1B11D6" w14:textId="3C3ABC22">
      <w:r>
        <w:t xml:space="preserve"> </w:t>
      </w:r>
    </w:p>
    <w:tbl>
      <w:tblPr>
        <w:tblW w:w="7643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410"/>
        <w:gridCol w:w="1701"/>
        <w:gridCol w:w="2410"/>
      </w:tblGrid>
      <w:tr w:rsidR="00081A17" w:rsidTr="00B931B8" w14:paraId="2A0DCC5F" w14:textId="77777777">
        <w:trPr>
          <w:trHeight w:val="264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F86DB95" w14:textId="119128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Tender-ronde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3A2CEB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Project categorie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7E1891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Subsidie-bijdrage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2560BC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Vooraf berekende Ndep effect*</w:t>
            </w:r>
          </w:p>
        </w:tc>
      </w:tr>
      <w:tr w:rsidR="00081A17" w:rsidTr="00B931B8" w14:paraId="3A225AC9" w14:textId="77777777">
        <w:trPr>
          <w:trHeight w:val="251"/>
        </w:trPr>
        <w:tc>
          <w:tcPr>
            <w:tcW w:w="11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E662982" w14:textId="77777777">
            <w:r>
              <w:t>T1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05347A0" w14:textId="77777777">
            <w:r>
              <w:t>Offshore 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5EFB870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8838F6F" w14:textId="77777777">
            <w:r>
              <w:t> </w:t>
            </w:r>
          </w:p>
        </w:tc>
      </w:tr>
      <w:tr w:rsidR="00081A17" w:rsidTr="00B931B8" w14:paraId="44C4A069" w14:textId="77777777">
        <w:trPr>
          <w:trHeight w:val="348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5301931B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E755496" w14:textId="77777777">
            <w:r>
              <w:rPr>
                <w:lang w:val="en-US"/>
              </w:rPr>
              <w:t>Multipurpose 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63B0044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5086219F" w14:textId="77777777">
            <w:r>
              <w:t> </w:t>
            </w:r>
          </w:p>
        </w:tc>
      </w:tr>
      <w:tr w:rsidR="00081A17" w:rsidTr="00B931B8" w14:paraId="0D0F724D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464AB935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BAFF0A9" w14:textId="77777777">
            <w:r>
              <w:t>Cruise 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7B04508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055223D" w14:textId="77777777">
            <w:r>
              <w:t> </w:t>
            </w:r>
          </w:p>
        </w:tc>
      </w:tr>
      <w:tr w:rsidR="00081A17" w:rsidTr="00B931B8" w14:paraId="5AA7D7E7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24A0BC6E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569943D" w14:textId="77777777">
            <w:r>
              <w:t>Cruise 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E68BE8D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36311A0" w14:textId="77777777">
            <w:r>
              <w:t> </w:t>
            </w:r>
          </w:p>
        </w:tc>
      </w:tr>
      <w:tr w:rsidR="00081A17" w:rsidTr="00B931B8" w14:paraId="7DDB6ED5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74129C45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901FDBA" w14:textId="77777777">
            <w:r>
              <w:t>Containerterminal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C6F8963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DF65303" w14:textId="77777777">
            <w:r>
              <w:t> </w:t>
            </w:r>
          </w:p>
        </w:tc>
      </w:tr>
      <w:tr w:rsidR="00081A17" w:rsidTr="00B931B8" w14:paraId="0FDBEB1D" w14:textId="77777777">
        <w:trPr>
          <w:trHeight w:val="264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6637CBED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5972854" w14:textId="77777777">
            <w:r>
              <w:t>Ferryterminal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2F2E134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AB654B2" w14:textId="77777777">
            <w:r>
              <w:t> </w:t>
            </w:r>
          </w:p>
        </w:tc>
      </w:tr>
      <w:tr w:rsidR="00081A17" w:rsidTr="00B931B8" w14:paraId="0C8960EF" w14:textId="77777777">
        <w:trPr>
          <w:trHeight w:val="264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02D75EBA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B59B8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Totaal T1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5C19F329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€ 10.000.000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A926068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0,51935</w:t>
            </w:r>
          </w:p>
        </w:tc>
      </w:tr>
      <w:tr w:rsidR="00081A17" w:rsidTr="00B931B8" w14:paraId="204BCE98" w14:textId="77777777">
        <w:trPr>
          <w:trHeight w:val="264"/>
        </w:trPr>
        <w:tc>
          <w:tcPr>
            <w:tcW w:w="11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D585A90" w14:textId="77777777">
            <w:r>
              <w:t>T2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1970076" w14:textId="77777777">
            <w:r>
              <w:t>Scheepswerf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8F9608B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1F99EBF" w14:textId="77777777">
            <w:r>
              <w:t> </w:t>
            </w:r>
          </w:p>
        </w:tc>
      </w:tr>
      <w:tr w:rsidR="00081A17" w:rsidTr="00B931B8" w14:paraId="26463079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17416275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26ACFB0" w14:textId="77777777">
            <w:r>
              <w:t>Scheepswerf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6AE5AB9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9DB1F22" w14:textId="77777777">
            <w:r>
              <w:t> </w:t>
            </w:r>
          </w:p>
        </w:tc>
      </w:tr>
      <w:tr w:rsidR="00081A17" w:rsidTr="00B931B8" w14:paraId="7F1B8C0A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6DBE529E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9746E3C" w14:textId="77777777">
            <w:r>
              <w:t>Ferryterminal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2B5D0EF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541D3232" w14:textId="77777777">
            <w:r>
              <w:t> </w:t>
            </w:r>
          </w:p>
        </w:tc>
      </w:tr>
      <w:tr w:rsidR="00081A17" w:rsidTr="00B931B8" w14:paraId="40811165" w14:textId="77777777">
        <w:trPr>
          <w:trHeight w:val="264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5ED860B4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E02CA0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Totaal T2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C0C88CA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€ 4.849.108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7E893F6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1,11386</w:t>
            </w:r>
          </w:p>
        </w:tc>
      </w:tr>
      <w:tr w:rsidR="00081A17" w:rsidTr="00B931B8" w14:paraId="07CB2713" w14:textId="77777777">
        <w:trPr>
          <w:trHeight w:val="251"/>
        </w:trPr>
        <w:tc>
          <w:tcPr>
            <w:tcW w:w="11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2851F0B" w14:textId="77777777">
            <w:r>
              <w:t>T3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804AA2F" w14:textId="77777777">
            <w:r>
              <w:t xml:space="preserve">Scheepswerf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601A7F7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8956EDF" w14:textId="77777777">
            <w:r>
              <w:t> </w:t>
            </w:r>
          </w:p>
        </w:tc>
      </w:tr>
      <w:tr w:rsidR="00081A17" w:rsidTr="00B931B8" w14:paraId="04708987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17A6B103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0E180E6" w14:textId="77777777">
            <w:r>
              <w:t>Scheepswerf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61AFC55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44EF743" w14:textId="77777777">
            <w:r>
              <w:t> </w:t>
            </w:r>
          </w:p>
        </w:tc>
      </w:tr>
      <w:tr w:rsidR="00081A17" w:rsidTr="00B931B8" w14:paraId="525792A1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6C58BEC1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39AF39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Totaal T3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A7FBCE7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€ 3.708.910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17EA39C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0,67253</w:t>
            </w:r>
          </w:p>
        </w:tc>
      </w:tr>
      <w:tr w:rsidR="00081A17" w:rsidTr="00B931B8" w14:paraId="3A45C3EE" w14:textId="77777777">
        <w:trPr>
          <w:trHeight w:val="251"/>
        </w:trPr>
        <w:tc>
          <w:tcPr>
            <w:tcW w:w="11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4A1071B" w14:textId="77777777">
            <w:r>
              <w:t>T4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09A3767" w14:textId="77777777">
            <w:r>
              <w:t>Scheepswerf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74C44C9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3F788BF" w14:textId="77777777">
            <w:r>
              <w:t> </w:t>
            </w:r>
          </w:p>
        </w:tc>
      </w:tr>
      <w:tr w:rsidR="00081A17" w:rsidTr="00B931B8" w14:paraId="5CB2BF27" w14:textId="77777777">
        <w:trPr>
          <w:trHeight w:val="264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217A5250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CB47A29" w14:textId="77777777">
            <w:r>
              <w:t>Ferry 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2BF7273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59693D8" w14:textId="77777777">
            <w:r>
              <w:t> </w:t>
            </w:r>
          </w:p>
        </w:tc>
      </w:tr>
      <w:tr w:rsidR="00081A17" w:rsidTr="00B931B8" w14:paraId="6431683F" w14:textId="77777777">
        <w:trPr>
          <w:trHeight w:val="264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505C1468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7787C06E" w14:textId="77777777">
            <w:r>
              <w:t>Offshore 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DEE3652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6A6B318" w14:textId="77777777">
            <w:r>
              <w:t> </w:t>
            </w:r>
          </w:p>
        </w:tc>
      </w:tr>
      <w:tr w:rsidR="00081A17" w:rsidTr="00B931B8" w14:paraId="0E5A3A03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5679327F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2930469" w14:textId="77777777">
            <w:r>
              <w:t>Offshore terminal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5D1CF48D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ADEBF35" w14:textId="77777777">
            <w:r>
              <w:t> </w:t>
            </w:r>
          </w:p>
        </w:tc>
      </w:tr>
      <w:tr w:rsidR="00081A17" w:rsidTr="00B931B8" w14:paraId="4485CF59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36702BD4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084E3A56" w14:textId="77777777">
            <w:r>
              <w:t>Kade chemische industrie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3C20B24F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4D655BF6" w14:textId="77777777">
            <w:r>
              <w:t> </w:t>
            </w:r>
          </w:p>
        </w:tc>
      </w:tr>
      <w:tr w:rsidR="00081A17" w:rsidTr="00B931B8" w14:paraId="388542A8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5C706126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5E4BC426" w14:textId="77777777">
            <w:r>
              <w:t>Scheepswerf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BB0BB60" w14:textId="77777777"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61115FC" w14:textId="77777777">
            <w:r>
              <w:t> </w:t>
            </w:r>
          </w:p>
        </w:tc>
      </w:tr>
      <w:tr w:rsidR="00081A17" w:rsidTr="00B931B8" w14:paraId="1023241C" w14:textId="77777777">
        <w:trPr>
          <w:trHeight w:val="251"/>
        </w:trPr>
        <w:tc>
          <w:tcPr>
            <w:tcW w:w="1122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081A17" w:rsidRDefault="00081A17" w14:paraId="6B5B0643" w14:textId="77777777">
            <w:pPr>
              <w:rPr>
                <w:rFonts w:ascii="Calibri" w:hAnsi="Calibri" w:cs="Calibri" w:eastAsia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E0C336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Totaal T4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551BA73E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€ 4.146.683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20EBC64C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1,50683</w:t>
            </w:r>
          </w:p>
        </w:tc>
      </w:tr>
      <w:tr w:rsidR="00081A17" w:rsidTr="00B931B8" w14:paraId="25DDC562" w14:textId="77777777">
        <w:trPr>
          <w:trHeight w:val="264"/>
        </w:trPr>
        <w:tc>
          <w:tcPr>
            <w:tcW w:w="1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2F2CF9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6B5E07E1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116138FA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€ 22.704.702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A17" w:rsidRDefault="00081A17" w14:paraId="59D39A92" w14:textId="7777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3,81257</w:t>
            </w:r>
          </w:p>
        </w:tc>
      </w:tr>
      <w:tr w:rsidR="00081A17" w:rsidTr="00B931B8" w14:paraId="531A9395" w14:textId="77777777">
        <w:trPr>
          <w:trHeight w:val="264"/>
        </w:trPr>
        <w:tc>
          <w:tcPr>
            <w:tcW w:w="1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47E9FB1F" w14:textId="77777777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7653A8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027ED64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56F013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081A17" w:rsidTr="00B931B8" w14:paraId="4CCE7D91" w14:textId="77777777">
        <w:trPr>
          <w:trHeight w:val="264"/>
        </w:trPr>
        <w:tc>
          <w:tcPr>
            <w:tcW w:w="1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3D9CAD9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3EBD75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1A17" w:rsidRDefault="00081A17" w14:paraId="0546B1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A05C3F" w:rsidR="00081A17" w:rsidRDefault="00081A17" w14:paraId="0418F728" w14:textId="77777777">
            <w:pPr>
              <w:rPr>
                <w:rFonts w:ascii="Calibri" w:hAnsi="Calibri" w:cs="Calibri" w:eastAsiaTheme="minorHAnsi"/>
                <w:b/>
                <w:bCs/>
                <w:sz w:val="16"/>
                <w:szCs w:val="16"/>
              </w:rPr>
            </w:pPr>
            <w:r w:rsidRPr="00A05C3F">
              <w:rPr>
                <w:b/>
                <w:bCs/>
                <w:sz w:val="16"/>
                <w:szCs w:val="16"/>
              </w:rPr>
              <w:t>*mol/ha/j binnen 25 km</w:t>
            </w:r>
          </w:p>
        </w:tc>
      </w:tr>
    </w:tbl>
    <w:p w:rsidR="00081A17" w:rsidRDefault="00081A17" w14:paraId="497A9C73" w14:textId="77777777"/>
    <w:p w:rsidR="00081A17" w:rsidRDefault="00081A17" w14:paraId="0932DE75" w14:textId="0B1C304F">
      <w:r>
        <w:t>Aangezien in de vorige subsidieregeling sprake was van onderuitputting vra</w:t>
      </w:r>
      <w:r w:rsidR="00A41FBC">
        <w:t xml:space="preserve">gen </w:t>
      </w:r>
      <w:r>
        <w:t xml:space="preserve">de </w:t>
      </w:r>
      <w:r w:rsidR="00A41FBC">
        <w:t xml:space="preserve">leden van de </w:t>
      </w:r>
      <w:r>
        <w:t xml:space="preserve">PVV-fractie of er </w:t>
      </w:r>
      <w:r w:rsidR="008519AE">
        <w:t xml:space="preserve">voor de </w:t>
      </w:r>
      <w:r>
        <w:t xml:space="preserve">nieuwe </w:t>
      </w:r>
      <w:r w:rsidRPr="00081A17">
        <w:t>regeling voldoende interesse is.</w:t>
      </w:r>
      <w:r>
        <w:t xml:space="preserve"> </w:t>
      </w:r>
      <w:r w:rsidR="00AA74A9">
        <w:t>Medio v</w:t>
      </w:r>
      <w:r>
        <w:t>orig jaar is</w:t>
      </w:r>
      <w:r w:rsidR="00C02466">
        <w:t>, mede naar aanleiding van de optredende onderuitputting,</w:t>
      </w:r>
      <w:r>
        <w:t xml:space="preserve"> een </w:t>
      </w:r>
      <w:r w:rsidR="00C02466">
        <w:t>interesse</w:t>
      </w:r>
      <w:r>
        <w:t xml:space="preserve">peiling </w:t>
      </w:r>
      <w:r w:rsidR="008519AE">
        <w:t>onder</w:t>
      </w:r>
      <w:r>
        <w:t xml:space="preserve"> stakeholders uitgevoerd. </w:t>
      </w:r>
      <w:r w:rsidR="00F41995">
        <w:t xml:space="preserve">Hieruit kwam naar voren dat het tijd kost om walstroomprojecten voor te bereiden. In de eerste tender </w:t>
      </w:r>
      <w:r w:rsidR="007537E1">
        <w:t xml:space="preserve">van de vorige subsidieregeling </w:t>
      </w:r>
      <w:r w:rsidR="00F41995">
        <w:t>zijn</w:t>
      </w:r>
      <w:r w:rsidR="00AA74A9">
        <w:t xml:space="preserve"> direct</w:t>
      </w:r>
      <w:r w:rsidR="00F41995">
        <w:t xml:space="preserve"> </w:t>
      </w:r>
      <w:r w:rsidR="00912671">
        <w:t xml:space="preserve">de </w:t>
      </w:r>
      <w:r w:rsidR="00F41995">
        <w:t xml:space="preserve">‘rijpe’ projectvoorstellen ingediend. </w:t>
      </w:r>
      <w:r w:rsidRPr="00AA74A9" w:rsidR="00AA74A9">
        <w:t>De projecten die nog in voorbereiding zijn of waarvoor de investeringsbeslissing nog moet worden genomen, sl</w:t>
      </w:r>
      <w:r w:rsidR="00AA74A9">
        <w:t>oten vervolgens</w:t>
      </w:r>
      <w:r w:rsidRPr="00AA74A9" w:rsidR="00AA74A9">
        <w:t xml:space="preserve"> niet altijd aan bij de timing van openstelling van de </w:t>
      </w:r>
      <w:r w:rsidR="00844CF1">
        <w:t xml:space="preserve">volgende </w:t>
      </w:r>
      <w:r w:rsidRPr="00AA74A9" w:rsidR="00AA74A9">
        <w:t xml:space="preserve">tenders uit de </w:t>
      </w:r>
      <w:r w:rsidR="00AA74A9">
        <w:t>vorige</w:t>
      </w:r>
      <w:r w:rsidRPr="00AA74A9" w:rsidR="00AA74A9">
        <w:t xml:space="preserve"> regeling, die elkaar snel opvolgden</w:t>
      </w:r>
      <w:r w:rsidR="00AA74A9">
        <w:t xml:space="preserve">. Door respondenten is aangegeven dat er de komende jaren </w:t>
      </w:r>
      <w:r w:rsidRPr="003208E0" w:rsidR="00C02466">
        <w:t xml:space="preserve">nog </w:t>
      </w:r>
      <w:r w:rsidR="00844CF1">
        <w:t xml:space="preserve">meerdere </w:t>
      </w:r>
      <w:r w:rsidR="00AA74A9">
        <w:t>walstroom</w:t>
      </w:r>
      <w:r w:rsidRPr="003208E0" w:rsidR="00C02466">
        <w:t xml:space="preserve">projecten aan </w:t>
      </w:r>
      <w:r w:rsidR="00AA74A9">
        <w:t xml:space="preserve">komen, </w:t>
      </w:r>
      <w:r w:rsidRPr="003208E0" w:rsidR="00C02466">
        <w:t>waar</w:t>
      </w:r>
      <w:r w:rsidR="00C02466">
        <w:t xml:space="preserve">bij </w:t>
      </w:r>
      <w:r w:rsidRPr="003208E0" w:rsidR="00C02466">
        <w:t xml:space="preserve">subsidie </w:t>
      </w:r>
      <w:r w:rsidR="00C02466">
        <w:t xml:space="preserve">helpt in versnelde realisatie </w:t>
      </w:r>
      <w:r w:rsidR="00AA74A9">
        <w:t>hier</w:t>
      </w:r>
      <w:r w:rsidR="00C02466">
        <w:t>van</w:t>
      </w:r>
      <w:r w:rsidRPr="003208E0" w:rsidR="00C02466">
        <w:t>.</w:t>
      </w:r>
      <w:r w:rsidR="00C02466">
        <w:t xml:space="preserve"> </w:t>
      </w:r>
      <w:r w:rsidR="00AA74A9">
        <w:t>Op basis van de interessepeiling is</w:t>
      </w:r>
      <w:r w:rsidR="00C02466">
        <w:t xml:space="preserve"> </w:t>
      </w:r>
      <w:r w:rsidR="00AA74A9">
        <w:t xml:space="preserve">het </w:t>
      </w:r>
      <w:r w:rsidR="00C02466">
        <w:t>budget van de ontwerpregeling ge</w:t>
      </w:r>
      <w:r w:rsidRPr="00C02466" w:rsidR="00C02466">
        <w:t>spreid over een langere periode</w:t>
      </w:r>
      <w:r w:rsidR="00C02466">
        <w:t>.</w:t>
      </w:r>
      <w:r w:rsidRPr="00C02466" w:rsidR="00C02466">
        <w:t xml:space="preserve"> Daarmee kunnen naar verwachting alle aanvragen die nog worden verwacht van subsidie worden voorzien</w:t>
      </w:r>
      <w:r w:rsidR="00D25F23">
        <w:t xml:space="preserve">, en zal deze regeling </w:t>
      </w:r>
      <w:r w:rsidR="001933F3">
        <w:t xml:space="preserve">daarmee </w:t>
      </w:r>
      <w:r w:rsidR="00D25F23">
        <w:t>bijdragen aan verdere versnelde realisatie van walstroomprojecten. Dit draagt bij aan zowel reductie van stikstof</w:t>
      </w:r>
      <w:r w:rsidR="00024362">
        <w:t>depositie</w:t>
      </w:r>
      <w:r w:rsidR="00D25F23">
        <w:t>, reductie van CO2</w:t>
      </w:r>
      <w:r w:rsidR="0060079B">
        <w:t xml:space="preserve"> en luchtverontreinigende emissies</w:t>
      </w:r>
      <w:r w:rsidR="00D25F23">
        <w:t xml:space="preserve"> als van geluid. </w:t>
      </w:r>
    </w:p>
    <w:p w:rsidR="005C1AAF" w:rsidRDefault="005C1AAF" w14:paraId="2DE75670" w14:textId="77777777"/>
    <w:p w:rsidR="00081A17" w:rsidRDefault="00A41FBC" w14:paraId="5D0511FD" w14:textId="0289569D">
      <w:r>
        <w:t xml:space="preserve">Tenslotte vragen de leden van de PVV-fractie </w:t>
      </w:r>
      <w:r w:rsidR="00060579">
        <w:t xml:space="preserve">om </w:t>
      </w:r>
      <w:r w:rsidR="002041C4">
        <w:t xml:space="preserve">meer duiding over de </w:t>
      </w:r>
      <w:bookmarkStart w:name="_Hlk170306628" w:id="1"/>
      <w:r w:rsidR="002041C4">
        <w:t>verdeling van de</w:t>
      </w:r>
      <w:r w:rsidR="00A73167">
        <w:t xml:space="preserve"> </w:t>
      </w:r>
      <w:r w:rsidR="002041C4">
        <w:t>inzet van de reductie van stikstofdepositie tussen de doelen van deze regeling en die van de subsidieontvanger</w:t>
      </w:r>
      <w:bookmarkEnd w:id="1"/>
      <w:r w:rsidR="00A73167">
        <w:t xml:space="preserve"> (indien relevant)</w:t>
      </w:r>
      <w:r w:rsidR="002041C4">
        <w:t xml:space="preserve">. Om duidelijkheid te bieden aan de subsidieontvanger is aangegeven dat </w:t>
      </w:r>
      <w:r w:rsidR="00060579">
        <w:t xml:space="preserve">de subsidieontvanger de optredende </w:t>
      </w:r>
      <w:r w:rsidR="002041C4">
        <w:t>reductie van stikstofdepositie d</w:t>
      </w:r>
      <w:r w:rsidR="00060579">
        <w:t xml:space="preserve">esgewenst </w:t>
      </w:r>
      <w:r w:rsidR="001112BF">
        <w:t xml:space="preserve">deels </w:t>
      </w:r>
      <w:r w:rsidR="00060579">
        <w:t>zelf kan inzetten voor intern of extern salderen</w:t>
      </w:r>
      <w:r w:rsidR="001112BF">
        <w:t xml:space="preserve">. Dit geldt dan </w:t>
      </w:r>
      <w:r w:rsidR="00060579">
        <w:t>voor het deel van de investering dat niet is gefinancierd met de subsidie</w:t>
      </w:r>
      <w:r w:rsidR="001112BF">
        <w:t xml:space="preserve"> en</w:t>
      </w:r>
      <w:r w:rsidR="00532748">
        <w:t xml:space="preserve"> onder de voorwaarde dat dit past</w:t>
      </w:r>
      <w:r w:rsidR="00D25F23">
        <w:t xml:space="preserve"> binnen de geldende wet- en regelgeving</w:t>
      </w:r>
      <w:r w:rsidR="001112BF">
        <w:t>.</w:t>
      </w:r>
      <w:r w:rsidR="00D25F23">
        <w:t xml:space="preserve"> </w:t>
      </w:r>
      <w:r w:rsidR="00060579">
        <w:t xml:space="preserve">Andersom kan door de overheid </w:t>
      </w:r>
      <w:r w:rsidR="00A73167">
        <w:t xml:space="preserve">in principe </w:t>
      </w:r>
      <w:r w:rsidR="00060579">
        <w:t xml:space="preserve">alleen het deel van de </w:t>
      </w:r>
      <w:r w:rsidR="001112BF">
        <w:t>stikstof</w:t>
      </w:r>
      <w:r w:rsidR="00060579">
        <w:t xml:space="preserve">reductie dat met subsidie </w:t>
      </w:r>
      <w:r w:rsidR="001112BF">
        <w:t xml:space="preserve">(maximaal 35%) </w:t>
      </w:r>
      <w:r w:rsidR="00060579">
        <w:t>is gerealiseerd</w:t>
      </w:r>
      <w:r w:rsidR="001112BF">
        <w:t>,</w:t>
      </w:r>
      <w:r w:rsidR="00060579">
        <w:t xml:space="preserve"> worden ingezet voor de doelen van deze regeling</w:t>
      </w:r>
      <w:r w:rsidR="001112BF">
        <w:t xml:space="preserve">. Het gaat dan om </w:t>
      </w:r>
      <w:r w:rsidR="00532748">
        <w:t xml:space="preserve">natuurbehoud en -verbetering en </w:t>
      </w:r>
      <w:r w:rsidR="000A5CAD">
        <w:t>het mogelijk maken van ruimtelijke ontwikkelingen die gebruik maken van het SSRS</w:t>
      </w:r>
      <w:r w:rsidR="00060579">
        <w:t xml:space="preserve">. Als de subsidieontvanger </w:t>
      </w:r>
      <w:r w:rsidR="004C6722">
        <w:t xml:space="preserve">het eigen gefinancierde </w:t>
      </w:r>
      <w:r w:rsidR="00060579">
        <w:t>deel van de reductie niet inzet voor intern of extern salderen</w:t>
      </w:r>
      <w:r w:rsidR="004C6722">
        <w:t>,</w:t>
      </w:r>
      <w:r w:rsidR="00060579">
        <w:t xml:space="preserve"> komt de stikstofreductie overigens </w:t>
      </w:r>
      <w:r w:rsidR="00AA74A9">
        <w:t xml:space="preserve">ook </w:t>
      </w:r>
      <w:r w:rsidR="00060579">
        <w:t xml:space="preserve">ten goede aan natuurbehoud en -verbetering. </w:t>
      </w:r>
    </w:p>
    <w:p w:rsidR="00081A17" w:rsidRDefault="00081A17" w14:paraId="7DFF25CB" w14:textId="77777777"/>
    <w:p w:rsidR="00E57319" w:rsidRDefault="00E57319" w14:paraId="51FA447C" w14:textId="7E8C02EC">
      <w:r>
        <w:t xml:space="preserve">De leden van de BBB-fractie vragen in hoeverre de inzet op de verdere uitrol van walstroom raakt aan het probleem van netcongestie. </w:t>
      </w:r>
      <w:r w:rsidR="00160B28">
        <w:t xml:space="preserve">In de vorige subsidieregeling heeft netcongestie nog nauwelijks tot belemmeringen geleid voor de walstroomprojecten. </w:t>
      </w:r>
      <w:r>
        <w:t xml:space="preserve">Het klopt </w:t>
      </w:r>
      <w:r w:rsidR="00160B28">
        <w:t xml:space="preserve">echter </w:t>
      </w:r>
      <w:r>
        <w:t xml:space="preserve">dat netcongestie </w:t>
      </w:r>
      <w:r w:rsidR="00EE2466">
        <w:t xml:space="preserve">op specifieke locaties een belemmering kan </w:t>
      </w:r>
      <w:r w:rsidR="00160B28">
        <w:t xml:space="preserve">gaan </w:t>
      </w:r>
      <w:r w:rsidR="00EE2466">
        <w:t>vormen voor de uitrol van walstroom</w:t>
      </w:r>
      <w:r>
        <w:t xml:space="preserve">. </w:t>
      </w:r>
      <w:r w:rsidR="007008CD">
        <w:t xml:space="preserve">IenW is voor walstroom, maar ook voor elektrificatie van andere mobiliteitssectoren, </w:t>
      </w:r>
      <w:r w:rsidR="00CE55EE">
        <w:t xml:space="preserve">direct betrokken </w:t>
      </w:r>
      <w:r w:rsidR="007008CD">
        <w:t xml:space="preserve">bij de </w:t>
      </w:r>
      <w:r w:rsidR="00CE55EE">
        <w:t>kabinets</w:t>
      </w:r>
      <w:r w:rsidR="007008CD">
        <w:t>aanpak van netcongestie d</w:t>
      </w:r>
      <w:r w:rsidR="00CE55EE">
        <w:t xml:space="preserve">ie </w:t>
      </w:r>
      <w:r w:rsidR="007008CD">
        <w:t xml:space="preserve">wordt getrokken door het ministerie van </w:t>
      </w:r>
      <w:r w:rsidR="001112BF">
        <w:t xml:space="preserve">KGG. </w:t>
      </w:r>
      <w:r w:rsidR="007008CD">
        <w:t xml:space="preserve">Zo </w:t>
      </w:r>
      <w:r w:rsidR="006232A6">
        <w:t xml:space="preserve">wordt </w:t>
      </w:r>
      <w:r w:rsidR="007008CD">
        <w:t xml:space="preserve">in </w:t>
      </w:r>
      <w:r w:rsidR="006232A6">
        <w:t xml:space="preserve">de brief van de </w:t>
      </w:r>
      <w:r w:rsidR="001112BF">
        <w:t xml:space="preserve">vorige </w:t>
      </w:r>
      <w:r w:rsidR="006232A6">
        <w:t>minister van EZK over netcongestie (</w:t>
      </w:r>
      <w:r w:rsidRPr="007008CD" w:rsidR="007008CD">
        <w:t>DGKE-DE/38035955</w:t>
      </w:r>
      <w:r w:rsidR="006232A6">
        <w:t>)</w:t>
      </w:r>
      <w:r w:rsidR="007008CD">
        <w:t xml:space="preserve"> van </w:t>
      </w:r>
      <w:r w:rsidR="008D6297">
        <w:t>18 oktober 2023</w:t>
      </w:r>
      <w:r>
        <w:t xml:space="preserve"> </w:t>
      </w:r>
      <w:r w:rsidR="006232A6">
        <w:t xml:space="preserve">ook specifiek ingegaan op walstroom. Cruciaal is dat de netcapaciteit </w:t>
      </w:r>
      <w:r w:rsidR="00F41995">
        <w:t xml:space="preserve">versneld </w:t>
      </w:r>
      <w:r w:rsidR="006232A6">
        <w:t xml:space="preserve">wordt uitgebreid en </w:t>
      </w:r>
      <w:r w:rsidR="00D766C9">
        <w:t xml:space="preserve">dat daar waar mogelijk </w:t>
      </w:r>
      <w:r w:rsidR="006232A6">
        <w:t xml:space="preserve">op korte termijn </w:t>
      </w:r>
      <w:r w:rsidR="00D766C9">
        <w:t>de benutting van de bestaande capaciteit, met bijvoorbeeld congestiemanagement maatregelen, optimaal wordt benut.</w:t>
      </w:r>
      <w:r w:rsidR="006232A6">
        <w:t xml:space="preserve"> </w:t>
      </w:r>
      <w:r>
        <w:t xml:space="preserve">  </w:t>
      </w:r>
    </w:p>
    <w:p w:rsidR="00E57319" w:rsidRDefault="00E57319" w14:paraId="7F647BD4" w14:textId="77777777"/>
    <w:p w:rsidR="00E57319" w:rsidRDefault="006232A6" w14:paraId="19FF7205" w14:textId="5E95E6E7">
      <w:r>
        <w:t xml:space="preserve">Tenslotte vragen de leden van de BBB-fractie of geborgd kan worden dat een deel van de stikstofreductie </w:t>
      </w:r>
      <w:r w:rsidRPr="006232A6">
        <w:t xml:space="preserve">ingezet </w:t>
      </w:r>
      <w:r>
        <w:t xml:space="preserve">wordt </w:t>
      </w:r>
      <w:r w:rsidRPr="006232A6">
        <w:t>voor de doelen van het stikstofregistratiesysteem (SSRS), zoals woningbouw in kustprovincies</w:t>
      </w:r>
      <w:r>
        <w:t xml:space="preserve">. </w:t>
      </w:r>
      <w:r w:rsidRPr="008F6BDB" w:rsidR="008F6BDB">
        <w:t xml:space="preserve">Bij het opstellen van de regeling is zo goed mogelijk rekening gehouden </w:t>
      </w:r>
      <w:r w:rsidR="00EE2466">
        <w:t xml:space="preserve">met het doel </w:t>
      </w:r>
      <w:r w:rsidRPr="008F6BDB" w:rsidR="008F6BDB">
        <w:t>om een deel van depositiereductie in te zetten als vulling van het SSRS</w:t>
      </w:r>
      <w:r w:rsidR="004466DB">
        <w:rPr>
          <w:rStyle w:val="FootnoteReference"/>
        </w:rPr>
        <w:footnoteReference w:id="1"/>
      </w:r>
      <w:r w:rsidR="00FC1B3F">
        <w:t>, naast het oorspronkelijke doel van de regeling</w:t>
      </w:r>
      <w:r w:rsidR="000709D5">
        <w:t>:</w:t>
      </w:r>
      <w:r w:rsidR="00FC1B3F">
        <w:t xml:space="preserve"> het realiseren van depositiereductie voor natuurbehoud en </w:t>
      </w:r>
      <w:r w:rsidR="000709D5">
        <w:t>-verbetering</w:t>
      </w:r>
      <w:r w:rsidRPr="008F6BDB" w:rsidR="008F6BDB">
        <w:t xml:space="preserve">. </w:t>
      </w:r>
      <w:r w:rsidRPr="00532748" w:rsidR="00532748">
        <w:t xml:space="preserve">Vanuit het SSRS kan </w:t>
      </w:r>
      <w:r w:rsidR="000709D5">
        <w:t xml:space="preserve">een deel van de depositiereductie </w:t>
      </w:r>
      <w:r w:rsidRPr="00532748" w:rsidR="00532748">
        <w:t xml:space="preserve">gebruikt worden voor </w:t>
      </w:r>
      <w:r w:rsidR="00CD0707">
        <w:t xml:space="preserve">de SSRS doelen, waaronder </w:t>
      </w:r>
      <w:r w:rsidRPr="00532748" w:rsidR="00532748">
        <w:t>woningbouw</w:t>
      </w:r>
      <w:r w:rsidR="00532748">
        <w:t>.</w:t>
      </w:r>
      <w:r w:rsidR="004466DB">
        <w:t xml:space="preserve"> </w:t>
      </w:r>
      <w:r w:rsidRPr="008F6BDB" w:rsidR="008F6BDB">
        <w:t xml:space="preserve">Het daadwerkelijk inzetten van </w:t>
      </w:r>
      <w:r w:rsidR="00FC1B3F">
        <w:t xml:space="preserve">reductie uit </w:t>
      </w:r>
      <w:r w:rsidRPr="008F6BDB" w:rsidR="008F6BDB">
        <w:t xml:space="preserve">walstroom </w:t>
      </w:r>
      <w:r w:rsidR="00FC1B3F">
        <w:t>voor toestemmingsverlening</w:t>
      </w:r>
      <w:r w:rsidR="000709D5">
        <w:t xml:space="preserve"> </w:t>
      </w:r>
      <w:r w:rsidR="00FC1B3F">
        <w:t xml:space="preserve">(via SSRS) is echter complex en </w:t>
      </w:r>
      <w:r w:rsidRPr="008F6BDB" w:rsidR="008F6BDB">
        <w:t>kent veel onzekerheden</w:t>
      </w:r>
      <w:r w:rsidR="000709D5">
        <w:t>. Z</w:t>
      </w:r>
      <w:r w:rsidR="00FC1B3F">
        <w:t xml:space="preserve">o </w:t>
      </w:r>
      <w:r w:rsidR="000709D5">
        <w:t xml:space="preserve">is </w:t>
      </w:r>
      <w:r w:rsidRPr="008F6BDB" w:rsidR="008F6BDB">
        <w:t xml:space="preserve">aan de voorkant onzeker of er subsidieaanvragen worden ingediend met een voor </w:t>
      </w:r>
      <w:r w:rsidR="00FC1B3F">
        <w:t xml:space="preserve">toestemmingsverlening </w:t>
      </w:r>
      <w:r w:rsidRPr="008F6BDB" w:rsidR="008F6BDB">
        <w:t>voldoende zekere en vooraf voorspelbare reductie</w:t>
      </w:r>
      <w:r w:rsidR="000709D5">
        <w:t xml:space="preserve">. Daarbij moet bijvoorbeeld vooraf zeker </w:t>
      </w:r>
      <w:r w:rsidR="00FC1B3F">
        <w:t xml:space="preserve">zijn hoeveel schepen voor hoeveel tijd daadwerkelijk walstroom </w:t>
      </w:r>
      <w:r w:rsidR="000709D5">
        <w:t xml:space="preserve">zullen </w:t>
      </w:r>
      <w:r w:rsidR="00FC1B3F">
        <w:t>gebruiken, en tot hoeveel emissie en depositiereductie dat leidt</w:t>
      </w:r>
      <w:r w:rsidR="0064577F">
        <w:t>. D</w:t>
      </w:r>
      <w:r w:rsidRPr="008F6BDB" w:rsidR="008F6BDB">
        <w:t>aar</w:t>
      </w:r>
      <w:r w:rsidR="000709D5">
        <w:t xml:space="preserve">bij </w:t>
      </w:r>
      <w:r w:rsidRPr="008F6BDB" w:rsidR="008F6BDB">
        <w:t>moet de depositiereductie geborgd worden door middel van afspraken met het bevoegd gezag en de subsidieaanvrager</w:t>
      </w:r>
      <w:r w:rsidR="0064577F">
        <w:t xml:space="preserve"> (zoals aanpassen vergunning)</w:t>
      </w:r>
      <w:r w:rsidR="002B2ECF">
        <w:t xml:space="preserve"> en moet rekening gehouden worden met het additionaliteitsvereiste</w:t>
      </w:r>
      <w:r w:rsidR="004466DB">
        <w:t>.</w:t>
      </w:r>
      <w:r w:rsidR="002B2ECF">
        <w:t xml:space="preserve"> </w:t>
      </w:r>
    </w:p>
    <w:p w:rsidR="004466DB" w:rsidRDefault="004466DB" w14:paraId="5134B899" w14:textId="77777777">
      <w:pPr>
        <w:pStyle w:val="Slotzin"/>
      </w:pPr>
    </w:p>
    <w:p w:rsidR="004466DB" w:rsidRDefault="004466DB" w14:paraId="3CA0A6E2" w14:textId="77777777">
      <w:pPr>
        <w:pStyle w:val="Slotzin"/>
      </w:pPr>
    </w:p>
    <w:p w:rsidR="004466DB" w:rsidRDefault="004466DB" w14:paraId="75EA63EA" w14:textId="77777777">
      <w:pPr>
        <w:pStyle w:val="Slotzin"/>
      </w:pPr>
    </w:p>
    <w:p w:rsidR="00FA5A83" w:rsidRDefault="004816DB" w14:paraId="7B11BBBF" w14:textId="7A2EF142">
      <w:pPr>
        <w:pStyle w:val="Slotzin"/>
      </w:pPr>
      <w:r>
        <w:t>Hoogachtend,</w:t>
      </w:r>
    </w:p>
    <w:p w:rsidR="00FA5A83" w:rsidRDefault="004816DB" w14:paraId="725C987A" w14:textId="77777777">
      <w:pPr>
        <w:pStyle w:val="OndertekeningArea1"/>
      </w:pPr>
      <w:r>
        <w:t>DE MINISTER VAN INFRASTRUCTUUR EN WATERSTAAT,</w:t>
      </w:r>
    </w:p>
    <w:p w:rsidR="00FA5A83" w:rsidRDefault="00FA5A83" w14:paraId="65527787" w14:textId="77777777"/>
    <w:p w:rsidR="00FA5A83" w:rsidRDefault="00FA5A83" w14:paraId="27C075F3" w14:textId="77777777"/>
    <w:p w:rsidR="00FA5A83" w:rsidRDefault="00FA5A83" w14:paraId="1D79A114" w14:textId="77777777"/>
    <w:p w:rsidR="00FA5A83" w:rsidRDefault="00FA5A83" w14:paraId="5E253FC6" w14:textId="77777777"/>
    <w:p w:rsidR="00FA5A83" w:rsidRDefault="007E63D2" w14:paraId="560C8205" w14:textId="4BBD564C">
      <w:r w:rsidRPr="00B931B8">
        <w:t>Barry Madlener</w:t>
      </w:r>
    </w:p>
    <w:sectPr w:rsidR="00FA5A83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5985A" w14:textId="77777777" w:rsidR="00AC086E" w:rsidRDefault="00AC086E">
      <w:pPr>
        <w:spacing w:line="240" w:lineRule="auto"/>
      </w:pPr>
      <w:r>
        <w:separator/>
      </w:r>
    </w:p>
  </w:endnote>
  <w:endnote w:type="continuationSeparator" w:id="0">
    <w:p w14:paraId="62FBBED0" w14:textId="77777777" w:rsidR="00AC086E" w:rsidRDefault="00AC0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E126E" w14:textId="77777777" w:rsidR="00AC086E" w:rsidRDefault="00AC086E">
      <w:pPr>
        <w:spacing w:line="240" w:lineRule="auto"/>
      </w:pPr>
      <w:r>
        <w:separator/>
      </w:r>
    </w:p>
  </w:footnote>
  <w:footnote w:type="continuationSeparator" w:id="0">
    <w:p w14:paraId="445550E9" w14:textId="77777777" w:rsidR="00AC086E" w:rsidRDefault="00AC086E">
      <w:pPr>
        <w:spacing w:line="240" w:lineRule="auto"/>
      </w:pPr>
      <w:r>
        <w:continuationSeparator/>
      </w:r>
    </w:p>
  </w:footnote>
  <w:footnote w:id="1">
    <w:p w14:paraId="7D8166D7" w14:textId="32225CF5" w:rsidR="004466DB" w:rsidRPr="004466DB" w:rsidRDefault="004466DB">
      <w:pPr>
        <w:pStyle w:val="FootnoteText"/>
        <w:rPr>
          <w:sz w:val="16"/>
          <w:szCs w:val="16"/>
        </w:rPr>
      </w:pPr>
      <w:r w:rsidRPr="004466DB">
        <w:rPr>
          <w:rStyle w:val="FootnoteReference"/>
          <w:sz w:val="16"/>
          <w:szCs w:val="16"/>
        </w:rPr>
        <w:footnoteRef/>
      </w:r>
      <w:r w:rsidRPr="004466DB">
        <w:rPr>
          <w:sz w:val="16"/>
          <w:szCs w:val="16"/>
        </w:rPr>
        <w:t xml:space="preserve">   Conform de kamerbrief van 30 juni 2021 (kenmerk DGA-DAD / 21135239) Kamerbrief over stand van zaken Subsidieregeling sanering varkenshouderijen | Kamerstuk | Rijksoverheid.nl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62A3" w14:textId="77777777" w:rsidR="00FA5A83" w:rsidRDefault="004816DB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9F245E0" wp14:editId="4E6F6E20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DD8571" w14:textId="77777777" w:rsidR="00FA5A83" w:rsidRDefault="004816D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3333441" w14:textId="77777777" w:rsidR="00B931B8" w:rsidRDefault="00B931B8" w:rsidP="00B931B8"/>
                        <w:p w14:paraId="4AEF04F3" w14:textId="77777777" w:rsidR="00B931B8" w:rsidRPr="00B931B8" w:rsidRDefault="00B931B8" w:rsidP="00B931B8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931B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4E9DBEDC" w14:textId="77777777" w:rsidR="00B931B8" w:rsidRPr="00B931B8" w:rsidRDefault="00B931B8" w:rsidP="00B931B8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B931B8">
                            <w:rPr>
                              <w:sz w:val="13"/>
                              <w:szCs w:val="13"/>
                            </w:rPr>
                            <w:t>IENW/BSK-2024/197304</w:t>
                          </w:r>
                        </w:p>
                        <w:p w14:paraId="5FE0B790" w14:textId="77777777" w:rsidR="00B931B8" w:rsidRPr="00B931B8" w:rsidRDefault="00B931B8" w:rsidP="00B931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F245E0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BDD8571" w14:textId="77777777" w:rsidR="00FA5A83" w:rsidRDefault="004816D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3333441" w14:textId="77777777" w:rsidR="00B931B8" w:rsidRDefault="00B931B8" w:rsidP="00B931B8"/>
                  <w:p w14:paraId="4AEF04F3" w14:textId="77777777" w:rsidR="00B931B8" w:rsidRPr="00B931B8" w:rsidRDefault="00B931B8" w:rsidP="00B931B8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931B8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4E9DBEDC" w14:textId="77777777" w:rsidR="00B931B8" w:rsidRPr="00B931B8" w:rsidRDefault="00B931B8" w:rsidP="00B931B8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B931B8">
                      <w:rPr>
                        <w:sz w:val="13"/>
                        <w:szCs w:val="13"/>
                      </w:rPr>
                      <w:t>IENW/BSK-2024/197304</w:t>
                    </w:r>
                  </w:p>
                  <w:p w14:paraId="5FE0B790" w14:textId="77777777" w:rsidR="00B931B8" w:rsidRPr="00B931B8" w:rsidRDefault="00B931B8" w:rsidP="00B931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3E0B3F8" wp14:editId="7E64EB9C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E7856" w14:textId="77777777" w:rsidR="00FA5A83" w:rsidRDefault="004816D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64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64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E0B3F8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F8E7856" w14:textId="77777777" w:rsidR="00FA5A83" w:rsidRDefault="004816D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64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64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0AFBA8F" wp14:editId="7094AF3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F652CD" w14:textId="77777777" w:rsidR="001620BD" w:rsidRDefault="001620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AFBA8F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8F652CD" w14:textId="77777777" w:rsidR="001620BD" w:rsidRDefault="001620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3133584" wp14:editId="62F8C81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F443FE" w14:textId="77777777" w:rsidR="001620BD" w:rsidRDefault="001620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33584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FF443FE" w14:textId="77777777" w:rsidR="001620BD" w:rsidRDefault="001620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AA41E" w14:textId="77777777" w:rsidR="00FA5A83" w:rsidRDefault="004816D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D220574" wp14:editId="1D383C3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4987A" w14:textId="77777777" w:rsidR="001620BD" w:rsidRDefault="001620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220574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044987A" w14:textId="77777777" w:rsidR="001620BD" w:rsidRDefault="001620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169B975" wp14:editId="1FFC83F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5CBEA" w14:textId="53411525" w:rsidR="00FA5A83" w:rsidRDefault="004816D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53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53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69B975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3BC5CBEA" w14:textId="53411525" w:rsidR="00FA5A83" w:rsidRDefault="004816D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53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53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55E5E23" wp14:editId="004E374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AF581" w14:textId="77777777" w:rsidR="00FA5A83" w:rsidRDefault="004816D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0E8F93A" w14:textId="77777777" w:rsidR="00FA5A83" w:rsidRDefault="00FA5A83">
                          <w:pPr>
                            <w:pStyle w:val="WitregelW1"/>
                          </w:pPr>
                        </w:p>
                        <w:p w14:paraId="34AE1C16" w14:textId="77777777" w:rsidR="00FA5A83" w:rsidRDefault="004816D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6783D27" w14:textId="77777777" w:rsidR="00FA5A83" w:rsidRPr="00FE6416" w:rsidRDefault="004816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641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DCECDBF" w14:textId="77777777" w:rsidR="00FA5A83" w:rsidRPr="00FE6416" w:rsidRDefault="004816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641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1B7E44B" w14:textId="77777777" w:rsidR="00FA5A83" w:rsidRPr="00FE6416" w:rsidRDefault="004816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641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6BDC4CC" w14:textId="77777777" w:rsidR="00FA5A83" w:rsidRPr="00FE6416" w:rsidRDefault="00FA5A8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9339EC0" w14:textId="77777777" w:rsidR="00FA5A83" w:rsidRPr="00FE6416" w:rsidRDefault="004816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641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C5E0105" w14:textId="77777777" w:rsidR="00FA5A83" w:rsidRDefault="004816D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AAB8F53" w14:textId="77777777" w:rsidR="00B931B8" w:rsidRDefault="00B931B8" w:rsidP="00B931B8"/>
                        <w:p w14:paraId="0C4B474C" w14:textId="3B3B7FCB" w:rsidR="00B931B8" w:rsidRPr="00B931B8" w:rsidRDefault="00B931B8" w:rsidP="00B931B8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931B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143743D1" w14:textId="136FA066" w:rsidR="00B931B8" w:rsidRDefault="00B931B8" w:rsidP="00B931B8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B931B8">
                            <w:rPr>
                              <w:sz w:val="13"/>
                              <w:szCs w:val="13"/>
                            </w:rPr>
                            <w:t>IENW/BSK-2024/197304</w:t>
                          </w:r>
                        </w:p>
                        <w:p w14:paraId="319D3D8F" w14:textId="77777777" w:rsidR="00A460CC" w:rsidRDefault="00A460CC" w:rsidP="00B931B8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B533F4C" w14:textId="43C8F6A2" w:rsidR="00A460CC" w:rsidRPr="00A460CC" w:rsidRDefault="00A460CC" w:rsidP="00B931B8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460C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18D6F47A" w14:textId="096DB9E0" w:rsidR="00A460CC" w:rsidRPr="00B931B8" w:rsidRDefault="00A460CC" w:rsidP="00B931B8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5E5E23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03AF581" w14:textId="77777777" w:rsidR="00FA5A83" w:rsidRDefault="004816D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0E8F93A" w14:textId="77777777" w:rsidR="00FA5A83" w:rsidRDefault="00FA5A83">
                    <w:pPr>
                      <w:pStyle w:val="WitregelW1"/>
                    </w:pPr>
                  </w:p>
                  <w:p w14:paraId="34AE1C16" w14:textId="77777777" w:rsidR="00FA5A83" w:rsidRDefault="004816DB">
                    <w:pPr>
                      <w:pStyle w:val="Afzendgegevens"/>
                    </w:pPr>
                    <w:r>
                      <w:t>Rijnstraat 8</w:t>
                    </w:r>
                  </w:p>
                  <w:p w14:paraId="16783D27" w14:textId="77777777" w:rsidR="00FA5A83" w:rsidRPr="00FE6416" w:rsidRDefault="004816DB">
                    <w:pPr>
                      <w:pStyle w:val="Afzendgegevens"/>
                      <w:rPr>
                        <w:lang w:val="de-DE"/>
                      </w:rPr>
                    </w:pPr>
                    <w:r w:rsidRPr="00FE6416">
                      <w:rPr>
                        <w:lang w:val="de-DE"/>
                      </w:rPr>
                      <w:t>2515 XP  Den Haag</w:t>
                    </w:r>
                  </w:p>
                  <w:p w14:paraId="1DCECDBF" w14:textId="77777777" w:rsidR="00FA5A83" w:rsidRPr="00FE6416" w:rsidRDefault="004816DB">
                    <w:pPr>
                      <w:pStyle w:val="Afzendgegevens"/>
                      <w:rPr>
                        <w:lang w:val="de-DE"/>
                      </w:rPr>
                    </w:pPr>
                    <w:r w:rsidRPr="00FE6416">
                      <w:rPr>
                        <w:lang w:val="de-DE"/>
                      </w:rPr>
                      <w:t>Postbus 20901</w:t>
                    </w:r>
                  </w:p>
                  <w:p w14:paraId="21B7E44B" w14:textId="77777777" w:rsidR="00FA5A83" w:rsidRPr="00FE6416" w:rsidRDefault="004816DB">
                    <w:pPr>
                      <w:pStyle w:val="Afzendgegevens"/>
                      <w:rPr>
                        <w:lang w:val="de-DE"/>
                      </w:rPr>
                    </w:pPr>
                    <w:r w:rsidRPr="00FE6416">
                      <w:rPr>
                        <w:lang w:val="de-DE"/>
                      </w:rPr>
                      <w:t>2500 EX Den Haag</w:t>
                    </w:r>
                  </w:p>
                  <w:p w14:paraId="26BDC4CC" w14:textId="77777777" w:rsidR="00FA5A83" w:rsidRPr="00FE6416" w:rsidRDefault="00FA5A8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9339EC0" w14:textId="77777777" w:rsidR="00FA5A83" w:rsidRPr="00FE6416" w:rsidRDefault="004816DB">
                    <w:pPr>
                      <w:pStyle w:val="Afzendgegevens"/>
                      <w:rPr>
                        <w:lang w:val="de-DE"/>
                      </w:rPr>
                    </w:pPr>
                    <w:r w:rsidRPr="00FE6416">
                      <w:rPr>
                        <w:lang w:val="de-DE"/>
                      </w:rPr>
                      <w:t>T   070-456 0000</w:t>
                    </w:r>
                  </w:p>
                  <w:p w14:paraId="2C5E0105" w14:textId="77777777" w:rsidR="00FA5A83" w:rsidRDefault="004816D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AAB8F53" w14:textId="77777777" w:rsidR="00B931B8" w:rsidRDefault="00B931B8" w:rsidP="00B931B8"/>
                  <w:p w14:paraId="0C4B474C" w14:textId="3B3B7FCB" w:rsidR="00B931B8" w:rsidRPr="00B931B8" w:rsidRDefault="00B931B8" w:rsidP="00B931B8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931B8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143743D1" w14:textId="136FA066" w:rsidR="00B931B8" w:rsidRDefault="00B931B8" w:rsidP="00B931B8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B931B8">
                      <w:rPr>
                        <w:sz w:val="13"/>
                        <w:szCs w:val="13"/>
                      </w:rPr>
                      <w:t>IENW/BSK-2024/197304</w:t>
                    </w:r>
                  </w:p>
                  <w:p w14:paraId="319D3D8F" w14:textId="77777777" w:rsidR="00A460CC" w:rsidRDefault="00A460CC" w:rsidP="00B931B8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B533F4C" w14:textId="43C8F6A2" w:rsidR="00A460CC" w:rsidRPr="00A460CC" w:rsidRDefault="00A460CC" w:rsidP="00B931B8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460CC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18D6F47A" w14:textId="096DB9E0" w:rsidR="00A460CC" w:rsidRPr="00B931B8" w:rsidRDefault="00A460CC" w:rsidP="00B931B8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3ABCBCD" wp14:editId="00B660F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A93019" w14:textId="77777777" w:rsidR="001620BD" w:rsidRDefault="001620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BCBC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DA93019" w14:textId="77777777" w:rsidR="001620BD" w:rsidRDefault="001620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FB30F17" wp14:editId="4356CF0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9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34E8B" w14:textId="77777777" w:rsidR="00FA5A83" w:rsidRDefault="004816D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879BE2B" wp14:editId="618151E8">
                                <wp:extent cx="2339975" cy="1582834"/>
                                <wp:effectExtent l="0" t="0" r="0" b="0"/>
                                <wp:docPr id="10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B30F17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CRMQAiwgEAAFQ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3F634E8B" w14:textId="77777777" w:rsidR="00FA5A83" w:rsidRDefault="004816D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879BE2B" wp14:editId="618151E8">
                          <wp:extent cx="2339975" cy="1582834"/>
                          <wp:effectExtent l="0" t="0" r="0" b="0"/>
                          <wp:docPr id="10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504316" wp14:editId="462A882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1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3E476" w14:textId="77777777" w:rsidR="00FA5A83" w:rsidRDefault="004816D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04316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k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S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CJTbBk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B53E476" w14:textId="77777777" w:rsidR="00FA5A83" w:rsidRDefault="004816D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8B5D5AC" wp14:editId="22D3065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2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0C618" w14:textId="77777777" w:rsidR="00FA5A83" w:rsidRDefault="004816D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5D5AC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Oawg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1dRYpjGGe2r&#10;Xd3vu11WV2uelaUQWb3dbrKi2lSMlyh7sY7CTc43WP/kECHM7+yMIEvcYzDqMUvQ8YudEszjCC43&#10;2cUcCMfgenNX1rstJRxzZbG/2xZpMPlruQMfPgirSXRaCjjXJDc7f/IBqeDV5Up8zdhHNY4xHjle&#10;uUQvzN18bTY9EEOd7S/IH1cYcQcLPymZcB1a6n88MxCUjB8N6h13Z3FgcbrFYYZjaUsDJVf3fUg7&#10;tjDA4SWOL4sWt+P3c+L5+jscfwE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DPrE5r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CE0C618" w14:textId="77777777" w:rsidR="00FA5A83" w:rsidRDefault="004816D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4A7362A" wp14:editId="6DD594B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3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A5A83" w14:paraId="3ABC11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02758D" w14:textId="77777777" w:rsidR="00FA5A83" w:rsidRDefault="00FA5A83"/>
                            </w:tc>
                            <w:tc>
                              <w:tcPr>
                                <w:tcW w:w="5400" w:type="dxa"/>
                              </w:tcPr>
                              <w:p w14:paraId="3A6473D2" w14:textId="77777777" w:rsidR="00FA5A83" w:rsidRDefault="00FA5A83"/>
                            </w:tc>
                          </w:tr>
                          <w:tr w:rsidR="00FA5A83" w14:paraId="6B2B7D2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004576" w14:textId="77777777" w:rsidR="00FA5A83" w:rsidRDefault="004816D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175B19D" w14:textId="5B1EA503" w:rsidR="00FA5A83" w:rsidRDefault="00A460CC">
                                <w:r>
                                  <w:t>5 augustus 2024</w:t>
                                </w:r>
                              </w:p>
                            </w:tc>
                          </w:tr>
                          <w:tr w:rsidR="00FA5A83" w14:paraId="7DBAFD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6DD01B" w14:textId="77777777" w:rsidR="00FA5A83" w:rsidRDefault="004816D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D594D1" w14:textId="21E636DD" w:rsidR="00FA5A83" w:rsidRDefault="007537E1">
                                <w:r>
                                  <w:t>Beantwoording</w:t>
                                </w:r>
                                <w:r w:rsidR="004816DB">
                                  <w:t xml:space="preserve"> vragen over de </w:t>
                                </w:r>
                                <w:r w:rsidR="004466DB">
                                  <w:t>o</w:t>
                                </w:r>
                                <w:r w:rsidR="004816DB">
                                  <w:t xml:space="preserve">ntwerp </w:t>
                                </w:r>
                                <w:r w:rsidR="004466DB">
                                  <w:t>t</w:t>
                                </w:r>
                                <w:r w:rsidR="004816DB">
                                  <w:t>ijdelijke subsidieregeling walstroom zeeschepen 2024-2027</w:t>
                                </w:r>
                              </w:p>
                            </w:tc>
                          </w:tr>
                          <w:tr w:rsidR="00FA5A83" w14:paraId="765F2EA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926C9A" w14:textId="77777777" w:rsidR="00FA5A83" w:rsidRDefault="00FA5A83"/>
                            </w:tc>
                            <w:tc>
                              <w:tcPr>
                                <w:tcW w:w="5400" w:type="dxa"/>
                              </w:tcPr>
                              <w:p w14:paraId="515CF63C" w14:textId="77777777" w:rsidR="00FA5A83" w:rsidRDefault="00FA5A83"/>
                            </w:tc>
                          </w:tr>
                        </w:tbl>
                        <w:p w14:paraId="3C8E2BEA" w14:textId="77777777" w:rsidR="001620BD" w:rsidRDefault="001620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A7362A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Cysx9V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A5A83" w14:paraId="3ABC11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02758D" w14:textId="77777777" w:rsidR="00FA5A83" w:rsidRDefault="00FA5A83"/>
                      </w:tc>
                      <w:tc>
                        <w:tcPr>
                          <w:tcW w:w="5400" w:type="dxa"/>
                        </w:tcPr>
                        <w:p w14:paraId="3A6473D2" w14:textId="77777777" w:rsidR="00FA5A83" w:rsidRDefault="00FA5A83"/>
                      </w:tc>
                    </w:tr>
                    <w:tr w:rsidR="00FA5A83" w14:paraId="6B2B7D2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004576" w14:textId="77777777" w:rsidR="00FA5A83" w:rsidRDefault="004816D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175B19D" w14:textId="5B1EA503" w:rsidR="00FA5A83" w:rsidRDefault="00A460CC">
                          <w:r>
                            <w:t>5 augustus 2024</w:t>
                          </w:r>
                        </w:p>
                      </w:tc>
                    </w:tr>
                    <w:tr w:rsidR="00FA5A83" w14:paraId="7DBAFD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6DD01B" w14:textId="77777777" w:rsidR="00FA5A83" w:rsidRDefault="004816D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D594D1" w14:textId="21E636DD" w:rsidR="00FA5A83" w:rsidRDefault="007537E1">
                          <w:r>
                            <w:t>Beantwoording</w:t>
                          </w:r>
                          <w:r w:rsidR="004816DB">
                            <w:t xml:space="preserve"> vragen over de </w:t>
                          </w:r>
                          <w:r w:rsidR="004466DB">
                            <w:t>o</w:t>
                          </w:r>
                          <w:r w:rsidR="004816DB">
                            <w:t xml:space="preserve">ntwerp </w:t>
                          </w:r>
                          <w:r w:rsidR="004466DB">
                            <w:t>t</w:t>
                          </w:r>
                          <w:r w:rsidR="004816DB">
                            <w:t>ijdelijke subsidieregeling walstroom zeeschepen 2024-2027</w:t>
                          </w:r>
                        </w:p>
                      </w:tc>
                    </w:tr>
                    <w:tr w:rsidR="00FA5A83" w14:paraId="765F2EA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926C9A" w14:textId="77777777" w:rsidR="00FA5A83" w:rsidRDefault="00FA5A83"/>
                      </w:tc>
                      <w:tc>
                        <w:tcPr>
                          <w:tcW w:w="5400" w:type="dxa"/>
                        </w:tcPr>
                        <w:p w14:paraId="515CF63C" w14:textId="77777777" w:rsidR="00FA5A83" w:rsidRDefault="00FA5A83"/>
                      </w:tc>
                    </w:tr>
                  </w:tbl>
                  <w:p w14:paraId="3C8E2BEA" w14:textId="77777777" w:rsidR="001620BD" w:rsidRDefault="001620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5B717CF" wp14:editId="4C19264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35CCC" w14:textId="77777777" w:rsidR="001620BD" w:rsidRDefault="001620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B717CF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vELm7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E935CCC" w14:textId="77777777" w:rsidR="001620BD" w:rsidRDefault="001620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043A4D"/>
    <w:multiLevelType w:val="multilevel"/>
    <w:tmpl w:val="F674A667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2C0F0D"/>
    <w:multiLevelType w:val="multilevel"/>
    <w:tmpl w:val="2478393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430F83"/>
    <w:multiLevelType w:val="multilevel"/>
    <w:tmpl w:val="61ADE59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51C338"/>
    <w:multiLevelType w:val="multilevel"/>
    <w:tmpl w:val="D2A555A4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C0316EC"/>
    <w:multiLevelType w:val="multilevel"/>
    <w:tmpl w:val="7D3C27C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F09C13B"/>
    <w:multiLevelType w:val="multilevel"/>
    <w:tmpl w:val="4245FCE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05FECE5"/>
    <w:multiLevelType w:val="multilevel"/>
    <w:tmpl w:val="7DCBD9A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503D8E5"/>
    <w:multiLevelType w:val="multilevel"/>
    <w:tmpl w:val="C465ACC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CBC13BE"/>
    <w:multiLevelType w:val="multilevel"/>
    <w:tmpl w:val="04AE606F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E0D9DC2"/>
    <w:multiLevelType w:val="multilevel"/>
    <w:tmpl w:val="020E8C0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3A95481"/>
    <w:multiLevelType w:val="multilevel"/>
    <w:tmpl w:val="CDFEEA4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6BE9D5F"/>
    <w:multiLevelType w:val="multilevel"/>
    <w:tmpl w:val="75B74BBC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DA8B965"/>
    <w:multiLevelType w:val="multilevel"/>
    <w:tmpl w:val="584FF7D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70107B0"/>
    <w:multiLevelType w:val="multilevel"/>
    <w:tmpl w:val="0016B3F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D9A54C"/>
    <w:multiLevelType w:val="multilevel"/>
    <w:tmpl w:val="7FB01AC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7556A5"/>
    <w:multiLevelType w:val="multilevel"/>
    <w:tmpl w:val="F0630202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50DF95"/>
    <w:multiLevelType w:val="multilevel"/>
    <w:tmpl w:val="F49747D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5B6EBD"/>
    <w:multiLevelType w:val="multilevel"/>
    <w:tmpl w:val="0A52623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13C569"/>
    <w:multiLevelType w:val="multilevel"/>
    <w:tmpl w:val="1B2F4CD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3A628CDE"/>
    <w:multiLevelType w:val="multilevel"/>
    <w:tmpl w:val="D0B62F1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CBCD4"/>
    <w:multiLevelType w:val="multilevel"/>
    <w:tmpl w:val="1C31A1D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86C5BC"/>
    <w:multiLevelType w:val="multilevel"/>
    <w:tmpl w:val="9D6A3AE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1C0FFA"/>
    <w:multiLevelType w:val="multilevel"/>
    <w:tmpl w:val="BA2050D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6"/>
  </w:num>
  <w:num w:numId="5">
    <w:abstractNumId w:val="18"/>
  </w:num>
  <w:num w:numId="6">
    <w:abstractNumId w:val="5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16"/>
  </w:num>
  <w:num w:numId="17">
    <w:abstractNumId w:val="1"/>
  </w:num>
  <w:num w:numId="18">
    <w:abstractNumId w:val="17"/>
  </w:num>
  <w:num w:numId="19">
    <w:abstractNumId w:val="21"/>
  </w:num>
  <w:num w:numId="20">
    <w:abstractNumId w:val="0"/>
  </w:num>
  <w:num w:numId="21">
    <w:abstractNumId w:val="22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6"/>
    <w:rsid w:val="00017375"/>
    <w:rsid w:val="00024362"/>
    <w:rsid w:val="0003654E"/>
    <w:rsid w:val="00060579"/>
    <w:rsid w:val="000709D5"/>
    <w:rsid w:val="00070EFF"/>
    <w:rsid w:val="00081A17"/>
    <w:rsid w:val="000A5CAD"/>
    <w:rsid w:val="000D24CC"/>
    <w:rsid w:val="0010110E"/>
    <w:rsid w:val="001112BF"/>
    <w:rsid w:val="00146CE3"/>
    <w:rsid w:val="001507FC"/>
    <w:rsid w:val="00160B28"/>
    <w:rsid w:val="001620BD"/>
    <w:rsid w:val="001933F3"/>
    <w:rsid w:val="001B1C59"/>
    <w:rsid w:val="002041C4"/>
    <w:rsid w:val="00245DB6"/>
    <w:rsid w:val="00255E75"/>
    <w:rsid w:val="00277542"/>
    <w:rsid w:val="00280B03"/>
    <w:rsid w:val="002B2ECF"/>
    <w:rsid w:val="003A7538"/>
    <w:rsid w:val="004147D4"/>
    <w:rsid w:val="004466DB"/>
    <w:rsid w:val="004816DB"/>
    <w:rsid w:val="004C6722"/>
    <w:rsid w:val="004F6D23"/>
    <w:rsid w:val="00530FC6"/>
    <w:rsid w:val="00532748"/>
    <w:rsid w:val="00590F81"/>
    <w:rsid w:val="005C1AAF"/>
    <w:rsid w:val="0060079B"/>
    <w:rsid w:val="006232A6"/>
    <w:rsid w:val="0064577F"/>
    <w:rsid w:val="006E3067"/>
    <w:rsid w:val="007008CD"/>
    <w:rsid w:val="007537E1"/>
    <w:rsid w:val="007933E0"/>
    <w:rsid w:val="007D7F09"/>
    <w:rsid w:val="007E63D2"/>
    <w:rsid w:val="00844CF1"/>
    <w:rsid w:val="008519AE"/>
    <w:rsid w:val="00872DA2"/>
    <w:rsid w:val="008A212B"/>
    <w:rsid w:val="008C043B"/>
    <w:rsid w:val="008D6297"/>
    <w:rsid w:val="008E5462"/>
    <w:rsid w:val="008F6BDB"/>
    <w:rsid w:val="00912671"/>
    <w:rsid w:val="0091606F"/>
    <w:rsid w:val="009307BE"/>
    <w:rsid w:val="00991374"/>
    <w:rsid w:val="00992947"/>
    <w:rsid w:val="00A05C3F"/>
    <w:rsid w:val="00A41FBC"/>
    <w:rsid w:val="00A460CC"/>
    <w:rsid w:val="00A73167"/>
    <w:rsid w:val="00A937AB"/>
    <w:rsid w:val="00A957A8"/>
    <w:rsid w:val="00AA74A9"/>
    <w:rsid w:val="00AC086E"/>
    <w:rsid w:val="00B53AFF"/>
    <w:rsid w:val="00B60607"/>
    <w:rsid w:val="00B931B8"/>
    <w:rsid w:val="00BC5384"/>
    <w:rsid w:val="00BF3F66"/>
    <w:rsid w:val="00C02466"/>
    <w:rsid w:val="00C26284"/>
    <w:rsid w:val="00C73C78"/>
    <w:rsid w:val="00CD0707"/>
    <w:rsid w:val="00CE55EE"/>
    <w:rsid w:val="00D1364E"/>
    <w:rsid w:val="00D25F23"/>
    <w:rsid w:val="00D429F5"/>
    <w:rsid w:val="00D766C9"/>
    <w:rsid w:val="00DF7385"/>
    <w:rsid w:val="00E40D6D"/>
    <w:rsid w:val="00E57319"/>
    <w:rsid w:val="00E66FFE"/>
    <w:rsid w:val="00EB719B"/>
    <w:rsid w:val="00EE2466"/>
    <w:rsid w:val="00F066B8"/>
    <w:rsid w:val="00F15C9E"/>
    <w:rsid w:val="00F41995"/>
    <w:rsid w:val="00F71C86"/>
    <w:rsid w:val="00FA5A83"/>
    <w:rsid w:val="00FC1B3F"/>
    <w:rsid w:val="00FD03E1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21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E641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1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641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16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466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466"/>
    <w:rPr>
      <w:rFonts w:ascii="Verdana" w:eastAsiaTheme="minorHAnsi" w:hAnsi="Verdana" w:cstheme="minorBidi"/>
      <w:lang w:eastAsia="en-US"/>
    </w:rPr>
  </w:style>
  <w:style w:type="paragraph" w:styleId="Revision">
    <w:name w:val="Revision"/>
    <w:hidden/>
    <w:uiPriority w:val="99"/>
    <w:semiHidden/>
    <w:rsid w:val="00844CF1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CF1"/>
    <w:pPr>
      <w:autoSpaceDN w:val="0"/>
      <w:spacing w:after="0"/>
      <w:textAlignment w:val="baseline"/>
    </w:pPr>
    <w:rPr>
      <w:rFonts w:eastAsia="DejaVu Sans" w:cs="Lohit Hindi"/>
      <w:b/>
      <w:bCs/>
      <w:color w:val="000000"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CF1"/>
    <w:rPr>
      <w:rFonts w:ascii="Verdana" w:eastAsiaTheme="minorHAnsi" w:hAnsi="Verdana" w:cstheme="minorBidi"/>
      <w:b/>
      <w:bCs/>
      <w:color w:val="00000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E3067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6D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6D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46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e7b40a7-8a30-46b2-a224-03c1cdffe4e1}" enabled="1" method="Standard" siteId="{6f9c9947-3a32-45de-834e-3b44abdccf0c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1047</ap:Words>
  <ap:Characters>5969</ap:Characters>
  <ap:DocSecurity>0</ap:DocSecurity>
  <ap:Lines>49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reactie op vragen over de Ontwerp van de Tijdelijke subsidieregeling walstroom zeeschepen 2024- 2027</vt:lpstr>
    </vt:vector>
  </ap:TitlesOfParts>
  <ap:LinksUpToDate>false</ap:LinksUpToDate>
  <ap:CharactersWithSpaces>7002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2024-08-05T11:56:00.0000000Z</dcterms:created>
  <dcterms:modified xsi:type="dcterms:W3CDTF">2024-08-05T11:56:00.0000000Z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op vragen over de Ontwerp van de Tijdelijke subsidieregeling walstroom zeeschepen 2024- 2027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