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320187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BB3ED1" w14:paraId="6C2ECD27" w14:textId="0EAE1FD1">
            <w:pPr>
              <w:pStyle w:val="datumonderwerp"/>
              <w:tabs>
                <w:tab w:val="clear" w:pos="794"/>
                <w:tab w:val="left" w:pos="1092"/>
              </w:tabs>
            </w:pPr>
            <w:r>
              <w:t>31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320187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47FA2B73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BB3ED1">
              <w:t>het bericht dat het aantal mensen in behandeling om hun gokverslaving opnieuw fors is toegenomen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BB3ED1" w14:paraId="2A2BBFB1" w14:textId="33EC8BBE">
            <w:pPr>
              <w:pStyle w:val="referentiegegevens"/>
            </w:pPr>
            <w:r>
              <w:t>5616644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="00C6487D" w:rsidP="00133AE9" w:rsidRDefault="00BB3ED1" w14:paraId="7E785020" w14:textId="52C969F5">
            <w:pPr>
              <w:pStyle w:val="referentiegegevens"/>
              <w:rPr>
                <w:b/>
                <w:bCs/>
              </w:rPr>
            </w:pPr>
            <w:r>
              <w:t>2024Z11929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2A72DD89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BB3ED1">
        <w:rPr>
          <w:rFonts w:cs="Utopia"/>
          <w:color w:val="000000"/>
        </w:rPr>
        <w:t>de leden</w:t>
      </w:r>
      <w:r w:rsidR="00F64F6A">
        <w:t xml:space="preserve"> </w:t>
      </w:r>
      <w:r w:rsidR="00BB3ED1">
        <w:t>van Nispen (SP) en Bikker (ChristenUnie)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BB3ED1">
        <w:rPr>
          <w:rFonts w:cs="Utopia"/>
          <w:color w:val="000000"/>
        </w:rPr>
        <w:t>staatssecretaris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BB3ED1">
        <w:t>het bericht dat het aantal mensen in behandeling om hun gokverslaving opnieuw fors is toegenomen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BB3ED1">
        <w:t>10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3F370A91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BB3ED1">
        <w:t>Staatssecretaris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BB3ED1" w14:paraId="6B6473DD" w14:textId="50D173B0">
          <w:pPr>
            <w:pStyle w:val="broodtekst"/>
            <w:rPr>
              <w:szCs w:val="24"/>
            </w:rPr>
          </w:pPr>
          <w:r>
            <w:t>T.H.D. Struycken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20187">
            <w:fldChar w:fldCharType="begin"/>
          </w:r>
          <w:r w:rsidR="00320187">
            <w:instrText xml:space="preserve"> NUMPAGES   \* MERGEFORMAT </w:instrText>
          </w:r>
          <w:r w:rsidR="00320187">
            <w:fldChar w:fldCharType="separate"/>
          </w:r>
          <w:r w:rsidR="00FC0F20">
            <w:t>1</w:t>
          </w:r>
          <w:r w:rsidR="0032018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20187">
            <w:fldChar w:fldCharType="begin"/>
          </w:r>
          <w:r w:rsidR="00320187">
            <w:instrText xml:space="preserve"> SECTIONPAGES   \* MERGEFORMAT </w:instrText>
          </w:r>
          <w:r w:rsidR="00320187">
            <w:fldChar w:fldCharType="separate"/>
          </w:r>
          <w:r>
            <w:t>1</w:t>
          </w:r>
          <w:r w:rsidR="00320187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20187">
            <w:fldChar w:fldCharType="begin"/>
          </w:r>
          <w:r w:rsidR="00320187">
            <w:instrText xml:space="preserve"> SECTIONPAGES   \* MERGEFORMAT </w:instrText>
          </w:r>
          <w:r w:rsidR="00320187">
            <w:fldChar w:fldCharType="separate"/>
          </w:r>
          <w:r w:rsidR="003604F9">
            <w:t>2</w:t>
          </w:r>
          <w:r w:rsidR="00320187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57C1D7F1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20187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20187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3ED1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218</ap:Words>
  <ap:Characters>1205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2024-07-31T12:56:00.0000000Z</dcterms:created>
  <dcterms:modified xsi:type="dcterms:W3CDTF">2024-07-31T12:56:00.0000000Z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