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5550" w:rsidP="00A45550" w:rsidRDefault="00A45550" w14:paraId="42FD1A82" w14:textId="77777777">
      <w:pPr>
        <w:spacing w:line="276" w:lineRule="auto"/>
      </w:pPr>
    </w:p>
    <w:p w:rsidR="00235E09" w:rsidP="00A45550" w:rsidRDefault="00235E09" w14:paraId="256D52A7" w14:textId="77777777">
      <w:pPr>
        <w:spacing w:line="276" w:lineRule="auto"/>
      </w:pPr>
    </w:p>
    <w:p w:rsidR="009208FB" w:rsidP="00A45550" w:rsidRDefault="009208FB" w14:paraId="282ECA33" w14:textId="52D08AE5">
      <w:pPr>
        <w:spacing w:line="276" w:lineRule="auto"/>
      </w:pPr>
      <w:r>
        <w:t>Geachte voorzitter,</w:t>
      </w:r>
    </w:p>
    <w:p w:rsidR="009208FB" w:rsidP="00A45550" w:rsidRDefault="009208FB" w14:paraId="260FD222" w14:textId="77777777">
      <w:pPr>
        <w:spacing w:line="276" w:lineRule="auto"/>
      </w:pPr>
    </w:p>
    <w:p w:rsidR="00A45550" w:rsidP="00A45550" w:rsidRDefault="00A45550" w14:paraId="47F652C3" w14:textId="77777777">
      <w:pPr>
        <w:spacing w:line="276" w:lineRule="auto"/>
      </w:pPr>
    </w:p>
    <w:p w:rsidRPr="005E35A7" w:rsidR="009208FB" w:rsidP="00A45550" w:rsidRDefault="009208FB" w14:paraId="47FD2064" w14:textId="77777777">
      <w:pPr>
        <w:spacing w:line="276" w:lineRule="auto"/>
      </w:pPr>
      <w:r w:rsidRPr="005E35A7">
        <w:rPr>
          <w:rFonts w:eastAsia="Verdana" w:cs="Verdana"/>
        </w:rPr>
        <w:t>Graag informeer ik uw Kamer over een voorstel voor een Raadsbesluit betreffende het namens de Europese Unie (EU) in te nemen standpunt ten aanzien van een conceptbesluit van het Gemengd Comité ingesteld bij de Brede en Economische Handelsovereenkomst tussen de EU en Canada (CETA).</w:t>
      </w:r>
      <w:r w:rsidRPr="005E35A7">
        <w:rPr>
          <w:rStyle w:val="FootnoteReference"/>
          <w:rFonts w:eastAsia="Verdana" w:cs="Verdana"/>
        </w:rPr>
        <w:footnoteReference w:id="1"/>
      </w:r>
      <w:r w:rsidRPr="005E35A7">
        <w:rPr>
          <w:rFonts w:eastAsia="Verdana" w:cs="Verdana"/>
        </w:rPr>
        <w:t xml:space="preserve"> </w:t>
      </w:r>
      <w:r w:rsidRPr="005E35A7">
        <w:rPr>
          <w:rFonts w:eastAsia="Calibri" w:cs="Calibri"/>
        </w:rPr>
        <w:t xml:space="preserve">Dit voorstel heeft de Europese Commissie (Commissie) op 26 april jl. gepubliceerd (bijlage). In deze brief wordt ingegaan op de inhoud van het voorstel, appreciatie, en het standpunt dat het kabinet zal innemen bij besluitvorming in de Raad. </w:t>
      </w:r>
    </w:p>
    <w:p w:rsidR="009208FB" w:rsidP="009208FB" w:rsidRDefault="009208FB" w14:paraId="54D08574" w14:textId="77777777">
      <w:r w:rsidRPr="6CF3CA16">
        <w:rPr>
          <w:rFonts w:eastAsia="Verdana" w:cs="Verdana"/>
        </w:rPr>
        <w:t xml:space="preserve"> </w:t>
      </w:r>
    </w:p>
    <w:p w:rsidR="00A45550" w:rsidP="009208FB" w:rsidRDefault="00A45550" w14:paraId="6ADD46F7" w14:textId="77777777">
      <w:pPr>
        <w:rPr>
          <w:rFonts w:eastAsia="Verdana" w:cs="Verdana"/>
          <w:b/>
          <w:bCs/>
        </w:rPr>
      </w:pPr>
    </w:p>
    <w:p w:rsidR="009208FB" w:rsidP="009208FB" w:rsidRDefault="009208FB" w14:paraId="5E9C86E9" w14:textId="075BE142">
      <w:r w:rsidRPr="6CF3CA16">
        <w:rPr>
          <w:rFonts w:eastAsia="Verdana" w:cs="Verdana"/>
          <w:b/>
          <w:bCs/>
        </w:rPr>
        <w:t>Toelichting op het conceptbesluit CETA Gemengd Comité</w:t>
      </w:r>
    </w:p>
    <w:p w:rsidR="009208FB" w:rsidP="00A45550" w:rsidRDefault="009208FB" w14:paraId="35F07555" w14:textId="77777777">
      <w:pPr>
        <w:spacing w:line="276" w:lineRule="auto"/>
        <w:rPr>
          <w:rFonts w:eastAsia="Verdana" w:cs="Verdana"/>
        </w:rPr>
      </w:pPr>
      <w:r w:rsidRPr="6CF3CA16">
        <w:rPr>
          <w:rFonts w:eastAsia="Verdana" w:cs="Verdana"/>
        </w:rPr>
        <w:t>Het conceptbesluit</w:t>
      </w:r>
      <w:r>
        <w:rPr>
          <w:rFonts w:eastAsia="Verdana" w:cs="Verdana"/>
        </w:rPr>
        <w:t xml:space="preserve"> van het CETA Gemengd Comité</w:t>
      </w:r>
      <w:r w:rsidRPr="6CF3CA16">
        <w:rPr>
          <w:rFonts w:eastAsia="Verdana" w:cs="Verdana"/>
        </w:rPr>
        <w:t xml:space="preserve"> bevat aanvullende voorschriften voor versnelde procedures voor de beslechting van investeringsgeschillen tussen staten en investeerders die als natuurlijk persoon of </w:t>
      </w:r>
      <w:r>
        <w:rPr>
          <w:rFonts w:eastAsia="Verdana" w:cs="Verdana"/>
        </w:rPr>
        <w:t>als ondernemer in het midden- en kleinbedrijf (mkb’er)</w:t>
      </w:r>
      <w:r w:rsidRPr="6CF3CA16">
        <w:rPr>
          <w:rFonts w:eastAsia="Verdana" w:cs="Verdana"/>
        </w:rPr>
        <w:t xml:space="preserve"> kwalificeren. </w:t>
      </w:r>
    </w:p>
    <w:p w:rsidR="009208FB" w:rsidP="00A45550" w:rsidRDefault="009208FB" w14:paraId="64D20BCD" w14:textId="77777777">
      <w:pPr>
        <w:spacing w:line="276" w:lineRule="auto"/>
        <w:rPr>
          <w:rFonts w:eastAsia="Verdana" w:cs="Verdana"/>
        </w:rPr>
      </w:pPr>
    </w:p>
    <w:p w:rsidR="009208FB" w:rsidP="00A45550" w:rsidRDefault="009208FB" w14:paraId="691BB414" w14:textId="77777777">
      <w:pPr>
        <w:spacing w:line="276" w:lineRule="auto"/>
        <w:rPr>
          <w:rFonts w:eastAsia="Verdana" w:cs="Verdana"/>
        </w:rPr>
      </w:pPr>
      <w:r>
        <w:rPr>
          <w:rFonts w:eastAsia="Verdana" w:cs="Verdana"/>
        </w:rPr>
        <w:t xml:space="preserve">Het </w:t>
      </w:r>
      <w:r w:rsidRPr="6CF3CA16">
        <w:rPr>
          <w:rFonts w:eastAsia="Verdana" w:cs="Verdana"/>
        </w:rPr>
        <w:t xml:space="preserve">CETA Gemengd Comité </w:t>
      </w:r>
      <w:r>
        <w:rPr>
          <w:rFonts w:eastAsia="Verdana" w:cs="Verdana"/>
        </w:rPr>
        <w:t xml:space="preserve">is op basis van artikel 26.3 lid 1 CETA </w:t>
      </w:r>
      <w:r w:rsidRPr="6CF3CA16">
        <w:rPr>
          <w:rFonts w:eastAsia="Verdana" w:cs="Verdana"/>
        </w:rPr>
        <w:t>bevoegd</w:t>
      </w:r>
      <w:r>
        <w:rPr>
          <w:rFonts w:eastAsia="Verdana" w:cs="Verdana"/>
        </w:rPr>
        <w:t xml:space="preserve"> </w:t>
      </w:r>
      <w:r w:rsidRPr="6CF3CA16">
        <w:rPr>
          <w:rFonts w:eastAsia="Verdana" w:cs="Verdana"/>
        </w:rPr>
        <w:t xml:space="preserve">om </w:t>
      </w:r>
      <w:r>
        <w:rPr>
          <w:rFonts w:eastAsia="Verdana" w:cs="Verdana"/>
        </w:rPr>
        <w:t xml:space="preserve">met het oog op het bereiken van de doelstellingen van CETA </w:t>
      </w:r>
      <w:r w:rsidRPr="6CF3CA16">
        <w:rPr>
          <w:rFonts w:eastAsia="Verdana" w:cs="Verdana"/>
        </w:rPr>
        <w:t>besluiten te nemen ten aanzien van alle in</w:t>
      </w:r>
      <w:r>
        <w:rPr>
          <w:rFonts w:eastAsia="Verdana" w:cs="Verdana"/>
        </w:rPr>
        <w:t xml:space="preserve"> </w:t>
      </w:r>
      <w:r w:rsidRPr="6CF3CA16">
        <w:rPr>
          <w:rFonts w:eastAsia="Verdana" w:cs="Verdana"/>
        </w:rPr>
        <w:t xml:space="preserve">de overeenkomst daartoe aangewezen aangelegenheden. </w:t>
      </w:r>
      <w:r>
        <w:rPr>
          <w:rFonts w:eastAsia="Verdana" w:cs="Verdana"/>
        </w:rPr>
        <w:t xml:space="preserve">In </w:t>
      </w:r>
      <w:r w:rsidRPr="6CF3CA16">
        <w:rPr>
          <w:rFonts w:eastAsia="Verdana" w:cs="Verdana"/>
        </w:rPr>
        <w:t xml:space="preserve">artikel 8.39 lid 6 CETA is neergelegd dat het CETA Gemengd Comité aanvullende voorschriften in overweging neemt die strekken tot de vermindering van de financiële lasten voor </w:t>
      </w:r>
      <w:r>
        <w:rPr>
          <w:rFonts w:eastAsia="Verdana" w:cs="Verdana"/>
        </w:rPr>
        <w:t>investeerders</w:t>
      </w:r>
      <w:r w:rsidRPr="6CF3CA16">
        <w:rPr>
          <w:rFonts w:eastAsia="Verdana" w:cs="Verdana"/>
        </w:rPr>
        <w:t xml:space="preserve"> die natuurlijke personen of </w:t>
      </w:r>
      <w:r>
        <w:rPr>
          <w:rFonts w:eastAsia="Verdana" w:cs="Verdana"/>
        </w:rPr>
        <w:t>mkb’er</w:t>
      </w:r>
      <w:r w:rsidRPr="6CF3CA16">
        <w:rPr>
          <w:rFonts w:eastAsia="Verdana" w:cs="Verdana"/>
        </w:rPr>
        <w:t xml:space="preserve">s zijn. </w:t>
      </w:r>
    </w:p>
    <w:p w:rsidR="009208FB" w:rsidP="00A45550" w:rsidRDefault="009208FB" w14:paraId="66D83FBA" w14:textId="77777777">
      <w:pPr>
        <w:spacing w:line="276" w:lineRule="auto"/>
        <w:rPr>
          <w:rFonts w:eastAsia="Verdana" w:cs="Verdana"/>
        </w:rPr>
      </w:pPr>
    </w:p>
    <w:p w:rsidRPr="0070080B" w:rsidR="009208FB" w:rsidP="00A45550" w:rsidRDefault="009208FB" w14:paraId="1111A1F5" w14:textId="32EFFED7">
      <w:pPr>
        <w:spacing w:line="276" w:lineRule="auto"/>
      </w:pPr>
      <w:r w:rsidRPr="0070080B">
        <w:rPr>
          <w:rFonts w:eastAsia="Verdana" w:cs="Verdana"/>
        </w:rPr>
        <w:lastRenderedPageBreak/>
        <w:t>Dit conceptbesluit en artikel 8.39 lid 6 CETA moeten worden bezien in het licht van de oproep uit onder andere het Nederlandse maatschappelijk middenveld en parlement om het geschillenbeslechtingssysteem voor investeringsgeschillen ook toegankelijker te maken voor het midden- en klein bedrijf.</w:t>
      </w:r>
      <w:r>
        <w:rPr>
          <w:rStyle w:val="FootnoteReference"/>
          <w:rFonts w:eastAsia="Verdana" w:cs="Verdana"/>
        </w:rPr>
        <w:footnoteReference w:id="2"/>
      </w:r>
      <w:r w:rsidRPr="0070080B">
        <w:rPr>
          <w:rFonts w:eastAsia="Verdana" w:cs="Verdana"/>
        </w:rPr>
        <w:t xml:space="preserve"> </w:t>
      </w:r>
      <w:r>
        <w:rPr>
          <w:rFonts w:eastAsia="Verdana" w:cs="Verdana"/>
        </w:rPr>
        <w:t>I</w:t>
      </w:r>
      <w:r w:rsidRPr="0070080B">
        <w:rPr>
          <w:rFonts w:eastAsia="Verdana" w:cs="Verdana"/>
        </w:rPr>
        <w:t xml:space="preserve">n </w:t>
      </w:r>
      <w:r w:rsidRPr="0070080B">
        <w:rPr>
          <w:rFonts w:eastAsia="Calibri" w:cs="Calibri"/>
        </w:rPr>
        <w:t xml:space="preserve">een verklaring van de Raad en de Commissie in 2017 </w:t>
      </w:r>
      <w:r>
        <w:rPr>
          <w:rFonts w:eastAsia="Calibri" w:cs="Calibri"/>
        </w:rPr>
        <w:t xml:space="preserve">is vastgelegd </w:t>
      </w:r>
      <w:r w:rsidRPr="0070080B">
        <w:rPr>
          <w:rFonts w:eastAsia="Calibri" w:cs="Calibri"/>
        </w:rPr>
        <w:t>dat de toegang tot deze nieuwe rechterlijke instantie voor de zwakste gebruikers, namelijk de kleine en middelgrote ondernemingen en particulieren, zal worden verbeterd en vergemakkelijkt.</w:t>
      </w:r>
      <w:r w:rsidRPr="0070080B">
        <w:rPr>
          <w:rStyle w:val="FootnoteReference"/>
          <w:rFonts w:eastAsia="Calibri" w:cs="Calibri"/>
        </w:rPr>
        <w:footnoteReference w:id="3"/>
      </w:r>
      <w:r w:rsidRPr="0070080B">
        <w:rPr>
          <w:rFonts w:eastAsia="Calibri" w:cs="Calibri"/>
        </w:rPr>
        <w:t xml:space="preserve"> Daarnaast heeft het Europees Hof van Justitie in advies 1/17 geoordeeld dat de Commissie en de Raad zich er met deze verklaring toe verbinden om artikel 8.39 lid 6 CETA snel en adequaat uit te voeren en te verzekeren dat de op te richten gerechten toegankelijk zijn voor kleine en middelgrote ondernemingen.</w:t>
      </w:r>
      <w:r w:rsidRPr="0070080B">
        <w:rPr>
          <w:rStyle w:val="FootnoteReference"/>
          <w:rFonts w:eastAsia="Calibri" w:cs="Calibri"/>
        </w:rPr>
        <w:footnoteReference w:id="4"/>
      </w:r>
      <w:r w:rsidRPr="0070080B">
        <w:rPr>
          <w:rFonts w:eastAsia="Calibri" w:cs="Calibri"/>
        </w:rPr>
        <w:t xml:space="preserve"> </w:t>
      </w:r>
    </w:p>
    <w:p w:rsidR="009208FB" w:rsidP="00A45550" w:rsidRDefault="009208FB" w14:paraId="6C7EF03E" w14:textId="77777777">
      <w:pPr>
        <w:spacing w:line="276" w:lineRule="auto"/>
      </w:pPr>
    </w:p>
    <w:p w:rsidRPr="00463ABA" w:rsidR="009208FB" w:rsidP="00A45550" w:rsidRDefault="009208FB" w14:paraId="5CD37C39" w14:textId="77777777">
      <w:pPr>
        <w:spacing w:line="276" w:lineRule="auto"/>
        <w:rPr>
          <w:rFonts w:eastAsia="Verdana" w:cs="Verdana"/>
        </w:rPr>
      </w:pPr>
      <w:r w:rsidRPr="6CF3CA16">
        <w:rPr>
          <w:rFonts w:eastAsia="Verdana" w:cs="Verdana"/>
        </w:rPr>
        <w:t>Het voorgenomen besluit geeft</w:t>
      </w:r>
      <w:r>
        <w:rPr>
          <w:rFonts w:eastAsia="Verdana" w:cs="Verdana"/>
        </w:rPr>
        <w:t xml:space="preserve"> hier</w:t>
      </w:r>
      <w:r w:rsidRPr="6CF3CA16">
        <w:rPr>
          <w:rFonts w:eastAsia="Verdana" w:cs="Verdana"/>
        </w:rPr>
        <w:t xml:space="preserve"> uitvoering aan door te regelen dat natuurlijke personen en </w:t>
      </w:r>
      <w:r>
        <w:rPr>
          <w:rFonts w:eastAsia="Verdana" w:cs="Verdana"/>
        </w:rPr>
        <w:t>mkb’er</w:t>
      </w:r>
      <w:r w:rsidRPr="6CF3CA16">
        <w:rPr>
          <w:rFonts w:eastAsia="Verdana" w:cs="Verdana"/>
        </w:rPr>
        <w:t xml:space="preserve">s gebruik kunnen maken van een versnelde procedure bij het scheidsgerecht. Door deze versnelde en ook versimpelde procedure kunnen kosten substantieel worden gereduceerd. Dit verlaagt de drempel voor particulieren en </w:t>
      </w:r>
      <w:r>
        <w:rPr>
          <w:rFonts w:eastAsia="Verdana" w:cs="Verdana"/>
        </w:rPr>
        <w:t>mkb’er</w:t>
      </w:r>
      <w:r w:rsidRPr="6CF3CA16">
        <w:rPr>
          <w:rFonts w:eastAsia="Verdana" w:cs="Verdana"/>
        </w:rPr>
        <w:t xml:space="preserve">s om gebruik te maken van de mogelijkheid die CETA biedt om een geschil te starten. Het besluit voorziet in gedetailleerde voorschriften </w:t>
      </w:r>
      <w:r>
        <w:rPr>
          <w:rFonts w:eastAsia="Verdana" w:cs="Verdana"/>
        </w:rPr>
        <w:t xml:space="preserve">en voorwaarden </w:t>
      </w:r>
      <w:r w:rsidRPr="6CF3CA16">
        <w:rPr>
          <w:rFonts w:eastAsia="Verdana" w:cs="Verdana"/>
        </w:rPr>
        <w:t>voor de</w:t>
      </w:r>
      <w:r>
        <w:rPr>
          <w:rFonts w:eastAsia="Verdana" w:cs="Verdana"/>
        </w:rPr>
        <w:t xml:space="preserve"> versnelde procedure voor de</w:t>
      </w:r>
      <w:r w:rsidRPr="6CF3CA16">
        <w:rPr>
          <w:rFonts w:eastAsia="Verdana" w:cs="Verdana"/>
        </w:rPr>
        <w:t xml:space="preserve"> beslechting van investeringsgeschillen, </w:t>
      </w:r>
      <w:r>
        <w:rPr>
          <w:rFonts w:eastAsia="Verdana" w:cs="Verdana"/>
        </w:rPr>
        <w:t>waarbij mkb’er</w:t>
      </w:r>
      <w:r w:rsidRPr="6CF3CA16">
        <w:rPr>
          <w:rFonts w:eastAsia="Verdana" w:cs="Verdana"/>
        </w:rPr>
        <w:t xml:space="preserve">s en natuurlijke personen </w:t>
      </w:r>
      <w:r>
        <w:rPr>
          <w:rFonts w:eastAsia="Verdana" w:cs="Verdana"/>
        </w:rPr>
        <w:t xml:space="preserve">aan de verwerende Staat en het Gerecht </w:t>
      </w:r>
      <w:r w:rsidRPr="6CF3CA16">
        <w:rPr>
          <w:rFonts w:eastAsia="Verdana" w:cs="Verdana"/>
        </w:rPr>
        <w:t xml:space="preserve">kunnen verzoeken om toegang tot </w:t>
      </w:r>
      <w:r>
        <w:rPr>
          <w:rFonts w:eastAsia="Verdana" w:cs="Verdana"/>
        </w:rPr>
        <w:t>deze</w:t>
      </w:r>
      <w:r w:rsidRPr="6CF3CA16">
        <w:rPr>
          <w:rFonts w:eastAsia="Verdana" w:cs="Verdana"/>
        </w:rPr>
        <w:t xml:space="preserve"> versnelde procedure (artikel 2). Voorts bevat zij gedetailleerde regels over de instelling van het Gerecht </w:t>
      </w:r>
      <w:r>
        <w:rPr>
          <w:rFonts w:eastAsia="Verdana" w:cs="Verdana"/>
        </w:rPr>
        <w:t xml:space="preserve">met </w:t>
      </w:r>
      <w:r w:rsidRPr="00AA6608">
        <w:rPr>
          <w:rFonts w:eastAsia="Verdana" w:cs="Verdana"/>
        </w:rPr>
        <w:t>éé</w:t>
      </w:r>
      <w:r>
        <w:rPr>
          <w:rFonts w:eastAsia="Verdana" w:cs="Verdana"/>
        </w:rPr>
        <w:t xml:space="preserve">n enkele rechter </w:t>
      </w:r>
      <w:r w:rsidRPr="6CF3CA16">
        <w:rPr>
          <w:rFonts w:eastAsia="Verdana" w:cs="Verdana"/>
        </w:rPr>
        <w:t xml:space="preserve">(artikel 3), de eerste zitting in de versnelde procedure (artikel 4), het tijdschema voor de versnelde procedure (artikel 5), de </w:t>
      </w:r>
      <w:r>
        <w:rPr>
          <w:rFonts w:eastAsia="Verdana" w:cs="Verdana"/>
        </w:rPr>
        <w:t>mogelijkheid tot</w:t>
      </w:r>
      <w:r w:rsidRPr="6CF3CA16">
        <w:rPr>
          <w:rFonts w:eastAsia="Verdana" w:cs="Verdana"/>
        </w:rPr>
        <w:t xml:space="preserve"> voeging van </w:t>
      </w:r>
      <w:r>
        <w:rPr>
          <w:rFonts w:eastAsia="Verdana" w:cs="Verdana"/>
        </w:rPr>
        <w:t>meerdere</w:t>
      </w:r>
      <w:r w:rsidRPr="6CF3CA16">
        <w:rPr>
          <w:rFonts w:eastAsia="Verdana" w:cs="Verdana"/>
        </w:rPr>
        <w:t xml:space="preserve"> </w:t>
      </w:r>
      <w:r>
        <w:rPr>
          <w:rFonts w:eastAsia="Verdana" w:cs="Verdana"/>
        </w:rPr>
        <w:t xml:space="preserve">soortgelijke versnelde procedures </w:t>
      </w:r>
      <w:r w:rsidRPr="6CF3CA16">
        <w:rPr>
          <w:rFonts w:eastAsia="Verdana" w:cs="Verdana"/>
        </w:rPr>
        <w:t xml:space="preserve">(artikel 6), bemiddeling (artikel 7) en </w:t>
      </w:r>
      <w:r>
        <w:rPr>
          <w:rFonts w:eastAsia="Verdana" w:cs="Verdana"/>
        </w:rPr>
        <w:t xml:space="preserve">evaluatie </w:t>
      </w:r>
      <w:r w:rsidRPr="6CF3CA16">
        <w:rPr>
          <w:rFonts w:eastAsia="Verdana" w:cs="Verdana"/>
        </w:rPr>
        <w:t xml:space="preserve">van het </w:t>
      </w:r>
      <w:r>
        <w:rPr>
          <w:rFonts w:eastAsia="Verdana" w:cs="Verdana"/>
        </w:rPr>
        <w:t>onderhavige CETA-</w:t>
      </w:r>
      <w:r w:rsidRPr="6CF3CA16">
        <w:rPr>
          <w:rFonts w:eastAsia="Verdana" w:cs="Verdana"/>
        </w:rPr>
        <w:t xml:space="preserve">besluit </w:t>
      </w:r>
      <w:r>
        <w:rPr>
          <w:rFonts w:eastAsia="Verdana" w:cs="Verdana"/>
        </w:rPr>
        <w:t xml:space="preserve">door het CETA-comité </w:t>
      </w:r>
      <w:r w:rsidRPr="6CF3CA16">
        <w:rPr>
          <w:rFonts w:eastAsia="Verdana" w:cs="Verdana"/>
        </w:rPr>
        <w:t xml:space="preserve">(artikel 8). Het beoogde besluit treedt in werking op de datum van inwerkingtreding van hoofdstuk acht, afdeling F, van </w:t>
      </w:r>
      <w:r>
        <w:rPr>
          <w:rFonts w:eastAsia="Verdana" w:cs="Verdana"/>
        </w:rPr>
        <w:t xml:space="preserve">CETA </w:t>
      </w:r>
      <w:r w:rsidRPr="6CF3CA16">
        <w:rPr>
          <w:rFonts w:eastAsia="Verdana" w:cs="Verdana"/>
        </w:rPr>
        <w:t>(artikel 10).</w:t>
      </w:r>
    </w:p>
    <w:p w:rsidR="009208FB" w:rsidP="00A45550" w:rsidRDefault="009208FB" w14:paraId="29C46099" w14:textId="77777777">
      <w:pPr>
        <w:spacing w:line="276" w:lineRule="auto"/>
      </w:pPr>
      <w:r w:rsidRPr="6CF3CA16">
        <w:rPr>
          <w:rFonts w:eastAsia="Verdana" w:cs="Verdana"/>
        </w:rPr>
        <w:t xml:space="preserve"> </w:t>
      </w:r>
    </w:p>
    <w:p w:rsidR="00A45550" w:rsidP="00A45550" w:rsidRDefault="00A45550" w14:paraId="61FF0BC8" w14:textId="77777777">
      <w:pPr>
        <w:spacing w:line="276" w:lineRule="auto"/>
        <w:rPr>
          <w:rFonts w:eastAsia="Verdana" w:cs="Verdana"/>
          <w:b/>
          <w:bCs/>
        </w:rPr>
      </w:pPr>
    </w:p>
    <w:p w:rsidR="009208FB" w:rsidP="00A45550" w:rsidRDefault="009208FB" w14:paraId="6DBA9F2D" w14:textId="45F84F17">
      <w:pPr>
        <w:spacing w:line="276" w:lineRule="auto"/>
      </w:pPr>
      <w:r w:rsidRPr="6CF3CA16">
        <w:rPr>
          <w:rFonts w:eastAsia="Verdana" w:cs="Verdana"/>
          <w:b/>
          <w:bCs/>
        </w:rPr>
        <w:t xml:space="preserve">Kabinetsappreciatie van het conceptbesluit en verdere besluitvorming </w:t>
      </w:r>
    </w:p>
    <w:p w:rsidR="009208FB" w:rsidP="00A45550" w:rsidRDefault="009208FB" w14:paraId="2B797A22" w14:textId="07AE663E">
      <w:pPr>
        <w:spacing w:line="276" w:lineRule="auto"/>
      </w:pPr>
      <w:r w:rsidRPr="7357DF9B">
        <w:rPr>
          <w:rFonts w:eastAsia="Verdana" w:cs="Verdana"/>
        </w:rPr>
        <w:t xml:space="preserve">Het kabinet </w:t>
      </w:r>
      <w:r>
        <w:rPr>
          <w:rFonts w:eastAsia="Verdana" w:cs="Verdana"/>
        </w:rPr>
        <w:t xml:space="preserve">verwelkomt </w:t>
      </w:r>
      <w:r w:rsidRPr="7357DF9B">
        <w:rPr>
          <w:rFonts w:eastAsia="Verdana" w:cs="Verdana"/>
        </w:rPr>
        <w:t>het conceptbesluit</w:t>
      </w:r>
      <w:r>
        <w:rPr>
          <w:rFonts w:eastAsia="Verdana" w:cs="Verdana"/>
        </w:rPr>
        <w:t xml:space="preserve"> van het CETA Gemengd Comité</w:t>
      </w:r>
      <w:r w:rsidRPr="7357DF9B">
        <w:rPr>
          <w:rFonts w:eastAsia="Verdana" w:cs="Verdana"/>
        </w:rPr>
        <w:t xml:space="preserve">. Door deze </w:t>
      </w:r>
      <w:r>
        <w:rPr>
          <w:rFonts w:eastAsia="Verdana" w:cs="Verdana"/>
        </w:rPr>
        <w:t xml:space="preserve">aanvullende </w:t>
      </w:r>
      <w:r w:rsidRPr="7357DF9B">
        <w:rPr>
          <w:rFonts w:eastAsia="Verdana" w:cs="Verdana"/>
        </w:rPr>
        <w:t xml:space="preserve">voorschriften kunnen particuliere investeerders en </w:t>
      </w:r>
      <w:r>
        <w:rPr>
          <w:rFonts w:eastAsia="Verdana" w:cs="Verdana"/>
        </w:rPr>
        <w:t>mkb’er</w:t>
      </w:r>
      <w:r w:rsidRPr="7357DF9B">
        <w:rPr>
          <w:rFonts w:eastAsia="Verdana" w:cs="Verdana"/>
        </w:rPr>
        <w:t xml:space="preserve">s gebruik maken van versnelde en versimpelde procedures, waardoor het geschillenbeslechtingssysteem </w:t>
      </w:r>
      <w:r>
        <w:rPr>
          <w:rFonts w:eastAsia="Verdana" w:cs="Verdana"/>
        </w:rPr>
        <w:t xml:space="preserve">onder CETA </w:t>
      </w:r>
      <w:r w:rsidRPr="7357DF9B">
        <w:rPr>
          <w:rFonts w:eastAsia="Verdana" w:cs="Verdana"/>
        </w:rPr>
        <w:t>voor deze investeerders toegankelijker wordt, zowel wat betreft tijd als wat betreft kosten. Met dit voorgenomen besluit wordt voldaan aan de belofte om het geschillenbeslechtingsysteem onder CETA voor alle investeerders toegankelijk te maken. Tegelijkertijd voorzie</w:t>
      </w:r>
      <w:r>
        <w:rPr>
          <w:rFonts w:eastAsia="Verdana" w:cs="Verdana"/>
        </w:rPr>
        <w:t xml:space="preserve">n de aanvullende regels </w:t>
      </w:r>
      <w:r w:rsidRPr="7357DF9B">
        <w:rPr>
          <w:rFonts w:eastAsia="Verdana" w:cs="Verdana"/>
        </w:rPr>
        <w:t>in voldoende waarborgen voor de verweerder (</w:t>
      </w:r>
      <w:r w:rsidR="00150CA4">
        <w:rPr>
          <w:rFonts w:eastAsia="Verdana" w:cs="Verdana"/>
        </w:rPr>
        <w:t>dat wil zeggen</w:t>
      </w:r>
      <w:r w:rsidRPr="7357DF9B">
        <w:rPr>
          <w:rFonts w:eastAsia="Verdana" w:cs="Verdana"/>
        </w:rPr>
        <w:t xml:space="preserve"> </w:t>
      </w:r>
      <w:r w:rsidR="00150CA4">
        <w:rPr>
          <w:rFonts w:eastAsia="Verdana" w:cs="Verdana"/>
        </w:rPr>
        <w:t>éé</w:t>
      </w:r>
      <w:r w:rsidRPr="7357DF9B">
        <w:rPr>
          <w:rFonts w:eastAsia="Verdana" w:cs="Verdana"/>
        </w:rPr>
        <w:t xml:space="preserve">n van de </w:t>
      </w:r>
      <w:r>
        <w:rPr>
          <w:rFonts w:eastAsia="Verdana" w:cs="Verdana"/>
        </w:rPr>
        <w:t xml:space="preserve">CETA </w:t>
      </w:r>
      <w:r w:rsidRPr="7357DF9B">
        <w:rPr>
          <w:rFonts w:eastAsia="Verdana" w:cs="Verdana"/>
        </w:rPr>
        <w:t xml:space="preserve">verdragspartijen), om een verzoek om de versnelde procedure af te wijzen als de verweerder meent dat het geschil zich niet leent voor een versnelde procedure. Ook is er flexibiliteit ingebouwd om tijdens het proces toch over te stappen naar de </w:t>
      </w:r>
      <w:r>
        <w:rPr>
          <w:rFonts w:eastAsia="Verdana" w:cs="Verdana"/>
        </w:rPr>
        <w:t>reguliere</w:t>
      </w:r>
      <w:r w:rsidRPr="7357DF9B">
        <w:rPr>
          <w:rFonts w:eastAsia="Verdana" w:cs="Verdana"/>
        </w:rPr>
        <w:t xml:space="preserve"> procedure. </w:t>
      </w:r>
    </w:p>
    <w:p w:rsidR="009208FB" w:rsidP="00A45550" w:rsidRDefault="009208FB" w14:paraId="6E4F3CB2" w14:textId="77777777">
      <w:pPr>
        <w:spacing w:line="276" w:lineRule="auto"/>
        <w:rPr>
          <w:rFonts w:eastAsia="Verdana" w:cs="Verdana"/>
        </w:rPr>
      </w:pPr>
    </w:p>
    <w:p w:rsidR="009208FB" w:rsidP="00A45550" w:rsidRDefault="009208FB" w14:paraId="70D86A67" w14:textId="77777777">
      <w:pPr>
        <w:spacing w:line="276" w:lineRule="auto"/>
      </w:pPr>
      <w:r w:rsidRPr="7357DF9B">
        <w:rPr>
          <w:rFonts w:eastAsia="Verdana" w:cs="Verdana"/>
        </w:rPr>
        <w:lastRenderedPageBreak/>
        <w:t xml:space="preserve">Het kabinet is daarom voornemens in te stemmen met het voorgestelde Raadsbesluit </w:t>
      </w:r>
      <w:r>
        <w:rPr>
          <w:rFonts w:eastAsia="Verdana" w:cs="Verdana"/>
        </w:rPr>
        <w:t xml:space="preserve">betreffende </w:t>
      </w:r>
      <w:r w:rsidRPr="7357DF9B">
        <w:rPr>
          <w:rFonts w:eastAsia="Verdana" w:cs="Verdana"/>
        </w:rPr>
        <w:t>het</w:t>
      </w:r>
      <w:r>
        <w:rPr>
          <w:rFonts w:eastAsia="Verdana" w:cs="Verdana"/>
        </w:rPr>
        <w:t xml:space="preserve"> namens de EU in het CETA Gemengd Comité</w:t>
      </w:r>
      <w:r w:rsidRPr="7357DF9B">
        <w:rPr>
          <w:rFonts w:eastAsia="Verdana" w:cs="Verdana"/>
        </w:rPr>
        <w:t xml:space="preserve"> in te nemen standpunt. Na de vaststelling van het Raadsbesluit, is het aan het CETA Gemengd Comité om het conceptbesluit in onderlinge overeenstemming tussen de EU en Canada vast te stellen. </w:t>
      </w:r>
    </w:p>
    <w:p w:rsidR="009208FB" w:rsidP="00A45550" w:rsidRDefault="009208FB" w14:paraId="2A0CFA06" w14:textId="4AF064C1">
      <w:pPr>
        <w:spacing w:line="276" w:lineRule="auto"/>
      </w:pPr>
      <w:r>
        <w:br/>
      </w:r>
    </w:p>
    <w:p w:rsidR="00193C94" w:rsidP="00193C94" w:rsidRDefault="00193C94" w14:paraId="02996E3E" w14:textId="77777777">
      <w:r>
        <w:t>De minister voor Buitenlandse Handel</w:t>
      </w:r>
    </w:p>
    <w:p w:rsidR="00193C94" w:rsidP="00193C94" w:rsidRDefault="00193C94" w14:paraId="5326EA08" w14:textId="5D0944BB">
      <w:r>
        <w:t>en Ontwikkelingshulp,</w:t>
      </w:r>
    </w:p>
    <w:p w:rsidR="00193C94" w:rsidP="00193C94" w:rsidRDefault="00193C94" w14:paraId="16ED26E1" w14:textId="77777777"/>
    <w:p w:rsidR="00193C94" w:rsidP="00193C94" w:rsidRDefault="00193C94" w14:paraId="22F9346C" w14:textId="77777777"/>
    <w:p w:rsidR="00193C94" w:rsidP="00193C94" w:rsidRDefault="00193C94" w14:paraId="4D5CCCEE" w14:textId="77777777"/>
    <w:p w:rsidR="00193C94" w:rsidP="00193C94" w:rsidRDefault="00193C94" w14:paraId="7C2E9B0D" w14:textId="77777777"/>
    <w:p w:rsidR="00193C94" w:rsidP="00193C94" w:rsidRDefault="00193C94" w14:paraId="22FF44B3" w14:textId="77777777"/>
    <w:p w:rsidR="00193C94" w:rsidP="00193C94" w:rsidRDefault="00193C94" w14:paraId="35FB4DFC" w14:textId="77777777"/>
    <w:p w:rsidR="009208FB" w:rsidP="00193C94" w:rsidRDefault="00193C94" w14:paraId="2682F310" w14:textId="04EB96EA">
      <w:proofErr w:type="spellStart"/>
      <w:r>
        <w:t>Reinette</w:t>
      </w:r>
      <w:proofErr w:type="spellEnd"/>
      <w:r>
        <w:t xml:space="preserve"> Klever</w:t>
      </w:r>
      <w:r w:rsidR="00A45550">
        <w:tab/>
      </w:r>
    </w:p>
    <w:p w:rsidRPr="009B77D7" w:rsidR="009208FB" w:rsidP="009208FB" w:rsidRDefault="009208FB" w14:paraId="08B379D8" w14:textId="77777777"/>
    <w:p w:rsidRPr="009208FB" w:rsidR="00FD7579" w:rsidP="009208FB" w:rsidRDefault="00FD7579" w14:paraId="02EB378F" w14:textId="77777777"/>
    <w:sectPr w:rsidRPr="009208FB" w:rsidR="00FD7579" w:rsidSect="00920466">
      <w:headerReference w:type="even" r:id="rId13"/>
      <w:headerReference w:type="default" r:id="rId14"/>
      <w:footerReference w:type="even" r:id="rId15"/>
      <w:footerReference w:type="default" r:id="rId16"/>
      <w:headerReference w:type="first" r:id="rId17"/>
      <w:footerReference w:type="first" r:id="rId18"/>
      <w:pgSz w:w="11905" w:h="16837"/>
      <w:pgMar w:top="3096" w:right="2779" w:bottom="1080" w:left="158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36E83" w14:textId="77777777" w:rsidR="009208FB" w:rsidRDefault="009208FB">
      <w:pPr>
        <w:spacing w:line="240" w:lineRule="auto"/>
      </w:pPr>
      <w:r>
        <w:separator/>
      </w:r>
    </w:p>
  </w:endnote>
  <w:endnote w:type="continuationSeparator" w:id="0">
    <w:p w14:paraId="07167163" w14:textId="77777777" w:rsidR="009208FB" w:rsidRDefault="009208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charset w:val="00"/>
    <w:family w:val="swiss"/>
    <w:pitch w:val="variable"/>
    <w:sig w:usb0="E7002EFF" w:usb1="D200FDFF" w:usb2="0A246029" w:usb3="00000000" w:csb0="000001FF" w:csb1="00000000"/>
  </w:font>
  <w:font w:name="Lohit Hindi">
    <w:altName w:val="Cambria"/>
    <w:charset w:val="00"/>
    <w:family w:val="auto"/>
    <w:pitch w:val="default"/>
  </w:font>
  <w:font w:name="Verdana">
    <w:panose1 w:val="020B0604030504040204"/>
    <w:charset w:val="00"/>
    <w:family w:val="swiss"/>
    <w:pitch w:val="variable"/>
    <w:sig w:usb0="A00006FF" w:usb1="4000205B" w:usb2="00000010" w:usb3="00000000" w:csb0="0000019F" w:csb1="00000000"/>
  </w:font>
  <w:font w:name="Kix Barcode">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0F4B" w14:textId="77777777" w:rsidR="006B1A04" w:rsidRDefault="006B1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04444"/>
      <w:docPartObj>
        <w:docPartGallery w:val="Page Numbers (Bottom of Page)"/>
        <w:docPartUnique/>
      </w:docPartObj>
    </w:sdtPr>
    <w:sdtEndPr/>
    <w:sdtContent>
      <w:p w14:paraId="31E0967C" w14:textId="0EE4E3AF" w:rsidR="00235E09" w:rsidRDefault="00235E09">
        <w:pPr>
          <w:pStyle w:val="Footer"/>
          <w:jc w:val="center"/>
        </w:pPr>
        <w:r>
          <w:fldChar w:fldCharType="begin"/>
        </w:r>
        <w:r>
          <w:instrText>PAGE   \* MERGEFORMAT</w:instrText>
        </w:r>
        <w:r>
          <w:fldChar w:fldCharType="separate"/>
        </w:r>
        <w:r>
          <w:t>2</w:t>
        </w:r>
        <w:r>
          <w:fldChar w:fldCharType="end"/>
        </w:r>
      </w:p>
    </w:sdtContent>
  </w:sdt>
  <w:p w14:paraId="165259B0" w14:textId="77777777" w:rsidR="00235E09" w:rsidRDefault="00235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45815"/>
      <w:docPartObj>
        <w:docPartGallery w:val="Page Numbers (Bottom of Page)"/>
        <w:docPartUnique/>
      </w:docPartObj>
    </w:sdtPr>
    <w:sdtEndPr/>
    <w:sdtContent>
      <w:p w14:paraId="2359201C" w14:textId="2357CCBB" w:rsidR="00A45550" w:rsidRDefault="00A45550">
        <w:pPr>
          <w:pStyle w:val="Footer"/>
          <w:jc w:val="center"/>
        </w:pPr>
        <w:r>
          <w:fldChar w:fldCharType="begin"/>
        </w:r>
        <w:r>
          <w:instrText>PAGE   \* MERGEFORMAT</w:instrText>
        </w:r>
        <w:r>
          <w:fldChar w:fldCharType="separate"/>
        </w:r>
        <w:r>
          <w:t>2</w:t>
        </w:r>
        <w:r>
          <w:fldChar w:fldCharType="end"/>
        </w:r>
      </w:p>
    </w:sdtContent>
  </w:sdt>
  <w:p w14:paraId="6D0A9A47" w14:textId="77777777" w:rsidR="00A45550" w:rsidRDefault="00A45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83F68" w14:textId="77777777" w:rsidR="009208FB" w:rsidRDefault="009208FB">
      <w:pPr>
        <w:spacing w:line="240" w:lineRule="auto"/>
      </w:pPr>
      <w:r>
        <w:separator/>
      </w:r>
    </w:p>
  </w:footnote>
  <w:footnote w:type="continuationSeparator" w:id="0">
    <w:p w14:paraId="3DE8171F" w14:textId="77777777" w:rsidR="009208FB" w:rsidRDefault="009208FB">
      <w:pPr>
        <w:spacing w:line="240" w:lineRule="auto"/>
      </w:pPr>
      <w:r>
        <w:continuationSeparator/>
      </w:r>
    </w:p>
  </w:footnote>
  <w:footnote w:id="1">
    <w:p w14:paraId="6855FC74" w14:textId="77777777" w:rsidR="009208FB" w:rsidRPr="00463ABA" w:rsidRDefault="009208FB" w:rsidP="009208FB">
      <w:pPr>
        <w:pStyle w:val="FootnoteText"/>
        <w:rPr>
          <w:sz w:val="14"/>
          <w:szCs w:val="14"/>
        </w:rPr>
      </w:pPr>
      <w:r w:rsidRPr="00A45550">
        <w:rPr>
          <w:rStyle w:val="FootnoteReference"/>
          <w:sz w:val="16"/>
          <w:szCs w:val="16"/>
        </w:rPr>
        <w:footnoteRef/>
      </w:r>
      <w:r w:rsidRPr="00A45550">
        <w:rPr>
          <w:sz w:val="16"/>
          <w:szCs w:val="16"/>
        </w:rPr>
        <w:t xml:space="preserve"> </w:t>
      </w:r>
      <w:r w:rsidRPr="00A45550">
        <w:rPr>
          <w:rFonts w:eastAsia="Calibri" w:cs="Calibri"/>
          <w:sz w:val="16"/>
          <w:szCs w:val="16"/>
        </w:rPr>
        <w:t>Voorstel voor een Besluit van de Raad betreffende het standpunt dat namens de Europese Unie moet worden ingenomen in het Gemengd Comité voor de CETA dat is ingesteld in het kader van de Brede Economische en Handelsovereenkomst (CETA) tussen Canada, enerzijds, en de Europese Unie en haar lidstaten, anderzijds, met betrekking tot de vaststelling van een besluit houdende aanvullende voorschriften voor versnelde procedures voor de beslechting van investeringsgeschillen tussen investeerders en staten, met name voor natuurlijke personen en kleine en middelgrote ondernemingen</w:t>
      </w:r>
    </w:p>
  </w:footnote>
  <w:footnote w:id="2">
    <w:p w14:paraId="45C2D5B1" w14:textId="77777777" w:rsidR="009208FB" w:rsidRPr="00A45550" w:rsidRDefault="009208FB" w:rsidP="009208FB">
      <w:pPr>
        <w:pStyle w:val="FootnoteText"/>
        <w:rPr>
          <w:sz w:val="16"/>
          <w:szCs w:val="16"/>
        </w:rPr>
      </w:pPr>
      <w:r w:rsidRPr="00A45550">
        <w:rPr>
          <w:rStyle w:val="FootnoteReference"/>
          <w:sz w:val="16"/>
          <w:szCs w:val="16"/>
        </w:rPr>
        <w:footnoteRef/>
      </w:r>
      <w:r w:rsidRPr="00A45550">
        <w:rPr>
          <w:sz w:val="16"/>
          <w:szCs w:val="16"/>
        </w:rPr>
        <w:t xml:space="preserve"> Zorgen over toegang van het mkb tot het ICS werden onder andere geuit in de Eerste Kamer, in vragen 38 en 108 te vinden in Kamerstuk 35 154, B.</w:t>
      </w:r>
    </w:p>
  </w:footnote>
  <w:footnote w:id="3">
    <w:p w14:paraId="5E8CC230" w14:textId="77777777" w:rsidR="009208FB" w:rsidRPr="00A45550" w:rsidRDefault="009208FB" w:rsidP="009208FB">
      <w:pPr>
        <w:pStyle w:val="FootnoteText"/>
        <w:rPr>
          <w:sz w:val="16"/>
          <w:szCs w:val="16"/>
        </w:rPr>
      </w:pPr>
      <w:r w:rsidRPr="00A45550">
        <w:rPr>
          <w:rStyle w:val="FootnoteReference"/>
          <w:sz w:val="16"/>
          <w:szCs w:val="16"/>
        </w:rPr>
        <w:footnoteRef/>
      </w:r>
      <w:r w:rsidRPr="00A45550">
        <w:rPr>
          <w:sz w:val="16"/>
          <w:szCs w:val="16"/>
        </w:rPr>
        <w:t xml:space="preserve"> </w:t>
      </w:r>
      <w:r w:rsidRPr="00A45550">
        <w:rPr>
          <w:rFonts w:eastAsia="Calibri" w:cs="Calibri"/>
          <w:sz w:val="16"/>
          <w:szCs w:val="16"/>
        </w:rPr>
        <w:t>Verklaringen voor de Raadsnotulen (PB L 11 van 14.1.2017, pg. 21).</w:t>
      </w:r>
    </w:p>
  </w:footnote>
  <w:footnote w:id="4">
    <w:p w14:paraId="590291F0" w14:textId="77777777" w:rsidR="009208FB" w:rsidRPr="00220621" w:rsidRDefault="009208FB" w:rsidP="009208FB">
      <w:pPr>
        <w:pStyle w:val="FootnoteText"/>
      </w:pPr>
      <w:r w:rsidRPr="00A45550">
        <w:rPr>
          <w:rStyle w:val="FootnoteReference"/>
          <w:sz w:val="16"/>
          <w:szCs w:val="16"/>
        </w:rPr>
        <w:footnoteRef/>
      </w:r>
      <w:r w:rsidRPr="00A45550">
        <w:rPr>
          <w:sz w:val="16"/>
          <w:szCs w:val="16"/>
        </w:rPr>
        <w:t xml:space="preserve"> </w:t>
      </w:r>
      <w:r w:rsidRPr="00A45550">
        <w:rPr>
          <w:rFonts w:eastAsia="Calibri" w:cs="Calibri"/>
          <w:sz w:val="16"/>
          <w:szCs w:val="16"/>
        </w:rPr>
        <w:t>Advies 1/17 van het Hof van Justitie van de Europese Uni van 30 april 2019, ECLI:EU:c:2019:341, punten 214 tot en met 221</w:t>
      </w:r>
      <w:r w:rsidRPr="00463ABA">
        <w:rPr>
          <w:rFonts w:eastAsia="Calibri" w:cs="Calibri"/>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DEC8" w14:textId="77777777" w:rsidR="006B1A04" w:rsidRDefault="006B1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48C9" w14:textId="05DD08CB" w:rsidR="00FD7579" w:rsidRDefault="009208FB">
    <w:r>
      <w:rPr>
        <w:noProof/>
      </w:rPr>
      <mc:AlternateContent>
        <mc:Choice Requires="wps">
          <w:drawing>
            <wp:anchor distT="0" distB="0" distL="0" distR="0" simplePos="0" relativeHeight="251652608" behindDoc="0" locked="1" layoutInCell="1" allowOverlap="1" wp14:anchorId="46886795" wp14:editId="329695BD">
              <wp:simplePos x="0" y="0"/>
              <wp:positionH relativeFrom="page">
                <wp:posOffset>5829300</wp:posOffset>
              </wp:positionH>
              <wp:positionV relativeFrom="page">
                <wp:posOffset>1962150</wp:posOffset>
              </wp:positionV>
              <wp:extent cx="1372870" cy="8009890"/>
              <wp:effectExtent l="0" t="0" r="0" b="0"/>
              <wp:wrapNone/>
              <wp:docPr id="1" name="41b1110a-80a4-11ea-b356-6230a4311406"/>
              <wp:cNvGraphicFramePr/>
              <a:graphic xmlns:a="http://schemas.openxmlformats.org/drawingml/2006/main">
                <a:graphicData uri="http://schemas.microsoft.com/office/word/2010/wordprocessingShape">
                  <wps:wsp>
                    <wps:cNvSpPr txBox="1"/>
                    <wps:spPr>
                      <a:xfrm>
                        <a:off x="0" y="0"/>
                        <a:ext cx="1372870" cy="8009890"/>
                      </a:xfrm>
                      <a:prstGeom prst="rect">
                        <a:avLst/>
                      </a:prstGeom>
                      <a:noFill/>
                    </wps:spPr>
                    <wps:txbx>
                      <w:txbxContent>
                        <w:p w14:paraId="1DC9590C" w14:textId="77777777" w:rsidR="00FD7579" w:rsidRDefault="009208FB">
                          <w:pPr>
                            <w:pStyle w:val="Referentiegegevensbold"/>
                          </w:pPr>
                          <w:r>
                            <w:t>Ministerie van Buitenlandse Zaken</w:t>
                          </w:r>
                        </w:p>
                      </w:txbxContent>
                    </wps:txbx>
                    <wps:bodyPr vert="horz" wrap="square" lIns="0" tIns="0" rIns="0" bIns="0" anchor="t" anchorCtr="0"/>
                  </wps:wsp>
                </a:graphicData>
              </a:graphic>
              <wp14:sizeRelH relativeFrom="margin">
                <wp14:pctWidth>0</wp14:pctWidth>
              </wp14:sizeRelH>
            </wp:anchor>
          </w:drawing>
        </mc:Choice>
        <mc:Fallback>
          <w:pict>
            <v:shapetype w14:anchorId="46886795" id="_x0000_t202" coordsize="21600,21600" o:spt="202" path="m,l,21600r21600,l21600,xe">
              <v:stroke joinstyle="miter"/>
              <v:path gradientshapeok="t" o:connecttype="rect"/>
            </v:shapetype>
            <v:shape id="41b1110a-80a4-11ea-b356-6230a4311406" o:spid="_x0000_s1026" type="#_x0000_t202" style="position:absolute;margin-left:459pt;margin-top:154.5pt;width:108.1pt;height:630.7pt;z-index:25165260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" filled="f" stroked="f">
              <v:textbox inset="0,0,0,0">
                <w:txbxContent>
                  <w:p w14:paraId="1DC9590C" w14:textId="77777777" w:rsidR="00FD7579" w:rsidRDefault="009208FB">
                    <w:pPr>
                      <w:pStyle w:val="Referentiegegevensbold"/>
                    </w:pPr>
                    <w:r>
                      <w:t>Ministerie van Buitenlandse Zaken</w:t>
                    </w:r>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1CADFF81" wp14:editId="0BA719CF">
              <wp:simplePos x="0" y="0"/>
              <wp:positionH relativeFrom="page">
                <wp:posOffset>5921375</wp:posOffset>
              </wp:positionH>
              <wp:positionV relativeFrom="page">
                <wp:posOffset>10194925</wp:posOffset>
              </wp:positionV>
              <wp:extent cx="1285875" cy="161925"/>
              <wp:effectExtent l="0" t="0" r="0" b="0"/>
              <wp:wrapNone/>
              <wp:docPr id="3" name="41b1115b-80a4-11ea-b356-6230a4311406"/>
              <wp:cNvGraphicFramePr/>
              <a:graphic xmlns:a="http://schemas.openxmlformats.org/drawingml/2006/main">
                <a:graphicData uri="http://schemas.microsoft.com/office/word/2010/wordprocessingShape">
                  <wps:wsp>
                    <wps:cNvSpPr txBox="1"/>
                    <wps:spPr>
                      <a:xfrm>
                        <a:off x="0" y="0"/>
                        <a:ext cx="1285875" cy="161925"/>
                      </a:xfrm>
                      <a:prstGeom prst="rect">
                        <a:avLst/>
                      </a:prstGeom>
                      <a:noFill/>
                    </wps:spPr>
                    <wps:txbx>
                      <w:txbxContent>
                        <w:p w14:paraId="1EDA1D8A" w14:textId="77777777" w:rsidR="009208FB" w:rsidRDefault="009208FB"/>
                      </w:txbxContent>
                    </wps:txbx>
                    <wps:bodyPr vert="horz" wrap="square" lIns="0" tIns="0" rIns="0" bIns="0" anchor="t" anchorCtr="0"/>
                  </wps:wsp>
                </a:graphicData>
              </a:graphic>
            </wp:anchor>
          </w:drawing>
        </mc:Choice>
        <mc:Fallback>
          <w:pict>
            <v:shape w14:anchorId="1CADFF81" id="41b1115b-80a4-11ea-b356-6230a4311406" o:spid="_x0000_s1027" type="#_x0000_t202" style="position:absolute;margin-left:466.25pt;margin-top:802.75pt;width:101.25pt;height:12.7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" filled="f" stroked="f">
              <v:textbox inset="0,0,0,0">
                <w:txbxContent>
                  <w:p w14:paraId="1EDA1D8A" w14:textId="77777777" w:rsidR="009208FB" w:rsidRDefault="009208FB"/>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C23F" w14:textId="01D8A302" w:rsidR="00FD7579" w:rsidRDefault="009208FB">
    <w:pPr>
      <w:spacing w:after="7131" w:line="14" w:lineRule="exact"/>
    </w:pPr>
    <w:r>
      <w:rPr>
        <w:noProof/>
      </w:rPr>
      <mc:AlternateContent>
        <mc:Choice Requires="wps">
          <w:drawing>
            <wp:anchor distT="0" distB="0" distL="0" distR="0" simplePos="0" relativeHeight="251655680" behindDoc="0" locked="1" layoutInCell="1" allowOverlap="1" wp14:anchorId="3F6E42C6" wp14:editId="07777777">
              <wp:simplePos x="0" y="0"/>
              <wp:positionH relativeFrom="page">
                <wp:posOffset>1007744</wp:posOffset>
              </wp:positionH>
              <wp:positionV relativeFrom="page">
                <wp:posOffset>1720214</wp:posOffset>
              </wp:positionV>
              <wp:extent cx="3590925" cy="161925"/>
              <wp:effectExtent l="0" t="0" r="0" b="0"/>
              <wp:wrapNone/>
              <wp:docPr id="4" name="41b10a83-80a4-11ea-b356-6230a4311406"/>
              <wp:cNvGraphicFramePr/>
              <a:graphic xmlns:a="http://schemas.openxmlformats.org/drawingml/2006/main">
                <a:graphicData uri="http://schemas.microsoft.com/office/word/2010/wordprocessingShape">
                  <wps:wsp>
                    <wps:cNvSpPr txBox="1"/>
                    <wps:spPr>
                      <a:xfrm>
                        <a:off x="0" y="0"/>
                        <a:ext cx="3590925" cy="161925"/>
                      </a:xfrm>
                      <a:prstGeom prst="rect">
                        <a:avLst/>
                      </a:prstGeom>
                      <a:noFill/>
                    </wps:spPr>
                    <wps:txbx>
                      <w:txbxContent>
                        <w:p w14:paraId="761A1ED8" w14:textId="77777777" w:rsidR="009208FB" w:rsidRDefault="009208FB"/>
                      </w:txbxContent>
                    </wps:txbx>
                    <wps:bodyPr vert="horz" wrap="square" lIns="0" tIns="0" rIns="0" bIns="0" anchor="t" anchorCtr="0"/>
                  </wps:wsp>
                </a:graphicData>
              </a:graphic>
            </wp:anchor>
          </w:drawing>
        </mc:Choice>
        <mc:Fallback>
          <w:pict>
            <v:shapetype w14:anchorId="3F6E42C6" id="_x0000_t202" coordsize="21600,21600" o:spt="202" path="m,l,21600r21600,l21600,xe">
              <v:stroke joinstyle="miter"/>
              <v:path gradientshapeok="t" o:connecttype="rect"/>
            </v:shapetype>
            <v:shape id="41b10a83-80a4-11ea-b356-6230a4311406" o:spid="_x0000_s1028" type="#_x0000_t202" style="position:absolute;margin-left:79.35pt;margin-top:135.45pt;width:282.75pt;height:12.7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" filled="f" stroked="f">
              <v:textbox inset="0,0,0,0">
                <w:txbxContent>
                  <w:p w14:paraId="761A1ED8" w14:textId="77777777" w:rsidR="009208FB" w:rsidRDefault="009208FB"/>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43D0E281" wp14:editId="07777777">
              <wp:simplePos x="0" y="0"/>
              <wp:positionH relativeFrom="page">
                <wp:posOffset>1007744</wp:posOffset>
              </wp:positionH>
              <wp:positionV relativeFrom="page">
                <wp:posOffset>1954530</wp:posOffset>
              </wp:positionV>
              <wp:extent cx="4787900" cy="1115695"/>
              <wp:effectExtent l="0" t="0" r="0" b="0"/>
              <wp:wrapNone/>
              <wp:docPr id="5" name="41b10c0b-80a4-11ea-b356-6230a4311406"/>
              <wp:cNvGraphicFramePr/>
              <a:graphic xmlns:a="http://schemas.openxmlformats.org/drawingml/2006/main">
                <a:graphicData uri="http://schemas.microsoft.com/office/word/2010/wordprocessingShape">
                  <wps:wsp>
                    <wps:cNvSpPr txBox="1"/>
                    <wps:spPr>
                      <a:xfrm>
                        <a:off x="0" y="0"/>
                        <a:ext cx="4787900" cy="1115695"/>
                      </a:xfrm>
                      <a:prstGeom prst="rect">
                        <a:avLst/>
                      </a:prstGeom>
                      <a:noFill/>
                    </wps:spPr>
                    <wps:txbx>
                      <w:txbxContent>
                        <w:p w14:paraId="2CB61710" w14:textId="77777777" w:rsidR="00FD7579" w:rsidRDefault="009208FB">
                          <w:r>
                            <w:t xml:space="preserve">Aan de Voorzitter van de </w:t>
                          </w:r>
                          <w:r>
                            <w:br/>
                            <w:t>Tweede Kamer der Staten-Generaal</w:t>
                          </w:r>
                          <w:r>
                            <w:br/>
                            <w:t>Prinses Irenestraat 6</w:t>
                          </w:r>
                          <w:r>
                            <w:br/>
                            <w:t>Den Haag</w:t>
                          </w:r>
                        </w:p>
                      </w:txbxContent>
                    </wps:txbx>
                    <wps:bodyPr vert="horz" wrap="square" lIns="0" tIns="0" rIns="0" bIns="0" anchor="t" anchorCtr="0"/>
                  </wps:wsp>
                </a:graphicData>
              </a:graphic>
            </wp:anchor>
          </w:drawing>
        </mc:Choice>
        <mc:Fallback>
          <w:pict>
            <v:shape w14:anchorId="43D0E281" id="41b10c0b-80a4-11ea-b356-6230a4311406" o:spid="_x0000_s1029" type="#_x0000_t202" style="position:absolute;margin-left:79.35pt;margin-top:153.9pt;width:377pt;height:87.8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" filled="f" stroked="f">
              <v:textbox inset="0,0,0,0">
                <w:txbxContent>
                  <w:p w14:paraId="2CB61710" w14:textId="77777777" w:rsidR="00FD7579" w:rsidRDefault="009208FB">
                    <w:r>
                      <w:t xml:space="preserve">Aan de Voorzitter van de </w:t>
                    </w:r>
                    <w:r>
                      <w:br/>
                      <w:t>Tweede Kamer der Staten-Generaal</w:t>
                    </w:r>
                    <w:r>
                      <w:br/>
                      <w:t>Prinses Irenestraat 6</w:t>
                    </w:r>
                    <w:r>
                      <w:br/>
                      <w:t>Den Haag</w:t>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630A37B7" wp14:editId="07777777">
              <wp:simplePos x="0" y="0"/>
              <wp:positionH relativeFrom="page">
                <wp:posOffset>1007744</wp:posOffset>
              </wp:positionH>
              <wp:positionV relativeFrom="page">
                <wp:posOffset>3765550</wp:posOffset>
              </wp:positionV>
              <wp:extent cx="4780915" cy="608965"/>
              <wp:effectExtent l="0" t="0" r="0" b="0"/>
              <wp:wrapNone/>
              <wp:docPr id="6" name="41b10c7e-80a4-11ea-b356-6230a4311406"/>
              <wp:cNvGraphicFramePr/>
              <a:graphic xmlns:a="http://schemas.openxmlformats.org/drawingml/2006/main">
                <a:graphicData uri="http://schemas.microsoft.com/office/word/2010/wordprocessingShape">
                  <wps:wsp>
                    <wps:cNvSpPr txBox="1"/>
                    <wps:spPr>
                      <a:xfrm>
                        <a:off x="0" y="0"/>
                        <a:ext cx="4780915" cy="608965"/>
                      </a:xfrm>
                      <a:prstGeom prst="rect">
                        <a:avLst/>
                      </a:prstGeom>
                      <a:noFill/>
                    </wps:spPr>
                    <wps:txbx>
                      <w:txbxContent>
                        <w:tbl>
                          <w:tblPr>
                            <w:tblStyle w:val="Tabelondertekening"/>
                            <w:tblW w:w="7529" w:type="dxa"/>
                            <w:tblInd w:w="0" w:type="dxa"/>
                            <w:tblLayout w:type="fixed"/>
                            <w:tblLook w:val="07E0" w:firstRow="1" w:lastRow="1" w:firstColumn="1" w:lastColumn="1" w:noHBand="1" w:noVBand="1"/>
                          </w:tblPr>
                          <w:tblGrid>
                            <w:gridCol w:w="678"/>
                            <w:gridCol w:w="6851"/>
                          </w:tblGrid>
                          <w:tr w:rsidR="00FD7579" w14:paraId="03ACEC9D" w14:textId="77777777">
                            <w:tc>
                              <w:tcPr>
                                <w:tcW w:w="678" w:type="dxa"/>
                              </w:tcPr>
                              <w:p w14:paraId="746F1487" w14:textId="77777777" w:rsidR="00FD7579" w:rsidRDefault="009208FB">
                                <w:r>
                                  <w:t>Datum</w:t>
                                </w:r>
                              </w:p>
                            </w:tc>
                            <w:tc>
                              <w:tcPr>
                                <w:tcW w:w="6851" w:type="dxa"/>
                              </w:tcPr>
                              <w:p w14:paraId="1DF5A027" w14:textId="2A5A3FF1" w:rsidR="00FD7579" w:rsidRDefault="006B1A04">
                                <w:r>
                                  <w:t xml:space="preserve"> 25</w:t>
                                </w:r>
                                <w:r w:rsidR="009208FB">
                                  <w:t xml:space="preserve"> </w:t>
                                </w:r>
                                <w:r w:rsidR="00376FEF">
                                  <w:t>juli</w:t>
                                </w:r>
                                <w:r w:rsidR="009208FB">
                                  <w:t xml:space="preserve"> 2024</w:t>
                                </w:r>
                              </w:p>
                            </w:tc>
                          </w:tr>
                          <w:tr w:rsidR="00FD7579" w14:paraId="249CF6B6" w14:textId="77777777">
                            <w:tc>
                              <w:tcPr>
                                <w:tcW w:w="678" w:type="dxa"/>
                              </w:tcPr>
                              <w:p w14:paraId="5D022FD9" w14:textId="77777777" w:rsidR="00FD7579" w:rsidRDefault="009208FB">
                                <w:r>
                                  <w:t>Betreft</w:t>
                                </w:r>
                              </w:p>
                              <w:p w14:paraId="6A05A809" w14:textId="77777777" w:rsidR="00FD7579" w:rsidRDefault="00FD7579"/>
                            </w:tc>
                            <w:tc>
                              <w:tcPr>
                                <w:tcW w:w="6851" w:type="dxa"/>
                              </w:tcPr>
                              <w:p w14:paraId="39538341" w14:textId="77777777" w:rsidR="00FD7579" w:rsidRDefault="009208FB">
                                <w:r>
                                  <w:t>Appreciatie voorstel besluit Gemengd Comité CETA inzake aanvullende voorschriften voor het mkb</w:t>
                                </w:r>
                              </w:p>
                              <w:p w14:paraId="5A39BBE3" w14:textId="77777777" w:rsidR="00FD7579" w:rsidRDefault="00FD7579"/>
                            </w:tc>
                          </w:tr>
                        </w:tbl>
                        <w:p w14:paraId="41C8F396" w14:textId="77777777" w:rsidR="00FD7579" w:rsidRDefault="00FD7579"/>
                        <w:p w14:paraId="72A3D3EC" w14:textId="77777777" w:rsidR="00FD7579" w:rsidRDefault="00FD7579"/>
                      </w:txbxContent>
                    </wps:txbx>
                    <wps:bodyPr vert="horz" wrap="square" lIns="0" tIns="0" rIns="0" bIns="0" anchor="t" anchorCtr="0"/>
                  </wps:wsp>
                </a:graphicData>
              </a:graphic>
            </wp:anchor>
          </w:drawing>
        </mc:Choice>
        <mc:Fallback>
          <w:pict>
            <v:shape w14:anchorId="630A37B7" id="41b10c7e-80a4-11ea-b356-6230a4311406" o:spid="_x0000_s1030" type="#_x0000_t202" style="position:absolute;margin-left:79.35pt;margin-top:296.5pt;width:376.45pt;height:47.9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" filled="f" stroked="f">
              <v:textbox inset="0,0,0,0">
                <w:txbxContent>
                  <w:tbl>
                    <w:tblPr>
                      <w:tblStyle w:val="Tabelondertekening"/>
                      <w:tblW w:w="7529" w:type="dxa"/>
                      <w:tblInd w:w="0" w:type="dxa"/>
                      <w:tblLayout w:type="fixed"/>
                      <w:tblLook w:val="07E0" w:firstRow="1" w:lastRow="1" w:firstColumn="1" w:lastColumn="1" w:noHBand="1" w:noVBand="1"/>
                    </w:tblPr>
                    <w:tblGrid>
                      <w:gridCol w:w="678"/>
                      <w:gridCol w:w="6851"/>
                    </w:tblGrid>
                    <w:tr w:rsidR="00FD7579" w14:paraId="03ACEC9D" w14:textId="77777777">
                      <w:tc>
                        <w:tcPr>
                          <w:tcW w:w="678" w:type="dxa"/>
                        </w:tcPr>
                        <w:p w14:paraId="746F1487" w14:textId="77777777" w:rsidR="00FD7579" w:rsidRDefault="009208FB">
                          <w:r>
                            <w:t>Datum</w:t>
                          </w:r>
                        </w:p>
                      </w:tc>
                      <w:tc>
                        <w:tcPr>
                          <w:tcW w:w="6851" w:type="dxa"/>
                        </w:tcPr>
                        <w:p w14:paraId="1DF5A027" w14:textId="2A5A3FF1" w:rsidR="00FD7579" w:rsidRDefault="006B1A04">
                          <w:r>
                            <w:t xml:space="preserve"> 25</w:t>
                          </w:r>
                          <w:r w:rsidR="009208FB">
                            <w:t xml:space="preserve"> </w:t>
                          </w:r>
                          <w:r w:rsidR="00376FEF">
                            <w:t>juli</w:t>
                          </w:r>
                          <w:r w:rsidR="009208FB">
                            <w:t xml:space="preserve"> 2024</w:t>
                          </w:r>
                        </w:p>
                      </w:tc>
                    </w:tr>
                    <w:tr w:rsidR="00FD7579" w14:paraId="249CF6B6" w14:textId="77777777">
                      <w:tc>
                        <w:tcPr>
                          <w:tcW w:w="678" w:type="dxa"/>
                        </w:tcPr>
                        <w:p w14:paraId="5D022FD9" w14:textId="77777777" w:rsidR="00FD7579" w:rsidRDefault="009208FB">
                          <w:r>
                            <w:t>Betreft</w:t>
                          </w:r>
                        </w:p>
                        <w:p w14:paraId="6A05A809" w14:textId="77777777" w:rsidR="00FD7579" w:rsidRDefault="00FD7579"/>
                      </w:tc>
                      <w:tc>
                        <w:tcPr>
                          <w:tcW w:w="6851" w:type="dxa"/>
                        </w:tcPr>
                        <w:p w14:paraId="39538341" w14:textId="77777777" w:rsidR="00FD7579" w:rsidRDefault="009208FB">
                          <w:r>
                            <w:t>Appreciatie voorstel besluit Gemengd Comité CETA inzake aanvullende voorschriften voor het mkb</w:t>
                          </w:r>
                        </w:p>
                        <w:p w14:paraId="5A39BBE3" w14:textId="77777777" w:rsidR="00FD7579" w:rsidRDefault="00FD7579"/>
                      </w:tc>
                    </w:tr>
                  </w:tbl>
                  <w:p w14:paraId="41C8F396" w14:textId="77777777" w:rsidR="00FD7579" w:rsidRDefault="00FD7579"/>
                  <w:p w14:paraId="72A3D3EC" w14:textId="77777777" w:rsidR="00FD7579" w:rsidRDefault="00FD7579"/>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0B2EDF2D" wp14:editId="1FF24444">
              <wp:simplePos x="0" y="0"/>
              <wp:positionH relativeFrom="page">
                <wp:posOffset>5797550</wp:posOffset>
              </wp:positionH>
              <wp:positionV relativeFrom="page">
                <wp:posOffset>1962150</wp:posOffset>
              </wp:positionV>
              <wp:extent cx="1404620" cy="8009890"/>
              <wp:effectExtent l="0" t="0" r="0" b="0"/>
              <wp:wrapNone/>
              <wp:docPr id="7" name="41b10cd4-80a4-11ea-b356-6230a4311406"/>
              <wp:cNvGraphicFramePr/>
              <a:graphic xmlns:a="http://schemas.openxmlformats.org/drawingml/2006/main">
                <a:graphicData uri="http://schemas.microsoft.com/office/word/2010/wordprocessingShape">
                  <wps:wsp>
                    <wps:cNvSpPr txBox="1"/>
                    <wps:spPr>
                      <a:xfrm>
                        <a:off x="0" y="0"/>
                        <a:ext cx="1404620" cy="8009890"/>
                      </a:xfrm>
                      <a:prstGeom prst="rect">
                        <a:avLst/>
                      </a:prstGeom>
                      <a:noFill/>
                    </wps:spPr>
                    <wps:txbx>
                      <w:txbxContent>
                        <w:p w14:paraId="2C125478" w14:textId="77777777" w:rsidR="00FD7579" w:rsidRDefault="009208FB">
                          <w:pPr>
                            <w:pStyle w:val="Referentiegegevensbold"/>
                          </w:pPr>
                          <w:r>
                            <w:t>Ministerie van Buitenlandse Zaken</w:t>
                          </w:r>
                        </w:p>
                        <w:p w14:paraId="476302F0" w14:textId="77777777" w:rsidR="00A45550" w:rsidRPr="00EE5E5D" w:rsidRDefault="00A45550" w:rsidP="00A45550">
                          <w:pPr>
                            <w:rPr>
                              <w:sz w:val="13"/>
                              <w:szCs w:val="13"/>
                            </w:rPr>
                          </w:pPr>
                          <w:r>
                            <w:rPr>
                              <w:sz w:val="13"/>
                              <w:szCs w:val="13"/>
                            </w:rPr>
                            <w:t>Rijnstraat 8</w:t>
                          </w:r>
                        </w:p>
                        <w:p w14:paraId="3C748B2D" w14:textId="77777777" w:rsidR="00A45550" w:rsidRPr="00376FEF" w:rsidRDefault="00A45550" w:rsidP="00A45550">
                          <w:pPr>
                            <w:rPr>
                              <w:sz w:val="13"/>
                              <w:szCs w:val="13"/>
                              <w:lang w:val="de-DE"/>
                            </w:rPr>
                          </w:pPr>
                          <w:r w:rsidRPr="00376FEF">
                            <w:rPr>
                              <w:sz w:val="13"/>
                              <w:szCs w:val="13"/>
                              <w:lang w:val="de-DE"/>
                            </w:rPr>
                            <w:t xml:space="preserve">2515 XP Den Haag </w:t>
                          </w:r>
                        </w:p>
                        <w:p w14:paraId="5E0C1CF4" w14:textId="77777777" w:rsidR="00A45550" w:rsidRPr="00376FEF" w:rsidRDefault="00A45550" w:rsidP="00A45550">
                          <w:pPr>
                            <w:rPr>
                              <w:sz w:val="13"/>
                              <w:szCs w:val="13"/>
                              <w:lang w:val="de-DE"/>
                            </w:rPr>
                          </w:pPr>
                          <w:r w:rsidRPr="00376FEF">
                            <w:rPr>
                              <w:sz w:val="13"/>
                              <w:szCs w:val="13"/>
                              <w:lang w:val="de-DE"/>
                            </w:rPr>
                            <w:t>Postbus 20061</w:t>
                          </w:r>
                        </w:p>
                        <w:p w14:paraId="11BFB428" w14:textId="77777777" w:rsidR="00A45550" w:rsidRPr="006578F6" w:rsidRDefault="00A45550" w:rsidP="00A45550">
                          <w:pPr>
                            <w:rPr>
                              <w:sz w:val="13"/>
                              <w:szCs w:val="13"/>
                              <w:lang w:val="de-DE"/>
                            </w:rPr>
                          </w:pPr>
                          <w:proofErr w:type="spellStart"/>
                          <w:r w:rsidRPr="006578F6">
                            <w:rPr>
                              <w:sz w:val="13"/>
                              <w:szCs w:val="13"/>
                              <w:lang w:val="de-DE"/>
                            </w:rPr>
                            <w:t>Nederland</w:t>
                          </w:r>
                          <w:proofErr w:type="spellEnd"/>
                        </w:p>
                        <w:p w14:paraId="29D6B04F" w14:textId="0392C8E1" w:rsidR="00FD7579" w:rsidRPr="00A45550" w:rsidRDefault="00A45550" w:rsidP="00A45550">
                          <w:pPr>
                            <w:rPr>
                              <w:sz w:val="13"/>
                              <w:szCs w:val="13"/>
                              <w:lang w:val="de-DE"/>
                            </w:rPr>
                          </w:pPr>
                          <w:r w:rsidRPr="006578F6">
                            <w:rPr>
                              <w:sz w:val="13"/>
                              <w:szCs w:val="13"/>
                              <w:lang w:val="de-DE"/>
                            </w:rPr>
                            <w:t>www.rijksoverheid.nl</w:t>
                          </w:r>
                        </w:p>
                        <w:p w14:paraId="59FE0476" w14:textId="77777777" w:rsidR="00FD7579" w:rsidRPr="00B813D4" w:rsidRDefault="009208FB">
                          <w:pPr>
                            <w:pStyle w:val="Referentiegegevens"/>
                            <w:rPr>
                              <w:lang w:val="de-DE"/>
                            </w:rPr>
                          </w:pPr>
                          <w:r w:rsidRPr="00B813D4">
                            <w:rPr>
                              <w:lang w:val="de-DE"/>
                            </w:rPr>
                            <w:t>www.minbuza.nl</w:t>
                          </w:r>
                        </w:p>
                        <w:p w14:paraId="3DEEC669" w14:textId="77777777" w:rsidR="00FD7579" w:rsidRPr="00B813D4" w:rsidRDefault="00FD7579">
                          <w:pPr>
                            <w:pStyle w:val="WitregelW2"/>
                            <w:rPr>
                              <w:lang w:val="de-DE"/>
                            </w:rPr>
                          </w:pPr>
                        </w:p>
                        <w:p w14:paraId="4D38531E" w14:textId="2DAEEF2D" w:rsidR="00FD7579" w:rsidRPr="00B813D4" w:rsidRDefault="00A45550">
                          <w:pPr>
                            <w:pStyle w:val="Referentiegegevensbold"/>
                            <w:rPr>
                              <w:lang w:val="de-DE"/>
                            </w:rPr>
                          </w:pPr>
                          <w:proofErr w:type="spellStart"/>
                          <w:r w:rsidRPr="00B813D4">
                            <w:rPr>
                              <w:lang w:val="de-DE"/>
                            </w:rPr>
                            <w:t>Onze</w:t>
                          </w:r>
                          <w:proofErr w:type="spellEnd"/>
                          <w:r w:rsidR="009208FB" w:rsidRPr="00B813D4">
                            <w:rPr>
                              <w:lang w:val="de-DE"/>
                            </w:rPr>
                            <w:t xml:space="preserve"> </w:t>
                          </w:r>
                          <w:proofErr w:type="spellStart"/>
                          <w:r w:rsidR="009208FB" w:rsidRPr="00B813D4">
                            <w:rPr>
                              <w:lang w:val="de-DE"/>
                            </w:rPr>
                            <w:t>referentie</w:t>
                          </w:r>
                          <w:proofErr w:type="spellEnd"/>
                        </w:p>
                        <w:p w14:paraId="3D34BADF" w14:textId="44767DF8" w:rsidR="00FD7579" w:rsidRPr="00B813D4" w:rsidRDefault="009208FB">
                          <w:pPr>
                            <w:pStyle w:val="Referentiegegevens"/>
                            <w:rPr>
                              <w:lang w:val="de-DE"/>
                            </w:rPr>
                          </w:pPr>
                          <w:r w:rsidRPr="00B813D4">
                            <w:rPr>
                              <w:lang w:val="de-DE"/>
                            </w:rPr>
                            <w:t>BZ2402204</w:t>
                          </w:r>
                        </w:p>
                        <w:p w14:paraId="4544996D" w14:textId="77777777" w:rsidR="00A45550" w:rsidRPr="00B813D4" w:rsidRDefault="00A45550" w:rsidP="00A45550">
                          <w:pPr>
                            <w:rPr>
                              <w:lang w:val="de-DE"/>
                            </w:rPr>
                          </w:pPr>
                        </w:p>
                        <w:p w14:paraId="3656B9AB" w14:textId="77777777" w:rsidR="00FD7579" w:rsidRPr="00B813D4" w:rsidRDefault="00FD7579">
                          <w:pPr>
                            <w:pStyle w:val="WitregelW1"/>
                            <w:rPr>
                              <w:lang w:val="de-DE"/>
                            </w:rPr>
                          </w:pPr>
                        </w:p>
                        <w:p w14:paraId="173D1F37" w14:textId="77777777" w:rsidR="00FD7579" w:rsidRDefault="009208FB">
                          <w:pPr>
                            <w:pStyle w:val="Referentiegegevensbold"/>
                          </w:pPr>
                          <w:r>
                            <w:t>Bijlage(n)</w:t>
                          </w:r>
                        </w:p>
                        <w:p w14:paraId="18F999B5" w14:textId="77777777" w:rsidR="00FD7579" w:rsidRDefault="009208FB">
                          <w:pPr>
                            <w:pStyle w:val="Referentiegegevens"/>
                          </w:pPr>
                          <w:r>
                            <w:t>2</w:t>
                          </w:r>
                        </w:p>
                      </w:txbxContent>
                    </wps:txbx>
                    <wps:bodyPr vert="horz" wrap="square" lIns="0" tIns="0" rIns="0" bIns="0" anchor="t" anchorCtr="0"/>
                  </wps:wsp>
                </a:graphicData>
              </a:graphic>
              <wp14:sizeRelH relativeFrom="margin">
                <wp14:pctWidth>0</wp14:pctWidth>
              </wp14:sizeRelH>
            </wp:anchor>
          </w:drawing>
        </mc:Choice>
        <mc:Fallback>
          <w:pict>
            <v:shape w14:anchorId="0B2EDF2D" id="41b10cd4-80a4-11ea-b356-6230a4311406" o:spid="_x0000_s1031" type="#_x0000_t202" style="position:absolute;margin-left:456.5pt;margin-top:154.5pt;width:110.6pt;height:630.7pt;z-index:251658752;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" filled="f" stroked="f">
              <v:textbox inset="0,0,0,0">
                <w:txbxContent>
                  <w:p w14:paraId="2C125478" w14:textId="77777777" w:rsidR="00FD7579" w:rsidRDefault="009208FB">
                    <w:pPr>
                      <w:pStyle w:val="Referentiegegevensbold"/>
                    </w:pPr>
                    <w:r>
                      <w:t>Ministerie van Buitenlandse Zaken</w:t>
                    </w:r>
                  </w:p>
                  <w:p w14:paraId="476302F0" w14:textId="77777777" w:rsidR="00A45550" w:rsidRPr="00EE5E5D" w:rsidRDefault="00A45550" w:rsidP="00A45550">
                    <w:pPr>
                      <w:rPr>
                        <w:sz w:val="13"/>
                        <w:szCs w:val="13"/>
                      </w:rPr>
                    </w:pPr>
                    <w:r>
                      <w:rPr>
                        <w:sz w:val="13"/>
                        <w:szCs w:val="13"/>
                      </w:rPr>
                      <w:t>Rijnstraat 8</w:t>
                    </w:r>
                  </w:p>
                  <w:p w14:paraId="3C748B2D" w14:textId="77777777" w:rsidR="00A45550" w:rsidRPr="00376FEF" w:rsidRDefault="00A45550" w:rsidP="00A45550">
                    <w:pPr>
                      <w:rPr>
                        <w:sz w:val="13"/>
                        <w:szCs w:val="13"/>
                        <w:lang w:val="de-DE"/>
                      </w:rPr>
                    </w:pPr>
                    <w:r w:rsidRPr="00376FEF">
                      <w:rPr>
                        <w:sz w:val="13"/>
                        <w:szCs w:val="13"/>
                        <w:lang w:val="de-DE"/>
                      </w:rPr>
                      <w:t xml:space="preserve">2515 XP Den Haag </w:t>
                    </w:r>
                  </w:p>
                  <w:p w14:paraId="5E0C1CF4" w14:textId="77777777" w:rsidR="00A45550" w:rsidRPr="00376FEF" w:rsidRDefault="00A45550" w:rsidP="00A45550">
                    <w:pPr>
                      <w:rPr>
                        <w:sz w:val="13"/>
                        <w:szCs w:val="13"/>
                        <w:lang w:val="de-DE"/>
                      </w:rPr>
                    </w:pPr>
                    <w:r w:rsidRPr="00376FEF">
                      <w:rPr>
                        <w:sz w:val="13"/>
                        <w:szCs w:val="13"/>
                        <w:lang w:val="de-DE"/>
                      </w:rPr>
                      <w:t>Postbus 20061</w:t>
                    </w:r>
                  </w:p>
                  <w:p w14:paraId="11BFB428" w14:textId="77777777" w:rsidR="00A45550" w:rsidRPr="006578F6" w:rsidRDefault="00A45550" w:rsidP="00A45550">
                    <w:pPr>
                      <w:rPr>
                        <w:sz w:val="13"/>
                        <w:szCs w:val="13"/>
                        <w:lang w:val="de-DE"/>
                      </w:rPr>
                    </w:pPr>
                    <w:proofErr w:type="spellStart"/>
                    <w:r w:rsidRPr="006578F6">
                      <w:rPr>
                        <w:sz w:val="13"/>
                        <w:szCs w:val="13"/>
                        <w:lang w:val="de-DE"/>
                      </w:rPr>
                      <w:t>Nederland</w:t>
                    </w:r>
                    <w:proofErr w:type="spellEnd"/>
                  </w:p>
                  <w:p w14:paraId="29D6B04F" w14:textId="0392C8E1" w:rsidR="00FD7579" w:rsidRPr="00A45550" w:rsidRDefault="00A45550" w:rsidP="00A45550">
                    <w:pPr>
                      <w:rPr>
                        <w:sz w:val="13"/>
                        <w:szCs w:val="13"/>
                        <w:lang w:val="de-DE"/>
                      </w:rPr>
                    </w:pPr>
                    <w:r w:rsidRPr="006578F6">
                      <w:rPr>
                        <w:sz w:val="13"/>
                        <w:szCs w:val="13"/>
                        <w:lang w:val="de-DE"/>
                      </w:rPr>
                      <w:t>www.rijksoverheid.nl</w:t>
                    </w:r>
                  </w:p>
                  <w:p w14:paraId="59FE0476" w14:textId="77777777" w:rsidR="00FD7579" w:rsidRPr="00B813D4" w:rsidRDefault="009208FB">
                    <w:pPr>
                      <w:pStyle w:val="Referentiegegevens"/>
                      <w:rPr>
                        <w:lang w:val="de-DE"/>
                      </w:rPr>
                    </w:pPr>
                    <w:r w:rsidRPr="00B813D4">
                      <w:rPr>
                        <w:lang w:val="de-DE"/>
                      </w:rPr>
                      <w:t>www.minbuza.nl</w:t>
                    </w:r>
                  </w:p>
                  <w:p w14:paraId="3DEEC669" w14:textId="77777777" w:rsidR="00FD7579" w:rsidRPr="00B813D4" w:rsidRDefault="00FD7579">
                    <w:pPr>
                      <w:pStyle w:val="WitregelW2"/>
                      <w:rPr>
                        <w:lang w:val="de-DE"/>
                      </w:rPr>
                    </w:pPr>
                  </w:p>
                  <w:p w14:paraId="4D38531E" w14:textId="2DAEEF2D" w:rsidR="00FD7579" w:rsidRPr="00B813D4" w:rsidRDefault="00A45550">
                    <w:pPr>
                      <w:pStyle w:val="Referentiegegevensbold"/>
                      <w:rPr>
                        <w:lang w:val="de-DE"/>
                      </w:rPr>
                    </w:pPr>
                    <w:proofErr w:type="spellStart"/>
                    <w:r w:rsidRPr="00B813D4">
                      <w:rPr>
                        <w:lang w:val="de-DE"/>
                      </w:rPr>
                      <w:t>Onze</w:t>
                    </w:r>
                    <w:proofErr w:type="spellEnd"/>
                    <w:r w:rsidR="009208FB" w:rsidRPr="00B813D4">
                      <w:rPr>
                        <w:lang w:val="de-DE"/>
                      </w:rPr>
                      <w:t xml:space="preserve"> </w:t>
                    </w:r>
                    <w:proofErr w:type="spellStart"/>
                    <w:r w:rsidR="009208FB" w:rsidRPr="00B813D4">
                      <w:rPr>
                        <w:lang w:val="de-DE"/>
                      </w:rPr>
                      <w:t>referentie</w:t>
                    </w:r>
                    <w:proofErr w:type="spellEnd"/>
                  </w:p>
                  <w:p w14:paraId="3D34BADF" w14:textId="44767DF8" w:rsidR="00FD7579" w:rsidRPr="00B813D4" w:rsidRDefault="009208FB">
                    <w:pPr>
                      <w:pStyle w:val="Referentiegegevens"/>
                      <w:rPr>
                        <w:lang w:val="de-DE"/>
                      </w:rPr>
                    </w:pPr>
                    <w:r w:rsidRPr="00B813D4">
                      <w:rPr>
                        <w:lang w:val="de-DE"/>
                      </w:rPr>
                      <w:t>BZ2402204</w:t>
                    </w:r>
                  </w:p>
                  <w:p w14:paraId="4544996D" w14:textId="77777777" w:rsidR="00A45550" w:rsidRPr="00B813D4" w:rsidRDefault="00A45550" w:rsidP="00A45550">
                    <w:pPr>
                      <w:rPr>
                        <w:lang w:val="de-DE"/>
                      </w:rPr>
                    </w:pPr>
                  </w:p>
                  <w:p w14:paraId="3656B9AB" w14:textId="77777777" w:rsidR="00FD7579" w:rsidRPr="00B813D4" w:rsidRDefault="00FD7579">
                    <w:pPr>
                      <w:pStyle w:val="WitregelW1"/>
                      <w:rPr>
                        <w:lang w:val="de-DE"/>
                      </w:rPr>
                    </w:pPr>
                  </w:p>
                  <w:p w14:paraId="173D1F37" w14:textId="77777777" w:rsidR="00FD7579" w:rsidRDefault="009208FB">
                    <w:pPr>
                      <w:pStyle w:val="Referentiegegevensbold"/>
                    </w:pPr>
                    <w:r>
                      <w:t>Bijlage(n)</w:t>
                    </w:r>
                  </w:p>
                  <w:p w14:paraId="18F999B5" w14:textId="77777777" w:rsidR="00FD7579" w:rsidRDefault="009208FB">
                    <w:pPr>
                      <w:pStyle w:val="Referentiegegevens"/>
                    </w:pPr>
                    <w:r>
                      <w:t>2</w:t>
                    </w:r>
                  </w:p>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0079B38E" wp14:editId="6EF23062">
              <wp:simplePos x="0" y="0"/>
              <wp:positionH relativeFrom="page">
                <wp:posOffset>5921375</wp:posOffset>
              </wp:positionH>
              <wp:positionV relativeFrom="page">
                <wp:posOffset>10194925</wp:posOffset>
              </wp:positionV>
              <wp:extent cx="1285875" cy="161925"/>
              <wp:effectExtent l="0" t="0" r="0" b="0"/>
              <wp:wrapNone/>
              <wp:docPr id="9" name="41b10d73-80a4-11ea-b356-6230a4311406"/>
              <wp:cNvGraphicFramePr/>
              <a:graphic xmlns:a="http://schemas.openxmlformats.org/drawingml/2006/main">
                <a:graphicData uri="http://schemas.microsoft.com/office/word/2010/wordprocessingShape">
                  <wps:wsp>
                    <wps:cNvSpPr txBox="1"/>
                    <wps:spPr>
                      <a:xfrm>
                        <a:off x="0" y="0"/>
                        <a:ext cx="1285875" cy="161925"/>
                      </a:xfrm>
                      <a:prstGeom prst="rect">
                        <a:avLst/>
                      </a:prstGeom>
                      <a:noFill/>
                    </wps:spPr>
                    <wps:txbx>
                      <w:txbxContent>
                        <w:p w14:paraId="18810E3E" w14:textId="77777777" w:rsidR="009208FB" w:rsidRDefault="009208FB"/>
                      </w:txbxContent>
                    </wps:txbx>
                    <wps:bodyPr vert="horz" wrap="square" lIns="0" tIns="0" rIns="0" bIns="0" anchor="t" anchorCtr="0"/>
                  </wps:wsp>
                </a:graphicData>
              </a:graphic>
            </wp:anchor>
          </w:drawing>
        </mc:Choice>
        <mc:Fallback>
          <w:pict>
            <v:shape w14:anchorId="0079B38E" id="41b10d73-80a4-11ea-b356-6230a4311406" o:spid="_x0000_s1032" type="#_x0000_t202" style="position:absolute;margin-left:466.25pt;margin-top:802.75pt;width:101.25pt;height:12.7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" filled="f" stroked="f">
              <v:textbox inset="0,0,0,0">
                <w:txbxContent>
                  <w:p w14:paraId="18810E3E" w14:textId="77777777" w:rsidR="009208FB" w:rsidRDefault="009208FB"/>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2F1C3767" wp14:editId="07777777">
              <wp:simplePos x="0" y="0"/>
              <wp:positionH relativeFrom="page">
                <wp:posOffset>3545840</wp:posOffset>
              </wp:positionH>
              <wp:positionV relativeFrom="page">
                <wp:posOffset>0</wp:posOffset>
              </wp:positionV>
              <wp:extent cx="467995" cy="1583055"/>
              <wp:effectExtent l="0" t="0" r="0" b="0"/>
              <wp:wrapNone/>
              <wp:docPr id="10" name="41b10dc3-80a4-11ea-b356-6230a4311406"/>
              <wp:cNvGraphicFramePr/>
              <a:graphic xmlns:a="http://schemas.openxmlformats.org/drawingml/2006/main">
                <a:graphicData uri="http://schemas.microsoft.com/office/word/2010/wordprocessingShape">
                  <wps:wsp>
                    <wps:cNvSpPr txBox="1"/>
                    <wps:spPr>
                      <a:xfrm>
                        <a:off x="0" y="0"/>
                        <a:ext cx="467995" cy="1583055"/>
                      </a:xfrm>
                      <a:prstGeom prst="rect">
                        <a:avLst/>
                      </a:prstGeom>
                      <a:noFill/>
                    </wps:spPr>
                    <wps:txbx>
                      <w:txbxContent>
                        <w:p w14:paraId="62486C05" w14:textId="77777777" w:rsidR="00FD7579" w:rsidRDefault="009208FB">
                          <w:pPr>
                            <w:spacing w:line="240" w:lineRule="auto"/>
                          </w:pPr>
                          <w:r>
                            <w:rPr>
                              <w:noProof/>
                            </w:rPr>
                            <w:drawing>
                              <wp:inline distT="0" distB="0" distL="0" distR="0" wp14:anchorId="331DFEA9" wp14:editId="07777777">
                                <wp:extent cx="467995" cy="1583865"/>
                                <wp:effectExtent l="0" t="0" r="0" b="0"/>
                                <wp:docPr id="11" name="Logo"/>
                                <wp:cNvGraphicFramePr/>
                                <a:graphic xmlns:a="http://schemas.openxmlformats.org/drawingml/2006/main">
                                  <a:graphicData uri="http://schemas.openxmlformats.org/drawingml/2006/picture">
                                    <pic:pic xmlns:pic="http://schemas.openxmlformats.org/drawingml/2006/picture">
                                      <pic:nvPicPr>
                                        <pic:cNvPr id="11" name="Logo"/>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2F1C3767" id="41b10dc3-80a4-11ea-b356-6230a4311406" o:spid="_x0000_s1033" type="#_x0000_t202" style="position:absolute;margin-left:279.2pt;margin-top:0;width:36.85pt;height:124.6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" filled="f" stroked="f">
              <v:textbox inset="0,0,0,0">
                <w:txbxContent>
                  <w:p w14:paraId="62486C05" w14:textId="77777777" w:rsidR="00FD7579" w:rsidRDefault="009208FB">
                    <w:pPr>
                      <w:spacing w:line="240" w:lineRule="auto"/>
                    </w:pPr>
                    <w:r>
                      <w:rPr>
                        <w:noProof/>
                      </w:rPr>
                      <w:drawing>
                        <wp:inline distT="0" distB="0" distL="0" distR="0" wp14:anchorId="331DFEA9" wp14:editId="07777777">
                          <wp:extent cx="467995" cy="1583865"/>
                          <wp:effectExtent l="0" t="0" r="0" b="0"/>
                          <wp:docPr id="11" name="Logo"/>
                          <wp:cNvGraphicFramePr/>
                          <a:graphic xmlns:a="http://schemas.openxmlformats.org/drawingml/2006/main">
                            <a:graphicData uri="http://schemas.openxmlformats.org/drawingml/2006/picture">
                              <pic:pic xmlns:pic="http://schemas.openxmlformats.org/drawingml/2006/picture">
                                <pic:nvPicPr>
                                  <pic:cNvPr id="11" name="Logo"/>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328CA5E6" wp14:editId="07777777">
              <wp:simplePos x="0" y="0"/>
              <wp:positionH relativeFrom="page">
                <wp:posOffset>3995420</wp:posOffset>
              </wp:positionH>
              <wp:positionV relativeFrom="page">
                <wp:posOffset>0</wp:posOffset>
              </wp:positionV>
              <wp:extent cx="2339975" cy="1583690"/>
              <wp:effectExtent l="0" t="0" r="0" b="0"/>
              <wp:wrapNone/>
              <wp:docPr id="12" name="41b10edc-80a4-11ea-b356-6230a4311406"/>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4B99056E" w14:textId="77777777" w:rsidR="00FD7579" w:rsidRDefault="009208FB">
                          <w:pPr>
                            <w:spacing w:line="240" w:lineRule="auto"/>
                          </w:pPr>
                          <w:r>
                            <w:rPr>
                              <w:noProof/>
                            </w:rPr>
                            <w:drawing>
                              <wp:inline distT="0" distB="0" distL="0" distR="0" wp14:anchorId="6FAF6469" wp14:editId="07777777">
                                <wp:extent cx="2339975" cy="1582834"/>
                                <wp:effectExtent l="0" t="0" r="0" b="0"/>
                                <wp:docPr id="13" name="Logotype_BZ"/>
                                <wp:cNvGraphicFramePr/>
                                <a:graphic xmlns:a="http://schemas.openxmlformats.org/drawingml/2006/main">
                                  <a:graphicData uri="http://schemas.openxmlformats.org/drawingml/2006/picture">
                                    <pic:pic xmlns:pic="http://schemas.openxmlformats.org/drawingml/2006/picture">
                                      <pic:nvPicPr>
                                        <pic:cNvPr id="13" name="Logotype_BZ"/>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328CA5E6" id="41b10edc-80a4-11ea-b356-6230a4311406" o:spid="_x0000_s1034" type="#_x0000_t202" style="position:absolute;margin-left:314.6pt;margin-top:0;width:184.25pt;height:124.7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" filled="f" stroked="f">
              <v:textbox inset="0,0,0,0">
                <w:txbxContent>
                  <w:p w14:paraId="4B99056E" w14:textId="77777777" w:rsidR="00FD7579" w:rsidRDefault="009208FB">
                    <w:pPr>
                      <w:spacing w:line="240" w:lineRule="auto"/>
                    </w:pPr>
                    <w:r>
                      <w:rPr>
                        <w:noProof/>
                      </w:rPr>
                      <w:drawing>
                        <wp:inline distT="0" distB="0" distL="0" distR="0" wp14:anchorId="6FAF6469" wp14:editId="07777777">
                          <wp:extent cx="2339975" cy="1582834"/>
                          <wp:effectExtent l="0" t="0" r="0" b="0"/>
                          <wp:docPr id="13" name="Logotype_BZ"/>
                          <wp:cNvGraphicFramePr/>
                          <a:graphic xmlns:a="http://schemas.openxmlformats.org/drawingml/2006/main">
                            <a:graphicData uri="http://schemas.openxmlformats.org/drawingml/2006/picture">
                              <pic:pic xmlns:pic="http://schemas.openxmlformats.org/drawingml/2006/picture">
                                <pic:nvPicPr>
                                  <pic:cNvPr id="13" name="Logotype_BZ"/>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F365D4"/>
    <w:multiLevelType w:val="multilevel"/>
    <w:tmpl w:val="6637781F"/>
    <w:name w:val="Romeinse nummering"/>
    <w:lvl w:ilvl="0">
      <w:start w:val="1"/>
      <w:numFmt w:val="upperRoman"/>
      <w:pStyle w:val="KopRomeins"/>
      <w:lvlText w:val="%1."/>
      <w:lvlJc w:val="left"/>
      <w:pPr>
        <w:ind w:left="0" w:firstLine="0"/>
      </w:pPr>
    </w:lvl>
    <w:lvl w:ilvl="1">
      <w:start w:val="1"/>
      <w:numFmt w:val="upperRoman"/>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15:restartNumberingAfterBreak="0">
    <w:nsid w:val="8163C45C"/>
    <w:multiLevelType w:val="multilevel"/>
    <w:tmpl w:val="9B053F27"/>
    <w:name w:val="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 w15:restartNumberingAfterBreak="0">
    <w:nsid w:val="B90E78A5"/>
    <w:multiLevelType w:val="multilevel"/>
    <w:tmpl w:val="14C91133"/>
    <w:name w:val="Standaard bullit lijst"/>
    <w:lvl w:ilvl="0">
      <w:start w:val="1"/>
      <w:numFmt w:val="bullet"/>
      <w:pStyle w:val="Opsommingstekenstandaard"/>
      <w:lvlText w:val="·"/>
      <w:lvlJc w:val="left"/>
      <w:pPr>
        <w:ind w:left="1120" w:hanging="1120"/>
      </w:pPr>
      <w:rPr>
        <w:rFonts w:ascii="Symbol" w:hAnsi="Symbol"/>
      </w:rPr>
    </w:lvl>
    <w:lvl w:ilvl="1">
      <w:start w:val="1"/>
      <w:numFmt w:val="decimal"/>
      <w:pStyle w:val="Opsommingstekenvierkant"/>
      <w:lvlText w:val="▪"/>
      <w:lvlJc w:val="left"/>
      <w:pPr>
        <w:ind w:left="357" w:hanging="357"/>
      </w:pPr>
    </w:lvl>
    <w:lvl w:ilvl="2">
      <w:start w:val="1"/>
      <w:numFmt w:val="bullet"/>
      <w:pStyle w:val="Opsommingstekenniveau2"/>
      <w:lvlText w:val="·"/>
      <w:lvlJc w:val="left"/>
      <w:pPr>
        <w:ind w:left="1120" w:hanging="400"/>
      </w:pPr>
      <w:rPr>
        <w:rFonts w:ascii="Symbol" w:hAnsi="Symbo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EB059167"/>
    <w:multiLevelType w:val="multilevel"/>
    <w:tmpl w:val="F136F430"/>
    <w:name w:val="Lijst met opsommingstekens"/>
    <w:styleLink w:val="Lijstmetopsommingstekens"/>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15:restartNumberingAfterBreak="0">
    <w:nsid w:val="339C1D8B"/>
    <w:multiLevelType w:val="multilevel"/>
    <w:tmpl w:val="C0199A0F"/>
    <w:name w:val="Genummerde lijst"/>
    <w:styleLink w:val="Genummerdelijst"/>
    <w:lvl w:ilvl="0">
      <w:start w:val="1"/>
      <w:numFmt w:val="decimal"/>
      <w:pStyle w:val="Nummering"/>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80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360"/>
      </w:pPr>
    </w:lvl>
  </w:abstractNum>
  <w:num w:numId="1" w16cid:durableId="705302107">
    <w:abstractNumId w:val="4"/>
  </w:num>
  <w:num w:numId="2" w16cid:durableId="177088219">
    <w:abstractNumId w:val="1"/>
  </w:num>
  <w:num w:numId="3" w16cid:durableId="1575508741">
    <w:abstractNumId w:val="3"/>
  </w:num>
  <w:num w:numId="4" w16cid:durableId="1764760782">
    <w:abstractNumId w:val="0"/>
  </w:num>
  <w:num w:numId="5" w16cid:durableId="27221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A4F8F5"/>
    <w:rsid w:val="00150CA4"/>
    <w:rsid w:val="00193C94"/>
    <w:rsid w:val="00235E09"/>
    <w:rsid w:val="00376FEF"/>
    <w:rsid w:val="006B1A04"/>
    <w:rsid w:val="00920466"/>
    <w:rsid w:val="009208FB"/>
    <w:rsid w:val="00A45550"/>
    <w:rsid w:val="00B813D4"/>
    <w:rsid w:val="00E94BB7"/>
    <w:rsid w:val="00FD7579"/>
    <w:rsid w:val="6AA4F8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851FC8"/>
  <w15:docId w15:val="{4E4F6381-B339-48E8-9A43-D3A046BA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pPr>
      <w:spacing w:line="240" w:lineRule="exact"/>
    </w:pPr>
    <w:rPr>
      <w:rFonts w:ascii="Verdana" w:hAnsi="Verdana"/>
      <w:color w:val="000000"/>
      <w:sz w:val="18"/>
      <w:szCs w:val="18"/>
    </w:rPr>
  </w:style>
  <w:style w:type="paragraph" w:styleId="Heading1">
    <w:name w:val="heading 1"/>
    <w:basedOn w:val="Normal"/>
    <w:next w:val="Normal"/>
    <w:qFormat/>
    <w:pPr>
      <w:tabs>
        <w:tab w:val="left" w:pos="0"/>
      </w:tabs>
      <w:spacing w:before="120" w:after="120" w:line="300" w:lineRule="exact"/>
      <w:outlineLvl w:val="0"/>
    </w:pPr>
    <w:rPr>
      <w:sz w:val="24"/>
      <w:szCs w:val="24"/>
    </w:rPr>
  </w:style>
  <w:style w:type="paragraph" w:styleId="Heading2">
    <w:name w:val="heading 2"/>
    <w:basedOn w:val="Normal"/>
    <w:next w:val="Normal"/>
    <w:uiPriority w:val="1"/>
    <w:qFormat/>
    <w:pPr>
      <w:tabs>
        <w:tab w:val="left" w:pos="0"/>
      </w:tabs>
      <w:spacing w:before="240"/>
      <w:outlineLvl w:val="1"/>
    </w:pPr>
    <w:rPr>
      <w:i/>
    </w:rPr>
  </w:style>
  <w:style w:type="paragraph" w:styleId="Heading3">
    <w:name w:val="heading 3"/>
    <w:basedOn w:val="Normal"/>
    <w:next w:val="Normal"/>
    <w:uiPriority w:val="2"/>
    <w:qFormat/>
    <w:pPr>
      <w:tabs>
        <w:tab w:val="left" w:pos="0"/>
      </w:tabs>
      <w:spacing w:before="240"/>
      <w:ind w:left="-1120"/>
      <w:outlineLvl w:val="2"/>
    </w:pPr>
  </w:style>
  <w:style w:type="paragraph" w:styleId="Heading4">
    <w:name w:val="heading 4"/>
    <w:basedOn w:val="Normal"/>
    <w:next w:val="Normal"/>
    <w:uiPriority w:val="3"/>
    <w:qFormat/>
    <w:pPr>
      <w:tabs>
        <w:tab w:val="left" w:pos="0"/>
      </w:tabs>
      <w:spacing w:before="240"/>
      <w:ind w:left="-1120"/>
      <w:outlineLvl w:val="3"/>
    </w:pPr>
  </w:style>
  <w:style w:type="paragraph" w:styleId="Heading5">
    <w:name w:val="heading 5"/>
    <w:basedOn w:val="Normal"/>
    <w:next w:val="Normal"/>
    <w:pPr>
      <w:spacing w:line="320" w:lineRule="exac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B78"/>
    <w:rPr>
      <w:color w:val="0563C1" w:themeColor="hyperlink"/>
      <w:u w:val="single"/>
    </w:rPr>
  </w:style>
  <w:style w:type="paragraph" w:styleId="Quote">
    <w:name w:val="Quote"/>
    <w:basedOn w:val="Normal"/>
    <w:next w:val="Normal"/>
    <w:uiPriority w:val="98"/>
    <w:qFormat/>
    <w:pPr>
      <w:spacing w:before="200" w:after="160"/>
      <w:ind w:left="861"/>
      <w:jc w:val="center"/>
    </w:pPr>
    <w:rPr>
      <w:i/>
      <w:color w:val="404040"/>
    </w:rPr>
  </w:style>
  <w:style w:type="paragraph" w:customStyle="1" w:styleId="Coreu">
    <w:name w:val="Coreu"/>
    <w:basedOn w:val="Normal"/>
    <w:next w:val="Normal"/>
    <w:pPr>
      <w:spacing w:after="160"/>
    </w:pPr>
  </w:style>
  <w:style w:type="paragraph" w:styleId="NoSpacing">
    <w:name w:val="No Spacing"/>
    <w:basedOn w:val="Normal"/>
    <w:next w:val="Normal"/>
    <w:uiPriority w:val="98"/>
    <w:qFormat/>
    <w:pPr>
      <w:spacing w:line="180" w:lineRule="exact"/>
    </w:pPr>
  </w:style>
  <w:style w:type="numbering" w:customStyle="1" w:styleId="Genummerdelijst">
    <w:name w:val="Genummerde lijst"/>
    <w:pPr>
      <w:numPr>
        <w:numId w:val="1"/>
      </w:numPr>
    </w:pPr>
  </w:style>
  <w:style w:type="paragraph" w:styleId="TOC1">
    <w:name w:val="toc 1"/>
    <w:basedOn w:val="Normal"/>
    <w:next w:val="Normal"/>
  </w:style>
  <w:style w:type="paragraph" w:styleId="TOC2">
    <w:name w:val="toc 2"/>
    <w:basedOn w:val="TOC1"/>
    <w:next w:val="Normal"/>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style>
  <w:style w:type="paragraph" w:customStyle="1" w:styleId="Intensievebenadrukking1">
    <w:name w:val="Intensieve benadrukking1"/>
    <w:basedOn w:val="Normal"/>
    <w:next w:val="Normal"/>
    <w:uiPriority w:val="98"/>
    <w:qFormat/>
    <w:rPr>
      <w:i/>
      <w:color w:val="4F81BD"/>
    </w:rPr>
  </w:style>
  <w:style w:type="paragraph" w:customStyle="1" w:styleId="Intensieveverwijzing1">
    <w:name w:val="Intensieve verwijzing1"/>
    <w:basedOn w:val="Normal"/>
    <w:next w:val="Normal"/>
    <w:uiPriority w:val="98"/>
    <w:qFormat/>
    <w:rPr>
      <w:b/>
      <w:smallCaps/>
      <w:color w:val="4F81BD"/>
      <w:spacing w:val="5"/>
    </w:rPr>
  </w:style>
  <w:style w:type="paragraph" w:customStyle="1" w:styleId="KixBarcode">
    <w:name w:val="Kix Barcode"/>
    <w:basedOn w:val="Normal"/>
    <w:next w:val="Normal"/>
    <w:pPr>
      <w:spacing w:before="120"/>
    </w:pPr>
    <w:rPr>
      <w:rFonts w:ascii="Kix Barcode" w:hAnsi="Kix Barcode"/>
      <w:sz w:val="20"/>
      <w:szCs w:val="20"/>
    </w:rPr>
  </w:style>
  <w:style w:type="paragraph" w:customStyle="1" w:styleId="KopRomeins">
    <w:name w:val="Kop Romeins"/>
    <w:basedOn w:val="Normal"/>
    <w:next w:val="Normal"/>
    <w:pPr>
      <w:pageBreakBefore/>
      <w:numPr>
        <w:numId w:val="4"/>
      </w:numPr>
      <w:spacing w:before="120" w:after="120"/>
    </w:pPr>
    <w:rPr>
      <w:sz w:val="24"/>
      <w:szCs w:val="24"/>
    </w:rPr>
  </w:style>
  <w:style w:type="numbering" w:customStyle="1" w:styleId="Lijstmetopsommingstekens">
    <w:name w:val="Lijst met opsommingstekens"/>
    <w:pPr>
      <w:numPr>
        <w:numId w:val="3"/>
      </w:numPr>
    </w:pPr>
  </w:style>
  <w:style w:type="paragraph" w:customStyle="1" w:styleId="Lijstniveau1">
    <w:name w:val="Lijst niveau 1"/>
    <w:basedOn w:val="Normal"/>
    <w:next w:val="Normal"/>
    <w:pPr>
      <w:numPr>
        <w:numId w:val="2"/>
      </w:numPr>
    </w:pPr>
  </w:style>
  <w:style w:type="paragraph" w:customStyle="1" w:styleId="Lijstniveau2">
    <w:name w:val="Lijst niveau 2"/>
    <w:basedOn w:val="Normal"/>
    <w:next w:val="Normal"/>
    <w:pPr>
      <w:numPr>
        <w:ilvl w:val="1"/>
        <w:numId w:val="2"/>
      </w:numPr>
    </w:pPr>
  </w:style>
  <w:style w:type="paragraph" w:customStyle="1" w:styleId="Lijstniveau3">
    <w:name w:val="Lijst niveau 3"/>
    <w:basedOn w:val="Normal"/>
    <w:next w:val="Normal"/>
    <w:pPr>
      <w:numPr>
        <w:ilvl w:val="2"/>
        <w:numId w:val="2"/>
      </w:numPr>
    </w:pPr>
  </w:style>
  <w:style w:type="paragraph" w:customStyle="1" w:styleId="Marking">
    <w:name w:val="Marking"/>
    <w:basedOn w:val="Normal"/>
    <w:next w:val="Normal"/>
    <w:pPr>
      <w:spacing w:line="180" w:lineRule="exact"/>
    </w:pPr>
    <w:rPr>
      <w:b/>
      <w:caps/>
      <w:sz w:val="13"/>
      <w:szCs w:val="13"/>
      <w:u w:val="single"/>
    </w:rPr>
  </w:style>
  <w:style w:type="paragraph" w:customStyle="1" w:styleId="NoteVerbale">
    <w:name w:val="Note Verbale"/>
    <w:basedOn w:val="Normal"/>
    <w:next w:val="Normal"/>
    <w:pPr>
      <w:spacing w:line="360" w:lineRule="exact"/>
      <w:ind w:left="-1417"/>
    </w:pPr>
    <w:rPr>
      <w:spacing w:val="-3"/>
    </w:rPr>
  </w:style>
  <w:style w:type="paragraph" w:customStyle="1" w:styleId="NoteVerbalegecentreerd">
    <w:name w:val="Note Verbale gecentreerd"/>
    <w:basedOn w:val="Normal"/>
    <w:next w:val="Normal"/>
    <w:pPr>
      <w:spacing w:line="360" w:lineRule="exact"/>
      <w:ind w:left="-1417"/>
      <w:jc w:val="center"/>
    </w:pPr>
    <w:rPr>
      <w:spacing w:val="-3"/>
    </w:rPr>
  </w:style>
  <w:style w:type="paragraph" w:customStyle="1" w:styleId="NoteVerbaleleftindent25cm">
    <w:name w:val="Note Verbale left indent 2.5 cm"/>
    <w:basedOn w:val="Normal"/>
    <w:next w:val="Normal"/>
    <w:pPr>
      <w:spacing w:line="360" w:lineRule="exact"/>
      <w:jc w:val="both"/>
    </w:pPr>
    <w:rPr>
      <w:spacing w:val="-3"/>
    </w:rPr>
  </w:style>
  <w:style w:type="paragraph" w:customStyle="1" w:styleId="NoteVerbalerechtsuitgelijnd">
    <w:name w:val="Note Verbale rechts uitgelijnd"/>
    <w:basedOn w:val="Normal"/>
    <w:next w:val="Normal"/>
    <w:pPr>
      <w:spacing w:line="360" w:lineRule="exact"/>
      <w:jc w:val="right"/>
    </w:pPr>
  </w:style>
  <w:style w:type="paragraph" w:customStyle="1" w:styleId="Nummering">
    <w:name w:val="Nummering"/>
    <w:basedOn w:val="Normal"/>
    <w:pPr>
      <w:numPr>
        <w:numId w:val="1"/>
      </w:numPr>
    </w:pPr>
  </w:style>
  <w:style w:type="paragraph" w:styleId="Subtitle">
    <w:name w:val="Subtitle"/>
    <w:basedOn w:val="Normal"/>
    <w:next w:val="Normal"/>
    <w:uiPriority w:val="8"/>
    <w:qFormat/>
    <w:pPr>
      <w:spacing w:line="320" w:lineRule="atLeast"/>
    </w:pPr>
    <w:rPr>
      <w:sz w:val="24"/>
      <w:szCs w:val="24"/>
    </w:rPr>
  </w:style>
  <w:style w:type="paragraph" w:customStyle="1" w:styleId="Opsommingstekenniveau2">
    <w:name w:val="Opsommingsteken niveau 2"/>
    <w:basedOn w:val="Normal"/>
    <w:next w:val="Normal"/>
    <w:pPr>
      <w:numPr>
        <w:ilvl w:val="2"/>
        <w:numId w:val="5"/>
      </w:numPr>
    </w:pPr>
  </w:style>
  <w:style w:type="paragraph" w:customStyle="1" w:styleId="Opsommingstekenstandaard">
    <w:name w:val="Opsommingsteken standaard"/>
    <w:basedOn w:val="Normal"/>
    <w:next w:val="Normal"/>
    <w:pPr>
      <w:numPr>
        <w:numId w:val="5"/>
      </w:numPr>
    </w:pPr>
  </w:style>
  <w:style w:type="paragraph" w:customStyle="1" w:styleId="Opsommingstekenvierkant">
    <w:name w:val="Opsommingsteken vierkant"/>
    <w:basedOn w:val="Normal"/>
    <w:next w:val="Normal"/>
    <w:pPr>
      <w:numPr>
        <w:ilvl w:val="1"/>
        <w:numId w:val="5"/>
      </w:numPr>
    </w:pPr>
  </w:style>
  <w:style w:type="paragraph" w:customStyle="1" w:styleId="Pagina-eindeKop1">
    <w:name w:val="Pagina-einde Kop 1"/>
    <w:basedOn w:val="Normal"/>
    <w:next w:val="Normal"/>
    <w:pPr>
      <w:pageBreakBefore/>
      <w:spacing w:before="120" w:after="120"/>
      <w:outlineLvl w:val="0"/>
    </w:pPr>
    <w:rPr>
      <w:sz w:val="24"/>
      <w:szCs w:val="24"/>
    </w:rPr>
  </w:style>
  <w:style w:type="paragraph" w:customStyle="1" w:styleId="PSmemo">
    <w:name w:val="PS memo"/>
    <w:basedOn w:val="Normal"/>
    <w:next w:val="Normal"/>
    <w:pPr>
      <w:spacing w:after="200"/>
    </w:pPr>
  </w:style>
  <w:style w:type="paragraph" w:customStyle="1" w:styleId="Referentiegegevens">
    <w:name w:val="Referentiegegevens"/>
    <w:basedOn w:val="Normal"/>
    <w:next w:val="Normal"/>
    <w:uiPriority w:val="9"/>
    <w:qFormat/>
    <w:pPr>
      <w:spacing w:line="180" w:lineRule="exact"/>
    </w:pPr>
    <w:rPr>
      <w:sz w:val="13"/>
      <w:szCs w:val="13"/>
    </w:rPr>
  </w:style>
  <w:style w:type="paragraph" w:customStyle="1" w:styleId="Referentiegegevensbold">
    <w:name w:val="Referentiegegevens bold"/>
    <w:basedOn w:val="Normal"/>
    <w:next w:val="Normal"/>
    <w:uiPriority w:val="10"/>
    <w:qFormat/>
    <w:pPr>
      <w:spacing w:line="180" w:lineRule="exact"/>
    </w:pPr>
    <w:rPr>
      <w:b/>
      <w:sz w:val="13"/>
      <w:szCs w:val="13"/>
    </w:rPr>
  </w:style>
  <w:style w:type="paragraph" w:customStyle="1" w:styleId="Referentiegegevenscursief">
    <w:name w:val="Referentiegegevens cursief"/>
    <w:basedOn w:val="Normal"/>
    <w:next w:val="Normal"/>
    <w:pPr>
      <w:spacing w:line="180" w:lineRule="exact"/>
    </w:pPr>
    <w:rPr>
      <w:i/>
      <w:sz w:val="13"/>
      <w:szCs w:val="13"/>
    </w:rPr>
  </w:style>
  <w:style w:type="paragraph" w:customStyle="1" w:styleId="Rubricering">
    <w:name w:val="Rubricering"/>
    <w:basedOn w:val="Normal"/>
    <w:next w:val="Normal"/>
    <w:uiPriority w:val="11"/>
    <w:qFormat/>
    <w:pPr>
      <w:spacing w:line="180" w:lineRule="exact"/>
    </w:pPr>
    <w:rPr>
      <w:b/>
      <w:caps/>
      <w:sz w:val="13"/>
      <w:szCs w:val="13"/>
    </w:rPr>
  </w:style>
  <w:style w:type="paragraph" w:customStyle="1" w:styleId="Standaardcursief">
    <w:name w:val="Standaard cursief"/>
    <w:basedOn w:val="Normal"/>
    <w:next w:val="Normal"/>
    <w:uiPriority w:val="5"/>
    <w:qFormat/>
    <w:rPr>
      <w:i/>
    </w:rPr>
  </w:style>
  <w:style w:type="paragraph" w:customStyle="1" w:styleId="Standaardrechtsuitlijnen">
    <w:name w:val="Standaard rechts uitlijnen"/>
    <w:basedOn w:val="Normal"/>
    <w:next w:val="Normal"/>
    <w:pPr>
      <w:jc w:val="right"/>
    </w:pPr>
  </w:style>
  <w:style w:type="paragraph" w:customStyle="1" w:styleId="Standaardvet">
    <w:name w:val="Standaard vet"/>
    <w:basedOn w:val="Normal"/>
    <w:next w:val="Normal"/>
    <w:uiPriority w:val="6"/>
    <w:qFormat/>
    <w:rPr>
      <w:b/>
    </w:rPr>
  </w:style>
  <w:style w:type="paragraph" w:customStyle="1" w:styleId="Subtielebenadrukking1">
    <w:name w:val="Subtiele benadrukking1"/>
    <w:basedOn w:val="Normal"/>
    <w:next w:val="Normal"/>
    <w:uiPriority w:val="98"/>
    <w:qFormat/>
    <w:rPr>
      <w:i/>
      <w:color w:val="404040"/>
    </w:rPr>
  </w:style>
  <w:style w:type="paragraph" w:customStyle="1" w:styleId="Subtieleverwijzing1">
    <w:name w:val="Subtiele verwijzing1"/>
    <w:basedOn w:val="Normal"/>
    <w:next w:val="Normal"/>
    <w:uiPriority w:val="98"/>
    <w:qFormat/>
    <w:rPr>
      <w:smallCaps/>
      <w:color w:val="404040"/>
    </w:rPr>
  </w:style>
  <w:style w:type="table" w:customStyle="1" w:styleId="Tabelondertekening">
    <w:name w:val="Tabel ondertekening"/>
    <w:rPr>
      <w:rFonts w:ascii="Verdana" w:hAnsi="Verdana"/>
      <w:color w:val="000000"/>
      <w:sz w:val="18"/>
      <w:szCs w:val="18"/>
    </w:rPr>
    <w:tblPr>
      <w:tblCellMar>
        <w:top w:w="0" w:type="dxa"/>
        <w:left w:w="0" w:type="dxa"/>
        <w:bottom w:w="0" w:type="dxa"/>
        <w:right w:w="0" w:type="dxa"/>
      </w:tblCellMar>
    </w:tblPr>
  </w:style>
  <w:style w:type="table" w:customStyle="1" w:styleId="TabelRijkshuisstijl">
    <w:name w:val="Tabel Rijkshuisstijl"/>
    <w:rPr>
      <w:rFonts w:ascii="Verdana" w:hAnsi="Verdana"/>
      <w:sz w:val="18"/>
      <w:szCs w:val="18"/>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00" w:type="dxa"/>
        <w:left w:w="56" w:type="dxa"/>
        <w:bottom w:w="100" w:type="dxa"/>
        <w:right w:w="0" w:type="dxa"/>
      </w:tblCellMar>
    </w:tblPr>
  </w:style>
  <w:style w:type="table" w:styleId="TableGrid">
    <w:name w:val="Table Grid"/>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Title">
    <w:name w:val="Title"/>
    <w:basedOn w:val="Normal"/>
    <w:next w:val="Normal"/>
    <w:uiPriority w:val="7"/>
    <w:qFormat/>
    <w:pPr>
      <w:spacing w:line="320" w:lineRule="atLeast"/>
    </w:pPr>
    <w:rPr>
      <w:b/>
      <w:sz w:val="24"/>
      <w:szCs w:val="24"/>
    </w:rPr>
  </w:style>
  <w:style w:type="paragraph" w:customStyle="1" w:styleId="Titelvanboek1">
    <w:name w:val="Titel van boek1"/>
    <w:basedOn w:val="Normal"/>
    <w:next w:val="Normal"/>
    <w:uiPriority w:val="98"/>
    <w:qFormat/>
    <w:rPr>
      <w:b/>
      <w:i/>
      <w:spacing w:val="5"/>
    </w:rPr>
  </w:style>
  <w:style w:type="paragraph" w:customStyle="1" w:styleId="Verdana13">
    <w:name w:val="Verdana 13"/>
    <w:pPr>
      <w:spacing w:line="260" w:lineRule="exact"/>
    </w:pPr>
    <w:rPr>
      <w:rFonts w:ascii="Verdana" w:hAnsi="Verdana"/>
      <w:color w:val="000000"/>
      <w:sz w:val="26"/>
      <w:szCs w:val="26"/>
    </w:rPr>
  </w:style>
  <w:style w:type="paragraph" w:customStyle="1" w:styleId="WitregelW1">
    <w:name w:val="Witregel W1"/>
    <w:basedOn w:val="Normal"/>
    <w:next w:val="Normal"/>
    <w:pPr>
      <w:spacing w:line="90" w:lineRule="exact"/>
    </w:pPr>
    <w:rPr>
      <w:sz w:val="9"/>
      <w:szCs w:val="9"/>
    </w:rPr>
  </w:style>
  <w:style w:type="paragraph" w:customStyle="1" w:styleId="WitregelW1bodytekst">
    <w:name w:val="Witregel W1 (bodytekst)"/>
    <w:basedOn w:val="Normal"/>
    <w:next w:val="Normal"/>
  </w:style>
  <w:style w:type="paragraph" w:customStyle="1" w:styleId="WitregelW2">
    <w:name w:val="Witregel W2"/>
    <w:basedOn w:val="Normal"/>
    <w:next w:val="Normal"/>
    <w:pPr>
      <w:spacing w:line="270" w:lineRule="exact"/>
    </w:pPr>
    <w:rPr>
      <w:sz w:val="27"/>
      <w:szCs w:val="27"/>
    </w:rPr>
  </w:style>
  <w:style w:type="paragraph" w:styleId="FootnoteText">
    <w:name w:val="footnote text"/>
    <w:basedOn w:val="Normal"/>
    <w:link w:val="FootnoteTextChar"/>
    <w:uiPriority w:val="99"/>
    <w:semiHidden/>
    <w:unhideWhenUsed/>
    <w:rsid w:val="009208FB"/>
    <w:pPr>
      <w:spacing w:line="240" w:lineRule="auto"/>
    </w:pPr>
    <w:rPr>
      <w:sz w:val="20"/>
      <w:szCs w:val="20"/>
    </w:rPr>
  </w:style>
  <w:style w:type="character" w:customStyle="1" w:styleId="FootnoteTextChar">
    <w:name w:val="Footnote Text Char"/>
    <w:basedOn w:val="DefaultParagraphFont"/>
    <w:link w:val="FootnoteText"/>
    <w:uiPriority w:val="99"/>
    <w:semiHidden/>
    <w:rsid w:val="009208FB"/>
    <w:rPr>
      <w:rFonts w:ascii="Verdana" w:hAnsi="Verdana"/>
      <w:color w:val="000000"/>
    </w:rPr>
  </w:style>
  <w:style w:type="character" w:styleId="FootnoteReference">
    <w:name w:val="footnote reference"/>
    <w:basedOn w:val="DefaultParagraphFont"/>
    <w:uiPriority w:val="99"/>
    <w:semiHidden/>
    <w:unhideWhenUsed/>
    <w:rsid w:val="009208FB"/>
    <w:rPr>
      <w:vertAlign w:val="superscript"/>
    </w:rPr>
  </w:style>
  <w:style w:type="paragraph" w:styleId="Header">
    <w:name w:val="header"/>
    <w:basedOn w:val="Normal"/>
    <w:link w:val="HeaderChar"/>
    <w:uiPriority w:val="99"/>
    <w:unhideWhenUsed/>
    <w:rsid w:val="00150CA4"/>
    <w:pPr>
      <w:tabs>
        <w:tab w:val="center" w:pos="4513"/>
        <w:tab w:val="right" w:pos="9026"/>
      </w:tabs>
      <w:spacing w:line="240" w:lineRule="auto"/>
    </w:pPr>
  </w:style>
  <w:style w:type="character" w:customStyle="1" w:styleId="HeaderChar">
    <w:name w:val="Header Char"/>
    <w:basedOn w:val="DefaultParagraphFont"/>
    <w:link w:val="Header"/>
    <w:uiPriority w:val="99"/>
    <w:rsid w:val="00150CA4"/>
    <w:rPr>
      <w:rFonts w:ascii="Verdana" w:hAnsi="Verdana"/>
      <w:color w:val="000000"/>
      <w:sz w:val="18"/>
      <w:szCs w:val="18"/>
    </w:rPr>
  </w:style>
  <w:style w:type="paragraph" w:styleId="Footer">
    <w:name w:val="footer"/>
    <w:basedOn w:val="Normal"/>
    <w:link w:val="FooterChar"/>
    <w:uiPriority w:val="99"/>
    <w:unhideWhenUsed/>
    <w:rsid w:val="00150CA4"/>
    <w:pPr>
      <w:tabs>
        <w:tab w:val="center" w:pos="4513"/>
        <w:tab w:val="right" w:pos="9026"/>
      </w:tabs>
      <w:spacing w:line="240" w:lineRule="auto"/>
    </w:pPr>
  </w:style>
  <w:style w:type="character" w:customStyle="1" w:styleId="FooterChar">
    <w:name w:val="Footer Char"/>
    <w:basedOn w:val="DefaultParagraphFont"/>
    <w:link w:val="Footer"/>
    <w:uiPriority w:val="99"/>
    <w:rsid w:val="00150CA4"/>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webSetting" Target="webSettings0.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footnotes" Target="footnotes.xml" Id="rId11"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settings" Target="settings.xml" Id="rId9" /><Relationship Type="http://schemas.openxmlformats.org/officeDocument/2006/relationships/header" Target="header2.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745</ap:Words>
  <ap:Characters>4098</ap:Characters>
  <ap:DocSecurity>0</ap:DocSecurity>
  <ap:Lines>34</ap:Lines>
  <ap:Paragraphs>9</ap:Paragraphs>
  <ap:ScaleCrop>false</ap:ScaleCrop>
  <ap:HeadingPairs>
    <vt:vector baseType="variant" size="2">
      <vt:variant>
        <vt:lpstr>Title</vt:lpstr>
      </vt:variant>
      <vt:variant>
        <vt:i4>1</vt:i4>
      </vt:variant>
    </vt:vector>
  </ap:HeadingPairs>
  <ap:TitlesOfParts>
    <vt:vector baseType="lpstr" size="1">
      <vt:lpstr>Appreciatie voorstel besluit Gemengd Comité CETA inzake aanvullende voorschriften voor het mkb</vt:lpstr>
    </vt:vector>
  </ap:TitlesOfParts>
  <ap:LinksUpToDate>false</ap:LinksUpToDate>
  <ap:CharactersWithSpaces>4834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lastModifiedBy/>
  <revision/>
  <lastPrinted>2024-07-17T09:42:00.0000000Z</lastPrinted>
  <dcterms:created xsi:type="dcterms:W3CDTF">2024-07-25T10:07:00.0000000Z</dcterms:created>
  <dcterms:modified xsi:type="dcterms:W3CDTF">2024-07-25T10:07:00.0000000Z</dcterms:modified>
  <dc:creator/>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0x0101009C7CE436063D44E9BE7DC0259EF7C32F006EB9F9836A634AE58B6169785FD3936F006712C1AEAE031D4084A205B91261093E</vt:lpwstr>
  </property>
  <property fmtid="{D5CDD505-2E9C-101B-9397-08002B2CF9AE}" pid="3" name="BZCountryState">
    <vt:lpwstr>3;#Not applicable|ec01d90b-9d0f-4785-8785-e1ea615196bf</vt:lpwstr>
  </property>
  <property fmtid="{D5CDD505-2E9C-101B-9397-08002B2CF9AE}" pid="4" name="BZForumOrganisation">
    <vt:lpwstr>2;#Not applicable|0049e722-bfb1-4a3f-9d08-af7366a9af40</vt:lpwstr>
  </property>
  <property fmtid="{D5CDD505-2E9C-101B-9397-08002B2CF9AE}" pid="5" name="BZMarking">
    <vt:lpwstr>5;#X|0a4eb9ae-69eb-4d9e-b573-43ab99ef8592</vt:lpwstr>
  </property>
  <property fmtid="{D5CDD505-2E9C-101B-9397-08002B2CF9AE}" pid="6" name="BZTheme">
    <vt:lpwstr>1;#Not applicable|ec01d90b-9d0f-4785-8785-e1ea615196bf</vt:lpwstr>
  </property>
  <property fmtid="{D5CDD505-2E9C-101B-9397-08002B2CF9AE}" pid="7" name="BZClassification">
    <vt:lpwstr>4;#X|284e6a62-15ab-4017-be27-a1e965f4e940</vt:lpwstr>
  </property>
  <property fmtid="{D5CDD505-2E9C-101B-9397-08002B2CF9AE}" pid="8" name="_dlc_DocIdItemGuid">
    <vt:lpwstr>5174e276-7b6e-49b5-8a9c-b0c000163f31</vt:lpwstr>
  </property>
  <property fmtid="{D5CDD505-2E9C-101B-9397-08002B2CF9AE}" pid="9" name="gc2efd3bfea04f7f8169be07009f5536">
    <vt:lpwstr/>
  </property>
  <property fmtid="{D5CDD505-2E9C-101B-9397-08002B2CF9AE}" pid="10" name="BZDossierResponsibleDepartment">
    <vt:lpwstr/>
  </property>
  <property fmtid="{D5CDD505-2E9C-101B-9397-08002B2CF9AE}" pid="11" name="BZDossierProcessLocation">
    <vt:lpwstr/>
  </property>
  <property fmtid="{D5CDD505-2E9C-101B-9397-08002B2CF9AE}" pid="12" name="BZDossierGovernmentOfficial">
    <vt:lpwstr/>
  </property>
  <property fmtid="{D5CDD505-2E9C-101B-9397-08002B2CF9AE}" pid="13" name="f2fb2a8e39404f1ab554e4e4a49d2918">
    <vt:lpwstr/>
  </property>
  <property fmtid="{D5CDD505-2E9C-101B-9397-08002B2CF9AE}" pid="14" name="BZDossierPublishingWOOCategory">
    <vt:lpwstr/>
  </property>
  <property fmtid="{D5CDD505-2E9C-101B-9397-08002B2CF9AE}" pid="15" name="i42ef48d5fa942a0ad0d60e44f201751">
    <vt:lpwstr/>
  </property>
  <property fmtid="{D5CDD505-2E9C-101B-9397-08002B2CF9AE}" pid="16" name="f8e003236e1c4ac2ab9051d5d8789bbb">
    <vt:lpwstr/>
  </property>
  <property fmtid="{D5CDD505-2E9C-101B-9397-08002B2CF9AE}" pid="17" name="p29721a54a5c4bbe9786e930fc91e270">
    <vt:lpwstr/>
  </property>
  <property fmtid="{D5CDD505-2E9C-101B-9397-08002B2CF9AE}" pid="18" name="ed9282a3f18446ec8c17c7829edf82dd">
    <vt:lpwstr/>
  </property>
  <property fmtid="{D5CDD505-2E9C-101B-9397-08002B2CF9AE}" pid="19" name="e256f556a7b748329ab47889947c7d40">
    <vt:lpwstr/>
  </property>
  <property fmtid="{D5CDD505-2E9C-101B-9397-08002B2CF9AE}" pid="20" name="BZDossierProcessType">
    <vt:lpwstr/>
  </property>
  <property fmtid="{D5CDD505-2E9C-101B-9397-08002B2CF9AE}" pid="21" name="BZDossierBudgetManager">
    <vt:lpwstr/>
  </property>
  <property fmtid="{D5CDD505-2E9C-101B-9397-08002B2CF9AE}" pid="22" name="BZDossierSendTo">
    <vt:lpwstr/>
  </property>
  <property fmtid="{D5CDD505-2E9C-101B-9397-08002B2CF9AE}" pid="23" name="_docset_NoMedatataSyncRequired">
    <vt:lpwstr>False</vt:lpwstr>
  </property>
</Properties>
</file>