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A2D" w:rsidRDefault="00D90A2D" w14:paraId="014E0EA4" w14:textId="77777777"/>
    <w:p w:rsidR="00071D42" w:rsidRDefault="00071D42" w14:paraId="5AE19FE7" w14:textId="77777777"/>
    <w:p w:rsidR="00071D42" w:rsidRDefault="00071D42" w14:paraId="30CDE8DB" w14:textId="77777777"/>
    <w:p w:rsidR="00264C43" w:rsidRDefault="00264C43" w14:paraId="5DF4E99F" w14:textId="042F9759">
      <w:r w:rsidRPr="00264C43">
        <w:t>Kinderopvang is belangrijk voor de arbeidsparticipatie van de ouders en de ontwikkeling van het kind. Daarom is het cruciaal dat de kinderopvang veilig is en van goede kwaliteit. Hiervoor heeft de overheid regels opgesteld. Voor het bewaken van de kwaliteit en veiligheid van de kinderopvang is een goed</w:t>
      </w:r>
      <w:r w:rsidR="007F6229">
        <w:t xml:space="preserve"> </w:t>
      </w:r>
      <w:r w:rsidRPr="00264C43">
        <w:t xml:space="preserve">werkend systeem van toezicht en handhaving essentieel. </w:t>
      </w:r>
    </w:p>
    <w:p w:rsidR="00264C43" w:rsidRDefault="00264C43" w14:paraId="55EA8A50" w14:textId="77777777"/>
    <w:p w:rsidR="002426AC" w:rsidRDefault="00264C43" w14:paraId="765FABBB" w14:textId="07F0C158">
      <w:r>
        <w:t xml:space="preserve">De uitvoering van toezicht en handhaving is </w:t>
      </w:r>
      <w:r w:rsidR="00095AAB">
        <w:t xml:space="preserve">nu </w:t>
      </w:r>
      <w:r>
        <w:t>decentraal belegd</w:t>
      </w:r>
      <w:r w:rsidR="002426AC">
        <w:t xml:space="preserve">. Gemeenten zijn opdrachtgever van GGD’en die het toezicht op locaties uitvoeren. GGD’en kunnen gemeenten op basis van hun bevindingen een handhavingsadvies geven. Gemeenten zijn verantwoordelijk voor de </w:t>
      </w:r>
      <w:r w:rsidR="00C43252">
        <w:t xml:space="preserve">handhaving en de </w:t>
      </w:r>
      <w:r w:rsidR="002426AC">
        <w:t xml:space="preserve">inzet van handhavingsinstrumenten. </w:t>
      </w:r>
    </w:p>
    <w:p w:rsidR="002426AC" w:rsidRDefault="002426AC" w14:paraId="596592B5" w14:textId="77777777"/>
    <w:p w:rsidR="007F6229" w:rsidRDefault="00264C43" w14:paraId="6EB8A32B" w14:textId="1D16BC85">
      <w:r>
        <w:t>Onvermijdelijk leidt een decentraal toezichtstelsel tot verschillen in keuzes en werkwijzen</w:t>
      </w:r>
      <w:r w:rsidR="00E90CB8">
        <w:t xml:space="preserve"> van toezichtspartijen</w:t>
      </w:r>
      <w:r>
        <w:t xml:space="preserve">. Zo lang voor die verschillen goede redenen zijn, is dat geen probleem. Uit eerder onderzoek en signalen uit het veld kwam echter naar voren dat verschillen niet altijd goed uitlegbaar zijn. Bijvoorbeeld omdat </w:t>
      </w:r>
      <w:r w:rsidR="00426630">
        <w:t xml:space="preserve">toezichthouders </w:t>
      </w:r>
      <w:r>
        <w:t xml:space="preserve">regelgeving verschillend </w:t>
      </w:r>
      <w:r w:rsidR="00426630">
        <w:t>interpreteren</w:t>
      </w:r>
      <w:r>
        <w:t xml:space="preserve">. Om meer zicht te krijgen </w:t>
      </w:r>
      <w:r w:rsidR="002426AC">
        <w:t xml:space="preserve">op </w:t>
      </w:r>
      <w:r>
        <w:t xml:space="preserve">welke </w:t>
      </w:r>
      <w:r w:rsidR="00E90CB8">
        <w:t xml:space="preserve">(onwenselijke) </w:t>
      </w:r>
      <w:r>
        <w:t>verschillen zich voordoen, he</w:t>
      </w:r>
      <w:r w:rsidR="00C240EB">
        <w:t xml:space="preserve">eft mijn voorganger </w:t>
      </w:r>
      <w:r>
        <w:t>opdracht gegeven tot onderzoek.</w:t>
      </w:r>
      <w:r w:rsidR="007F6229">
        <w:t xml:space="preserve"> </w:t>
      </w:r>
      <w:r w:rsidRPr="00264C43">
        <w:t xml:space="preserve">Dit onderzoek is </w:t>
      </w:r>
      <w:r w:rsidR="00C240EB">
        <w:t>per</w:t>
      </w:r>
      <w:r>
        <w:t xml:space="preserve"> </w:t>
      </w:r>
      <w:r w:rsidRPr="00264C43">
        <w:t xml:space="preserve">brief van 4 april 2023 </w:t>
      </w:r>
      <w:r w:rsidR="00E90CB8">
        <w:t xml:space="preserve">aan uw Kamer </w:t>
      </w:r>
      <w:r w:rsidRPr="00264C43">
        <w:t>toegezegd</w:t>
      </w:r>
      <w:r w:rsidR="00426630">
        <w:rPr>
          <w:rStyle w:val="Voetnootmarkering"/>
        </w:rPr>
        <w:footnoteReference w:id="1"/>
      </w:r>
      <w:r w:rsidRPr="00264C43">
        <w:t>.</w:t>
      </w:r>
      <w:r>
        <w:t xml:space="preserve"> </w:t>
      </w:r>
    </w:p>
    <w:p w:rsidR="007F6229" w:rsidRDefault="007F6229" w14:paraId="2CF5FEFE" w14:textId="77777777"/>
    <w:p w:rsidR="00264C43" w:rsidRDefault="00264C43" w14:paraId="2CD807FE" w14:textId="143D2DD3">
      <w:r>
        <w:t xml:space="preserve">Hierbij bied ik uw Kamer het onderzoeksrapport aan. </w:t>
      </w:r>
      <w:r w:rsidRPr="00264C43">
        <w:t xml:space="preserve">De uitkomsten van </w:t>
      </w:r>
      <w:r w:rsidR="00756D0D">
        <w:t>dit</w:t>
      </w:r>
      <w:r w:rsidRPr="00264C43">
        <w:t xml:space="preserve"> onderzoek </w:t>
      </w:r>
      <w:r w:rsidR="00027F4E">
        <w:t xml:space="preserve">kunnen helpen bij de verdere ontwikkeling van </w:t>
      </w:r>
      <w:r w:rsidRPr="00264C43" w:rsidR="00027F4E">
        <w:t>toezicht en handhaving in de kinderopvang.</w:t>
      </w:r>
      <w:r w:rsidR="00027F4E">
        <w:rPr>
          <w:rStyle w:val="Voetnootmarkering"/>
        </w:rPr>
        <w:footnoteReference w:id="2"/>
      </w:r>
    </w:p>
    <w:p w:rsidR="00756D0D" w:rsidRDefault="00756D0D" w14:paraId="571CC453" w14:textId="77777777"/>
    <w:p w:rsidR="00071D42" w:rsidRDefault="00071D42" w14:paraId="1925CBB1" w14:textId="77777777">
      <w:pPr>
        <w:rPr>
          <w:b/>
          <w:bCs/>
        </w:rPr>
      </w:pPr>
    </w:p>
    <w:p w:rsidR="00071D42" w:rsidRDefault="00071D42" w14:paraId="27E202EE" w14:textId="77777777">
      <w:pPr>
        <w:rPr>
          <w:b/>
          <w:bCs/>
        </w:rPr>
      </w:pPr>
    </w:p>
    <w:p w:rsidR="00071D42" w:rsidRDefault="00071D42" w14:paraId="2DB62E6F" w14:textId="77777777">
      <w:pPr>
        <w:rPr>
          <w:b/>
          <w:bCs/>
        </w:rPr>
      </w:pPr>
    </w:p>
    <w:p w:rsidR="00071D42" w:rsidRDefault="00071D42" w14:paraId="1FD78646" w14:textId="77777777">
      <w:pPr>
        <w:rPr>
          <w:b/>
          <w:bCs/>
        </w:rPr>
      </w:pPr>
    </w:p>
    <w:p w:rsidR="00071D42" w:rsidRDefault="00071D42" w14:paraId="5F58C5EC" w14:textId="77777777">
      <w:pPr>
        <w:rPr>
          <w:b/>
          <w:bCs/>
        </w:rPr>
      </w:pPr>
    </w:p>
    <w:p w:rsidR="00071D42" w:rsidRDefault="00071D42" w14:paraId="2E8B8EE3" w14:textId="77777777">
      <w:pPr>
        <w:rPr>
          <w:b/>
          <w:bCs/>
        </w:rPr>
      </w:pPr>
    </w:p>
    <w:p w:rsidR="00027253" w:rsidRDefault="00997DAA" w14:paraId="4EDFC28B" w14:textId="08AEA20D">
      <w:pPr>
        <w:rPr>
          <w:b/>
          <w:bCs/>
        </w:rPr>
      </w:pPr>
      <w:r>
        <w:rPr>
          <w:b/>
          <w:bCs/>
        </w:rPr>
        <w:t>Het onderzoek in het kort</w:t>
      </w:r>
    </w:p>
    <w:p w:rsidRPr="00336ECB" w:rsidR="00D9224E" w:rsidRDefault="00D9224E" w14:paraId="05B5AA13" w14:textId="7ACC0A6F">
      <w:pPr>
        <w:rPr>
          <w:i/>
          <w:iCs/>
        </w:rPr>
      </w:pPr>
      <w:bookmarkStart w:name="_Hlk169505110" w:id="1"/>
      <w:r w:rsidRPr="00336ECB">
        <w:rPr>
          <w:i/>
          <w:iCs/>
        </w:rPr>
        <w:t>Aanpak</w:t>
      </w:r>
    </w:p>
    <w:p w:rsidRPr="00DA6BD5" w:rsidR="00DA6BD5" w:rsidRDefault="00D9224E" w14:paraId="6FC615E8" w14:textId="4A94FA10">
      <w:r>
        <w:t>O</w:t>
      </w:r>
      <w:r w:rsidRPr="00DA6BD5" w:rsidR="00DA6BD5">
        <w:t>nderzoeks</w:t>
      </w:r>
      <w:r>
        <w:t>bureau AEF</w:t>
      </w:r>
      <w:r w:rsidRPr="00DA6BD5" w:rsidR="00DA6BD5">
        <w:t xml:space="preserve"> </w:t>
      </w:r>
      <w:r>
        <w:t>heeft</w:t>
      </w:r>
      <w:r w:rsidRPr="00DA6BD5" w:rsidR="00DA6BD5">
        <w:t xml:space="preserve"> door data-analyse, een enquête</w:t>
      </w:r>
      <w:r w:rsidR="007F6229">
        <w:t>, bespreking van hypothetische situaties (vignetten)</w:t>
      </w:r>
      <w:r w:rsidRPr="00DA6BD5" w:rsidR="00DA6BD5">
        <w:t xml:space="preserve"> en interviews </w:t>
      </w:r>
      <w:r>
        <w:t xml:space="preserve">onderzocht </w:t>
      </w:r>
      <w:r w:rsidRPr="00DA6BD5" w:rsidR="00DA6BD5">
        <w:t xml:space="preserve">welke verschillen in de uitvoering in welke mate voorkomen. Tevens </w:t>
      </w:r>
      <w:r>
        <w:t>onderzochten</w:t>
      </w:r>
      <w:r w:rsidRPr="00DA6BD5" w:rsidR="00DA6BD5">
        <w:t xml:space="preserve"> ze de oorzaken. </w:t>
      </w:r>
    </w:p>
    <w:p w:rsidRPr="00027253" w:rsidR="00DA6BD5" w:rsidRDefault="00DA6BD5" w14:paraId="2D60E145" w14:textId="77777777">
      <w:pPr>
        <w:rPr>
          <w:b/>
          <w:bCs/>
        </w:rPr>
      </w:pPr>
    </w:p>
    <w:p w:rsidR="00027F4E" w:rsidRDefault="00027253" w14:paraId="1155ED60" w14:textId="47D11E01">
      <w:r>
        <w:t>De onderzoekers ma</w:t>
      </w:r>
      <w:r w:rsidR="007F6229">
        <w:t>a</w:t>
      </w:r>
      <w:r>
        <w:t>k</w:t>
      </w:r>
      <w:r w:rsidR="007F6229">
        <w:t>t</w:t>
      </w:r>
      <w:r>
        <w:t xml:space="preserve">en </w:t>
      </w:r>
      <w:r w:rsidR="00DA6BD5">
        <w:t xml:space="preserve">hierbij </w:t>
      </w:r>
      <w:r>
        <w:t xml:space="preserve">onderscheid naar </w:t>
      </w:r>
      <w:r w:rsidR="00336ECB">
        <w:t>vier</w:t>
      </w:r>
      <w:r w:rsidR="00DA6BD5">
        <w:t xml:space="preserve"> soorten </w:t>
      </w:r>
      <w:r>
        <w:t>verschillen</w:t>
      </w:r>
      <w:r w:rsidR="00027F4E">
        <w:t>:</w:t>
      </w:r>
    </w:p>
    <w:p w:rsidR="00027F4E" w:rsidP="00EB0940" w:rsidRDefault="00C240EB" w14:paraId="40F27923" w14:textId="5EF204B9">
      <w:pPr>
        <w:pStyle w:val="Lijstalinea"/>
        <w:numPr>
          <w:ilvl w:val="0"/>
          <w:numId w:val="11"/>
        </w:numPr>
        <w:ind w:left="357" w:hanging="357"/>
      </w:pPr>
      <w:r>
        <w:t>V</w:t>
      </w:r>
      <w:r w:rsidR="00DA6BD5">
        <w:t xml:space="preserve">erschillen </w:t>
      </w:r>
      <w:r w:rsidR="00336ECB">
        <w:t>die op gespannen voet staan met het decentrale stelsel</w:t>
      </w:r>
      <w:r w:rsidR="00027F4E">
        <w:t>;</w:t>
      </w:r>
    </w:p>
    <w:p w:rsidR="00027F4E" w:rsidP="00EB0940" w:rsidRDefault="00C240EB" w14:paraId="30290449" w14:textId="36C7844E">
      <w:pPr>
        <w:pStyle w:val="Lijstalinea"/>
        <w:numPr>
          <w:ilvl w:val="0"/>
          <w:numId w:val="11"/>
        </w:numPr>
        <w:ind w:left="357" w:hanging="357"/>
      </w:pPr>
      <w:r>
        <w:t>V</w:t>
      </w:r>
      <w:r w:rsidR="00027253">
        <w:t>erschillen die in lijn zijn met het decentraal stelsel maar niettemin als negatief worden ervaren door bijvoorbeeld houders omdat ze in strijd zijn met rechtsgelijkheid en/of kunnen leiden tot oneerlijke voordelen of nadelen</w:t>
      </w:r>
      <w:r w:rsidR="00DA6BD5">
        <w:t xml:space="preserve"> voor </w:t>
      </w:r>
      <w:r w:rsidR="00851114">
        <w:t>houders</w:t>
      </w:r>
      <w:r w:rsidR="00DA6BD5">
        <w:t xml:space="preserve"> </w:t>
      </w:r>
      <w:r w:rsidR="00027253">
        <w:t xml:space="preserve">(aantasting </w:t>
      </w:r>
      <w:r w:rsidRPr="00336ECB" w:rsidR="00027253">
        <w:rPr>
          <w:i/>
          <w:iCs/>
        </w:rPr>
        <w:t>level playing field</w:t>
      </w:r>
      <w:r w:rsidR="00027253">
        <w:t>)</w:t>
      </w:r>
      <w:r w:rsidR="00027F4E">
        <w:t>;</w:t>
      </w:r>
    </w:p>
    <w:p w:rsidR="00336ECB" w:rsidP="00EB0940" w:rsidRDefault="00C240EB" w14:paraId="673C97CB" w14:textId="272B4753">
      <w:pPr>
        <w:pStyle w:val="Lijstalinea"/>
        <w:numPr>
          <w:ilvl w:val="0"/>
          <w:numId w:val="11"/>
        </w:numPr>
        <w:ind w:left="357" w:hanging="357"/>
      </w:pPr>
      <w:r>
        <w:t>V</w:t>
      </w:r>
      <w:r w:rsidR="00DA6BD5">
        <w:t xml:space="preserve">erschillen die </w:t>
      </w:r>
      <w:r w:rsidR="00336ECB">
        <w:t>volgen uit het</w:t>
      </w:r>
      <w:r w:rsidR="00851114">
        <w:t xml:space="preserve"> decentrale stelsel </w:t>
      </w:r>
      <w:r w:rsidR="00336ECB">
        <w:t>met geen (bewezen) negatieve gevolgen voor het rechtvaardigheidsgevoel en/of level playing field;</w:t>
      </w:r>
    </w:p>
    <w:p w:rsidR="00027253" w:rsidP="00EB0940" w:rsidRDefault="00C240EB" w14:paraId="4930888A" w14:textId="52474705">
      <w:pPr>
        <w:pStyle w:val="Lijstalinea"/>
        <w:numPr>
          <w:ilvl w:val="0"/>
          <w:numId w:val="11"/>
        </w:numPr>
        <w:ind w:left="357" w:hanging="357"/>
      </w:pPr>
      <w:r>
        <w:t>V</w:t>
      </w:r>
      <w:r w:rsidR="00336ECB">
        <w:t>erschillen waarbij de impact minder duidelijk is.</w:t>
      </w:r>
      <w:r w:rsidR="00851114">
        <w:t xml:space="preserve"> </w:t>
      </w:r>
    </w:p>
    <w:p w:rsidR="00027253" w:rsidRDefault="00027253" w14:paraId="091380F2" w14:textId="4C468A32">
      <w:r>
        <w:t xml:space="preserve"> </w:t>
      </w:r>
    </w:p>
    <w:p w:rsidR="00027253" w:rsidRDefault="00027253" w14:paraId="1AA519BF" w14:textId="0F24131C">
      <w:r>
        <w:t>Belangrijke bevindingen</w:t>
      </w:r>
      <w:r w:rsidR="008E753C">
        <w:t xml:space="preserve"> over toezicht</w:t>
      </w:r>
      <w:r>
        <w:t>:</w:t>
      </w:r>
    </w:p>
    <w:p w:rsidR="00336ECB" w:rsidP="00EB0940" w:rsidRDefault="00C240EB" w14:paraId="1A7B22E8" w14:textId="1D43A010">
      <w:pPr>
        <w:pStyle w:val="Lijstalinea"/>
        <w:numPr>
          <w:ilvl w:val="0"/>
          <w:numId w:val="9"/>
        </w:numPr>
        <w:ind w:left="357" w:hanging="357"/>
      </w:pPr>
      <w:r>
        <w:t>T</w:t>
      </w:r>
      <w:r w:rsidR="00A467F1">
        <w:t>oezichthouders</w:t>
      </w:r>
      <w:r w:rsidR="00336ECB">
        <w:t xml:space="preserve"> </w:t>
      </w:r>
      <w:r w:rsidR="00027253">
        <w:t xml:space="preserve">blijken </w:t>
      </w:r>
      <w:r w:rsidR="00336ECB">
        <w:t>sommige</w:t>
      </w:r>
      <w:r w:rsidR="00027253">
        <w:t xml:space="preserve"> kwaliteits</w:t>
      </w:r>
      <w:r w:rsidR="00336ECB">
        <w:t>- en veiligheids</w:t>
      </w:r>
      <w:r w:rsidR="00027253">
        <w:t xml:space="preserve">regels in de praktijk verschillend toe te passen. </w:t>
      </w:r>
      <w:r w:rsidR="00336ECB">
        <w:t xml:space="preserve">Het gaat hierbij </w:t>
      </w:r>
      <w:r w:rsidR="00AE5F64">
        <w:t>vooral</w:t>
      </w:r>
      <w:r w:rsidR="00027253">
        <w:t xml:space="preserve"> </w:t>
      </w:r>
      <w:r w:rsidR="00336ECB">
        <w:t xml:space="preserve">om verschillen </w:t>
      </w:r>
      <w:r w:rsidR="00027253">
        <w:t>in de mate hoe streng een regel wordt geïnterpreteerd. Dit is onwenselijk want regels zouden gelijk begrepen en toegepast moeten worden</w:t>
      </w:r>
      <w:r w:rsidR="00DA6BD5">
        <w:t>.</w:t>
      </w:r>
    </w:p>
    <w:p w:rsidR="00027253" w:rsidP="00EB0940" w:rsidRDefault="00DA6BD5" w14:paraId="7BE69F64" w14:textId="795F458E">
      <w:pPr>
        <w:pStyle w:val="Lijstalinea"/>
        <w:numPr>
          <w:ilvl w:val="0"/>
          <w:numId w:val="9"/>
        </w:numPr>
        <w:ind w:left="357" w:hanging="357"/>
      </w:pPr>
      <w:r>
        <w:t xml:space="preserve">Er zijn verschillen </w:t>
      </w:r>
      <w:r w:rsidR="00696A69">
        <w:t xml:space="preserve">gevonden </w:t>
      </w:r>
      <w:r>
        <w:t xml:space="preserve">die passen bij het decentrale stelsel maar niettemin </w:t>
      </w:r>
      <w:r w:rsidR="00AE5F64">
        <w:t xml:space="preserve">vanuit het perspectief van de houder </w:t>
      </w:r>
      <w:r>
        <w:t xml:space="preserve">onwenselijk </w:t>
      </w:r>
      <w:r w:rsidR="00AE5F64">
        <w:t>kunnen zijn</w:t>
      </w:r>
      <w:r>
        <w:t>. Een voorbeeld is dat d</w:t>
      </w:r>
      <w:r w:rsidRPr="00DA6BD5">
        <w:t xml:space="preserve">e percentages inspecties met overtredingen waar GGD’en een herstelaanbod of advies tot handhaven geven tussen GGD’en </w:t>
      </w:r>
      <w:r w:rsidR="00A467F1">
        <w:t xml:space="preserve">sterk </w:t>
      </w:r>
      <w:r w:rsidRPr="00DA6BD5">
        <w:t>verschil</w:t>
      </w:r>
      <w:r w:rsidR="00A467F1">
        <w:t>l</w:t>
      </w:r>
      <w:r w:rsidRPr="00DA6BD5">
        <w:t xml:space="preserve">en. </w:t>
      </w:r>
      <w:r>
        <w:t>De onderzoekers konden</w:t>
      </w:r>
      <w:r w:rsidRPr="00DA6BD5">
        <w:t xml:space="preserve"> deze verschillen </w:t>
      </w:r>
      <w:r>
        <w:t>niet goed verklaren</w:t>
      </w:r>
      <w:r w:rsidRPr="00DA6BD5">
        <w:t xml:space="preserve">. Wanneer de ene houder een herstelaanbod krijgt </w:t>
      </w:r>
      <w:r w:rsidR="00A467F1">
        <w:t>en de</w:t>
      </w:r>
      <w:r w:rsidRPr="00DA6BD5">
        <w:t xml:space="preserve"> andere houder voor diezelfde overtreding een handhavingsadvies, heeft dit een negatieve impact op het level playing field</w:t>
      </w:r>
      <w:r>
        <w:t>.</w:t>
      </w:r>
    </w:p>
    <w:p w:rsidR="00DA6BD5" w:rsidP="00EB0940" w:rsidRDefault="008E753C" w14:paraId="509009A3" w14:textId="009C0EF4">
      <w:pPr>
        <w:pStyle w:val="Lijstalinea"/>
        <w:numPr>
          <w:ilvl w:val="0"/>
          <w:numId w:val="9"/>
        </w:numPr>
        <w:ind w:left="357" w:hanging="357"/>
      </w:pPr>
      <w:r>
        <w:t xml:space="preserve">De onderzoekers constateren </w:t>
      </w:r>
      <w:r w:rsidR="00DA6BD5">
        <w:t>ook andere verschillen zoals verschillen in</w:t>
      </w:r>
      <w:r w:rsidR="00A126E2">
        <w:t xml:space="preserve"> visie op toezicht,</w:t>
      </w:r>
      <w:r w:rsidR="00DA6BD5">
        <w:t xml:space="preserve"> bekostiging</w:t>
      </w:r>
      <w:r w:rsidR="0097055C">
        <w:t>, de beschikbare</w:t>
      </w:r>
      <w:r w:rsidR="00DA6BD5">
        <w:t xml:space="preserve"> capaciteit v</w:t>
      </w:r>
      <w:r>
        <w:t>oor</w:t>
      </w:r>
      <w:r w:rsidR="00DA6BD5">
        <w:t xml:space="preserve"> de toezichtsfunctie</w:t>
      </w:r>
      <w:r w:rsidR="00851114">
        <w:t xml:space="preserve"> en de mate waarin </w:t>
      </w:r>
      <w:r>
        <w:t xml:space="preserve">toezichthouders </w:t>
      </w:r>
      <w:r w:rsidR="00851114">
        <w:t xml:space="preserve">locaties als risicovol </w:t>
      </w:r>
      <w:r w:rsidR="00A126E2">
        <w:t xml:space="preserve">(rood of oranje risicoprofiel) </w:t>
      </w:r>
      <w:r>
        <w:t>kenmerken</w:t>
      </w:r>
      <w:r w:rsidR="007F6229">
        <w:t xml:space="preserve">. </w:t>
      </w:r>
      <w:r>
        <w:t xml:space="preserve">AEF </w:t>
      </w:r>
      <w:r w:rsidR="00DA6BD5">
        <w:t xml:space="preserve">kon de impact </w:t>
      </w:r>
      <w:r>
        <w:t xml:space="preserve">van deze verschillen </w:t>
      </w:r>
      <w:r w:rsidR="00851114">
        <w:t xml:space="preserve">op het level playing field </w:t>
      </w:r>
      <w:r w:rsidR="007F6229">
        <w:t xml:space="preserve">echter </w:t>
      </w:r>
      <w:r w:rsidR="00DA6BD5">
        <w:t>niet vast</w:t>
      </w:r>
      <w:r>
        <w:t>stellen</w:t>
      </w:r>
      <w:r w:rsidR="007F6229">
        <w:t>.</w:t>
      </w:r>
    </w:p>
    <w:p w:rsidR="00A126E2" w:rsidP="00EB0940" w:rsidRDefault="00A126E2" w14:paraId="46AF230E" w14:textId="078C703D">
      <w:pPr>
        <w:pStyle w:val="Lijstalinea"/>
        <w:numPr>
          <w:ilvl w:val="0"/>
          <w:numId w:val="9"/>
        </w:numPr>
        <w:ind w:left="357" w:hanging="357"/>
      </w:pPr>
      <w:r>
        <w:t xml:space="preserve">Verschillen in de uitvoering van het toezicht </w:t>
      </w:r>
      <w:r w:rsidR="00AE5F64">
        <w:t xml:space="preserve">zijn slechts beperkt te </w:t>
      </w:r>
      <w:r w:rsidR="008E753C">
        <w:t xml:space="preserve">verklaren </w:t>
      </w:r>
      <w:r>
        <w:t xml:space="preserve">door objectieve </w:t>
      </w:r>
      <w:r w:rsidR="0097055C">
        <w:t xml:space="preserve">houder- en </w:t>
      </w:r>
      <w:r>
        <w:t>locatiekenmerken</w:t>
      </w:r>
      <w:r w:rsidR="0097055C">
        <w:t xml:space="preserve"> zoals grootte en nalevingsbereidheid</w:t>
      </w:r>
      <w:r w:rsidR="007F6229">
        <w:t>.</w:t>
      </w:r>
      <w:r w:rsidR="00AE5F64">
        <w:t xml:space="preserve"> Verschillen hangen ook duidelijk samen met andere werkwijzen en lokale (beleids)keuzes.</w:t>
      </w:r>
    </w:p>
    <w:p w:rsidR="00851114" w:rsidP="00851114" w:rsidRDefault="00851114" w14:paraId="31644665" w14:textId="77777777">
      <w:pPr>
        <w:pStyle w:val="Lijstalinea"/>
      </w:pPr>
    </w:p>
    <w:p w:rsidR="00851114" w:rsidP="00851114" w:rsidRDefault="00851114" w14:paraId="482283F5" w14:textId="057FD9DD">
      <w:r>
        <w:t>Belangrijke bevindingen over</w:t>
      </w:r>
      <w:r w:rsidR="00027F4E">
        <w:t xml:space="preserve"> </w:t>
      </w:r>
      <w:r w:rsidRPr="00027F4E">
        <w:t>handhaving</w:t>
      </w:r>
      <w:r>
        <w:t>:</w:t>
      </w:r>
    </w:p>
    <w:p w:rsidR="00851114" w:rsidP="00EB0940" w:rsidRDefault="00AE5F64" w14:paraId="745BD76F" w14:textId="60FF8F04">
      <w:pPr>
        <w:pStyle w:val="Lijstalinea"/>
        <w:numPr>
          <w:ilvl w:val="0"/>
          <w:numId w:val="10"/>
        </w:numPr>
        <w:ind w:left="357" w:hanging="357"/>
      </w:pPr>
      <w:r w:rsidRPr="00AE5F64">
        <w:t xml:space="preserve">Gemeenten verschillen duidelijk in de wijze van handhaven. De meeste verschillen zijn in lijn met </w:t>
      </w:r>
      <w:r w:rsidR="009D4A6A">
        <w:t xml:space="preserve">wetgeving en </w:t>
      </w:r>
      <w:r w:rsidRPr="00AE5F64">
        <w:t xml:space="preserve">het decentrale stelsel. </w:t>
      </w:r>
      <w:r w:rsidR="00851114">
        <w:t xml:space="preserve">Er zijn </w:t>
      </w:r>
      <w:r w:rsidR="009D4A6A">
        <w:t xml:space="preserve">wel </w:t>
      </w:r>
      <w:r w:rsidR="007F6229">
        <w:t xml:space="preserve">enkele </w:t>
      </w:r>
      <w:r w:rsidR="00851114">
        <w:t>gemeenten die naar eigen zeggen nooit escalerend handhaven</w:t>
      </w:r>
      <w:r w:rsidR="00027F4E">
        <w:t xml:space="preserve"> bij recidive</w:t>
      </w:r>
      <w:r w:rsidR="00851114">
        <w:t xml:space="preserve">. Dit is een onwenselijke afwijking van de grote meerderheid die dit wel doet. </w:t>
      </w:r>
      <w:r w:rsidR="00027F4E">
        <w:t xml:space="preserve">Eerder </w:t>
      </w:r>
      <w:r w:rsidR="00851114">
        <w:t xml:space="preserve">constateerde de Inspectie van het Onderwijs in haar Landelijk rapport over 2022 </w:t>
      </w:r>
      <w:r w:rsidR="00027F4E">
        <w:t xml:space="preserve">ook </w:t>
      </w:r>
      <w:r w:rsidR="00851114">
        <w:t xml:space="preserve">al </w:t>
      </w:r>
      <w:r w:rsidR="00027F4E">
        <w:t>dat gemeenten niet altijd escalerend handhaven bij recidive.</w:t>
      </w:r>
      <w:r w:rsidR="002854EF">
        <w:t xml:space="preserve"> </w:t>
      </w:r>
    </w:p>
    <w:p w:rsidR="00071D42" w:rsidP="00071D42" w:rsidRDefault="00071D42" w14:paraId="4FF33099" w14:textId="77777777"/>
    <w:p w:rsidR="00071D42" w:rsidP="00071D42" w:rsidRDefault="00071D42" w14:paraId="1B8286EC" w14:textId="77777777"/>
    <w:p w:rsidR="00071D42" w:rsidP="00071D42" w:rsidRDefault="00071D42" w14:paraId="05D05D4E" w14:textId="77777777"/>
    <w:p w:rsidR="00071D42" w:rsidP="00071D42" w:rsidRDefault="00071D42" w14:paraId="67853D2C" w14:textId="77777777"/>
    <w:p w:rsidR="00071D42" w:rsidP="00A3598A" w:rsidRDefault="00071D42" w14:paraId="7D7BABCF" w14:textId="77777777"/>
    <w:p w:rsidR="00047607" w:rsidP="00EB0940" w:rsidRDefault="00AE5F64" w14:paraId="030135B8" w14:textId="409958D6">
      <w:pPr>
        <w:pStyle w:val="Lijstalinea"/>
        <w:numPr>
          <w:ilvl w:val="0"/>
          <w:numId w:val="10"/>
        </w:numPr>
        <w:ind w:left="357" w:hanging="357"/>
      </w:pPr>
      <w:r>
        <w:t xml:space="preserve">Er zijn ook verschillen die </w:t>
      </w:r>
      <w:r w:rsidR="009D4A6A">
        <w:t xml:space="preserve">een negatieve impact hebben op het rechtvaardigheidsgevoel en/of level playing field van houders. </w:t>
      </w:r>
      <w:r w:rsidR="0097055C">
        <w:t xml:space="preserve">Gemeenten hebben verschillende handhavingsvisies en maken ook </w:t>
      </w:r>
      <w:r w:rsidR="00047607">
        <w:t>verschillende</w:t>
      </w:r>
      <w:r w:rsidR="0097055C">
        <w:t xml:space="preserve"> keuzes over de inzet van handhavingsinstrumenten. </w:t>
      </w:r>
      <w:r w:rsidR="00047607">
        <w:t xml:space="preserve">Sommige gemeenten zijn ‘strenger’ en zetten relatief veel boetes in, terwijl andere gemeenten dat nagenoeg nooit doen. </w:t>
      </w:r>
    </w:p>
    <w:p w:rsidR="00851114" w:rsidP="00EB0940" w:rsidRDefault="002854EF" w14:paraId="43C280BF" w14:textId="3242AFC4">
      <w:pPr>
        <w:pStyle w:val="Lijstalinea"/>
        <w:numPr>
          <w:ilvl w:val="0"/>
          <w:numId w:val="10"/>
        </w:numPr>
        <w:ind w:left="357" w:hanging="357"/>
      </w:pPr>
      <w:r>
        <w:t>Niettemin, b</w:t>
      </w:r>
      <w:r w:rsidRPr="00851114" w:rsidR="00851114">
        <w:t xml:space="preserve">ij situatieschetsen waarbij gemeenten dezelfde hypothetische situatie voorgesteld kregen, koos </w:t>
      </w:r>
      <w:r w:rsidR="00047607">
        <w:t>bijna altijd een</w:t>
      </w:r>
      <w:r w:rsidRPr="00851114" w:rsidR="00851114">
        <w:t xml:space="preserve"> merendeel van de gemeenten voor hetzelfde handhavingsinstrument.</w:t>
      </w:r>
      <w:r>
        <w:t xml:space="preserve"> </w:t>
      </w:r>
      <w:r w:rsidR="00047607">
        <w:t xml:space="preserve">Maar ook hier werden verschillende andere keuzes gemaakt. </w:t>
      </w:r>
    </w:p>
    <w:p w:rsidR="00851114" w:rsidP="00EB0940" w:rsidRDefault="00A126E2" w14:paraId="3EB888B9" w14:textId="4EABD125">
      <w:pPr>
        <w:pStyle w:val="Lijstalinea"/>
        <w:numPr>
          <w:ilvl w:val="0"/>
          <w:numId w:val="10"/>
        </w:numPr>
        <w:ind w:left="357" w:hanging="357"/>
      </w:pPr>
      <w:r>
        <w:t>Verschillen in handhaving komen volgens de onderzoekers vooral voort uit verschillende visies en (beleids)keuzes en zijn minder te verklaren vanuit</w:t>
      </w:r>
      <w:r w:rsidR="00851114">
        <w:t xml:space="preserve"> </w:t>
      </w:r>
      <w:r w:rsidRPr="00A126E2">
        <w:t>externe factoren zoals kenmerken van de houd</w:t>
      </w:r>
      <w:r w:rsidR="002854EF">
        <w:t xml:space="preserve">er (bijvoorbeeld </w:t>
      </w:r>
      <w:r w:rsidR="00047607">
        <w:t>kleurprofiel van een locatie</w:t>
      </w:r>
      <w:r w:rsidR="002854EF">
        <w:t>)</w:t>
      </w:r>
      <w:r w:rsidR="001C60EE">
        <w:t>.</w:t>
      </w:r>
    </w:p>
    <w:p w:rsidR="00B71B71" w:rsidRDefault="00B71B71" w14:paraId="6E1495A1" w14:textId="77777777"/>
    <w:p w:rsidR="00E61929" w:rsidRDefault="00A126E2" w14:paraId="27C86866" w14:textId="6496BF9D">
      <w:r>
        <w:t>AEF doet ten slotte enkele aanbevelingen</w:t>
      </w:r>
      <w:r w:rsidR="00E61929">
        <w:t>:</w:t>
      </w:r>
    </w:p>
    <w:p w:rsidRPr="00275613" w:rsidR="002426AC" w:rsidP="00EB0940" w:rsidRDefault="002426AC" w14:paraId="7509D823" w14:textId="72F55826">
      <w:pPr>
        <w:pStyle w:val="Lijstalinea"/>
        <w:numPr>
          <w:ilvl w:val="0"/>
          <w:numId w:val="12"/>
        </w:numPr>
        <w:ind w:left="357" w:hanging="357"/>
        <w:rPr>
          <w:bCs/>
          <w:color w:val="auto"/>
        </w:rPr>
      </w:pPr>
      <w:r w:rsidRPr="00433CCC">
        <w:t xml:space="preserve">Streef </w:t>
      </w:r>
      <w:r w:rsidRPr="00433CCC" w:rsidR="008A3BD7">
        <w:t xml:space="preserve">door gesprekken met elkaar </w:t>
      </w:r>
      <w:r w:rsidRPr="00433CCC">
        <w:t>naar een gedeeld beeld tussen toezichtspartijen en SZW over welke verschillen wenselijk en onwenselijk zijn.</w:t>
      </w:r>
      <w:r w:rsidRPr="00AE5F64">
        <w:rPr>
          <w:bCs/>
          <w:color w:val="44546A" w:themeColor="text2"/>
        </w:rPr>
        <w:t xml:space="preserve"> </w:t>
      </w:r>
      <w:r>
        <w:t>Voor sommige verschillen ligt dit voor de hand, maar er zijn ook verschillen waarover discussie mogelijk is.</w:t>
      </w:r>
      <w:r w:rsidR="00433CCC">
        <w:t xml:space="preserve"> Deze aanbeveling wordt </w:t>
      </w:r>
      <w:r w:rsidR="00EB0940">
        <w:t xml:space="preserve">al </w:t>
      </w:r>
      <w:r w:rsidR="00433CCC">
        <w:t>uitgevoerd</w:t>
      </w:r>
      <w:r w:rsidR="008A3BD7">
        <w:t>;</w:t>
      </w:r>
    </w:p>
    <w:p w:rsidRPr="00383549" w:rsidR="00AE5F64" w:rsidP="00EB0940" w:rsidRDefault="00E61929" w14:paraId="6FA8724B" w14:textId="21810DAE">
      <w:pPr>
        <w:pStyle w:val="Lijstalinea"/>
        <w:numPr>
          <w:ilvl w:val="0"/>
          <w:numId w:val="12"/>
        </w:numPr>
        <w:ind w:left="357" w:hanging="357"/>
        <w:rPr>
          <w:bCs/>
          <w:color w:val="auto"/>
        </w:rPr>
      </w:pPr>
      <w:r w:rsidRPr="00275613">
        <w:rPr>
          <w:bCs/>
          <w:color w:val="auto"/>
        </w:rPr>
        <w:t>Streef naar het volledig voorkomen van onwenselijke verschillen</w:t>
      </w:r>
      <w:r w:rsidRPr="00275613" w:rsidR="008A3BD7">
        <w:rPr>
          <w:bCs/>
          <w:color w:val="auto"/>
        </w:rPr>
        <w:t>. Met name als het gaat om verschillen van interpretaties van regelgeving</w:t>
      </w:r>
      <w:r w:rsidRPr="00275613">
        <w:rPr>
          <w:bCs/>
          <w:color w:val="auto"/>
        </w:rPr>
        <w:t>;</w:t>
      </w:r>
    </w:p>
    <w:p w:rsidR="00E61929" w:rsidP="00EB0940" w:rsidRDefault="00E61929" w14:paraId="264AFD6B" w14:textId="3A35FE7F">
      <w:pPr>
        <w:pStyle w:val="Lijstalinea"/>
        <w:numPr>
          <w:ilvl w:val="0"/>
          <w:numId w:val="12"/>
        </w:numPr>
        <w:ind w:left="357" w:hanging="357"/>
        <w:rPr>
          <w:bCs/>
        </w:rPr>
      </w:pPr>
      <w:r w:rsidRPr="00AE5F64">
        <w:rPr>
          <w:bCs/>
        </w:rPr>
        <w:t>Streef ook voor minder onwenselijke verschillen naar ver</w:t>
      </w:r>
      <w:r w:rsidRPr="00AE5F64" w:rsidR="00433CCC">
        <w:rPr>
          <w:bCs/>
        </w:rPr>
        <w:t>groting van</w:t>
      </w:r>
      <w:r w:rsidRPr="00AE5F64">
        <w:rPr>
          <w:bCs/>
        </w:rPr>
        <w:t xml:space="preserve"> uniformiteit</w:t>
      </w:r>
      <w:r w:rsidRPr="00AE5F64" w:rsidR="008A3BD7">
        <w:rPr>
          <w:bCs/>
        </w:rPr>
        <w:t>. Ook verschillen die in lijn zijn met het decentrale stelsel kunnen onwenselijk zijn</w:t>
      </w:r>
      <w:r w:rsidR="00C43252">
        <w:rPr>
          <w:bCs/>
        </w:rPr>
        <w:t>,</w:t>
      </w:r>
      <w:r w:rsidRPr="00AE5F64" w:rsidR="008A3BD7">
        <w:rPr>
          <w:bCs/>
        </w:rPr>
        <w:t xml:space="preserve"> omdat ze het level playing field aantasten. Bijvoorbeeld als de ene gemeente vergelijkbare overtredingen zwaarder bestraft dan andere</w:t>
      </w:r>
      <w:r w:rsidRPr="00AE5F64">
        <w:rPr>
          <w:bCs/>
        </w:rPr>
        <w:t>;</w:t>
      </w:r>
    </w:p>
    <w:p w:rsidR="00AE5F64" w:rsidP="00EB0940" w:rsidRDefault="00E61929" w14:paraId="5B908D80" w14:textId="5C385E11">
      <w:pPr>
        <w:pStyle w:val="Lijstalinea"/>
        <w:numPr>
          <w:ilvl w:val="0"/>
          <w:numId w:val="12"/>
        </w:numPr>
        <w:ind w:left="357" w:hanging="357"/>
      </w:pPr>
      <w:r w:rsidRPr="00E61929">
        <w:t xml:space="preserve">Versterk </w:t>
      </w:r>
      <w:r w:rsidR="008A3BD7">
        <w:t xml:space="preserve">de mechanismen van </w:t>
      </w:r>
      <w:r w:rsidRPr="00E61929">
        <w:t>interne kwaliteitsborging bij toezicht en handhaving, en leer van elkaar</w:t>
      </w:r>
      <w:r w:rsidR="008A3BD7">
        <w:t xml:space="preserve">. </w:t>
      </w:r>
      <w:r w:rsidRPr="008A3BD7" w:rsidR="008A3BD7">
        <w:t>Uit dit onderzoek komt als mogelijke verklaring voor verschillen naar voren dat GGD’en hun interne mechanismen voor kwaliteitsborging (zoals afstemming met een tweede lezer of intervisie) anders hebben ingericht. Ook verschillen GGD’en in de tijd en aandacht die dit soort mechanismes krijgen. Dat kan ervoor zorgen dat (individuele) verschillen tussen inspecteurs worden vergroot</w:t>
      </w:r>
      <w:r>
        <w:t>;</w:t>
      </w:r>
    </w:p>
    <w:p w:rsidR="00E61929" w:rsidP="00EB0940" w:rsidRDefault="008A3BD7" w14:paraId="73E3625D" w14:textId="16539A66">
      <w:pPr>
        <w:pStyle w:val="Lijstalinea"/>
        <w:numPr>
          <w:ilvl w:val="0"/>
          <w:numId w:val="12"/>
        </w:numPr>
        <w:ind w:left="357" w:hanging="357"/>
      </w:pPr>
      <w:r>
        <w:t>Bezie de mogelijkheid voor samenwerking tussen gemeenten. Met name kleinere gemeenten ontbreekt het soms aan deskundigheid en capaciteit. Door krachten te bundelen kan dit worden tegengegaan</w:t>
      </w:r>
      <w:r w:rsidR="00433CCC">
        <w:t>.</w:t>
      </w:r>
    </w:p>
    <w:bookmarkEnd w:id="1"/>
    <w:p w:rsidR="00E61929" w:rsidRDefault="00E61929" w14:paraId="19071411" w14:textId="77777777"/>
    <w:p w:rsidR="00E90CB8" w:rsidRDefault="003647AF" w14:paraId="410AD3F4" w14:textId="2F03C849">
      <w:r>
        <w:t>De</w:t>
      </w:r>
      <w:r w:rsidR="003D61E3">
        <w:t>ze</w:t>
      </w:r>
      <w:r>
        <w:t xml:space="preserve"> </w:t>
      </w:r>
      <w:r w:rsidR="003D61E3">
        <w:t xml:space="preserve">aanbevelingen </w:t>
      </w:r>
      <w:r>
        <w:t xml:space="preserve">sluiten aan bij </w:t>
      </w:r>
      <w:r w:rsidR="001E4754">
        <w:t>het</w:t>
      </w:r>
      <w:r>
        <w:t xml:space="preserve"> eerder </w:t>
      </w:r>
      <w:r w:rsidR="00D12C04">
        <w:t xml:space="preserve">aangekondigde </w:t>
      </w:r>
      <w:r w:rsidR="001E4754">
        <w:t>voornemen</w:t>
      </w:r>
      <w:r w:rsidR="00D12C04">
        <w:t xml:space="preserve"> om de uniformiteit te bevorderen</w:t>
      </w:r>
      <w:r w:rsidR="00D12C04">
        <w:rPr>
          <w:rStyle w:val="Voetnootmarkering"/>
        </w:rPr>
        <w:footnoteReference w:id="3"/>
      </w:r>
      <w:r>
        <w:t xml:space="preserve">. </w:t>
      </w:r>
      <w:r w:rsidR="001E4754">
        <w:t xml:space="preserve">GGD GHOR Nederland heeft </w:t>
      </w:r>
      <w:r w:rsidR="003D61E3">
        <w:t xml:space="preserve">de afgelopen periode </w:t>
      </w:r>
      <w:r w:rsidR="00F81548">
        <w:t xml:space="preserve">al </w:t>
      </w:r>
      <w:r w:rsidR="003D61E3">
        <w:t xml:space="preserve">inzet gepleegd om </w:t>
      </w:r>
      <w:r w:rsidR="001E4754">
        <w:t xml:space="preserve">de </w:t>
      </w:r>
      <w:r w:rsidR="003D61E3">
        <w:t>uniformiteit van het toezicht</w:t>
      </w:r>
      <w:r w:rsidR="00F81548">
        <w:t xml:space="preserve"> </w:t>
      </w:r>
      <w:r w:rsidR="003D61E3">
        <w:t xml:space="preserve">te bevorderen door bijvoorbeeld richtlijnen en het organiseren van afstemming tussen GGD’en. De komende periode wordt </w:t>
      </w:r>
      <w:r w:rsidR="00F81548">
        <w:t xml:space="preserve">met de toezichtspartijen </w:t>
      </w:r>
      <w:r w:rsidR="003D61E3">
        <w:t xml:space="preserve">gekeken hoe verdere uniformiteit gerealiseerd kan worden. </w:t>
      </w:r>
      <w:r w:rsidR="00F81548">
        <w:t>Bovenstaande aanbevelingen</w:t>
      </w:r>
      <w:r w:rsidR="00CF71BB">
        <w:t>,</w:t>
      </w:r>
      <w:r w:rsidR="00F81548">
        <w:t xml:space="preserve"> maar bijvoorbeeld ook de optie van toezicht op houderniveau</w:t>
      </w:r>
      <w:r w:rsidR="00CF71BB">
        <w:t>,</w:t>
      </w:r>
      <w:r w:rsidR="00F81548">
        <w:t xml:space="preserve"> </w:t>
      </w:r>
      <w:r w:rsidR="00CF71BB">
        <w:t>worden hierbij betrokken</w:t>
      </w:r>
      <w:r w:rsidR="00F81548">
        <w:t xml:space="preserve">. </w:t>
      </w:r>
    </w:p>
    <w:p w:rsidR="00A126E2" w:rsidRDefault="00A126E2" w14:paraId="70A1EC84" w14:textId="77777777"/>
    <w:p w:rsidR="000C5969" w:rsidP="00E90CB8" w:rsidRDefault="000C5969" w14:paraId="5364EF4E" w14:textId="77777777">
      <w:pPr>
        <w:rPr>
          <w:b/>
        </w:rPr>
      </w:pPr>
    </w:p>
    <w:p w:rsidR="000C5969" w:rsidP="00E90CB8" w:rsidRDefault="000C5969" w14:paraId="6E80AD4F" w14:textId="77777777">
      <w:pPr>
        <w:rPr>
          <w:b/>
        </w:rPr>
      </w:pPr>
    </w:p>
    <w:p w:rsidR="00AE4EBB" w:rsidP="00E90CB8" w:rsidRDefault="00AE4EBB" w14:paraId="59E44F38" w14:textId="77777777">
      <w:pPr>
        <w:rPr>
          <w:b/>
        </w:rPr>
      </w:pPr>
    </w:p>
    <w:p w:rsidR="00071D42" w:rsidP="00E90CB8" w:rsidRDefault="00071D42" w14:paraId="3C367A78" w14:textId="77777777">
      <w:pPr>
        <w:rPr>
          <w:b/>
        </w:rPr>
      </w:pPr>
    </w:p>
    <w:p w:rsidR="00071D42" w:rsidP="00E90CB8" w:rsidRDefault="00071D42" w14:paraId="2E843F42" w14:textId="77777777">
      <w:pPr>
        <w:rPr>
          <w:b/>
        </w:rPr>
      </w:pPr>
    </w:p>
    <w:p w:rsidR="00071D42" w:rsidP="00E90CB8" w:rsidRDefault="00071D42" w14:paraId="3DEF44AD" w14:textId="77777777">
      <w:pPr>
        <w:rPr>
          <w:b/>
        </w:rPr>
      </w:pPr>
    </w:p>
    <w:p w:rsidRPr="008852BB" w:rsidR="00E90CB8" w:rsidP="00E90CB8" w:rsidRDefault="00E90CB8" w14:paraId="17C44828" w14:textId="7B09B199">
      <w:pPr>
        <w:rPr>
          <w:b/>
        </w:rPr>
      </w:pPr>
      <w:r>
        <w:rPr>
          <w:b/>
        </w:rPr>
        <w:t>Reactie en vervolg</w:t>
      </w:r>
    </w:p>
    <w:p w:rsidR="00264C43" w:rsidRDefault="00433CCC" w14:paraId="218FD985" w14:textId="03596AE9">
      <w:r>
        <w:t>Ik dank de onderzoekers voor het gedegen onderzoek. Dit onderzoek maakt wat mij betreft duidelijk dat het van belang is verder in te zetten op het bevorderen van uniformiteit. De uitkomsten van dit onderzoek en het eerder aan uw Kamer aangeboden onderzoek</w:t>
      </w:r>
      <w:r w:rsidR="00383549">
        <w:t xml:space="preserve"> </w:t>
      </w:r>
      <w:r>
        <w:t>over stelselvarianten bieden belangrijke informatie voor het bepalen van de visie op toezicht en handhaving kinderopvang</w:t>
      </w:r>
      <w:r w:rsidR="00A94861">
        <w:rPr>
          <w:rStyle w:val="Voetnootmarkering"/>
        </w:rPr>
        <w:footnoteReference w:id="4"/>
      </w:r>
      <w:r w:rsidR="00A94861">
        <w:t>.</w:t>
      </w:r>
      <w:r>
        <w:t xml:space="preserve"> </w:t>
      </w:r>
      <w:r w:rsidR="00A94861">
        <w:t>Meer</w:t>
      </w:r>
      <w:r>
        <w:t xml:space="preserve"> algemeen </w:t>
      </w:r>
      <w:r w:rsidR="00A94861">
        <w:t xml:space="preserve">biedt het handvatten </w:t>
      </w:r>
      <w:r>
        <w:t xml:space="preserve">voor het </w:t>
      </w:r>
      <w:r w:rsidR="00A94861">
        <w:t xml:space="preserve">verder </w:t>
      </w:r>
      <w:r>
        <w:t xml:space="preserve">verbeteren van het toezicht en handhaving binnen de kinderopvang. Mijn streven is u </w:t>
      </w:r>
      <w:r w:rsidR="00CF71BB">
        <w:t xml:space="preserve">uiterlijk </w:t>
      </w:r>
      <w:r>
        <w:t>eind dit jaar een inhoudelijke beleidsreactie te sturen</w:t>
      </w:r>
      <w:r w:rsidR="00383549">
        <w:t xml:space="preserve"> op de beide onderzoeken</w:t>
      </w:r>
      <w:r>
        <w:t xml:space="preserve">. </w:t>
      </w:r>
    </w:p>
    <w:p w:rsidR="00AE4EBB" w:rsidRDefault="00AE4EBB" w14:paraId="61864FB0" w14:textId="77777777"/>
    <w:p w:rsidR="00AE4EBB" w:rsidRDefault="00AE4EBB" w14:paraId="3A26E139" w14:textId="77777777"/>
    <w:p w:rsidR="00D90A2D" w:rsidRDefault="0088185C" w14:paraId="45D3CA10" w14:textId="6D10D777">
      <w:r>
        <w:t xml:space="preserve">De </w:t>
      </w:r>
      <w:r w:rsidR="00C240EB">
        <w:t xml:space="preserve">staatssecretaris </w:t>
      </w:r>
      <w:r>
        <w:t xml:space="preserve">van Sociale Zaken </w:t>
      </w:r>
      <w:r>
        <w:br/>
        <w:t>en Werkgelegenheid,</w:t>
      </w:r>
    </w:p>
    <w:p w:rsidR="00D90A2D" w:rsidRDefault="00D90A2D" w14:paraId="1737B3AC" w14:textId="77777777"/>
    <w:p w:rsidR="00D90A2D" w:rsidRDefault="00D90A2D" w14:paraId="4EF47F03" w14:textId="77777777"/>
    <w:p w:rsidR="00D90A2D" w:rsidRDefault="00D90A2D" w14:paraId="14B97268" w14:textId="77777777"/>
    <w:p w:rsidR="00D90A2D" w:rsidRDefault="00D90A2D" w14:paraId="2966AADE" w14:textId="77777777"/>
    <w:p w:rsidR="00251C7A" w:rsidRDefault="00251C7A" w14:paraId="73F14238" w14:textId="77777777"/>
    <w:p w:rsidR="00D90A2D" w:rsidRDefault="00C240EB" w14:paraId="62B5CB22" w14:textId="016B5BA7">
      <w:r>
        <w:t>J.N.J. Nobel</w:t>
      </w:r>
    </w:p>
    <w:sectPr w:rsidR="00D90A2D">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C25C" w14:textId="77777777" w:rsidR="00047893" w:rsidRDefault="00047893">
      <w:pPr>
        <w:spacing w:line="240" w:lineRule="auto"/>
      </w:pPr>
      <w:r>
        <w:separator/>
      </w:r>
    </w:p>
  </w:endnote>
  <w:endnote w:type="continuationSeparator" w:id="0">
    <w:p w14:paraId="1F071C6C" w14:textId="77777777" w:rsidR="00047893" w:rsidRDefault="00047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780A" w14:textId="77777777" w:rsidR="00CA062D" w:rsidRDefault="00CA06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2241" w14:textId="77777777" w:rsidR="00CA062D" w:rsidRDefault="00CA062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063E" w14:textId="77777777" w:rsidR="00CA062D" w:rsidRDefault="00CA06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B20B" w14:textId="77777777" w:rsidR="00047893" w:rsidRDefault="00047893">
      <w:pPr>
        <w:spacing w:line="240" w:lineRule="auto"/>
      </w:pPr>
      <w:r>
        <w:separator/>
      </w:r>
    </w:p>
  </w:footnote>
  <w:footnote w:type="continuationSeparator" w:id="0">
    <w:p w14:paraId="0846399B" w14:textId="77777777" w:rsidR="00047893" w:rsidRDefault="00047893">
      <w:pPr>
        <w:spacing w:line="240" w:lineRule="auto"/>
      </w:pPr>
      <w:r>
        <w:continuationSeparator/>
      </w:r>
    </w:p>
  </w:footnote>
  <w:footnote w:id="1">
    <w:p w14:paraId="0C4E96E8" w14:textId="63DE3BC5" w:rsidR="00426630" w:rsidRPr="00EB0940" w:rsidRDefault="00426630">
      <w:pPr>
        <w:pStyle w:val="Voetnoottekst"/>
        <w:rPr>
          <w:sz w:val="16"/>
          <w:szCs w:val="16"/>
        </w:rPr>
      </w:pPr>
      <w:r w:rsidRPr="00EB0940">
        <w:rPr>
          <w:rStyle w:val="Voetnootmarkering"/>
          <w:sz w:val="16"/>
          <w:szCs w:val="16"/>
        </w:rPr>
        <w:footnoteRef/>
      </w:r>
      <w:r w:rsidRPr="00EB0940">
        <w:rPr>
          <w:sz w:val="16"/>
          <w:szCs w:val="16"/>
        </w:rPr>
        <w:t xml:space="preserve"> </w:t>
      </w:r>
      <w:bookmarkStart w:id="0" w:name="_Hlk171674393"/>
      <w:r w:rsidR="00D9224E" w:rsidRPr="00EB0940">
        <w:rPr>
          <w:sz w:val="16"/>
          <w:szCs w:val="16"/>
        </w:rPr>
        <w:t xml:space="preserve">Kamerstukken </w:t>
      </w:r>
      <w:r w:rsidR="00C240EB" w:rsidRPr="00EB0940">
        <w:rPr>
          <w:sz w:val="16"/>
          <w:szCs w:val="16"/>
        </w:rPr>
        <w:t>2</w:t>
      </w:r>
      <w:r w:rsidR="00D9224E" w:rsidRPr="00EB0940">
        <w:rPr>
          <w:sz w:val="16"/>
          <w:szCs w:val="16"/>
        </w:rPr>
        <w:t>022/23, 31322, nr. 484</w:t>
      </w:r>
      <w:r w:rsidR="00C240EB" w:rsidRPr="00EB0940">
        <w:rPr>
          <w:sz w:val="16"/>
          <w:szCs w:val="16"/>
        </w:rPr>
        <w:t>.</w:t>
      </w:r>
      <w:bookmarkEnd w:id="0"/>
    </w:p>
  </w:footnote>
  <w:footnote w:id="2">
    <w:p w14:paraId="7DCA398D" w14:textId="01F5774A" w:rsidR="00027F4E" w:rsidRPr="00EB0940" w:rsidRDefault="00027F4E">
      <w:pPr>
        <w:pStyle w:val="Voetnoottekst"/>
        <w:rPr>
          <w:sz w:val="16"/>
          <w:szCs w:val="16"/>
        </w:rPr>
      </w:pPr>
      <w:r w:rsidRPr="00EB0940">
        <w:rPr>
          <w:rStyle w:val="Voetnootmarkering"/>
          <w:sz w:val="16"/>
          <w:szCs w:val="16"/>
        </w:rPr>
        <w:footnoteRef/>
      </w:r>
      <w:r w:rsidRPr="00EB0940">
        <w:rPr>
          <w:sz w:val="16"/>
          <w:szCs w:val="16"/>
        </w:rPr>
        <w:t xml:space="preserve"> Dit geldt ook voor het op </w:t>
      </w:r>
      <w:r w:rsidR="00C240EB" w:rsidRPr="00EB0940">
        <w:rPr>
          <w:sz w:val="16"/>
          <w:szCs w:val="16"/>
        </w:rPr>
        <w:t xml:space="preserve">20 juni </w:t>
      </w:r>
      <w:r w:rsidRPr="00EB0940">
        <w:rPr>
          <w:sz w:val="16"/>
          <w:szCs w:val="16"/>
        </w:rPr>
        <w:t>aan uw Kamer aangeboden onderzoek van de Universiteit Utrecht naar stelselvarianten en principe gestuurde regulering</w:t>
      </w:r>
      <w:r w:rsidR="00C240EB" w:rsidRPr="00EB0940">
        <w:rPr>
          <w:sz w:val="16"/>
          <w:szCs w:val="16"/>
        </w:rPr>
        <w:t xml:space="preserve"> (Kamerstukken 2024, 31322, nr. 539)</w:t>
      </w:r>
      <w:r w:rsidRPr="00EB0940">
        <w:rPr>
          <w:sz w:val="16"/>
          <w:szCs w:val="16"/>
        </w:rPr>
        <w:t>.</w:t>
      </w:r>
    </w:p>
  </w:footnote>
  <w:footnote w:id="3">
    <w:p w14:paraId="1E45CBD3" w14:textId="75FF5121" w:rsidR="00D12C04" w:rsidRPr="00EB0940" w:rsidRDefault="00D12C04">
      <w:pPr>
        <w:pStyle w:val="Voetnoottekst"/>
        <w:rPr>
          <w:sz w:val="16"/>
          <w:szCs w:val="16"/>
        </w:rPr>
      </w:pPr>
      <w:r w:rsidRPr="00EB0940">
        <w:rPr>
          <w:rStyle w:val="Voetnootmarkering"/>
          <w:sz w:val="16"/>
          <w:szCs w:val="16"/>
        </w:rPr>
        <w:footnoteRef/>
      </w:r>
      <w:r w:rsidRPr="00EB0940">
        <w:rPr>
          <w:sz w:val="16"/>
          <w:szCs w:val="16"/>
        </w:rPr>
        <w:t xml:space="preserve"> Kamerstukken 2022/23, 31322, nr. 484.</w:t>
      </w:r>
    </w:p>
  </w:footnote>
  <w:footnote w:id="4">
    <w:p w14:paraId="0E1A9F2A" w14:textId="77777777" w:rsidR="00A94861" w:rsidRPr="00EB0940" w:rsidRDefault="00A94861" w:rsidP="00A94861">
      <w:pPr>
        <w:pStyle w:val="Voetnoottekst"/>
        <w:rPr>
          <w:sz w:val="16"/>
          <w:szCs w:val="16"/>
        </w:rPr>
      </w:pPr>
      <w:r w:rsidRPr="00EB0940">
        <w:rPr>
          <w:rStyle w:val="Voetnootmarkering"/>
          <w:sz w:val="16"/>
          <w:szCs w:val="16"/>
        </w:rPr>
        <w:footnoteRef/>
      </w:r>
      <w:r w:rsidRPr="00EB0940">
        <w:rPr>
          <w:sz w:val="16"/>
          <w:szCs w:val="16"/>
        </w:rPr>
        <w:t xml:space="preserve"> Kamerstukken 2022/23, 31322, nr. 539.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D95A" w14:textId="77777777" w:rsidR="00CA062D" w:rsidRDefault="00CA06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2069" w14:textId="77777777" w:rsidR="00D90A2D" w:rsidRDefault="0088185C">
    <w:r>
      <w:rPr>
        <w:noProof/>
      </w:rPr>
      <mc:AlternateContent>
        <mc:Choice Requires="wps">
          <w:drawing>
            <wp:anchor distT="0" distB="0" distL="0" distR="0" simplePos="0" relativeHeight="251654144" behindDoc="0" locked="1" layoutInCell="1" allowOverlap="1" wp14:anchorId="2B6F2345" wp14:editId="61A8DDDD">
              <wp:simplePos x="0" y="0"/>
              <wp:positionH relativeFrom="page">
                <wp:posOffset>5921375</wp:posOffset>
              </wp:positionH>
              <wp:positionV relativeFrom="page">
                <wp:posOffset>1979930</wp:posOffset>
              </wp:positionV>
              <wp:extent cx="1382395" cy="8009890"/>
              <wp:effectExtent l="0" t="0" r="0" b="0"/>
              <wp:wrapNone/>
              <wp:docPr id="1" name="bd639862-03a6-11ee-8f29-0242ac130005"/>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06CA6C7" w14:textId="77777777" w:rsidR="00D90A2D" w:rsidRDefault="0088185C">
                          <w:pPr>
                            <w:pStyle w:val="Referentiegegevenskopjes"/>
                          </w:pPr>
                          <w:r>
                            <w:t>Datum</w:t>
                          </w:r>
                        </w:p>
                        <w:p w14:paraId="4347110F" w14:textId="4CE60A01" w:rsidR="00D90A2D" w:rsidRDefault="00056A18">
                          <w:pPr>
                            <w:pStyle w:val="Referentiegegevens"/>
                          </w:pPr>
                          <w:r>
                            <w:t>18 juli 2024</w:t>
                          </w:r>
                          <w:r w:rsidR="0088185C">
                            <w:fldChar w:fldCharType="begin"/>
                          </w:r>
                          <w:r w:rsidR="0088185C">
                            <w:instrText xml:space="preserve"> DOCPROPERTY  "iDatum"  \* MERGEFORMAT </w:instrText>
                          </w:r>
                          <w:r w:rsidR="0088185C">
                            <w:fldChar w:fldCharType="end"/>
                          </w:r>
                        </w:p>
                        <w:p w14:paraId="18665474" w14:textId="77777777" w:rsidR="00D90A2D" w:rsidRDefault="00D90A2D">
                          <w:pPr>
                            <w:pStyle w:val="WitregelW1"/>
                          </w:pPr>
                        </w:p>
                        <w:p w14:paraId="28C29E1D" w14:textId="77777777" w:rsidR="00D90A2D" w:rsidRDefault="0088185C">
                          <w:pPr>
                            <w:pStyle w:val="Referentiegegevenskopjes"/>
                          </w:pPr>
                          <w:r>
                            <w:t>Onze referentie</w:t>
                          </w:r>
                        </w:p>
                        <w:p w14:paraId="4D388C4F" w14:textId="085A7BBD" w:rsidR="00D90A2D" w:rsidRDefault="007D76FB">
                          <w:pPr>
                            <w:pStyle w:val="ReferentiegegevensHL"/>
                          </w:pPr>
                          <w:r>
                            <w:fldChar w:fldCharType="begin"/>
                          </w:r>
                          <w:r>
                            <w:instrText xml:space="preserve"> DOCPROPERTY  "iOnsKenmerk"  \* MERGEFORMAT </w:instrText>
                          </w:r>
                          <w:r>
                            <w:fldChar w:fldCharType="separate"/>
                          </w:r>
                          <w:r>
                            <w:t>2024-0000195229</w:t>
                          </w:r>
                          <w:r>
                            <w:fldChar w:fldCharType="end"/>
                          </w:r>
                        </w:p>
                      </w:txbxContent>
                    </wps:txbx>
                    <wps:bodyPr vert="horz" wrap="square" lIns="0" tIns="0" rIns="0" bIns="0" anchor="t" anchorCtr="0"/>
                  </wps:wsp>
                </a:graphicData>
              </a:graphic>
            </wp:anchor>
          </w:drawing>
        </mc:Choice>
        <mc:Fallback>
          <w:pict>
            <v:shapetype w14:anchorId="2B6F2345" id="_x0000_t202" coordsize="21600,21600" o:spt="202" path="m,l,21600r21600,l21600,xe">
              <v:stroke joinstyle="miter"/>
              <v:path gradientshapeok="t" o:connecttype="rect"/>
            </v:shapetype>
            <v:shape id="bd639862-03a6-11ee-8f29-0242ac130005"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606CA6C7" w14:textId="77777777" w:rsidR="00D90A2D" w:rsidRDefault="0088185C">
                    <w:pPr>
                      <w:pStyle w:val="Referentiegegevenskopjes"/>
                    </w:pPr>
                    <w:r>
                      <w:t>Datum</w:t>
                    </w:r>
                  </w:p>
                  <w:p w14:paraId="4347110F" w14:textId="4CE60A01" w:rsidR="00D90A2D" w:rsidRDefault="00056A18">
                    <w:pPr>
                      <w:pStyle w:val="Referentiegegevens"/>
                    </w:pPr>
                    <w:r>
                      <w:t>18 juli 2024</w:t>
                    </w:r>
                    <w:r w:rsidR="0088185C">
                      <w:fldChar w:fldCharType="begin"/>
                    </w:r>
                    <w:r w:rsidR="0088185C">
                      <w:instrText xml:space="preserve"> DOCPROPERTY  "iDatum"  \* MERGEFORMAT </w:instrText>
                    </w:r>
                    <w:r w:rsidR="0088185C">
                      <w:fldChar w:fldCharType="end"/>
                    </w:r>
                  </w:p>
                  <w:p w14:paraId="18665474" w14:textId="77777777" w:rsidR="00D90A2D" w:rsidRDefault="00D90A2D">
                    <w:pPr>
                      <w:pStyle w:val="WitregelW1"/>
                    </w:pPr>
                  </w:p>
                  <w:p w14:paraId="28C29E1D" w14:textId="77777777" w:rsidR="00D90A2D" w:rsidRDefault="0088185C">
                    <w:pPr>
                      <w:pStyle w:val="Referentiegegevenskopjes"/>
                    </w:pPr>
                    <w:r>
                      <w:t>Onze referentie</w:t>
                    </w:r>
                  </w:p>
                  <w:p w14:paraId="4D388C4F" w14:textId="085A7BBD" w:rsidR="00D90A2D" w:rsidRDefault="007D76FB">
                    <w:pPr>
                      <w:pStyle w:val="ReferentiegegevensHL"/>
                    </w:pPr>
                    <w:r>
                      <w:fldChar w:fldCharType="begin"/>
                    </w:r>
                    <w:r>
                      <w:instrText xml:space="preserve"> DOCPROPERTY  "iOnsKenmerk"  \* MERGEFORMAT </w:instrText>
                    </w:r>
                    <w:r>
                      <w:fldChar w:fldCharType="separate"/>
                    </w:r>
                    <w:r>
                      <w:t>2024-0000195229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26545249" wp14:editId="0BE57CAF">
              <wp:simplePos x="0" y="0"/>
              <wp:positionH relativeFrom="page">
                <wp:posOffset>5921375</wp:posOffset>
              </wp:positionH>
              <wp:positionV relativeFrom="page">
                <wp:posOffset>10223500</wp:posOffset>
              </wp:positionV>
              <wp:extent cx="1259840" cy="179705"/>
              <wp:effectExtent l="0" t="0" r="0" b="0"/>
              <wp:wrapNone/>
              <wp:docPr id="2" name="bd639883-03a6-11ee-8f29-0242ac13000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51A77D9" w14:textId="77777777" w:rsidR="00D90A2D" w:rsidRDefault="0088185C">
                          <w:pPr>
                            <w:pStyle w:val="Afzendgegevens"/>
                          </w:pPr>
                          <w:r>
                            <w:t xml:space="preserve">Pagina </w:t>
                          </w:r>
                          <w:r>
                            <w:fldChar w:fldCharType="begin"/>
                          </w:r>
                          <w:r>
                            <w:instrText>PAGE</w:instrText>
                          </w:r>
                          <w:r>
                            <w:fldChar w:fldCharType="separate"/>
                          </w:r>
                          <w:r w:rsidR="00264C43">
                            <w:rPr>
                              <w:noProof/>
                            </w:rPr>
                            <w:t>1</w:t>
                          </w:r>
                          <w:r>
                            <w:fldChar w:fldCharType="end"/>
                          </w:r>
                          <w:r>
                            <w:t xml:space="preserve"> van </w:t>
                          </w:r>
                          <w:r>
                            <w:fldChar w:fldCharType="begin"/>
                          </w:r>
                          <w:r>
                            <w:instrText>NUMPAGES</w:instrText>
                          </w:r>
                          <w:r>
                            <w:fldChar w:fldCharType="separate"/>
                          </w:r>
                          <w:r w:rsidR="00264C43">
                            <w:rPr>
                              <w:noProof/>
                            </w:rPr>
                            <w:t>1</w:t>
                          </w:r>
                          <w:r>
                            <w:fldChar w:fldCharType="end"/>
                          </w:r>
                        </w:p>
                      </w:txbxContent>
                    </wps:txbx>
                    <wps:bodyPr vert="horz" wrap="square" lIns="0" tIns="0" rIns="0" bIns="0" anchor="t" anchorCtr="0"/>
                  </wps:wsp>
                </a:graphicData>
              </a:graphic>
            </wp:anchor>
          </w:drawing>
        </mc:Choice>
        <mc:Fallback>
          <w:pict>
            <v:shape w14:anchorId="26545249" id="bd639883-03a6-11ee-8f29-0242ac130005"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751A77D9" w14:textId="77777777" w:rsidR="00D90A2D" w:rsidRDefault="0088185C">
                    <w:pPr>
                      <w:pStyle w:val="Afzendgegevens"/>
                    </w:pPr>
                    <w:r>
                      <w:t xml:space="preserve">Pagina </w:t>
                    </w:r>
                    <w:r>
                      <w:fldChar w:fldCharType="begin"/>
                    </w:r>
                    <w:r>
                      <w:instrText>PAGE</w:instrText>
                    </w:r>
                    <w:r>
                      <w:fldChar w:fldCharType="separate"/>
                    </w:r>
                    <w:r w:rsidR="00264C43">
                      <w:rPr>
                        <w:noProof/>
                      </w:rPr>
                      <w:t>1</w:t>
                    </w:r>
                    <w:r>
                      <w:fldChar w:fldCharType="end"/>
                    </w:r>
                    <w:r>
                      <w:t xml:space="preserve"> van </w:t>
                    </w:r>
                    <w:r>
                      <w:fldChar w:fldCharType="begin"/>
                    </w:r>
                    <w:r>
                      <w:instrText>NUMPAGES</w:instrText>
                    </w:r>
                    <w:r>
                      <w:fldChar w:fldCharType="separate"/>
                    </w:r>
                    <w:r w:rsidR="00264C43">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886E" w14:textId="77777777" w:rsidR="00D90A2D" w:rsidRDefault="0088185C">
    <w:pPr>
      <w:spacing w:after="7029" w:line="14" w:lineRule="exact"/>
    </w:pPr>
    <w:r>
      <w:rPr>
        <w:noProof/>
      </w:rPr>
      <mc:AlternateContent>
        <mc:Choice Requires="wps">
          <w:drawing>
            <wp:anchor distT="0" distB="0" distL="0" distR="0" simplePos="0" relativeHeight="251656192" behindDoc="0" locked="1" layoutInCell="1" allowOverlap="1" wp14:anchorId="7DED07F5" wp14:editId="09573FAA">
              <wp:simplePos x="0" y="0"/>
              <wp:positionH relativeFrom="page">
                <wp:posOffset>4013835</wp:posOffset>
              </wp:positionH>
              <wp:positionV relativeFrom="page">
                <wp:posOffset>0</wp:posOffset>
              </wp:positionV>
              <wp:extent cx="2339975" cy="1583690"/>
              <wp:effectExtent l="0" t="0" r="0" b="0"/>
              <wp:wrapNone/>
              <wp:docPr id="3" name="bd4a8ef7-03a6-11ee-8f29-0242ac130005"/>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1AFE2BE" w14:textId="77777777" w:rsidR="00D90A2D" w:rsidRDefault="0088185C">
                          <w:pPr>
                            <w:spacing w:line="240" w:lineRule="auto"/>
                          </w:pPr>
                          <w:r>
                            <w:rPr>
                              <w:noProof/>
                            </w:rPr>
                            <w:drawing>
                              <wp:inline distT="0" distB="0" distL="0" distR="0" wp14:anchorId="5A099F0E" wp14:editId="3E27B52D">
                                <wp:extent cx="2339975" cy="1582834"/>
                                <wp:effectExtent l="0" t="0" r="0" b="0"/>
                                <wp:docPr id="4" name="Woordmerk" descr="MInisterie van Sociale Zaken en Werkgelegenheid" title="MInisterie van Sociale Zaken en Werkgelegenheid"/>
                                <wp:cNvGraphicFramePr/>
                                <a:graphic xmlns:a="http://schemas.openxmlformats.org/drawingml/2006/main">
                                  <a:graphicData uri="http://schemas.openxmlformats.org/drawingml/2006/picture">
                                    <pic:pic xmlns:pic="http://schemas.openxmlformats.org/drawingml/2006/picture">
                                      <pic:nvPicPr>
                                        <pic:cNvPr id="4"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DED07F5" id="_x0000_t202" coordsize="21600,21600" o:spt="202" path="m,l,21600r21600,l21600,xe">
              <v:stroke joinstyle="miter"/>
              <v:path gradientshapeok="t" o:connecttype="rect"/>
            </v:shapetype>
            <v:shape id="bd4a8ef7-03a6-11ee-8f29-0242ac130005"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01AFE2BE" w14:textId="77777777" w:rsidR="00D90A2D" w:rsidRDefault="0088185C">
                    <w:pPr>
                      <w:spacing w:line="240" w:lineRule="auto"/>
                    </w:pPr>
                    <w:r>
                      <w:rPr>
                        <w:noProof/>
                      </w:rPr>
                      <w:drawing>
                        <wp:inline distT="0" distB="0" distL="0" distR="0" wp14:anchorId="5A099F0E" wp14:editId="3E27B52D">
                          <wp:extent cx="2339975" cy="1582834"/>
                          <wp:effectExtent l="0" t="0" r="0" b="0"/>
                          <wp:docPr id="4" name="Woordmerk" descr="MInisterie van Sociale Zaken en Werkgelegenheid" title="MInisterie van Sociale Zaken en Werkgelegenheid"/>
                          <wp:cNvGraphicFramePr/>
                          <a:graphic xmlns:a="http://schemas.openxmlformats.org/drawingml/2006/main">
                            <a:graphicData uri="http://schemas.openxmlformats.org/drawingml/2006/picture">
                              <pic:pic xmlns:pic="http://schemas.openxmlformats.org/drawingml/2006/picture">
                                <pic:nvPicPr>
                                  <pic:cNvPr id="4"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3320165" wp14:editId="606C7913">
              <wp:simplePos x="0" y="0"/>
              <wp:positionH relativeFrom="page">
                <wp:posOffset>5921375</wp:posOffset>
              </wp:positionH>
              <wp:positionV relativeFrom="page">
                <wp:posOffset>1979930</wp:posOffset>
              </wp:positionV>
              <wp:extent cx="1382395" cy="8009890"/>
              <wp:effectExtent l="0" t="0" r="0" b="0"/>
              <wp:wrapNone/>
              <wp:docPr id="5" name="bd4a91e7-03a6-11ee-8f29-0242ac130005"/>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03A6305" w14:textId="77777777" w:rsidR="00D90A2D" w:rsidRPr="001E4754" w:rsidRDefault="0088185C">
                          <w:pPr>
                            <w:pStyle w:val="Afzendgegevens"/>
                            <w:rPr>
                              <w:lang w:val="de-DE"/>
                            </w:rPr>
                          </w:pPr>
                          <w:r w:rsidRPr="001E4754">
                            <w:rPr>
                              <w:lang w:val="de-DE"/>
                            </w:rPr>
                            <w:t>Postbus 90801</w:t>
                          </w:r>
                        </w:p>
                        <w:p w14:paraId="2AF5625A" w14:textId="77777777" w:rsidR="00D90A2D" w:rsidRPr="001E4754" w:rsidRDefault="0088185C">
                          <w:pPr>
                            <w:pStyle w:val="Afzendgegevens"/>
                            <w:rPr>
                              <w:lang w:val="de-DE"/>
                            </w:rPr>
                          </w:pPr>
                          <w:r w:rsidRPr="001E4754">
                            <w:rPr>
                              <w:lang w:val="de-DE"/>
                            </w:rPr>
                            <w:t>2509 LV  Den Haag</w:t>
                          </w:r>
                        </w:p>
                        <w:p w14:paraId="22CADEA1" w14:textId="77777777" w:rsidR="00D90A2D" w:rsidRPr="001E4754" w:rsidRDefault="0088185C">
                          <w:pPr>
                            <w:pStyle w:val="Afzendgegevens"/>
                            <w:rPr>
                              <w:lang w:val="de-DE"/>
                            </w:rPr>
                          </w:pPr>
                          <w:r w:rsidRPr="001E4754">
                            <w:rPr>
                              <w:lang w:val="de-DE"/>
                            </w:rPr>
                            <w:t>Parnassusplein 5</w:t>
                          </w:r>
                        </w:p>
                        <w:p w14:paraId="5BCB8859" w14:textId="77777777" w:rsidR="00D90A2D" w:rsidRDefault="0088185C">
                          <w:pPr>
                            <w:pStyle w:val="Afzendgegevens"/>
                          </w:pPr>
                          <w:r>
                            <w:t>T   070 333 44 44</w:t>
                          </w:r>
                        </w:p>
                        <w:p w14:paraId="2A3AB193" w14:textId="77777777" w:rsidR="00D90A2D" w:rsidRDefault="00D90A2D">
                          <w:pPr>
                            <w:pStyle w:val="WitregelW2"/>
                          </w:pPr>
                        </w:p>
                        <w:p w14:paraId="28BB15D1" w14:textId="77777777" w:rsidR="00D90A2D" w:rsidRDefault="0088185C">
                          <w:pPr>
                            <w:pStyle w:val="Referentiegegevenskopjes"/>
                          </w:pPr>
                          <w:r>
                            <w:t>Onze referentie</w:t>
                          </w:r>
                        </w:p>
                        <w:p w14:paraId="2C40BC5B" w14:textId="325A7E82" w:rsidR="00D90A2D" w:rsidRDefault="007D76FB">
                          <w:pPr>
                            <w:pStyle w:val="ReferentiegegevensHL"/>
                          </w:pPr>
                          <w:r>
                            <w:fldChar w:fldCharType="begin"/>
                          </w:r>
                          <w:r>
                            <w:instrText xml:space="preserve"> DOCPROPERTY  "iOnsKenmerk"  \* MERGEFORMAT </w:instrText>
                          </w:r>
                          <w:r>
                            <w:fldChar w:fldCharType="separate"/>
                          </w:r>
                          <w:r>
                            <w:t>2024-0000195229</w:t>
                          </w:r>
                          <w:r>
                            <w:fldChar w:fldCharType="end"/>
                          </w:r>
                        </w:p>
                        <w:p w14:paraId="4A86C932" w14:textId="77777777" w:rsidR="00D90A2D" w:rsidRDefault="00D90A2D">
                          <w:pPr>
                            <w:pStyle w:val="WitregelW1"/>
                          </w:pPr>
                        </w:p>
                        <w:p w14:paraId="2FE170B6" w14:textId="187FDAE4" w:rsidR="00D90A2D" w:rsidRDefault="0088185C">
                          <w:pPr>
                            <w:pStyle w:val="Referentiegegevens"/>
                          </w:pPr>
                          <w:r>
                            <w:fldChar w:fldCharType="begin"/>
                          </w:r>
                          <w:r>
                            <w:instrText xml:space="preserve"> DOCPROPERTY  "iCC"  \* MERGEFORMAT </w:instrText>
                          </w:r>
                          <w:r>
                            <w:fldChar w:fldCharType="end"/>
                          </w:r>
                        </w:p>
                        <w:p w14:paraId="76ADBF05" w14:textId="77777777" w:rsidR="00D90A2D" w:rsidRDefault="00D90A2D">
                          <w:pPr>
                            <w:pStyle w:val="WitregelW1"/>
                          </w:pPr>
                        </w:p>
                        <w:p w14:paraId="028618E8" w14:textId="77777777" w:rsidR="00D90A2D" w:rsidRDefault="0088185C">
                          <w:pPr>
                            <w:pStyle w:val="Referentiegegevenskopjes"/>
                          </w:pPr>
                          <w:r>
                            <w:t>Bijlage(n)</w:t>
                          </w:r>
                        </w:p>
                        <w:p w14:paraId="6D7639F2" w14:textId="10F42C62" w:rsidR="00D90A2D" w:rsidRDefault="00251C7A">
                          <w:pPr>
                            <w:pStyle w:val="Referentiegegevens"/>
                          </w:pPr>
                          <w:r>
                            <w:t>1.</w:t>
                          </w:r>
                        </w:p>
                      </w:txbxContent>
                    </wps:txbx>
                    <wps:bodyPr vert="horz" wrap="square" lIns="0" tIns="0" rIns="0" bIns="0" anchor="t" anchorCtr="0"/>
                  </wps:wsp>
                </a:graphicData>
              </a:graphic>
            </wp:anchor>
          </w:drawing>
        </mc:Choice>
        <mc:Fallback>
          <w:pict>
            <v:shape w14:anchorId="73320165" id="bd4a91e7-03a6-11ee-8f29-0242ac130005"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103A6305" w14:textId="77777777" w:rsidR="00D90A2D" w:rsidRPr="001E4754" w:rsidRDefault="0088185C">
                    <w:pPr>
                      <w:pStyle w:val="Afzendgegevens"/>
                      <w:rPr>
                        <w:lang w:val="de-DE"/>
                      </w:rPr>
                    </w:pPr>
                    <w:r w:rsidRPr="001E4754">
                      <w:rPr>
                        <w:lang w:val="de-DE"/>
                      </w:rPr>
                      <w:t>Postbus 90801</w:t>
                    </w:r>
                  </w:p>
                  <w:p w14:paraId="2AF5625A" w14:textId="77777777" w:rsidR="00D90A2D" w:rsidRPr="001E4754" w:rsidRDefault="0088185C">
                    <w:pPr>
                      <w:pStyle w:val="Afzendgegevens"/>
                      <w:rPr>
                        <w:lang w:val="de-DE"/>
                      </w:rPr>
                    </w:pPr>
                    <w:r w:rsidRPr="001E4754">
                      <w:rPr>
                        <w:lang w:val="de-DE"/>
                      </w:rPr>
                      <w:t>2509 LV  Den Haag</w:t>
                    </w:r>
                  </w:p>
                  <w:p w14:paraId="22CADEA1" w14:textId="77777777" w:rsidR="00D90A2D" w:rsidRPr="001E4754" w:rsidRDefault="0088185C">
                    <w:pPr>
                      <w:pStyle w:val="Afzendgegevens"/>
                      <w:rPr>
                        <w:lang w:val="de-DE"/>
                      </w:rPr>
                    </w:pPr>
                    <w:r w:rsidRPr="001E4754">
                      <w:rPr>
                        <w:lang w:val="de-DE"/>
                      </w:rPr>
                      <w:t>Parnassusplein 5</w:t>
                    </w:r>
                  </w:p>
                  <w:p w14:paraId="5BCB8859" w14:textId="77777777" w:rsidR="00D90A2D" w:rsidRDefault="0088185C">
                    <w:pPr>
                      <w:pStyle w:val="Afzendgegevens"/>
                    </w:pPr>
                    <w:r>
                      <w:t>T   070 333 44 44</w:t>
                    </w:r>
                  </w:p>
                  <w:p w14:paraId="2A3AB193" w14:textId="77777777" w:rsidR="00D90A2D" w:rsidRDefault="00D90A2D">
                    <w:pPr>
                      <w:pStyle w:val="WitregelW2"/>
                    </w:pPr>
                  </w:p>
                  <w:p w14:paraId="28BB15D1" w14:textId="77777777" w:rsidR="00D90A2D" w:rsidRDefault="0088185C">
                    <w:pPr>
                      <w:pStyle w:val="Referentiegegevenskopjes"/>
                    </w:pPr>
                    <w:r>
                      <w:t>Onze referentie</w:t>
                    </w:r>
                  </w:p>
                  <w:p w14:paraId="2C40BC5B" w14:textId="325A7E82" w:rsidR="00D90A2D" w:rsidRDefault="007D76FB">
                    <w:pPr>
                      <w:pStyle w:val="ReferentiegegevensHL"/>
                    </w:pPr>
                    <w:r>
                      <w:fldChar w:fldCharType="begin"/>
                    </w:r>
                    <w:r>
                      <w:instrText xml:space="preserve"> DOCPROPERTY  "iOnsKenmerk"  \* MERGEFORMAT </w:instrText>
                    </w:r>
                    <w:r>
                      <w:fldChar w:fldCharType="separate"/>
                    </w:r>
                    <w:r>
                      <w:t>2024-0000195229</w:t>
                    </w:r>
                    <w:r>
                      <w:fldChar w:fldCharType="end"/>
                    </w:r>
                  </w:p>
                  <w:p w14:paraId="4A86C932" w14:textId="77777777" w:rsidR="00D90A2D" w:rsidRDefault="00D90A2D">
                    <w:pPr>
                      <w:pStyle w:val="WitregelW1"/>
                    </w:pPr>
                  </w:p>
                  <w:p w14:paraId="2FE170B6" w14:textId="187FDAE4" w:rsidR="00D90A2D" w:rsidRDefault="0088185C">
                    <w:pPr>
                      <w:pStyle w:val="Referentiegegevens"/>
                    </w:pPr>
                    <w:r>
                      <w:fldChar w:fldCharType="begin"/>
                    </w:r>
                    <w:r>
                      <w:instrText xml:space="preserve"> DOCPROPERTY  "iCC"  \* MERGEFORMAT </w:instrText>
                    </w:r>
                    <w:r>
                      <w:fldChar w:fldCharType="end"/>
                    </w:r>
                  </w:p>
                  <w:p w14:paraId="76ADBF05" w14:textId="77777777" w:rsidR="00D90A2D" w:rsidRDefault="00D90A2D">
                    <w:pPr>
                      <w:pStyle w:val="WitregelW1"/>
                    </w:pPr>
                  </w:p>
                  <w:p w14:paraId="028618E8" w14:textId="77777777" w:rsidR="00D90A2D" w:rsidRDefault="0088185C">
                    <w:pPr>
                      <w:pStyle w:val="Referentiegegevenskopjes"/>
                    </w:pPr>
                    <w:r>
                      <w:t>Bijlage(n)</w:t>
                    </w:r>
                  </w:p>
                  <w:p w14:paraId="6D7639F2" w14:textId="10F42C62" w:rsidR="00D90A2D" w:rsidRDefault="00251C7A">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C6DB1A2" wp14:editId="574464A0">
              <wp:simplePos x="0" y="0"/>
              <wp:positionH relativeFrom="page">
                <wp:posOffset>1007744</wp:posOffset>
              </wp:positionH>
              <wp:positionV relativeFrom="page">
                <wp:posOffset>1691639</wp:posOffset>
              </wp:positionV>
              <wp:extent cx="3561715" cy="143510"/>
              <wp:effectExtent l="0" t="0" r="0" b="0"/>
              <wp:wrapNone/>
              <wp:docPr id="6" name="bd59c9e4-03a6-11ee-8f29-0242ac130005"/>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0A089E68" w14:textId="77777777" w:rsidR="00D90A2D" w:rsidRDefault="0088185C">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C6DB1A2" id="bd59c9e4-03a6-11ee-8f29-0242ac130005"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0A089E68" w14:textId="77777777" w:rsidR="00D90A2D" w:rsidRDefault="0088185C">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5D5209E" wp14:editId="0C514D14">
              <wp:simplePos x="0" y="0"/>
              <wp:positionH relativeFrom="page">
                <wp:posOffset>1007744</wp:posOffset>
              </wp:positionH>
              <wp:positionV relativeFrom="page">
                <wp:posOffset>1943735</wp:posOffset>
              </wp:positionV>
              <wp:extent cx="3491865" cy="1259840"/>
              <wp:effectExtent l="0" t="0" r="0" b="0"/>
              <wp:wrapNone/>
              <wp:docPr id="7" name="bd4a90ba-03a6-11ee-8f29-0242ac130005"/>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0ED4D786" w14:textId="77777777" w:rsidR="00CA189A" w:rsidRDefault="0088185C">
                          <w:r>
                            <w:t xml:space="preserve">De voorzitter van de Tweede Kamer </w:t>
                          </w:r>
                        </w:p>
                        <w:p w14:paraId="46750A75" w14:textId="44AF296B" w:rsidR="00D90A2D" w:rsidRDefault="0088185C">
                          <w:r>
                            <w:t>der Staten-Generaal</w:t>
                          </w:r>
                        </w:p>
                        <w:p w14:paraId="131F173A" w14:textId="77777777" w:rsidR="00D90A2D" w:rsidRDefault="0088185C">
                          <w:r>
                            <w:t>Prinses Irenestraat 6</w:t>
                          </w:r>
                        </w:p>
                        <w:p w14:paraId="2ACAD50D" w14:textId="77777777" w:rsidR="00D90A2D" w:rsidRDefault="0088185C">
                          <w:r>
                            <w:t>2595 BD  Den Haag</w:t>
                          </w:r>
                        </w:p>
                        <w:p w14:paraId="425C2A6A" w14:textId="77777777" w:rsidR="00D90A2D" w:rsidRDefault="0088185C">
                          <w:pPr>
                            <w:pStyle w:val="KixCode"/>
                          </w:pPr>
                          <w:r>
                            <w:t>2595 BD6</w:t>
                          </w:r>
                        </w:p>
                      </w:txbxContent>
                    </wps:txbx>
                    <wps:bodyPr vert="horz" wrap="square" lIns="0" tIns="0" rIns="0" bIns="0" anchor="t" anchorCtr="0"/>
                  </wps:wsp>
                </a:graphicData>
              </a:graphic>
            </wp:anchor>
          </w:drawing>
        </mc:Choice>
        <mc:Fallback>
          <w:pict>
            <v:shape w14:anchorId="75D5209E" id="bd4a90ba-03a6-11ee-8f29-0242ac130005"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0ED4D786" w14:textId="77777777" w:rsidR="00CA189A" w:rsidRDefault="0088185C">
                    <w:r>
                      <w:t xml:space="preserve">De voorzitter van de Tweede Kamer </w:t>
                    </w:r>
                  </w:p>
                  <w:p w14:paraId="46750A75" w14:textId="44AF296B" w:rsidR="00D90A2D" w:rsidRDefault="0088185C">
                    <w:r>
                      <w:t>der Staten-Generaal</w:t>
                    </w:r>
                  </w:p>
                  <w:p w14:paraId="131F173A" w14:textId="77777777" w:rsidR="00D90A2D" w:rsidRDefault="0088185C">
                    <w:r>
                      <w:t>Prinses Irenestraat 6</w:t>
                    </w:r>
                  </w:p>
                  <w:p w14:paraId="2ACAD50D" w14:textId="77777777" w:rsidR="00D90A2D" w:rsidRDefault="0088185C">
                    <w:r>
                      <w:t>2595 BD  Den Haag</w:t>
                    </w:r>
                  </w:p>
                  <w:p w14:paraId="425C2A6A" w14:textId="77777777" w:rsidR="00D90A2D" w:rsidRDefault="0088185C">
                    <w:pPr>
                      <w:pStyle w:val="KixCode"/>
                    </w:pPr>
                    <w:r>
                      <w:t>2595 BD6</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606BF86" wp14:editId="6BEE478D">
              <wp:simplePos x="0" y="0"/>
              <wp:positionH relativeFrom="page">
                <wp:posOffset>1007744</wp:posOffset>
              </wp:positionH>
              <wp:positionV relativeFrom="page">
                <wp:posOffset>3635375</wp:posOffset>
              </wp:positionV>
              <wp:extent cx="4103370" cy="755650"/>
              <wp:effectExtent l="0" t="0" r="0" b="0"/>
              <wp:wrapNone/>
              <wp:docPr id="8" name="bd55b0e2-03a6-11ee-8f29-0242ac130005"/>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D90A2D" w14:paraId="47871BC3" w14:textId="77777777">
                            <w:trPr>
                              <w:trHeight w:val="200"/>
                            </w:trPr>
                            <w:tc>
                              <w:tcPr>
                                <w:tcW w:w="1134" w:type="dxa"/>
                              </w:tcPr>
                              <w:p w14:paraId="34BA4388" w14:textId="77777777" w:rsidR="00D90A2D" w:rsidRDefault="00D90A2D"/>
                            </w:tc>
                            <w:tc>
                              <w:tcPr>
                                <w:tcW w:w="5244" w:type="dxa"/>
                              </w:tcPr>
                              <w:p w14:paraId="68BD76E5" w14:textId="77777777" w:rsidR="00D90A2D" w:rsidRDefault="00D90A2D"/>
                            </w:tc>
                          </w:tr>
                          <w:tr w:rsidR="00D90A2D" w14:paraId="44FCFB73" w14:textId="77777777">
                            <w:trPr>
                              <w:trHeight w:val="240"/>
                            </w:trPr>
                            <w:tc>
                              <w:tcPr>
                                <w:tcW w:w="1134" w:type="dxa"/>
                              </w:tcPr>
                              <w:p w14:paraId="2540E940" w14:textId="77777777" w:rsidR="00D90A2D" w:rsidRDefault="0088185C">
                                <w:r>
                                  <w:t>Datum</w:t>
                                </w:r>
                              </w:p>
                            </w:tc>
                            <w:tc>
                              <w:tcPr>
                                <w:tcW w:w="5244" w:type="dxa"/>
                              </w:tcPr>
                              <w:p w14:paraId="4640F4D2" w14:textId="37BA82C0" w:rsidR="00D90A2D" w:rsidRDefault="00FE4AD3">
                                <w:r>
                                  <w:rPr>
                                    <w:color w:val="auto"/>
                                  </w:rPr>
                                  <w:t>18 juli 2024</w:t>
                                </w:r>
                                <w:r w:rsidR="0088185C">
                                  <w:fldChar w:fldCharType="begin"/>
                                </w:r>
                                <w:r w:rsidR="0088185C">
                                  <w:instrText xml:space="preserve"> DOCPROPERTY  "iDatum"  \* MERGEFORMAT </w:instrText>
                                </w:r>
                                <w:r w:rsidR="0088185C">
                                  <w:fldChar w:fldCharType="end"/>
                                </w:r>
                              </w:p>
                            </w:tc>
                          </w:tr>
                          <w:tr w:rsidR="00D90A2D" w14:paraId="22C510A5" w14:textId="77777777">
                            <w:trPr>
                              <w:trHeight w:val="240"/>
                            </w:trPr>
                            <w:tc>
                              <w:tcPr>
                                <w:tcW w:w="1134" w:type="dxa"/>
                              </w:tcPr>
                              <w:p w14:paraId="3847387B" w14:textId="77777777" w:rsidR="00D90A2D" w:rsidRDefault="0088185C">
                                <w:r>
                                  <w:t>Betreft</w:t>
                                </w:r>
                              </w:p>
                            </w:tc>
                            <w:tc>
                              <w:tcPr>
                                <w:tcW w:w="5244" w:type="dxa"/>
                              </w:tcPr>
                              <w:p w14:paraId="1F4E8806" w14:textId="1452750E" w:rsidR="00D90A2D" w:rsidRDefault="007D76FB">
                                <w:r>
                                  <w:fldChar w:fldCharType="begin"/>
                                </w:r>
                                <w:r>
                                  <w:instrText xml:space="preserve"> DOCPROPERTY  "iOnderwerp"  \* MERGEFORMAT </w:instrText>
                                </w:r>
                                <w:r>
                                  <w:fldChar w:fldCharType="separate"/>
                                </w:r>
                                <w:r>
                                  <w:t>onderzoek verschillen toezicht en handhaving</w:t>
                                </w:r>
                                <w:r>
                                  <w:fldChar w:fldCharType="end"/>
                                </w:r>
                                <w:r w:rsidR="00264C43">
                                  <w:t xml:space="preserve"> kinderopvang</w:t>
                                </w:r>
                              </w:p>
                            </w:tc>
                          </w:tr>
                          <w:tr w:rsidR="00D90A2D" w14:paraId="3E682C83" w14:textId="77777777">
                            <w:trPr>
                              <w:trHeight w:val="200"/>
                            </w:trPr>
                            <w:tc>
                              <w:tcPr>
                                <w:tcW w:w="1134" w:type="dxa"/>
                              </w:tcPr>
                              <w:p w14:paraId="7D1C41D6" w14:textId="77777777" w:rsidR="00D90A2D" w:rsidRDefault="00D90A2D"/>
                            </w:tc>
                            <w:tc>
                              <w:tcPr>
                                <w:tcW w:w="5244" w:type="dxa"/>
                              </w:tcPr>
                              <w:p w14:paraId="40169BEA" w14:textId="77777777" w:rsidR="00D90A2D" w:rsidRDefault="00D90A2D"/>
                            </w:tc>
                          </w:tr>
                        </w:tbl>
                        <w:p w14:paraId="3D806286" w14:textId="77777777" w:rsidR="00672093" w:rsidRDefault="00672093"/>
                      </w:txbxContent>
                    </wps:txbx>
                    <wps:bodyPr vert="horz" wrap="square" lIns="0" tIns="0" rIns="0" bIns="0" anchor="t" anchorCtr="0"/>
                  </wps:wsp>
                </a:graphicData>
              </a:graphic>
            </wp:anchor>
          </w:drawing>
        </mc:Choice>
        <mc:Fallback>
          <w:pict>
            <v:shape w14:anchorId="2606BF86" id="bd55b0e2-03a6-11ee-8f29-0242ac130005"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D90A2D" w14:paraId="47871BC3" w14:textId="77777777">
                      <w:trPr>
                        <w:trHeight w:val="200"/>
                      </w:trPr>
                      <w:tc>
                        <w:tcPr>
                          <w:tcW w:w="1134" w:type="dxa"/>
                        </w:tcPr>
                        <w:p w14:paraId="34BA4388" w14:textId="77777777" w:rsidR="00D90A2D" w:rsidRDefault="00D90A2D"/>
                      </w:tc>
                      <w:tc>
                        <w:tcPr>
                          <w:tcW w:w="5244" w:type="dxa"/>
                        </w:tcPr>
                        <w:p w14:paraId="68BD76E5" w14:textId="77777777" w:rsidR="00D90A2D" w:rsidRDefault="00D90A2D"/>
                      </w:tc>
                    </w:tr>
                    <w:tr w:rsidR="00D90A2D" w14:paraId="44FCFB73" w14:textId="77777777">
                      <w:trPr>
                        <w:trHeight w:val="240"/>
                      </w:trPr>
                      <w:tc>
                        <w:tcPr>
                          <w:tcW w:w="1134" w:type="dxa"/>
                        </w:tcPr>
                        <w:p w14:paraId="2540E940" w14:textId="77777777" w:rsidR="00D90A2D" w:rsidRDefault="0088185C">
                          <w:r>
                            <w:t>Datum</w:t>
                          </w:r>
                        </w:p>
                      </w:tc>
                      <w:tc>
                        <w:tcPr>
                          <w:tcW w:w="5244" w:type="dxa"/>
                        </w:tcPr>
                        <w:p w14:paraId="4640F4D2" w14:textId="37BA82C0" w:rsidR="00D90A2D" w:rsidRDefault="00FE4AD3">
                          <w:r>
                            <w:rPr>
                              <w:color w:val="auto"/>
                            </w:rPr>
                            <w:t>18 juli 2024</w:t>
                          </w:r>
                          <w:r w:rsidR="0088185C">
                            <w:fldChar w:fldCharType="begin"/>
                          </w:r>
                          <w:r w:rsidR="0088185C">
                            <w:instrText xml:space="preserve"> DOCPROPERTY  "iDatum"  \* MERGEFORMAT </w:instrText>
                          </w:r>
                          <w:r w:rsidR="0088185C">
                            <w:fldChar w:fldCharType="end"/>
                          </w:r>
                        </w:p>
                      </w:tc>
                    </w:tr>
                    <w:tr w:rsidR="00D90A2D" w14:paraId="22C510A5" w14:textId="77777777">
                      <w:trPr>
                        <w:trHeight w:val="240"/>
                      </w:trPr>
                      <w:tc>
                        <w:tcPr>
                          <w:tcW w:w="1134" w:type="dxa"/>
                        </w:tcPr>
                        <w:p w14:paraId="3847387B" w14:textId="77777777" w:rsidR="00D90A2D" w:rsidRDefault="0088185C">
                          <w:r>
                            <w:t>Betreft</w:t>
                          </w:r>
                        </w:p>
                      </w:tc>
                      <w:tc>
                        <w:tcPr>
                          <w:tcW w:w="5244" w:type="dxa"/>
                        </w:tcPr>
                        <w:p w14:paraId="1F4E8806" w14:textId="1452750E" w:rsidR="00D90A2D" w:rsidRDefault="007D76FB">
                          <w:r>
                            <w:fldChar w:fldCharType="begin"/>
                          </w:r>
                          <w:r>
                            <w:instrText xml:space="preserve"> DOCPROPERTY  "iOnderwerp"  \* MERGEFORMAT </w:instrText>
                          </w:r>
                          <w:r>
                            <w:fldChar w:fldCharType="separate"/>
                          </w:r>
                          <w:r>
                            <w:t>onderzoek verschillen toezicht en handhaving</w:t>
                          </w:r>
                          <w:r>
                            <w:fldChar w:fldCharType="end"/>
                          </w:r>
                          <w:r w:rsidR="00264C43">
                            <w:t xml:space="preserve"> kinderopvang</w:t>
                          </w:r>
                        </w:p>
                      </w:tc>
                    </w:tr>
                    <w:tr w:rsidR="00D90A2D" w14:paraId="3E682C83" w14:textId="77777777">
                      <w:trPr>
                        <w:trHeight w:val="200"/>
                      </w:trPr>
                      <w:tc>
                        <w:tcPr>
                          <w:tcW w:w="1134" w:type="dxa"/>
                        </w:tcPr>
                        <w:p w14:paraId="7D1C41D6" w14:textId="77777777" w:rsidR="00D90A2D" w:rsidRDefault="00D90A2D"/>
                      </w:tc>
                      <w:tc>
                        <w:tcPr>
                          <w:tcW w:w="5244" w:type="dxa"/>
                        </w:tcPr>
                        <w:p w14:paraId="40169BEA" w14:textId="77777777" w:rsidR="00D90A2D" w:rsidRDefault="00D90A2D"/>
                      </w:tc>
                    </w:tr>
                  </w:tbl>
                  <w:p w14:paraId="3D806286" w14:textId="77777777" w:rsidR="00672093" w:rsidRDefault="00672093"/>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F3BDE31" wp14:editId="26C7BBEB">
              <wp:simplePos x="0" y="0"/>
              <wp:positionH relativeFrom="page">
                <wp:posOffset>5921375</wp:posOffset>
              </wp:positionH>
              <wp:positionV relativeFrom="page">
                <wp:posOffset>10223500</wp:posOffset>
              </wp:positionV>
              <wp:extent cx="1257300" cy="180975"/>
              <wp:effectExtent l="0" t="0" r="0" b="0"/>
              <wp:wrapNone/>
              <wp:docPr id="9" name="bd4a9275-03a6-11ee-8f29-0242ac130005"/>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A3320C0" w14:textId="77777777" w:rsidR="00D90A2D" w:rsidRDefault="0088185C">
                          <w:pPr>
                            <w:pStyle w:val="Afzendgegevens"/>
                          </w:pPr>
                          <w:r>
                            <w:t xml:space="preserve">Pagina </w:t>
                          </w:r>
                          <w:r>
                            <w:fldChar w:fldCharType="begin"/>
                          </w:r>
                          <w:r>
                            <w:instrText>PAGE</w:instrText>
                          </w:r>
                          <w:r>
                            <w:fldChar w:fldCharType="separate"/>
                          </w:r>
                          <w:r w:rsidR="00264C43">
                            <w:rPr>
                              <w:noProof/>
                            </w:rPr>
                            <w:t>1</w:t>
                          </w:r>
                          <w:r>
                            <w:fldChar w:fldCharType="end"/>
                          </w:r>
                          <w:r>
                            <w:t xml:space="preserve"> van </w:t>
                          </w:r>
                          <w:r>
                            <w:fldChar w:fldCharType="begin"/>
                          </w:r>
                          <w:r>
                            <w:instrText>NUMPAGES</w:instrText>
                          </w:r>
                          <w:r>
                            <w:fldChar w:fldCharType="separate"/>
                          </w:r>
                          <w:r w:rsidR="00264C43">
                            <w:rPr>
                              <w:noProof/>
                            </w:rPr>
                            <w:t>1</w:t>
                          </w:r>
                          <w:r>
                            <w:fldChar w:fldCharType="end"/>
                          </w:r>
                        </w:p>
                      </w:txbxContent>
                    </wps:txbx>
                    <wps:bodyPr vert="horz" wrap="square" lIns="0" tIns="0" rIns="0" bIns="0" anchor="t" anchorCtr="0"/>
                  </wps:wsp>
                </a:graphicData>
              </a:graphic>
            </wp:anchor>
          </w:drawing>
        </mc:Choice>
        <mc:Fallback>
          <w:pict>
            <v:shape w14:anchorId="2F3BDE31" id="bd4a9275-03a6-11ee-8f29-0242ac130005"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0A3320C0" w14:textId="77777777" w:rsidR="00D90A2D" w:rsidRDefault="0088185C">
                    <w:pPr>
                      <w:pStyle w:val="Afzendgegevens"/>
                    </w:pPr>
                    <w:r>
                      <w:t xml:space="preserve">Pagina </w:t>
                    </w:r>
                    <w:r>
                      <w:fldChar w:fldCharType="begin"/>
                    </w:r>
                    <w:r>
                      <w:instrText>PAGE</w:instrText>
                    </w:r>
                    <w:r>
                      <w:fldChar w:fldCharType="separate"/>
                    </w:r>
                    <w:r w:rsidR="00264C43">
                      <w:rPr>
                        <w:noProof/>
                      </w:rPr>
                      <w:t>1</w:t>
                    </w:r>
                    <w:r>
                      <w:fldChar w:fldCharType="end"/>
                    </w:r>
                    <w:r>
                      <w:t xml:space="preserve"> van </w:t>
                    </w:r>
                    <w:r>
                      <w:fldChar w:fldCharType="begin"/>
                    </w:r>
                    <w:r>
                      <w:instrText>NUMPAGES</w:instrText>
                    </w:r>
                    <w:r>
                      <w:fldChar w:fldCharType="separate"/>
                    </w:r>
                    <w:r w:rsidR="00264C43">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01F90"/>
    <w:multiLevelType w:val="multilevel"/>
    <w:tmpl w:val="E12B85F9"/>
    <w:name w:val="Lijst opsomtekens"/>
    <w:lvl w:ilvl="0">
      <w:start w:val="1"/>
      <w:numFmt w:val="bullet"/>
      <w:pStyle w:val="Lijstopsomteken"/>
      <w:lvlText w:val="·"/>
      <w:lvlJc w:val="left"/>
      <w:pPr>
        <w:ind w:left="220" w:hanging="220"/>
      </w:pPr>
      <w:rPr>
        <w:rFonts w:ascii="Symbol" w:hAnsi="Symbol"/>
      </w:r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A3D969"/>
    <w:multiLevelType w:val="multilevel"/>
    <w:tmpl w:val="9B31C2D7"/>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rPr>
        <w:rFonts w:ascii="Symbol" w:hAnsi="Symbol"/>
      </w:r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74A4D8"/>
    <w:multiLevelType w:val="multilevel"/>
    <w:tmpl w:val="CF3A7C7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A347A6D"/>
    <w:multiLevelType w:val="multilevel"/>
    <w:tmpl w:val="1C9883AC"/>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FDC0F75B"/>
    <w:multiLevelType w:val="multilevel"/>
    <w:tmpl w:val="3E2B2FDC"/>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06BA3EE2"/>
    <w:multiLevelType w:val="multilevel"/>
    <w:tmpl w:val="E4D3CB4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63D7A"/>
    <w:multiLevelType w:val="hybridMultilevel"/>
    <w:tmpl w:val="B95A2F5C"/>
    <w:lvl w:ilvl="0" w:tplc="0FA46BEC">
      <w:numFmt w:val="bullet"/>
      <w:lvlText w:val=""/>
      <w:lvlJc w:val="left"/>
      <w:pPr>
        <w:ind w:left="720" w:hanging="360"/>
      </w:pPr>
      <w:rPr>
        <w:rFonts w:ascii="Symbol" w:eastAsia="DejaVu Sans" w:hAnsi="Symbol"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B224ED"/>
    <w:multiLevelType w:val="hybridMultilevel"/>
    <w:tmpl w:val="7F80D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E498A5"/>
    <w:multiLevelType w:val="multilevel"/>
    <w:tmpl w:val="0AF6A5DE"/>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075D9"/>
    <w:multiLevelType w:val="hybridMultilevel"/>
    <w:tmpl w:val="C6343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D0A3AD"/>
    <w:multiLevelType w:val="multilevel"/>
    <w:tmpl w:val="6F7F1E23"/>
    <w:name w:val="Bullet v7"/>
    <w:lvl w:ilvl="0">
      <w:start w:val="1"/>
      <w:numFmt w:val="bullet"/>
      <w:pStyle w:val="v7lijst"/>
      <w:lvlText w:val="·"/>
      <w:lvlJc w:val="left"/>
      <w:pPr>
        <w:ind w:left="240" w:hanging="24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537222"/>
    <w:multiLevelType w:val="hybridMultilevel"/>
    <w:tmpl w:val="BA7A7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709845">
    <w:abstractNumId w:val="1"/>
  </w:num>
  <w:num w:numId="2" w16cid:durableId="778716546">
    <w:abstractNumId w:val="10"/>
  </w:num>
  <w:num w:numId="3" w16cid:durableId="1421176267">
    <w:abstractNumId w:val="4"/>
  </w:num>
  <w:num w:numId="4" w16cid:durableId="1996059102">
    <w:abstractNumId w:val="3"/>
  </w:num>
  <w:num w:numId="5" w16cid:durableId="95945682">
    <w:abstractNumId w:val="0"/>
  </w:num>
  <w:num w:numId="6" w16cid:durableId="1477991690">
    <w:abstractNumId w:val="2"/>
  </w:num>
  <w:num w:numId="7" w16cid:durableId="2083597115">
    <w:abstractNumId w:val="8"/>
  </w:num>
  <w:num w:numId="8" w16cid:durableId="1067530940">
    <w:abstractNumId w:val="5"/>
  </w:num>
  <w:num w:numId="9" w16cid:durableId="1232741223">
    <w:abstractNumId w:val="9"/>
  </w:num>
  <w:num w:numId="10" w16cid:durableId="1896888736">
    <w:abstractNumId w:val="11"/>
  </w:num>
  <w:num w:numId="11" w16cid:durableId="1264460264">
    <w:abstractNumId w:val="6"/>
  </w:num>
  <w:num w:numId="12" w16cid:durableId="556551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43"/>
    <w:rsid w:val="00012F20"/>
    <w:rsid w:val="00027253"/>
    <w:rsid w:val="00027F4E"/>
    <w:rsid w:val="00047607"/>
    <w:rsid w:val="00047893"/>
    <w:rsid w:val="00056A18"/>
    <w:rsid w:val="00071D42"/>
    <w:rsid w:val="0008068B"/>
    <w:rsid w:val="00095AAB"/>
    <w:rsid w:val="000C5969"/>
    <w:rsid w:val="000E19AA"/>
    <w:rsid w:val="001C60EE"/>
    <w:rsid w:val="001E4754"/>
    <w:rsid w:val="002426AC"/>
    <w:rsid w:val="00251C7A"/>
    <w:rsid w:val="00262240"/>
    <w:rsid w:val="00264C43"/>
    <w:rsid w:val="0026546F"/>
    <w:rsid w:val="00271107"/>
    <w:rsid w:val="00275613"/>
    <w:rsid w:val="002854EF"/>
    <w:rsid w:val="002F1C8B"/>
    <w:rsid w:val="00336ECB"/>
    <w:rsid w:val="003647AF"/>
    <w:rsid w:val="00383549"/>
    <w:rsid w:val="003D61E3"/>
    <w:rsid w:val="00426630"/>
    <w:rsid w:val="00433CCC"/>
    <w:rsid w:val="00456059"/>
    <w:rsid w:val="004B1033"/>
    <w:rsid w:val="005270C6"/>
    <w:rsid w:val="00553764"/>
    <w:rsid w:val="0061043C"/>
    <w:rsid w:val="00672093"/>
    <w:rsid w:val="00696A69"/>
    <w:rsid w:val="00756D0D"/>
    <w:rsid w:val="007C0395"/>
    <w:rsid w:val="007D27F8"/>
    <w:rsid w:val="007D76FB"/>
    <w:rsid w:val="007F6229"/>
    <w:rsid w:val="00843476"/>
    <w:rsid w:val="00851114"/>
    <w:rsid w:val="00857CB6"/>
    <w:rsid w:val="0088185C"/>
    <w:rsid w:val="008A3BD7"/>
    <w:rsid w:val="008B5F26"/>
    <w:rsid w:val="008E753C"/>
    <w:rsid w:val="008F4DF0"/>
    <w:rsid w:val="0097055C"/>
    <w:rsid w:val="00997DAA"/>
    <w:rsid w:val="009D4A6A"/>
    <w:rsid w:val="009D7CD3"/>
    <w:rsid w:val="00A126E2"/>
    <w:rsid w:val="00A3598A"/>
    <w:rsid w:val="00A467F1"/>
    <w:rsid w:val="00A47920"/>
    <w:rsid w:val="00A66E6B"/>
    <w:rsid w:val="00A94861"/>
    <w:rsid w:val="00AE4EBB"/>
    <w:rsid w:val="00AE5F64"/>
    <w:rsid w:val="00B2585D"/>
    <w:rsid w:val="00B71B71"/>
    <w:rsid w:val="00BB722F"/>
    <w:rsid w:val="00C240EB"/>
    <w:rsid w:val="00C43252"/>
    <w:rsid w:val="00C50673"/>
    <w:rsid w:val="00CA062D"/>
    <w:rsid w:val="00CA189A"/>
    <w:rsid w:val="00CF586D"/>
    <w:rsid w:val="00CF71BB"/>
    <w:rsid w:val="00D12C04"/>
    <w:rsid w:val="00D766A1"/>
    <w:rsid w:val="00D90A2D"/>
    <w:rsid w:val="00D9224E"/>
    <w:rsid w:val="00D93D37"/>
    <w:rsid w:val="00DA6BD5"/>
    <w:rsid w:val="00DF3DAF"/>
    <w:rsid w:val="00E111AF"/>
    <w:rsid w:val="00E246A3"/>
    <w:rsid w:val="00E56578"/>
    <w:rsid w:val="00E61929"/>
    <w:rsid w:val="00E90CB8"/>
    <w:rsid w:val="00EB0940"/>
    <w:rsid w:val="00F81548"/>
    <w:rsid w:val="00F9095D"/>
    <w:rsid w:val="00FE4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5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7"/>
      </w:numPr>
      <w:spacing w:after="700" w:line="300" w:lineRule="exact"/>
      <w:outlineLvl w:val="0"/>
    </w:pPr>
    <w:rPr>
      <w:sz w:val="24"/>
      <w:szCs w:val="24"/>
    </w:rPr>
  </w:style>
  <w:style w:type="paragraph" w:styleId="Kop2">
    <w:name w:val="heading 2"/>
    <w:basedOn w:val="Standaard"/>
    <w:next w:val="Standaard"/>
    <w:uiPriority w:val="2"/>
    <w:qFormat/>
    <w:pPr>
      <w:numPr>
        <w:ilvl w:val="1"/>
        <w:numId w:val="7"/>
      </w:numPr>
      <w:spacing w:before="240"/>
      <w:outlineLvl w:val="1"/>
    </w:pPr>
    <w:rPr>
      <w:b/>
    </w:rPr>
  </w:style>
  <w:style w:type="paragraph" w:styleId="Kop3">
    <w:name w:val="heading 3"/>
    <w:basedOn w:val="Standaard"/>
    <w:next w:val="Standaard"/>
    <w:uiPriority w:val="3"/>
    <w:qFormat/>
    <w:pPr>
      <w:numPr>
        <w:ilvl w:val="2"/>
        <w:numId w:val="7"/>
      </w:numPr>
      <w:spacing w:before="240"/>
      <w:outlineLvl w:val="2"/>
    </w:pPr>
    <w:rPr>
      <w:i/>
    </w:rPr>
  </w:style>
  <w:style w:type="paragraph" w:styleId="Kop4">
    <w:name w:val="heading 4"/>
    <w:basedOn w:val="Standaard"/>
    <w:next w:val="Standaard"/>
    <w:uiPriority w:val="4"/>
    <w:qFormat/>
    <w:pPr>
      <w:numPr>
        <w:ilvl w:val="3"/>
        <w:numId w:val="7"/>
      </w:numPr>
      <w:spacing w:before="24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ijlagekop">
    <w:name w:val="Bijlagekop"/>
    <w:basedOn w:val="Standaard"/>
    <w:next w:val="Standaard"/>
    <w:pPr>
      <w:spacing w:after="300" w:line="300" w:lineRule="exact"/>
    </w:pPr>
    <w:rPr>
      <w:sz w:val="22"/>
      <w:szCs w:val="22"/>
    </w:r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style>
  <w:style w:type="numbering" w:customStyle="1" w:styleId="Genummerdelijst">
    <w:name w:val="Genummerde lijst"/>
    <w:pPr>
      <w:numPr>
        <w:numId w:val="3"/>
      </w:numPr>
    </w:p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outlineLvl w:val="0"/>
    </w:pPr>
    <w:rPr>
      <w:sz w:val="24"/>
      <w:szCs w:val="24"/>
    </w:rPr>
  </w:style>
  <w:style w:type="paragraph" w:customStyle="1" w:styleId="Kop1vetgn">
    <w:name w:val="Kop 1 vet gn"/>
    <w:basedOn w:val="Standaard"/>
    <w:next w:val="Standaard"/>
    <w:pPr>
      <w:spacing w:after="700" w:line="300" w:lineRule="exact"/>
      <w:outlineLvl w:val="0"/>
    </w:pPr>
    <w:rPr>
      <w:sz w:val="24"/>
      <w:szCs w:val="24"/>
    </w:rPr>
  </w:style>
  <w:style w:type="paragraph" w:styleId="Koptekst">
    <w:name w:val="header"/>
    <w:basedOn w:val="Standaard"/>
    <w:next w:val="Standaard"/>
    <w:pPr>
      <w:spacing w:line="240" w:lineRule="exact"/>
    </w:pPr>
    <w:rPr>
      <w:sz w:val="22"/>
      <w:szCs w:val="2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Lijstopsomteken">
    <w:name w:val="Lijst opsom teken"/>
    <w:basedOn w:val="Standaard"/>
    <w:uiPriority w:val="5"/>
    <w:qFormat/>
    <w:pPr>
      <w:numPr>
        <w:numId w:val="5"/>
      </w:numPr>
    </w:pPr>
  </w:style>
  <w:style w:type="paragraph" w:customStyle="1" w:styleId="Lijstopsomteken2">
    <w:name w:val="Lijst opsom teken 2"/>
    <w:basedOn w:val="Standaard"/>
    <w:next w:val="Standaard"/>
    <w:uiPriority w:val="5"/>
    <w:qFormat/>
    <w:pPr>
      <w:numPr>
        <w:ilvl w:val="1"/>
        <w:numId w:val="5"/>
      </w:numPr>
    </w:pPr>
  </w:style>
  <w:style w:type="paragraph" w:customStyle="1" w:styleId="Links-05cm">
    <w:name w:val="Links -0.5 cm"/>
    <w:basedOn w:val="Standaard"/>
    <w:next w:val="Standaard"/>
    <w:pPr>
      <w:spacing w:line="240" w:lineRule="exact"/>
      <w:ind w:left="-2834"/>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6"/>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B71B71"/>
    <w:rPr>
      <w:sz w:val="16"/>
      <w:szCs w:val="16"/>
    </w:rPr>
  </w:style>
  <w:style w:type="paragraph" w:styleId="Tekstopmerking">
    <w:name w:val="annotation text"/>
    <w:basedOn w:val="Standaard"/>
    <w:link w:val="TekstopmerkingChar"/>
    <w:uiPriority w:val="99"/>
    <w:unhideWhenUsed/>
    <w:rsid w:val="00B71B71"/>
    <w:pPr>
      <w:spacing w:line="240" w:lineRule="auto"/>
    </w:pPr>
    <w:rPr>
      <w:sz w:val="20"/>
      <w:szCs w:val="20"/>
    </w:rPr>
  </w:style>
  <w:style w:type="character" w:customStyle="1" w:styleId="TekstopmerkingChar">
    <w:name w:val="Tekst opmerking Char"/>
    <w:basedOn w:val="Standaardalinea-lettertype"/>
    <w:link w:val="Tekstopmerking"/>
    <w:uiPriority w:val="99"/>
    <w:rsid w:val="00B71B71"/>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B71B71"/>
    <w:rPr>
      <w:b/>
      <w:bCs/>
    </w:rPr>
  </w:style>
  <w:style w:type="character" w:customStyle="1" w:styleId="OnderwerpvanopmerkingChar">
    <w:name w:val="Onderwerp van opmerking Char"/>
    <w:basedOn w:val="TekstopmerkingChar"/>
    <w:link w:val="Onderwerpvanopmerking"/>
    <w:uiPriority w:val="99"/>
    <w:semiHidden/>
    <w:rsid w:val="00B71B71"/>
    <w:rPr>
      <w:rFonts w:ascii="Verdana" w:hAnsi="Verdana"/>
      <w:b/>
      <w:bCs/>
      <w:color w:val="000000"/>
    </w:rPr>
  </w:style>
  <w:style w:type="paragraph" w:styleId="Lijstalinea">
    <w:name w:val="List Paragraph"/>
    <w:basedOn w:val="Standaard"/>
    <w:uiPriority w:val="34"/>
    <w:semiHidden/>
    <w:rsid w:val="00027253"/>
    <w:pPr>
      <w:ind w:left="720"/>
      <w:contextualSpacing/>
    </w:pPr>
  </w:style>
  <w:style w:type="paragraph" w:styleId="Revisie">
    <w:name w:val="Revision"/>
    <w:hidden/>
    <w:uiPriority w:val="99"/>
    <w:semiHidden/>
    <w:rsid w:val="00426630"/>
    <w:pPr>
      <w:autoSpaceDN/>
      <w:textAlignment w:val="auto"/>
    </w:pPr>
    <w:rPr>
      <w:rFonts w:ascii="Verdana" w:hAnsi="Verdana"/>
      <w:color w:val="000000"/>
      <w:sz w:val="18"/>
      <w:szCs w:val="18"/>
    </w:rPr>
  </w:style>
  <w:style w:type="paragraph" w:styleId="Voetnoottekst">
    <w:name w:val="footnote text"/>
    <w:basedOn w:val="Standaard"/>
    <w:link w:val="VoetnoottekstChar"/>
    <w:uiPriority w:val="99"/>
    <w:semiHidden/>
    <w:unhideWhenUsed/>
    <w:rsid w:val="0042663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26630"/>
    <w:rPr>
      <w:rFonts w:ascii="Verdana" w:hAnsi="Verdana"/>
      <w:color w:val="000000"/>
    </w:rPr>
  </w:style>
  <w:style w:type="character" w:styleId="Voetnootmarkering">
    <w:name w:val="footnote reference"/>
    <w:basedOn w:val="Standaardalinea-lettertype"/>
    <w:uiPriority w:val="99"/>
    <w:semiHidden/>
    <w:unhideWhenUsed/>
    <w:rsid w:val="00426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webSetting" Target="webSettings0.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1206</ap:Words>
  <ap:Characters>6633</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Brief Kamer - onderzoek verschillen toezicht en handhaving</vt:lpstr>
    </vt:vector>
  </ap:TitlesOfParts>
  <ap:LinksUpToDate>false</ap:LinksUpToDate>
  <ap:CharactersWithSpaces>7824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2024-07-18T14:28:00.0000000Z</dcterms:created>
  <dcterms:modified xsi:type="dcterms:W3CDTF">2024-07-18T14:32:00.0000000Z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Kamer - onderzoek verschillen toezicht en handhaving</vt:lpwstr>
  </property>
  <property fmtid="{D5CDD505-2E9C-101B-9397-08002B2CF9AE}" pid="5" name="Publicatiedatum">
    <vt:lpwstr/>
  </property>
  <property fmtid="{D5CDD505-2E9C-101B-9397-08002B2CF9AE}" pid="6" name="Verantwoordelijke organisatie">
    <vt:lpwstr>Directoraat-Generaal Werk</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
  </property>
  <property fmtid="{D5CDD505-2E9C-101B-9397-08002B2CF9AE}" pid="13" name="Opgesteld door, Naam">
    <vt:lpwstr>N.A. Brusse</vt:lpwstr>
  </property>
  <property fmtid="{D5CDD505-2E9C-101B-9397-08002B2CF9AE}" pid="14" name="Opgesteld door, Telefoonnummer">
    <vt:lpwstr>070 333 44 44</vt:lpwstr>
  </property>
  <property fmtid="{D5CDD505-2E9C-101B-9397-08002B2CF9AE}" pid="15" name="Kenmerk">
    <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 Kamer_nl_NL</vt:lpwstr>
  </property>
  <property fmtid="{D5CDD505-2E9C-101B-9397-08002B2CF9AE}" pid="29" name="iAdressering">
    <vt:lpwstr/>
  </property>
  <property fmtid="{D5CDD505-2E9C-101B-9397-08002B2CF9AE}" pid="30" name="iBijlagen">
    <vt:lpwstr>onderzoeksrapport AEF</vt:lpwstr>
  </property>
  <property fmtid="{D5CDD505-2E9C-101B-9397-08002B2CF9AE}" pid="31" name="iCC">
    <vt:lpwstr/>
  </property>
  <property fmtid="{D5CDD505-2E9C-101B-9397-08002B2CF9AE}" pid="32" name="iDatum">
    <vt:lpwstr/>
  </property>
  <property fmtid="{D5CDD505-2E9C-101B-9397-08002B2CF9AE}" pid="33" name="iKixcode">
    <vt:lpwstr/>
  </property>
  <property fmtid="{D5CDD505-2E9C-101B-9397-08002B2CF9AE}" pid="34" name="iNr">
    <vt:lpwstr/>
  </property>
  <property fmtid="{D5CDD505-2E9C-101B-9397-08002B2CF9AE}" pid="35" name="iOnderwerp">
    <vt:lpwstr>onderzoek verschillen toezicht en handhaving</vt:lpwstr>
  </property>
  <property fmtid="{D5CDD505-2E9C-101B-9397-08002B2CF9AE}" pid="36" name="iOnsKenmerk">
    <vt:lpwstr>2024-0000195229</vt:lpwstr>
  </property>
  <property fmtid="{D5CDD505-2E9C-101B-9397-08002B2CF9AE}" pid="37" name="iPlaats">
    <vt:lpwstr/>
  </property>
  <property fmtid="{D5CDD505-2E9C-101B-9397-08002B2CF9AE}" pid="38" name="iPostcode">
    <vt:lpwstr/>
  </property>
  <property fmtid="{D5CDD505-2E9C-101B-9397-08002B2CF9AE}" pid="39" name="iStraat">
    <vt:lpwstr/>
  </property>
  <property fmtid="{D5CDD505-2E9C-101B-9397-08002B2CF9AE}" pid="40" name="iToev">
    <vt:lpwstr/>
  </property>
  <property fmtid="{D5CDD505-2E9C-101B-9397-08002B2CF9AE}" pid="41" name="iUwBrief">
    <vt:lpwstr/>
  </property>
</Properties>
</file>