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40" w:type="dxa"/>
        <w:tblCellMar>
          <w:left w:w="70" w:type="dxa"/>
          <w:right w:w="70" w:type="dxa"/>
        </w:tblCellMar>
        <w:tblLook w:val="04A0" w:firstRow="1" w:lastRow="0" w:firstColumn="1" w:lastColumn="0" w:noHBand="0" w:noVBand="1"/>
      </w:tblPr>
      <w:tblGrid>
        <w:gridCol w:w="1807"/>
        <w:gridCol w:w="4670"/>
        <w:gridCol w:w="2195"/>
        <w:gridCol w:w="740"/>
        <w:gridCol w:w="4470"/>
        <w:gridCol w:w="958"/>
      </w:tblGrid>
      <w:tr w:rsidRPr="00C20086" w:rsidR="00153D94" w:rsidTr="001467FB" w14:paraId="7A4987E2" w14:textId="77777777">
        <w:trPr>
          <w:trHeight w:val="520"/>
        </w:trPr>
        <w:tc>
          <w:tcPr>
            <w:tcW w:w="1807" w:type="dxa"/>
            <w:tcBorders>
              <w:right w:val="nil"/>
            </w:tcBorders>
            <w:shd w:val="clear" w:color="auto" w:fill="auto"/>
            <w:vAlign w:val="bottom"/>
            <w:hideMark/>
          </w:tcPr>
          <w:p w:rsidRPr="00C20086" w:rsidR="00043433" w:rsidP="00043433" w:rsidRDefault="00043433" w14:paraId="6B87535E"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Ministerie</w:t>
            </w:r>
          </w:p>
        </w:tc>
        <w:tc>
          <w:tcPr>
            <w:tcW w:w="4670" w:type="dxa"/>
            <w:tcBorders>
              <w:left w:val="nil"/>
              <w:bottom w:val="nil"/>
              <w:right w:val="nil"/>
            </w:tcBorders>
            <w:shd w:val="clear" w:color="auto" w:fill="auto"/>
            <w:vAlign w:val="bottom"/>
            <w:hideMark/>
          </w:tcPr>
          <w:p w:rsidRPr="00C20086" w:rsidR="00043433" w:rsidP="00043433" w:rsidRDefault="00043433" w14:paraId="41963F99"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Onderwerp/titel verdrag</w:t>
            </w:r>
          </w:p>
        </w:tc>
        <w:tc>
          <w:tcPr>
            <w:tcW w:w="2195" w:type="dxa"/>
            <w:tcBorders>
              <w:left w:val="nil"/>
              <w:bottom w:val="nil"/>
              <w:right w:val="nil"/>
            </w:tcBorders>
            <w:shd w:val="clear" w:color="auto" w:fill="auto"/>
            <w:vAlign w:val="bottom"/>
            <w:hideMark/>
          </w:tcPr>
          <w:p w:rsidRPr="00C20086" w:rsidR="00043433" w:rsidP="00043433" w:rsidRDefault="00043433" w14:paraId="3C12B390"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Land/organisatie</w:t>
            </w:r>
          </w:p>
        </w:tc>
        <w:tc>
          <w:tcPr>
            <w:tcW w:w="740" w:type="dxa"/>
            <w:tcBorders>
              <w:left w:val="nil"/>
              <w:right w:val="nil"/>
            </w:tcBorders>
            <w:shd w:val="clear" w:color="auto" w:fill="auto"/>
            <w:vAlign w:val="bottom"/>
            <w:hideMark/>
          </w:tcPr>
          <w:p w:rsidRPr="00C20086" w:rsidR="00043433" w:rsidP="00043433" w:rsidRDefault="00043433" w14:paraId="347F7321" w14:textId="62A32414">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Ref. nr.</w:t>
            </w:r>
            <w:r w:rsidR="00FA2EF7">
              <w:rPr>
                <w:rFonts w:ascii="Times New Roman" w:hAnsi="Times New Roman" w:eastAsia="Times New Roman" w:cs="Times New Roman"/>
                <w:b/>
                <w:bCs/>
                <w:sz w:val="20"/>
                <w:szCs w:val="20"/>
                <w:lang w:eastAsia="nl-NL"/>
              </w:rPr>
              <w:t xml:space="preserve"> *</w:t>
            </w:r>
          </w:p>
        </w:tc>
        <w:tc>
          <w:tcPr>
            <w:tcW w:w="4470" w:type="dxa"/>
            <w:tcBorders>
              <w:left w:val="nil"/>
              <w:bottom w:val="nil"/>
              <w:right w:val="nil"/>
            </w:tcBorders>
            <w:shd w:val="clear" w:color="auto" w:fill="auto"/>
            <w:vAlign w:val="bottom"/>
            <w:hideMark/>
          </w:tcPr>
          <w:p w:rsidRPr="00C20086" w:rsidR="00043433" w:rsidP="00043433" w:rsidRDefault="00043433" w14:paraId="18708E56"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Doel/inhoud/strekking verdrag (samenvatting)</w:t>
            </w:r>
          </w:p>
        </w:tc>
        <w:tc>
          <w:tcPr>
            <w:tcW w:w="958" w:type="dxa"/>
            <w:tcBorders>
              <w:left w:val="nil"/>
              <w:bottom w:val="nil"/>
              <w:right w:val="nil"/>
            </w:tcBorders>
            <w:shd w:val="clear" w:color="auto" w:fill="auto"/>
            <w:vAlign w:val="bottom"/>
            <w:hideMark/>
          </w:tcPr>
          <w:p w:rsidRPr="00C20086" w:rsidR="00043433" w:rsidP="00043433" w:rsidRDefault="00043433" w14:paraId="31112873" w14:textId="27AC0DDA">
            <w:pPr>
              <w:spacing w:after="0" w:line="240" w:lineRule="auto"/>
              <w:rPr>
                <w:rFonts w:ascii="Times New Roman" w:hAnsi="Times New Roman" w:eastAsia="Times New Roman" w:cs="Times New Roman"/>
                <w:b/>
                <w:bCs/>
                <w:sz w:val="20"/>
                <w:szCs w:val="20"/>
                <w:lang w:eastAsia="nl-NL"/>
              </w:rPr>
            </w:pPr>
          </w:p>
        </w:tc>
      </w:tr>
      <w:tr w:rsidRPr="00C20086" w:rsidR="008B316E" w:rsidTr="002C4C35" w14:paraId="247F8034" w14:textId="77777777">
        <w:trPr>
          <w:trHeight w:val="780"/>
        </w:trPr>
        <w:tc>
          <w:tcPr>
            <w:tcW w:w="1807" w:type="dxa"/>
            <w:tcBorders>
              <w:top w:val="nil"/>
              <w:bottom w:val="nil"/>
              <w:right w:val="nil"/>
            </w:tcBorders>
            <w:shd w:val="clear" w:color="auto" w:fill="auto"/>
          </w:tcPr>
          <w:p w:rsidR="008B316E" w:rsidP="00043433" w:rsidRDefault="008B316E" w14:paraId="44CA31F6" w14:textId="77777777">
            <w:pPr>
              <w:spacing w:after="0" w:line="240" w:lineRule="auto"/>
              <w:rPr>
                <w:rFonts w:ascii="Times New Roman" w:hAnsi="Times New Roman" w:eastAsia="Times New Roman" w:cs="Times New Roman"/>
                <w:b/>
                <w:bCs/>
                <w:sz w:val="20"/>
                <w:szCs w:val="20"/>
                <w:lang w:eastAsia="nl-NL"/>
              </w:rPr>
            </w:pPr>
          </w:p>
        </w:tc>
        <w:tc>
          <w:tcPr>
            <w:tcW w:w="4670" w:type="dxa"/>
            <w:tcBorders>
              <w:top w:val="nil"/>
              <w:left w:val="nil"/>
              <w:bottom w:val="nil"/>
              <w:right w:val="nil"/>
            </w:tcBorders>
            <w:shd w:val="clear" w:color="auto" w:fill="auto"/>
          </w:tcPr>
          <w:p w:rsidRPr="001945A6" w:rsidR="008B316E" w:rsidP="00043433" w:rsidRDefault="008B316E" w14:paraId="1BEB85B5" w14:textId="77777777">
            <w:pPr>
              <w:spacing w:after="0" w:line="240" w:lineRule="auto"/>
              <w:rPr>
                <w:rFonts w:ascii="Times New Roman" w:hAnsi="Times New Roman" w:eastAsia="Times New Roman" w:cs="Times New Roman"/>
                <w:sz w:val="20"/>
                <w:szCs w:val="20"/>
                <w:lang w:eastAsia="nl-NL"/>
              </w:rPr>
            </w:pPr>
          </w:p>
        </w:tc>
        <w:tc>
          <w:tcPr>
            <w:tcW w:w="2195" w:type="dxa"/>
            <w:tcBorders>
              <w:top w:val="nil"/>
              <w:left w:val="nil"/>
              <w:bottom w:val="nil"/>
              <w:right w:val="nil"/>
            </w:tcBorders>
            <w:shd w:val="clear" w:color="auto" w:fill="auto"/>
          </w:tcPr>
          <w:p w:rsidRPr="009F08CC" w:rsidR="008B316E" w:rsidP="00043433" w:rsidRDefault="008B316E" w14:paraId="35753457" w14:textId="77777777">
            <w:pPr>
              <w:spacing w:after="0" w:line="240" w:lineRule="auto"/>
              <w:rPr>
                <w:rFonts w:ascii="Times New Roman" w:hAnsi="Times New Roman" w:eastAsia="Times New Roman" w:cs="Times New Roman"/>
                <w:sz w:val="20"/>
                <w:szCs w:val="20"/>
                <w:lang w:eastAsia="nl-NL"/>
              </w:rPr>
            </w:pPr>
          </w:p>
        </w:tc>
        <w:tc>
          <w:tcPr>
            <w:tcW w:w="740" w:type="dxa"/>
            <w:tcBorders>
              <w:top w:val="nil"/>
              <w:left w:val="nil"/>
              <w:bottom w:val="nil"/>
              <w:right w:val="nil"/>
            </w:tcBorders>
            <w:shd w:val="clear" w:color="auto" w:fill="auto"/>
          </w:tcPr>
          <w:p w:rsidRPr="009F08CC" w:rsidR="008B316E" w:rsidP="00043433" w:rsidRDefault="008B316E" w14:paraId="6C65C14C" w14:textId="77777777">
            <w:pPr>
              <w:spacing w:after="0" w:line="240" w:lineRule="auto"/>
              <w:rPr>
                <w:rFonts w:ascii="Times New Roman" w:hAnsi="Times New Roman" w:eastAsia="Times New Roman" w:cs="Times New Roman"/>
                <w:sz w:val="20"/>
                <w:szCs w:val="20"/>
                <w:lang w:eastAsia="nl-NL"/>
              </w:rPr>
            </w:pPr>
          </w:p>
        </w:tc>
        <w:tc>
          <w:tcPr>
            <w:tcW w:w="4470" w:type="dxa"/>
            <w:tcBorders>
              <w:top w:val="nil"/>
              <w:left w:val="nil"/>
              <w:bottom w:val="nil"/>
              <w:right w:val="nil"/>
            </w:tcBorders>
            <w:shd w:val="clear" w:color="auto" w:fill="auto"/>
          </w:tcPr>
          <w:p w:rsidRPr="003E3AA9" w:rsidR="008B316E" w:rsidP="00043433" w:rsidRDefault="008B316E" w14:paraId="16B57CB2" w14:textId="77777777">
            <w:pPr>
              <w:spacing w:after="0" w:line="240" w:lineRule="auto"/>
              <w:rPr>
                <w:rFonts w:ascii="Times New Roman" w:hAnsi="Times New Roman" w:eastAsia="Times New Roman" w:cs="Times New Roman"/>
                <w:sz w:val="20"/>
                <w:szCs w:val="20"/>
                <w:lang w:eastAsia="nl-NL"/>
              </w:rPr>
            </w:pPr>
          </w:p>
        </w:tc>
        <w:tc>
          <w:tcPr>
            <w:tcW w:w="958" w:type="dxa"/>
            <w:tcBorders>
              <w:top w:val="nil"/>
              <w:left w:val="nil"/>
              <w:bottom w:val="nil"/>
              <w:right w:val="nil"/>
            </w:tcBorders>
            <w:shd w:val="clear" w:color="auto" w:fill="auto"/>
          </w:tcPr>
          <w:p w:rsidRPr="00C20086" w:rsidR="008B316E" w:rsidP="00043433" w:rsidRDefault="008B316E" w14:paraId="4B7D6459" w14:textId="77777777">
            <w:pPr>
              <w:spacing w:after="0" w:line="240" w:lineRule="auto"/>
              <w:rPr>
                <w:rFonts w:ascii="Times New Roman" w:hAnsi="Times New Roman" w:eastAsia="Times New Roman" w:cs="Times New Roman"/>
                <w:sz w:val="20"/>
                <w:szCs w:val="20"/>
                <w:lang w:eastAsia="nl-NL"/>
              </w:rPr>
            </w:pPr>
          </w:p>
        </w:tc>
      </w:tr>
      <w:tr w:rsidRPr="00C20086" w:rsidR="00043433" w:rsidTr="000441B0" w14:paraId="38C9213D" w14:textId="77777777">
        <w:trPr>
          <w:trHeight w:val="780"/>
        </w:trPr>
        <w:tc>
          <w:tcPr>
            <w:tcW w:w="1807" w:type="dxa"/>
            <w:tcBorders>
              <w:top w:val="nil"/>
              <w:bottom w:val="nil"/>
              <w:right w:val="nil"/>
            </w:tcBorders>
            <w:shd w:val="clear" w:color="auto" w:fill="auto"/>
            <w:hideMark/>
          </w:tcPr>
          <w:p w:rsidR="00043433" w:rsidP="00043433" w:rsidRDefault="00043433" w14:paraId="0389B1E9" w14:textId="563E9600">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Buitenlandse Zaken</w:t>
            </w:r>
          </w:p>
          <w:p w:rsidR="00731F5C" w:rsidP="00043433" w:rsidRDefault="00731F5C" w14:paraId="3459FE77" w14:textId="7B83D931">
            <w:pPr>
              <w:spacing w:after="0" w:line="240" w:lineRule="auto"/>
              <w:rPr>
                <w:rFonts w:ascii="Times New Roman" w:hAnsi="Times New Roman" w:eastAsia="Times New Roman" w:cs="Times New Roman"/>
                <w:b/>
                <w:bCs/>
                <w:sz w:val="20"/>
                <w:szCs w:val="20"/>
                <w:lang w:eastAsia="nl-NL"/>
              </w:rPr>
            </w:pPr>
          </w:p>
          <w:p w:rsidR="00731F5C" w:rsidP="00043433" w:rsidRDefault="00731F5C" w14:paraId="0C303553" w14:textId="307A62D5">
            <w:pPr>
              <w:spacing w:after="0" w:line="240" w:lineRule="auto"/>
              <w:rPr>
                <w:rFonts w:ascii="Times New Roman" w:hAnsi="Times New Roman" w:eastAsia="Times New Roman" w:cs="Times New Roman"/>
                <w:b/>
                <w:bCs/>
                <w:sz w:val="20"/>
                <w:szCs w:val="20"/>
                <w:lang w:eastAsia="nl-NL"/>
              </w:rPr>
            </w:pPr>
          </w:p>
          <w:p w:rsidR="005E3A0C" w:rsidP="00043433" w:rsidRDefault="005E3A0C" w14:paraId="3794FDB7"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58BCD024"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6A0A2590"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71F09622"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1C509522"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7DA8BD88"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29C13F14"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3EB94FD1"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09DF8611"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739A6FC9"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77D31A5E"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4C802961"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4958076C" w14:textId="77777777">
            <w:pPr>
              <w:spacing w:after="0" w:line="240" w:lineRule="auto"/>
              <w:rPr>
                <w:rFonts w:ascii="Times New Roman" w:hAnsi="Times New Roman" w:eastAsia="Times New Roman" w:cs="Times New Roman"/>
                <w:b/>
                <w:bCs/>
                <w:sz w:val="20"/>
                <w:szCs w:val="20"/>
                <w:lang w:eastAsia="nl-NL"/>
              </w:rPr>
            </w:pPr>
          </w:p>
          <w:p w:rsidR="005E3A0C" w:rsidP="00043433" w:rsidRDefault="005E3A0C" w14:paraId="105CED07"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519B23C7"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06F0EA57"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29C92CAB"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5235E237"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093F2ABC"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46276A0C"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619DAE6B"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23891556"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085E428D"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62383F9D"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03B93565"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4A31D646" w14:textId="77777777">
            <w:pPr>
              <w:spacing w:after="0" w:line="240" w:lineRule="auto"/>
              <w:rPr>
                <w:rFonts w:ascii="Times New Roman" w:hAnsi="Times New Roman" w:eastAsia="Times New Roman" w:cs="Times New Roman"/>
                <w:b/>
                <w:bCs/>
                <w:sz w:val="20"/>
                <w:szCs w:val="20"/>
                <w:lang w:eastAsia="nl-NL"/>
              </w:rPr>
            </w:pPr>
          </w:p>
          <w:p w:rsidR="00CE638D" w:rsidP="00043433" w:rsidRDefault="00CE638D" w14:paraId="217DB404" w14:textId="77777777">
            <w:pPr>
              <w:spacing w:after="0" w:line="240" w:lineRule="auto"/>
              <w:rPr>
                <w:rFonts w:ascii="Times New Roman" w:hAnsi="Times New Roman" w:eastAsia="Times New Roman" w:cs="Times New Roman"/>
                <w:b/>
                <w:bCs/>
                <w:sz w:val="20"/>
                <w:szCs w:val="20"/>
                <w:lang w:eastAsia="nl-NL"/>
              </w:rPr>
            </w:pPr>
          </w:p>
          <w:p w:rsidR="00E043AB" w:rsidP="00043433" w:rsidRDefault="00E043AB" w14:paraId="1351FC89" w14:textId="77777777">
            <w:pPr>
              <w:spacing w:after="0" w:line="240" w:lineRule="auto"/>
              <w:rPr>
                <w:rFonts w:ascii="Times New Roman" w:hAnsi="Times New Roman" w:eastAsia="Times New Roman" w:cs="Times New Roman"/>
                <w:b/>
                <w:bCs/>
                <w:sz w:val="20"/>
                <w:szCs w:val="20"/>
                <w:lang w:eastAsia="nl-NL"/>
              </w:rPr>
            </w:pPr>
          </w:p>
          <w:p w:rsidR="00E043AB" w:rsidP="00043433" w:rsidRDefault="00E043AB" w14:paraId="645E1718" w14:textId="77777777">
            <w:pPr>
              <w:spacing w:after="0" w:line="240" w:lineRule="auto"/>
              <w:rPr>
                <w:rFonts w:ascii="Times New Roman" w:hAnsi="Times New Roman" w:eastAsia="Times New Roman" w:cs="Times New Roman"/>
                <w:b/>
                <w:bCs/>
                <w:sz w:val="20"/>
                <w:szCs w:val="20"/>
                <w:lang w:eastAsia="nl-NL"/>
              </w:rPr>
            </w:pPr>
          </w:p>
          <w:p w:rsidR="008F608D" w:rsidP="00043433" w:rsidRDefault="008F608D" w14:paraId="682D9626" w14:textId="77777777">
            <w:pPr>
              <w:spacing w:after="0" w:line="240" w:lineRule="auto"/>
              <w:rPr>
                <w:rFonts w:ascii="Times New Roman" w:hAnsi="Times New Roman" w:eastAsia="Times New Roman" w:cs="Times New Roman"/>
                <w:b/>
                <w:bCs/>
                <w:sz w:val="20"/>
                <w:szCs w:val="20"/>
                <w:lang w:eastAsia="nl-NL"/>
              </w:rPr>
            </w:pPr>
          </w:p>
          <w:p w:rsidR="008F608D" w:rsidP="00043433" w:rsidRDefault="008F608D" w14:paraId="12B30696"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7667741B"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597AB091"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3E6B07EF"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7A76B1FB"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5485A256"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2C953882"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35F8B655"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26623339"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4B0DB33C"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47B60716"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3E8D9956"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14B65480" w14:textId="77777777">
            <w:pPr>
              <w:spacing w:after="0" w:line="240" w:lineRule="auto"/>
              <w:rPr>
                <w:rFonts w:ascii="Times New Roman" w:hAnsi="Times New Roman" w:eastAsia="Times New Roman" w:cs="Times New Roman"/>
                <w:b/>
                <w:bCs/>
                <w:sz w:val="20"/>
                <w:szCs w:val="20"/>
                <w:lang w:eastAsia="nl-NL"/>
              </w:rPr>
            </w:pPr>
          </w:p>
          <w:p w:rsidR="006C247E" w:rsidP="00043433" w:rsidRDefault="006C247E" w14:paraId="3E614216" w14:textId="77777777">
            <w:pPr>
              <w:spacing w:after="0" w:line="240" w:lineRule="auto"/>
              <w:rPr>
                <w:rFonts w:ascii="Times New Roman" w:hAnsi="Times New Roman" w:eastAsia="Times New Roman" w:cs="Times New Roman"/>
                <w:b/>
                <w:bCs/>
                <w:sz w:val="20"/>
                <w:szCs w:val="20"/>
                <w:lang w:eastAsia="nl-NL"/>
              </w:rPr>
            </w:pPr>
          </w:p>
          <w:p w:rsidR="00EE632F" w:rsidP="00043433" w:rsidRDefault="000441B0" w14:paraId="595D6CC3" w14:textId="145BA89B">
            <w:pPr>
              <w:spacing w:after="0" w:line="240" w:lineRule="auto"/>
              <w:rPr>
                <w:rFonts w:ascii="Times New Roman" w:hAnsi="Times New Roman" w:eastAsia="Times New Roman" w:cs="Times New Roman"/>
                <w:b/>
                <w:bCs/>
                <w:sz w:val="20"/>
                <w:szCs w:val="20"/>
                <w:lang w:eastAsia="nl-NL"/>
              </w:rPr>
            </w:pPr>
            <w:r>
              <w:rPr>
                <w:rFonts w:ascii="Times New Roman" w:hAnsi="Times New Roman" w:eastAsia="Times New Roman" w:cs="Times New Roman"/>
                <w:b/>
                <w:bCs/>
                <w:sz w:val="20"/>
                <w:szCs w:val="20"/>
                <w:lang w:eastAsia="nl-NL"/>
              </w:rPr>
              <w:t>Economische Zaken</w:t>
            </w:r>
          </w:p>
          <w:p w:rsidR="000441B0" w:rsidP="00043433" w:rsidRDefault="000441B0" w14:paraId="4D091FEC" w14:textId="77777777">
            <w:pPr>
              <w:spacing w:after="0" w:line="240" w:lineRule="auto"/>
              <w:rPr>
                <w:rFonts w:ascii="Times New Roman" w:hAnsi="Times New Roman" w:eastAsia="Times New Roman" w:cs="Times New Roman"/>
                <w:b/>
                <w:bCs/>
                <w:sz w:val="20"/>
                <w:szCs w:val="20"/>
                <w:lang w:eastAsia="nl-NL"/>
              </w:rPr>
            </w:pPr>
          </w:p>
          <w:p w:rsidR="000441B0" w:rsidP="00043433" w:rsidRDefault="000441B0" w14:paraId="7E0DDD5D" w14:textId="77777777">
            <w:pPr>
              <w:spacing w:after="0" w:line="240" w:lineRule="auto"/>
              <w:rPr>
                <w:rFonts w:ascii="Times New Roman" w:hAnsi="Times New Roman" w:eastAsia="Times New Roman" w:cs="Times New Roman"/>
                <w:b/>
                <w:bCs/>
                <w:sz w:val="20"/>
                <w:szCs w:val="20"/>
                <w:lang w:eastAsia="nl-NL"/>
              </w:rPr>
            </w:pPr>
          </w:p>
          <w:p w:rsidR="000441B0" w:rsidP="00043433" w:rsidRDefault="000441B0" w14:paraId="0936AE0B" w14:textId="77777777">
            <w:pPr>
              <w:spacing w:after="0" w:line="240" w:lineRule="auto"/>
              <w:rPr>
                <w:rFonts w:ascii="Times New Roman" w:hAnsi="Times New Roman" w:eastAsia="Times New Roman" w:cs="Times New Roman"/>
                <w:b/>
                <w:bCs/>
                <w:sz w:val="20"/>
                <w:szCs w:val="20"/>
                <w:lang w:eastAsia="nl-NL"/>
              </w:rPr>
            </w:pPr>
          </w:p>
          <w:p w:rsidR="009E3880" w:rsidP="000441B0" w:rsidRDefault="009E3880" w14:paraId="591A0C20" w14:textId="77777777">
            <w:pPr>
              <w:spacing w:after="0" w:line="240" w:lineRule="auto"/>
              <w:rPr>
                <w:rFonts w:ascii="Times New Roman" w:hAnsi="Times New Roman" w:eastAsia="Times New Roman" w:cs="Times New Roman"/>
                <w:b/>
                <w:bCs/>
                <w:sz w:val="20"/>
                <w:szCs w:val="20"/>
                <w:lang w:eastAsia="nl-NL"/>
              </w:rPr>
            </w:pPr>
          </w:p>
          <w:p w:rsidR="009E3880" w:rsidP="000441B0" w:rsidRDefault="009E3880" w14:paraId="327D6D9A" w14:textId="77777777">
            <w:pPr>
              <w:spacing w:after="0" w:line="240" w:lineRule="auto"/>
              <w:rPr>
                <w:rFonts w:ascii="Times New Roman" w:hAnsi="Times New Roman" w:eastAsia="Times New Roman" w:cs="Times New Roman"/>
                <w:b/>
                <w:bCs/>
                <w:sz w:val="20"/>
                <w:szCs w:val="20"/>
                <w:lang w:eastAsia="nl-NL"/>
              </w:rPr>
            </w:pPr>
          </w:p>
          <w:p w:rsidR="009E3880" w:rsidP="000441B0" w:rsidRDefault="009E3880" w14:paraId="5D9BBBB7" w14:textId="77777777">
            <w:pPr>
              <w:spacing w:after="0" w:line="240" w:lineRule="auto"/>
              <w:rPr>
                <w:rFonts w:ascii="Times New Roman" w:hAnsi="Times New Roman" w:eastAsia="Times New Roman" w:cs="Times New Roman"/>
                <w:b/>
                <w:bCs/>
                <w:sz w:val="20"/>
                <w:szCs w:val="20"/>
                <w:lang w:eastAsia="nl-NL"/>
              </w:rPr>
            </w:pPr>
          </w:p>
          <w:p w:rsidR="009E3880" w:rsidP="000441B0" w:rsidRDefault="009E3880" w14:paraId="736D1A30" w14:textId="77777777">
            <w:pPr>
              <w:spacing w:after="0" w:line="240" w:lineRule="auto"/>
              <w:rPr>
                <w:rFonts w:ascii="Times New Roman" w:hAnsi="Times New Roman" w:eastAsia="Times New Roman" w:cs="Times New Roman"/>
                <w:b/>
                <w:bCs/>
                <w:sz w:val="20"/>
                <w:szCs w:val="20"/>
                <w:lang w:eastAsia="nl-NL"/>
              </w:rPr>
            </w:pPr>
          </w:p>
          <w:p w:rsidR="009E3880" w:rsidP="000441B0" w:rsidRDefault="009E3880" w14:paraId="00DC5C17" w14:textId="77777777">
            <w:pPr>
              <w:spacing w:after="0" w:line="240" w:lineRule="auto"/>
              <w:rPr>
                <w:rFonts w:ascii="Times New Roman" w:hAnsi="Times New Roman" w:eastAsia="Times New Roman" w:cs="Times New Roman"/>
                <w:b/>
                <w:bCs/>
                <w:sz w:val="20"/>
                <w:szCs w:val="20"/>
                <w:lang w:eastAsia="nl-NL"/>
              </w:rPr>
            </w:pPr>
          </w:p>
          <w:p w:rsidR="009E3880" w:rsidP="000441B0" w:rsidRDefault="009E3880" w14:paraId="54929FE8"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31D51493" w14:textId="746EDA01">
            <w:pPr>
              <w:spacing w:after="0" w:line="240" w:lineRule="auto"/>
              <w:rPr>
                <w:rFonts w:ascii="Times New Roman" w:hAnsi="Times New Roman" w:eastAsia="Times New Roman" w:cs="Times New Roman"/>
                <w:b/>
                <w:bCs/>
                <w:sz w:val="20"/>
                <w:szCs w:val="20"/>
                <w:lang w:eastAsia="nl-NL"/>
              </w:rPr>
            </w:pPr>
            <w:r>
              <w:rPr>
                <w:rFonts w:ascii="Times New Roman" w:hAnsi="Times New Roman" w:eastAsia="Times New Roman" w:cs="Times New Roman"/>
                <w:b/>
                <w:bCs/>
                <w:sz w:val="20"/>
                <w:szCs w:val="20"/>
                <w:lang w:eastAsia="nl-NL"/>
              </w:rPr>
              <w:t>Financiën</w:t>
            </w:r>
          </w:p>
          <w:p w:rsidR="00FD76AA" w:rsidP="000441B0" w:rsidRDefault="00FD76AA" w14:paraId="00D3C637"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480850C3"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198CE091"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461ADD5E"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345A6EBE"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08F835F7"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31CCA0E0"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6A36134E"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19E0A461" w14:textId="77777777">
            <w:pPr>
              <w:spacing w:after="0" w:line="240" w:lineRule="auto"/>
              <w:rPr>
                <w:rFonts w:ascii="Times New Roman" w:hAnsi="Times New Roman" w:eastAsia="Times New Roman" w:cs="Times New Roman"/>
                <w:b/>
                <w:bCs/>
                <w:sz w:val="20"/>
                <w:szCs w:val="20"/>
                <w:lang w:eastAsia="nl-NL"/>
              </w:rPr>
            </w:pPr>
          </w:p>
          <w:p w:rsidR="00FD76AA" w:rsidP="000441B0" w:rsidRDefault="00FD76AA" w14:paraId="5CD140AF" w14:textId="77777777">
            <w:pPr>
              <w:spacing w:after="0" w:line="240" w:lineRule="auto"/>
              <w:rPr>
                <w:rFonts w:ascii="Times New Roman" w:hAnsi="Times New Roman" w:eastAsia="Times New Roman" w:cs="Times New Roman"/>
                <w:b/>
                <w:bCs/>
                <w:sz w:val="20"/>
                <w:szCs w:val="20"/>
                <w:lang w:eastAsia="nl-NL"/>
              </w:rPr>
            </w:pPr>
          </w:p>
          <w:p w:rsidR="00AD07AD" w:rsidP="000441B0" w:rsidRDefault="000441B0" w14:paraId="4CE59B40" w14:textId="62AB694A">
            <w:pPr>
              <w:spacing w:after="0" w:line="240" w:lineRule="auto"/>
              <w:rPr>
                <w:rFonts w:ascii="Times New Roman" w:hAnsi="Times New Roman" w:eastAsia="Times New Roman" w:cs="Times New Roman"/>
                <w:b/>
                <w:bCs/>
                <w:sz w:val="20"/>
                <w:szCs w:val="20"/>
                <w:lang w:eastAsia="nl-NL"/>
              </w:rPr>
            </w:pPr>
            <w:r>
              <w:rPr>
                <w:rFonts w:ascii="Times New Roman" w:hAnsi="Times New Roman" w:eastAsia="Times New Roman" w:cs="Times New Roman"/>
                <w:b/>
                <w:bCs/>
                <w:sz w:val="20"/>
                <w:szCs w:val="20"/>
                <w:lang w:eastAsia="nl-NL"/>
              </w:rPr>
              <w:t>Onderwijs, Cultuur en Wetenschap</w:t>
            </w:r>
          </w:p>
          <w:p w:rsidR="00AD07AD" w:rsidP="00043433" w:rsidRDefault="00AD07AD" w14:paraId="4F290A3C" w14:textId="747A7F2D">
            <w:pPr>
              <w:spacing w:after="0" w:line="240" w:lineRule="auto"/>
              <w:rPr>
                <w:rFonts w:ascii="Times New Roman" w:hAnsi="Times New Roman" w:eastAsia="Times New Roman" w:cs="Times New Roman"/>
                <w:b/>
                <w:bCs/>
                <w:sz w:val="20"/>
                <w:szCs w:val="20"/>
                <w:lang w:eastAsia="nl-NL"/>
              </w:rPr>
            </w:pPr>
          </w:p>
          <w:p w:rsidR="00AD07AD" w:rsidP="00043433" w:rsidRDefault="00AD07AD" w14:paraId="1A6DEA52" w14:textId="05C300C4">
            <w:pPr>
              <w:spacing w:after="0" w:line="240" w:lineRule="auto"/>
              <w:rPr>
                <w:rFonts w:ascii="Times New Roman" w:hAnsi="Times New Roman" w:eastAsia="Times New Roman" w:cs="Times New Roman"/>
                <w:b/>
                <w:bCs/>
                <w:sz w:val="20"/>
                <w:szCs w:val="20"/>
                <w:lang w:eastAsia="nl-NL"/>
              </w:rPr>
            </w:pPr>
          </w:p>
          <w:p w:rsidR="00AD07AD" w:rsidP="00043433" w:rsidRDefault="00AD07AD" w14:paraId="250122CA" w14:textId="37A07314">
            <w:pPr>
              <w:spacing w:after="0" w:line="240" w:lineRule="auto"/>
              <w:rPr>
                <w:rFonts w:ascii="Times New Roman" w:hAnsi="Times New Roman" w:eastAsia="Times New Roman" w:cs="Times New Roman"/>
                <w:b/>
                <w:bCs/>
                <w:sz w:val="20"/>
                <w:szCs w:val="20"/>
                <w:lang w:eastAsia="nl-NL"/>
              </w:rPr>
            </w:pPr>
          </w:p>
          <w:p w:rsidRPr="001945A6" w:rsidR="00741D5E" w:rsidP="009D431B" w:rsidRDefault="00741D5E" w14:paraId="71EEED92" w14:textId="7187E740">
            <w:pPr>
              <w:spacing w:after="0" w:line="240" w:lineRule="auto"/>
              <w:rPr>
                <w:rFonts w:ascii="Times New Roman" w:hAnsi="Times New Roman" w:eastAsia="Times New Roman" w:cs="Times New Roman"/>
                <w:sz w:val="20"/>
                <w:szCs w:val="20"/>
                <w:lang w:eastAsia="nl-NL"/>
              </w:rPr>
            </w:pPr>
          </w:p>
        </w:tc>
        <w:tc>
          <w:tcPr>
            <w:tcW w:w="4670" w:type="dxa"/>
            <w:tcBorders>
              <w:top w:val="nil"/>
              <w:left w:val="nil"/>
              <w:bottom w:val="nil"/>
              <w:right w:val="nil"/>
            </w:tcBorders>
            <w:shd w:val="clear" w:color="auto" w:fill="auto"/>
            <w:hideMark/>
          </w:tcPr>
          <w:p w:rsidR="00E043AB" w:rsidP="000441B0" w:rsidRDefault="00E043AB" w14:paraId="0EB96DF9" w14:textId="6045422C">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lastRenderedPageBreak/>
              <w:t>T</w:t>
            </w:r>
            <w:r w:rsidRPr="00E043AB">
              <w:rPr>
                <w:rFonts w:ascii="Times New Roman" w:hAnsi="Times New Roman" w:eastAsia="Times New Roman" w:cs="Times New Roman"/>
                <w:sz w:val="20"/>
                <w:szCs w:val="20"/>
                <w:lang w:eastAsia="nl-NL"/>
              </w:rPr>
              <w:t xml:space="preserve">ewerkstelling gezinsleden </w:t>
            </w:r>
            <w:r w:rsidRPr="00E97387" w:rsidR="00E97387">
              <w:rPr>
                <w:rFonts w:ascii="Times New Roman" w:hAnsi="Times New Roman" w:eastAsia="Times New Roman" w:cs="Times New Roman"/>
                <w:sz w:val="20"/>
                <w:szCs w:val="20"/>
                <w:lang w:eastAsia="nl-NL"/>
              </w:rPr>
              <w:t>diplomatieke en consulaire missies</w:t>
            </w:r>
          </w:p>
          <w:p w:rsidR="00E043AB" w:rsidP="000441B0" w:rsidRDefault="00E043AB" w14:paraId="7C83599C" w14:textId="77777777">
            <w:pPr>
              <w:spacing w:after="0" w:line="240" w:lineRule="auto"/>
              <w:rPr>
                <w:rFonts w:ascii="Times New Roman" w:hAnsi="Times New Roman" w:eastAsia="Times New Roman" w:cs="Times New Roman"/>
                <w:sz w:val="20"/>
                <w:szCs w:val="20"/>
                <w:lang w:eastAsia="nl-NL"/>
              </w:rPr>
            </w:pPr>
          </w:p>
          <w:p w:rsidR="00E043AB" w:rsidP="000441B0" w:rsidRDefault="00E043AB" w14:paraId="00C02106" w14:textId="77777777">
            <w:pPr>
              <w:spacing w:after="0" w:line="240" w:lineRule="auto"/>
              <w:rPr>
                <w:rFonts w:ascii="Times New Roman" w:hAnsi="Times New Roman" w:eastAsia="Times New Roman" w:cs="Times New Roman"/>
                <w:sz w:val="20"/>
                <w:szCs w:val="20"/>
                <w:lang w:eastAsia="nl-NL"/>
              </w:rPr>
            </w:pPr>
          </w:p>
          <w:p w:rsidR="00E043AB" w:rsidP="000441B0" w:rsidRDefault="00E043AB" w14:paraId="7FAAB7BB" w14:textId="77777777">
            <w:pPr>
              <w:spacing w:after="0" w:line="240" w:lineRule="auto"/>
              <w:rPr>
                <w:rFonts w:ascii="Times New Roman" w:hAnsi="Times New Roman" w:eastAsia="Times New Roman" w:cs="Times New Roman"/>
                <w:sz w:val="20"/>
                <w:szCs w:val="20"/>
                <w:lang w:eastAsia="nl-NL"/>
              </w:rPr>
            </w:pPr>
          </w:p>
          <w:p w:rsidR="00E043AB" w:rsidP="000441B0" w:rsidRDefault="00E043AB" w14:paraId="5D80BECA" w14:textId="77777777">
            <w:pPr>
              <w:spacing w:after="0" w:line="240" w:lineRule="auto"/>
              <w:rPr>
                <w:rFonts w:ascii="Times New Roman" w:hAnsi="Times New Roman" w:eastAsia="Times New Roman" w:cs="Times New Roman"/>
                <w:sz w:val="20"/>
                <w:szCs w:val="20"/>
                <w:lang w:eastAsia="nl-NL"/>
              </w:rPr>
            </w:pPr>
          </w:p>
          <w:p w:rsidR="00E043AB" w:rsidP="000441B0" w:rsidRDefault="00E043AB" w14:paraId="1BF38802" w14:textId="77777777">
            <w:pPr>
              <w:spacing w:after="0" w:line="240" w:lineRule="auto"/>
              <w:rPr>
                <w:rFonts w:ascii="Times New Roman" w:hAnsi="Times New Roman" w:eastAsia="Times New Roman" w:cs="Times New Roman"/>
                <w:sz w:val="20"/>
                <w:szCs w:val="20"/>
                <w:lang w:eastAsia="nl-NL"/>
              </w:rPr>
            </w:pPr>
          </w:p>
          <w:p w:rsidR="008F608D" w:rsidP="00E043AB" w:rsidRDefault="008F608D" w14:paraId="512B73CF" w14:textId="77777777">
            <w:pPr>
              <w:spacing w:after="0" w:line="240" w:lineRule="auto"/>
              <w:rPr>
                <w:rFonts w:ascii="Times New Roman" w:hAnsi="Times New Roman" w:eastAsia="Times New Roman" w:cs="Times New Roman"/>
                <w:sz w:val="20"/>
                <w:szCs w:val="20"/>
                <w:lang w:eastAsia="nl-NL"/>
              </w:rPr>
            </w:pPr>
          </w:p>
          <w:p w:rsidR="008F608D" w:rsidP="00E043AB" w:rsidRDefault="008F608D" w14:paraId="19841AA7" w14:textId="77777777">
            <w:pPr>
              <w:spacing w:after="0" w:line="240" w:lineRule="auto"/>
              <w:rPr>
                <w:rFonts w:ascii="Times New Roman" w:hAnsi="Times New Roman" w:eastAsia="Times New Roman" w:cs="Times New Roman"/>
                <w:sz w:val="20"/>
                <w:szCs w:val="20"/>
                <w:lang w:eastAsia="nl-NL"/>
              </w:rPr>
            </w:pPr>
          </w:p>
          <w:p w:rsidR="008F608D" w:rsidP="00E043AB" w:rsidRDefault="008F608D" w14:paraId="07FF9119" w14:textId="77777777">
            <w:pPr>
              <w:spacing w:after="0" w:line="240" w:lineRule="auto"/>
              <w:rPr>
                <w:rFonts w:ascii="Times New Roman" w:hAnsi="Times New Roman" w:eastAsia="Times New Roman" w:cs="Times New Roman"/>
                <w:sz w:val="20"/>
                <w:szCs w:val="20"/>
                <w:lang w:eastAsia="nl-NL"/>
              </w:rPr>
            </w:pPr>
          </w:p>
          <w:p w:rsidR="00E043AB" w:rsidP="00E043AB" w:rsidRDefault="00E043AB" w14:paraId="61CC2147" w14:textId="726E2C25">
            <w:pPr>
              <w:spacing w:after="0" w:line="240" w:lineRule="auto"/>
              <w:rPr>
                <w:rFonts w:ascii="Times New Roman" w:hAnsi="Times New Roman" w:eastAsia="Times New Roman" w:cs="Times New Roman"/>
                <w:sz w:val="20"/>
                <w:szCs w:val="20"/>
                <w:lang w:eastAsia="nl-NL"/>
              </w:rPr>
            </w:pPr>
            <w:r w:rsidRPr="00CE638D">
              <w:rPr>
                <w:rFonts w:ascii="Times New Roman" w:hAnsi="Times New Roman" w:eastAsia="Times New Roman" w:cs="Times New Roman"/>
                <w:sz w:val="20"/>
                <w:szCs w:val="20"/>
                <w:lang w:eastAsia="nl-NL"/>
              </w:rPr>
              <w:t>Verdrag tot vaststelling van de voorwaarden voor het verlenen aan Curaçao van de status van geassocieerd lid van de Caribische Gemeenschap</w:t>
            </w:r>
          </w:p>
          <w:p w:rsidR="00E043AB" w:rsidP="000441B0" w:rsidRDefault="00E043AB" w14:paraId="12180851" w14:textId="77777777">
            <w:pPr>
              <w:spacing w:after="0" w:line="240" w:lineRule="auto"/>
              <w:rPr>
                <w:rFonts w:ascii="Times New Roman" w:hAnsi="Times New Roman" w:eastAsia="Times New Roman" w:cs="Times New Roman"/>
                <w:sz w:val="20"/>
                <w:szCs w:val="20"/>
                <w:lang w:eastAsia="nl-NL"/>
              </w:rPr>
            </w:pPr>
          </w:p>
          <w:p w:rsidR="00E043AB" w:rsidP="000441B0" w:rsidRDefault="00E043AB" w14:paraId="165A27B4" w14:textId="77777777">
            <w:pPr>
              <w:spacing w:after="0" w:line="240" w:lineRule="auto"/>
              <w:rPr>
                <w:rFonts w:ascii="Times New Roman" w:hAnsi="Times New Roman" w:eastAsia="Times New Roman" w:cs="Times New Roman"/>
                <w:sz w:val="20"/>
                <w:szCs w:val="20"/>
                <w:lang w:eastAsia="nl-NL"/>
              </w:rPr>
            </w:pPr>
          </w:p>
          <w:p w:rsidR="00E043AB" w:rsidP="000441B0" w:rsidRDefault="00E043AB" w14:paraId="138790BC" w14:textId="77777777">
            <w:pPr>
              <w:spacing w:after="0" w:line="240" w:lineRule="auto"/>
              <w:rPr>
                <w:rFonts w:ascii="Times New Roman" w:hAnsi="Times New Roman" w:eastAsia="Times New Roman" w:cs="Times New Roman"/>
                <w:sz w:val="20"/>
                <w:szCs w:val="20"/>
                <w:lang w:eastAsia="nl-NL"/>
              </w:rPr>
            </w:pPr>
          </w:p>
          <w:p w:rsidR="00C64B6F" w:rsidP="000441B0" w:rsidRDefault="001A04E3" w14:paraId="6305A6E4" w14:textId="17A17DB3">
            <w:pPr>
              <w:spacing w:after="0" w:line="240" w:lineRule="auto"/>
              <w:rPr>
                <w:rFonts w:ascii="Times New Roman" w:hAnsi="Times New Roman" w:eastAsia="Times New Roman" w:cs="Times New Roman"/>
                <w:sz w:val="20"/>
                <w:szCs w:val="20"/>
                <w:lang w:eastAsia="nl-NL"/>
              </w:rPr>
            </w:pPr>
            <w:r w:rsidRPr="001A04E3">
              <w:rPr>
                <w:rFonts w:ascii="Times New Roman" w:hAnsi="Times New Roman" w:eastAsia="Times New Roman" w:cs="Times New Roman"/>
                <w:sz w:val="20"/>
                <w:szCs w:val="20"/>
                <w:lang w:eastAsia="nl-NL"/>
              </w:rPr>
              <w:t xml:space="preserve">Visumafschaffing houders van diplomatieke paspoorten </w:t>
            </w:r>
            <w:r w:rsidRPr="000441B0" w:rsidR="000441B0">
              <w:rPr>
                <w:rFonts w:ascii="Times New Roman" w:hAnsi="Times New Roman" w:eastAsia="Times New Roman" w:cs="Times New Roman"/>
                <w:sz w:val="20"/>
                <w:szCs w:val="20"/>
                <w:lang w:eastAsia="nl-NL"/>
              </w:rPr>
              <w:t>(Oezbekistan)</w:t>
            </w:r>
          </w:p>
          <w:p w:rsidR="00CE638D" w:rsidP="000441B0" w:rsidRDefault="00CE638D" w14:paraId="4DD436DE"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6435A010"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5CCDA717"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2974E386"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0AF15D39"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4397F9DA"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48A53B21"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22D8889E"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100FB408"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7EC0EC10"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422DF1CD"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21EB6DFC"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43664DEA" w14:textId="77777777">
            <w:pPr>
              <w:spacing w:after="0" w:line="240" w:lineRule="auto"/>
              <w:rPr>
                <w:rFonts w:ascii="Times New Roman" w:hAnsi="Times New Roman" w:eastAsia="Times New Roman" w:cs="Times New Roman"/>
                <w:sz w:val="20"/>
                <w:szCs w:val="20"/>
                <w:lang w:eastAsia="nl-NL"/>
              </w:rPr>
            </w:pPr>
          </w:p>
          <w:p w:rsidR="00CE638D" w:rsidP="000441B0" w:rsidRDefault="00CE638D" w14:paraId="7CB3968E" w14:textId="77777777">
            <w:pPr>
              <w:spacing w:after="0" w:line="240" w:lineRule="auto"/>
              <w:rPr>
                <w:rFonts w:ascii="Times New Roman" w:hAnsi="Times New Roman" w:eastAsia="Times New Roman" w:cs="Times New Roman"/>
                <w:sz w:val="20"/>
                <w:szCs w:val="20"/>
                <w:lang w:eastAsia="nl-NL"/>
              </w:rPr>
            </w:pPr>
          </w:p>
          <w:p w:rsidR="006C247E" w:rsidP="000441B0" w:rsidRDefault="006C247E" w14:paraId="45498678" w14:textId="77777777">
            <w:pPr>
              <w:spacing w:after="0" w:line="240" w:lineRule="auto"/>
              <w:rPr>
                <w:rFonts w:ascii="Times New Roman" w:hAnsi="Times New Roman" w:eastAsia="Times New Roman" w:cs="Times New Roman"/>
                <w:sz w:val="20"/>
                <w:szCs w:val="20"/>
                <w:lang w:eastAsia="nl-NL"/>
              </w:rPr>
            </w:pPr>
          </w:p>
          <w:p w:rsidR="006C247E" w:rsidP="000441B0" w:rsidRDefault="006C247E" w14:paraId="31D92806" w14:textId="77777777">
            <w:pPr>
              <w:spacing w:after="0" w:line="240" w:lineRule="auto"/>
              <w:rPr>
                <w:rFonts w:ascii="Times New Roman" w:hAnsi="Times New Roman" w:eastAsia="Times New Roman" w:cs="Times New Roman"/>
                <w:sz w:val="20"/>
                <w:szCs w:val="20"/>
                <w:lang w:eastAsia="nl-NL"/>
              </w:rPr>
            </w:pPr>
          </w:p>
          <w:p w:rsidR="006C247E" w:rsidP="000441B0" w:rsidRDefault="006C247E" w14:paraId="1F3831D6" w14:textId="77777777">
            <w:pPr>
              <w:spacing w:after="0" w:line="240" w:lineRule="auto"/>
              <w:rPr>
                <w:rFonts w:ascii="Times New Roman" w:hAnsi="Times New Roman" w:eastAsia="Times New Roman" w:cs="Times New Roman"/>
                <w:sz w:val="20"/>
                <w:szCs w:val="20"/>
                <w:lang w:eastAsia="nl-NL"/>
              </w:rPr>
            </w:pPr>
          </w:p>
          <w:p w:rsidR="00CE638D" w:rsidP="000441B0" w:rsidRDefault="006C247E" w14:paraId="731348B8" w14:textId="5E8E96B3">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VN bijeenkomst ’s-Gravenhage oktober 2024</w:t>
            </w:r>
          </w:p>
          <w:p w:rsidR="00CE638D" w:rsidP="000441B0" w:rsidRDefault="00CE638D" w14:paraId="488B5F7D"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75C4BB19"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24B7132B"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753BEABD"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05D8E57D"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339555C6"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76A99AD7"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7698628D"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43D83160"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6FCF186A"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54EE6501"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67A2E887" w14:textId="77777777">
            <w:pPr>
              <w:spacing w:after="0" w:line="240" w:lineRule="auto"/>
              <w:rPr>
                <w:rFonts w:ascii="Times New Roman" w:hAnsi="Times New Roman" w:eastAsia="Times New Roman" w:cs="Times New Roman"/>
                <w:sz w:val="20"/>
                <w:szCs w:val="20"/>
                <w:lang w:eastAsia="nl-NL"/>
              </w:rPr>
            </w:pPr>
          </w:p>
          <w:p w:rsidR="00045BA7" w:rsidP="00043433" w:rsidRDefault="000441B0" w14:paraId="103CFCA9" w14:textId="024B184C">
            <w:pPr>
              <w:spacing w:after="0" w:line="240" w:lineRule="auto"/>
              <w:rPr>
                <w:rFonts w:ascii="Times New Roman" w:hAnsi="Times New Roman" w:eastAsia="Times New Roman" w:cs="Times New Roman"/>
                <w:sz w:val="20"/>
                <w:szCs w:val="20"/>
                <w:lang w:eastAsia="nl-NL"/>
              </w:rPr>
            </w:pPr>
            <w:r w:rsidRPr="000441B0">
              <w:rPr>
                <w:rFonts w:ascii="Times New Roman" w:hAnsi="Times New Roman" w:eastAsia="Times New Roman" w:cs="Times New Roman"/>
                <w:sz w:val="20"/>
                <w:szCs w:val="20"/>
                <w:lang w:eastAsia="nl-NL"/>
              </w:rPr>
              <w:t xml:space="preserve">Verklaring van bepaalde Europese Regeringen inzake de exploitatiefase van de lanceervoertuigen Ariane, Vega en </w:t>
            </w:r>
            <w:proofErr w:type="spellStart"/>
            <w:r w:rsidRPr="000441B0">
              <w:rPr>
                <w:rFonts w:ascii="Times New Roman" w:hAnsi="Times New Roman" w:eastAsia="Times New Roman" w:cs="Times New Roman"/>
                <w:sz w:val="20"/>
                <w:szCs w:val="20"/>
                <w:lang w:eastAsia="nl-NL"/>
              </w:rPr>
              <w:t>Sojoez</w:t>
            </w:r>
            <w:proofErr w:type="spellEnd"/>
            <w:r w:rsidRPr="000441B0">
              <w:rPr>
                <w:rFonts w:ascii="Times New Roman" w:hAnsi="Times New Roman" w:eastAsia="Times New Roman" w:cs="Times New Roman"/>
                <w:sz w:val="20"/>
                <w:szCs w:val="20"/>
                <w:lang w:eastAsia="nl-NL"/>
              </w:rPr>
              <w:t xml:space="preserve"> vanaf het Ruimtecentrum in Guyana; wijziging</w:t>
            </w:r>
          </w:p>
          <w:p w:rsidR="00045BA7" w:rsidP="00043433" w:rsidRDefault="00045BA7" w14:paraId="65E77128"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624D6954"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6655D4F4"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36B01F98"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598A9FB0"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13D7906A"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5AFB14F6"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329B3F4B" w14:textId="247542DC">
            <w:pPr>
              <w:spacing w:after="0" w:line="240" w:lineRule="auto"/>
              <w:rPr>
                <w:rFonts w:ascii="Times New Roman" w:hAnsi="Times New Roman" w:eastAsia="Times New Roman" w:cs="Times New Roman"/>
                <w:sz w:val="20"/>
                <w:szCs w:val="20"/>
                <w:lang w:eastAsia="nl-NL"/>
              </w:rPr>
            </w:pPr>
            <w:r w:rsidRPr="00FD76AA">
              <w:rPr>
                <w:rFonts w:ascii="Times New Roman" w:hAnsi="Times New Roman" w:eastAsia="Times New Roman" w:cs="Times New Roman"/>
                <w:sz w:val="20"/>
                <w:szCs w:val="20"/>
                <w:lang w:eastAsia="nl-NL"/>
              </w:rPr>
              <w:t>Vermijden van dubbele belasting op inkomen</w:t>
            </w:r>
          </w:p>
          <w:p w:rsidR="00FD76AA" w:rsidP="00043433" w:rsidRDefault="00FD76AA" w14:paraId="616566DE"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462D9BD1"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75146902"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3AFE6A0F"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662B3BA2"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2767AB7A"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1EBA259E"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09564AEF"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6F9B3F2B"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0F50C3AE" w14:textId="77777777">
            <w:pPr>
              <w:spacing w:after="0" w:line="240" w:lineRule="auto"/>
              <w:rPr>
                <w:rFonts w:ascii="Times New Roman" w:hAnsi="Times New Roman" w:eastAsia="Times New Roman" w:cs="Times New Roman"/>
                <w:sz w:val="20"/>
                <w:szCs w:val="20"/>
                <w:lang w:eastAsia="nl-NL"/>
              </w:rPr>
            </w:pPr>
          </w:p>
          <w:p w:rsidR="00045BA7" w:rsidP="00043433" w:rsidRDefault="00A76BED" w14:paraId="711EF187" w14:textId="342302AF">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Verdrag inzake s</w:t>
            </w:r>
            <w:r w:rsidRPr="000441B0" w:rsidR="000441B0">
              <w:rPr>
                <w:rFonts w:ascii="Times New Roman" w:hAnsi="Times New Roman" w:eastAsia="Times New Roman" w:cs="Times New Roman"/>
                <w:sz w:val="20"/>
                <w:szCs w:val="20"/>
                <w:lang w:eastAsia="nl-NL"/>
              </w:rPr>
              <w:t>amenwerking op het gebied van wetenschap en technologie</w:t>
            </w:r>
          </w:p>
          <w:p w:rsidRPr="00EE632F" w:rsidR="001945A6" w:rsidP="000441B0" w:rsidRDefault="001945A6" w14:paraId="761CFFA2" w14:textId="6A6C387C">
            <w:pPr>
              <w:spacing w:after="0" w:line="240" w:lineRule="auto"/>
              <w:rPr>
                <w:rFonts w:ascii="Times New Roman" w:hAnsi="Times New Roman" w:eastAsia="Times New Roman" w:cs="Times New Roman"/>
                <w:sz w:val="20"/>
                <w:szCs w:val="20"/>
                <w:lang w:eastAsia="nl-NL"/>
              </w:rPr>
            </w:pPr>
          </w:p>
        </w:tc>
        <w:tc>
          <w:tcPr>
            <w:tcW w:w="2195" w:type="dxa"/>
            <w:tcBorders>
              <w:top w:val="nil"/>
              <w:left w:val="nil"/>
              <w:bottom w:val="nil"/>
              <w:right w:val="nil"/>
            </w:tcBorders>
            <w:shd w:val="clear" w:color="auto" w:fill="auto"/>
            <w:hideMark/>
          </w:tcPr>
          <w:p w:rsidR="00564514" w:rsidP="00043433" w:rsidRDefault="00E97387" w14:paraId="0072BF91" w14:textId="07165908">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lastRenderedPageBreak/>
              <w:t>Oman</w:t>
            </w:r>
          </w:p>
          <w:p w:rsidR="00564514" w:rsidP="00043433" w:rsidRDefault="00564514" w14:paraId="2296B2C7"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03E7E9C8"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E5AB557" w14:textId="77777777">
            <w:pPr>
              <w:spacing w:after="0" w:line="240" w:lineRule="auto"/>
              <w:rPr>
                <w:rFonts w:ascii="Times New Roman" w:hAnsi="Times New Roman" w:eastAsia="Times New Roman" w:cs="Times New Roman"/>
                <w:sz w:val="20"/>
                <w:szCs w:val="20"/>
                <w:lang w:eastAsia="nl-NL"/>
              </w:rPr>
            </w:pPr>
          </w:p>
          <w:p w:rsidR="005E3A0C" w:rsidP="00043433" w:rsidRDefault="005E3A0C" w14:paraId="59C5F963" w14:textId="77777777">
            <w:pPr>
              <w:spacing w:after="0" w:line="240" w:lineRule="auto"/>
              <w:rPr>
                <w:rFonts w:ascii="Times New Roman" w:hAnsi="Times New Roman" w:eastAsia="Times New Roman" w:cs="Times New Roman"/>
                <w:sz w:val="20"/>
                <w:szCs w:val="20"/>
                <w:lang w:eastAsia="nl-NL"/>
              </w:rPr>
            </w:pPr>
          </w:p>
          <w:p w:rsidR="005E3A0C" w:rsidP="00043433" w:rsidRDefault="005E3A0C" w14:paraId="7FDDDD73" w14:textId="77777777">
            <w:pPr>
              <w:spacing w:after="0" w:line="240" w:lineRule="auto"/>
              <w:rPr>
                <w:rFonts w:ascii="Times New Roman" w:hAnsi="Times New Roman" w:eastAsia="Times New Roman" w:cs="Times New Roman"/>
                <w:sz w:val="20"/>
                <w:szCs w:val="20"/>
                <w:lang w:eastAsia="nl-NL"/>
              </w:rPr>
            </w:pPr>
          </w:p>
          <w:p w:rsidR="008F608D" w:rsidP="00043433" w:rsidRDefault="008F608D" w14:paraId="1389A80A" w14:textId="77777777">
            <w:pPr>
              <w:spacing w:after="0" w:line="240" w:lineRule="auto"/>
              <w:rPr>
                <w:rFonts w:ascii="Times New Roman" w:hAnsi="Times New Roman" w:eastAsia="Times New Roman" w:cs="Times New Roman"/>
                <w:sz w:val="20"/>
                <w:szCs w:val="20"/>
                <w:lang w:eastAsia="nl-NL"/>
              </w:rPr>
            </w:pPr>
          </w:p>
          <w:p w:rsidR="008F608D" w:rsidP="00043433" w:rsidRDefault="008F608D" w14:paraId="5CEAFBB1" w14:textId="77777777">
            <w:pPr>
              <w:spacing w:after="0" w:line="240" w:lineRule="auto"/>
              <w:rPr>
                <w:rFonts w:ascii="Times New Roman" w:hAnsi="Times New Roman" w:eastAsia="Times New Roman" w:cs="Times New Roman"/>
                <w:sz w:val="20"/>
                <w:szCs w:val="20"/>
                <w:lang w:eastAsia="nl-NL"/>
              </w:rPr>
            </w:pPr>
          </w:p>
          <w:p w:rsidR="008F608D" w:rsidP="00043433" w:rsidRDefault="008F608D" w14:paraId="09CC5772" w14:textId="77777777">
            <w:pPr>
              <w:spacing w:after="0" w:line="240" w:lineRule="auto"/>
              <w:rPr>
                <w:rFonts w:ascii="Times New Roman" w:hAnsi="Times New Roman" w:eastAsia="Times New Roman" w:cs="Times New Roman"/>
                <w:sz w:val="20"/>
                <w:szCs w:val="20"/>
                <w:lang w:eastAsia="nl-NL"/>
              </w:rPr>
            </w:pPr>
          </w:p>
          <w:p w:rsidR="008F608D" w:rsidP="00043433" w:rsidRDefault="008F608D" w14:paraId="5884062E" w14:textId="77777777">
            <w:pPr>
              <w:spacing w:after="0" w:line="240" w:lineRule="auto"/>
              <w:rPr>
                <w:rFonts w:ascii="Times New Roman" w:hAnsi="Times New Roman" w:eastAsia="Times New Roman" w:cs="Times New Roman"/>
                <w:sz w:val="20"/>
                <w:szCs w:val="20"/>
                <w:lang w:eastAsia="nl-NL"/>
              </w:rPr>
            </w:pPr>
          </w:p>
          <w:p w:rsidR="00CE638D" w:rsidP="00043433" w:rsidRDefault="00CE638D" w14:paraId="3EEFF0CE" w14:textId="7F436B9B">
            <w:pPr>
              <w:spacing w:after="0" w:line="240" w:lineRule="auto"/>
              <w:rPr>
                <w:rFonts w:ascii="Times New Roman" w:hAnsi="Times New Roman" w:eastAsia="Times New Roman" w:cs="Times New Roman"/>
                <w:sz w:val="20"/>
                <w:szCs w:val="20"/>
                <w:lang w:eastAsia="nl-NL"/>
              </w:rPr>
            </w:pPr>
            <w:r w:rsidRPr="00CE638D">
              <w:rPr>
                <w:rFonts w:ascii="Times New Roman" w:hAnsi="Times New Roman" w:eastAsia="Times New Roman" w:cs="Times New Roman"/>
                <w:sz w:val="20"/>
                <w:szCs w:val="20"/>
                <w:lang w:eastAsia="nl-NL"/>
              </w:rPr>
              <w:t>CARICOM (Caraïbische Gemeenschap)</w:t>
            </w:r>
          </w:p>
          <w:p w:rsidR="00CE638D" w:rsidP="00043433" w:rsidRDefault="00CE638D" w14:paraId="17591619" w14:textId="77777777">
            <w:pPr>
              <w:spacing w:after="0" w:line="240" w:lineRule="auto"/>
              <w:rPr>
                <w:rFonts w:ascii="Times New Roman" w:hAnsi="Times New Roman" w:eastAsia="Times New Roman" w:cs="Times New Roman"/>
                <w:sz w:val="20"/>
                <w:szCs w:val="20"/>
                <w:lang w:eastAsia="nl-NL"/>
              </w:rPr>
            </w:pPr>
          </w:p>
          <w:p w:rsidR="00CE638D" w:rsidP="00043433" w:rsidRDefault="00CE638D" w14:paraId="6734B8BA" w14:textId="77777777">
            <w:pPr>
              <w:spacing w:after="0" w:line="240" w:lineRule="auto"/>
              <w:rPr>
                <w:rFonts w:ascii="Times New Roman" w:hAnsi="Times New Roman" w:eastAsia="Times New Roman" w:cs="Times New Roman"/>
                <w:sz w:val="20"/>
                <w:szCs w:val="20"/>
                <w:lang w:eastAsia="nl-NL"/>
              </w:rPr>
            </w:pPr>
          </w:p>
          <w:p w:rsidR="00CE638D" w:rsidP="00043433" w:rsidRDefault="00CE638D" w14:paraId="46349A48" w14:textId="77777777">
            <w:pPr>
              <w:spacing w:after="0" w:line="240" w:lineRule="auto"/>
              <w:rPr>
                <w:rFonts w:ascii="Times New Roman" w:hAnsi="Times New Roman" w:eastAsia="Times New Roman" w:cs="Times New Roman"/>
                <w:sz w:val="20"/>
                <w:szCs w:val="20"/>
                <w:lang w:eastAsia="nl-NL"/>
              </w:rPr>
            </w:pPr>
          </w:p>
          <w:p w:rsidR="00CE638D" w:rsidP="00043433" w:rsidRDefault="00CE638D" w14:paraId="52334FB4" w14:textId="77777777">
            <w:pPr>
              <w:spacing w:after="0" w:line="240" w:lineRule="auto"/>
              <w:rPr>
                <w:rFonts w:ascii="Times New Roman" w:hAnsi="Times New Roman" w:eastAsia="Times New Roman" w:cs="Times New Roman"/>
                <w:sz w:val="20"/>
                <w:szCs w:val="20"/>
                <w:lang w:eastAsia="nl-NL"/>
              </w:rPr>
            </w:pPr>
          </w:p>
          <w:p w:rsidR="00CE638D" w:rsidP="00043433" w:rsidRDefault="00E043AB" w14:paraId="29FF2052" w14:textId="0C70F16F">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Benelux</w:t>
            </w:r>
          </w:p>
          <w:p w:rsidR="00CE638D" w:rsidP="00043433" w:rsidRDefault="00CE638D" w14:paraId="6029E306" w14:textId="77777777">
            <w:pPr>
              <w:spacing w:after="0" w:line="240" w:lineRule="auto"/>
              <w:rPr>
                <w:rFonts w:ascii="Times New Roman" w:hAnsi="Times New Roman" w:eastAsia="Times New Roman" w:cs="Times New Roman"/>
                <w:sz w:val="20"/>
                <w:szCs w:val="20"/>
                <w:lang w:eastAsia="nl-NL"/>
              </w:rPr>
            </w:pPr>
          </w:p>
          <w:p w:rsidR="00CE638D" w:rsidP="00043433" w:rsidRDefault="00CE638D" w14:paraId="46BE2D31" w14:textId="77777777">
            <w:pPr>
              <w:spacing w:after="0" w:line="240" w:lineRule="auto"/>
              <w:rPr>
                <w:rFonts w:ascii="Times New Roman" w:hAnsi="Times New Roman" w:eastAsia="Times New Roman" w:cs="Times New Roman"/>
                <w:sz w:val="20"/>
                <w:szCs w:val="20"/>
                <w:lang w:eastAsia="nl-NL"/>
              </w:rPr>
            </w:pPr>
          </w:p>
          <w:p w:rsidR="00CE638D" w:rsidP="00043433" w:rsidRDefault="00CE638D" w14:paraId="764007C4"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0B8DEE26"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18EA2AD5"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60A2C401"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26F0D6AA"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2EC66250"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70753537"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7774C7D6"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24B76CD7"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7A01DAAF"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1815FC30"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0D31B6F3" w14:textId="77777777">
            <w:pPr>
              <w:spacing w:after="0" w:line="240" w:lineRule="auto"/>
              <w:rPr>
                <w:rFonts w:ascii="Times New Roman" w:hAnsi="Times New Roman" w:eastAsia="Times New Roman" w:cs="Times New Roman"/>
                <w:sz w:val="20"/>
                <w:szCs w:val="20"/>
                <w:lang w:eastAsia="nl-NL"/>
              </w:rPr>
            </w:pPr>
          </w:p>
          <w:p w:rsidR="00E043AB" w:rsidP="00043433" w:rsidRDefault="00E043AB" w14:paraId="22C5E97B"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44CEB96F"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7E58097B"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2BA7C71E" w14:textId="77777777">
            <w:pPr>
              <w:spacing w:after="0" w:line="240" w:lineRule="auto"/>
              <w:rPr>
                <w:rFonts w:ascii="Times New Roman" w:hAnsi="Times New Roman" w:eastAsia="Times New Roman" w:cs="Times New Roman"/>
                <w:sz w:val="20"/>
                <w:szCs w:val="20"/>
                <w:lang w:eastAsia="nl-NL"/>
              </w:rPr>
            </w:pPr>
          </w:p>
          <w:p w:rsidR="00E043AB" w:rsidP="00043433" w:rsidRDefault="006C247E" w14:paraId="2945A79D" w14:textId="45DC3345">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VN (Verenigde Naties)</w:t>
            </w:r>
          </w:p>
          <w:p w:rsidR="00E043AB" w:rsidP="00043433" w:rsidRDefault="00E043AB" w14:paraId="4A896315"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77A5656A"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22B140B2"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2C475D04"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2FCF90BB"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3CE4E476"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60BA5426"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61AE4946"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3FBC2348"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7F989C30"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2F832588" w14:textId="77777777">
            <w:pPr>
              <w:spacing w:after="0" w:line="240" w:lineRule="auto"/>
              <w:rPr>
                <w:rFonts w:ascii="Times New Roman" w:hAnsi="Times New Roman" w:eastAsia="Times New Roman" w:cs="Times New Roman"/>
                <w:sz w:val="20"/>
                <w:szCs w:val="20"/>
                <w:lang w:eastAsia="nl-NL"/>
              </w:rPr>
            </w:pPr>
          </w:p>
          <w:p w:rsidR="006C247E" w:rsidP="00043433" w:rsidRDefault="006C247E" w14:paraId="1F6D677C" w14:textId="77777777">
            <w:pPr>
              <w:spacing w:after="0" w:line="240" w:lineRule="auto"/>
              <w:rPr>
                <w:rFonts w:ascii="Times New Roman" w:hAnsi="Times New Roman" w:eastAsia="Times New Roman" w:cs="Times New Roman"/>
                <w:sz w:val="20"/>
                <w:szCs w:val="20"/>
                <w:lang w:eastAsia="nl-NL"/>
              </w:rPr>
            </w:pPr>
          </w:p>
          <w:p w:rsidR="00564514" w:rsidP="00043433" w:rsidRDefault="000441B0" w14:paraId="767A53D8" w14:textId="18CC5013">
            <w:pPr>
              <w:spacing w:after="0" w:line="240" w:lineRule="auto"/>
              <w:rPr>
                <w:rFonts w:ascii="Times New Roman" w:hAnsi="Times New Roman" w:eastAsia="Times New Roman" w:cs="Times New Roman"/>
                <w:sz w:val="20"/>
                <w:szCs w:val="20"/>
                <w:lang w:eastAsia="nl-NL"/>
              </w:rPr>
            </w:pPr>
            <w:r w:rsidRPr="000441B0">
              <w:rPr>
                <w:rFonts w:ascii="Times New Roman" w:hAnsi="Times New Roman" w:eastAsia="Times New Roman" w:cs="Times New Roman"/>
                <w:sz w:val="20"/>
                <w:szCs w:val="20"/>
                <w:lang w:eastAsia="nl-NL"/>
              </w:rPr>
              <w:t>ESA (Europese Ruimteorganisatie)</w:t>
            </w:r>
          </w:p>
          <w:p w:rsidR="00564514" w:rsidP="00043433" w:rsidRDefault="00564514" w14:paraId="761C2981"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0600966"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F84740D"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45406E40"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48FAB857"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7851A872"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06B9781D"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34636297" w14:textId="77777777">
            <w:pPr>
              <w:spacing w:after="0" w:line="240" w:lineRule="auto"/>
              <w:rPr>
                <w:rFonts w:ascii="Times New Roman" w:hAnsi="Times New Roman" w:eastAsia="Times New Roman" w:cs="Times New Roman"/>
                <w:sz w:val="20"/>
                <w:szCs w:val="20"/>
                <w:lang w:eastAsia="nl-NL"/>
              </w:rPr>
            </w:pPr>
          </w:p>
          <w:p w:rsidR="009E3880" w:rsidP="00043433" w:rsidRDefault="009E3880" w14:paraId="5B68F83F"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4CC33317" w14:textId="7FDB8F51">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Benin</w:t>
            </w:r>
          </w:p>
          <w:p w:rsidR="00FD76AA" w:rsidP="00043433" w:rsidRDefault="00FD76AA" w14:paraId="4B5449C6"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203BEFEE"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0A8DA7CB"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55C30B0D"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2F0402D8"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0C536AF2"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1B9A289F"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376963A9"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4DB1B7E7" w14:textId="77777777">
            <w:pPr>
              <w:spacing w:after="0" w:line="240" w:lineRule="auto"/>
              <w:rPr>
                <w:rFonts w:ascii="Times New Roman" w:hAnsi="Times New Roman" w:eastAsia="Times New Roman" w:cs="Times New Roman"/>
                <w:sz w:val="20"/>
                <w:szCs w:val="20"/>
                <w:lang w:eastAsia="nl-NL"/>
              </w:rPr>
            </w:pPr>
          </w:p>
          <w:p w:rsidR="00FD76AA" w:rsidP="00043433" w:rsidRDefault="00FD76AA" w14:paraId="447C50BC" w14:textId="77777777">
            <w:pPr>
              <w:spacing w:after="0" w:line="240" w:lineRule="auto"/>
              <w:rPr>
                <w:rFonts w:ascii="Times New Roman" w:hAnsi="Times New Roman" w:eastAsia="Times New Roman" w:cs="Times New Roman"/>
                <w:sz w:val="20"/>
                <w:szCs w:val="20"/>
                <w:lang w:eastAsia="nl-NL"/>
              </w:rPr>
            </w:pPr>
          </w:p>
          <w:p w:rsidR="00564514" w:rsidP="00043433" w:rsidRDefault="000441B0" w14:paraId="0C0235B6" w14:textId="41DDB9B3">
            <w:pPr>
              <w:spacing w:after="0" w:line="240" w:lineRule="auto"/>
              <w:rPr>
                <w:rFonts w:ascii="Times New Roman" w:hAnsi="Times New Roman" w:eastAsia="Times New Roman" w:cs="Times New Roman"/>
                <w:sz w:val="20"/>
                <w:szCs w:val="20"/>
                <w:lang w:eastAsia="nl-NL"/>
              </w:rPr>
            </w:pPr>
            <w:r w:rsidRPr="000441B0">
              <w:rPr>
                <w:rFonts w:ascii="Times New Roman" w:hAnsi="Times New Roman" w:eastAsia="Times New Roman" w:cs="Times New Roman"/>
                <w:sz w:val="20"/>
                <w:szCs w:val="20"/>
                <w:lang w:eastAsia="nl-NL"/>
              </w:rPr>
              <w:t>Verenigde Staten van Amerika</w:t>
            </w:r>
          </w:p>
          <w:p w:rsidRPr="000441B0" w:rsidR="001D1C9E" w:rsidP="000441B0" w:rsidRDefault="001D1C9E" w14:paraId="5187E4F5" w14:textId="374D7C3D">
            <w:pPr>
              <w:spacing w:after="0" w:line="240" w:lineRule="auto"/>
              <w:rPr>
                <w:rFonts w:ascii="Times New Roman" w:hAnsi="Times New Roman" w:eastAsia="Times New Roman" w:cs="Times New Roman"/>
                <w:sz w:val="20"/>
                <w:szCs w:val="20"/>
                <w:lang w:eastAsia="nl-NL"/>
              </w:rPr>
            </w:pPr>
          </w:p>
        </w:tc>
        <w:tc>
          <w:tcPr>
            <w:tcW w:w="740" w:type="dxa"/>
            <w:tcBorders>
              <w:top w:val="nil"/>
              <w:left w:val="nil"/>
              <w:bottom w:val="nil"/>
              <w:right w:val="nil"/>
            </w:tcBorders>
            <w:shd w:val="clear" w:color="auto" w:fill="auto"/>
          </w:tcPr>
          <w:p w:rsidR="00564514" w:rsidP="00450102" w:rsidRDefault="00564514" w14:paraId="6E2A66D8" w14:textId="23E6937F">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lastRenderedPageBreak/>
              <w:t>014</w:t>
            </w:r>
            <w:r w:rsidR="00E043AB">
              <w:rPr>
                <w:rFonts w:ascii="Times New Roman" w:hAnsi="Times New Roman" w:eastAsia="Times New Roman" w:cs="Times New Roman"/>
                <w:sz w:val="20"/>
                <w:szCs w:val="20"/>
                <w:lang w:eastAsia="nl-NL"/>
              </w:rPr>
              <w:t>102</w:t>
            </w:r>
          </w:p>
          <w:p w:rsidR="00564514" w:rsidP="00450102" w:rsidRDefault="00564514" w14:paraId="1A1757B9"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1C7A7312"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4D41512C" w14:textId="77777777">
            <w:pPr>
              <w:spacing w:after="0" w:line="240" w:lineRule="auto"/>
              <w:rPr>
                <w:rFonts w:ascii="Times New Roman" w:hAnsi="Times New Roman" w:eastAsia="Times New Roman" w:cs="Times New Roman"/>
                <w:sz w:val="20"/>
                <w:szCs w:val="20"/>
                <w:lang w:eastAsia="nl-NL"/>
              </w:rPr>
            </w:pPr>
          </w:p>
          <w:p w:rsidR="005E3A0C" w:rsidP="00450102" w:rsidRDefault="005E3A0C" w14:paraId="5A893E04" w14:textId="77777777">
            <w:pPr>
              <w:spacing w:after="0" w:line="240" w:lineRule="auto"/>
              <w:rPr>
                <w:rFonts w:ascii="Times New Roman" w:hAnsi="Times New Roman" w:eastAsia="Times New Roman" w:cs="Times New Roman"/>
                <w:sz w:val="20"/>
                <w:szCs w:val="20"/>
                <w:lang w:eastAsia="nl-NL"/>
              </w:rPr>
            </w:pPr>
          </w:p>
          <w:p w:rsidR="005E3A0C" w:rsidP="00450102" w:rsidRDefault="005E3A0C" w14:paraId="1A7D2DEF" w14:textId="77777777">
            <w:pPr>
              <w:spacing w:after="0" w:line="240" w:lineRule="auto"/>
              <w:rPr>
                <w:rFonts w:ascii="Times New Roman" w:hAnsi="Times New Roman" w:eastAsia="Times New Roman" w:cs="Times New Roman"/>
                <w:sz w:val="20"/>
                <w:szCs w:val="20"/>
                <w:lang w:eastAsia="nl-NL"/>
              </w:rPr>
            </w:pPr>
          </w:p>
          <w:p w:rsidR="008F608D" w:rsidP="00450102" w:rsidRDefault="008F608D" w14:paraId="7263D1DE" w14:textId="77777777">
            <w:pPr>
              <w:spacing w:after="0" w:line="240" w:lineRule="auto"/>
              <w:rPr>
                <w:rFonts w:ascii="Times New Roman" w:hAnsi="Times New Roman" w:eastAsia="Times New Roman" w:cs="Times New Roman"/>
                <w:sz w:val="20"/>
                <w:szCs w:val="20"/>
                <w:lang w:eastAsia="nl-NL"/>
              </w:rPr>
            </w:pPr>
          </w:p>
          <w:p w:rsidR="008F608D" w:rsidP="00450102" w:rsidRDefault="008F608D" w14:paraId="4813FD49" w14:textId="77777777">
            <w:pPr>
              <w:spacing w:after="0" w:line="240" w:lineRule="auto"/>
              <w:rPr>
                <w:rFonts w:ascii="Times New Roman" w:hAnsi="Times New Roman" w:eastAsia="Times New Roman" w:cs="Times New Roman"/>
                <w:sz w:val="20"/>
                <w:szCs w:val="20"/>
                <w:lang w:eastAsia="nl-NL"/>
              </w:rPr>
            </w:pPr>
          </w:p>
          <w:p w:rsidR="008F608D" w:rsidP="00450102" w:rsidRDefault="008F608D" w14:paraId="19468A4D" w14:textId="77777777">
            <w:pPr>
              <w:spacing w:after="0" w:line="240" w:lineRule="auto"/>
              <w:rPr>
                <w:rFonts w:ascii="Times New Roman" w:hAnsi="Times New Roman" w:eastAsia="Times New Roman" w:cs="Times New Roman"/>
                <w:sz w:val="20"/>
                <w:szCs w:val="20"/>
                <w:lang w:eastAsia="nl-NL"/>
              </w:rPr>
            </w:pPr>
          </w:p>
          <w:p w:rsidR="008F608D" w:rsidP="00450102" w:rsidRDefault="008F608D" w14:paraId="6F8641B4" w14:textId="77777777">
            <w:pPr>
              <w:spacing w:after="0" w:line="240" w:lineRule="auto"/>
              <w:rPr>
                <w:rFonts w:ascii="Times New Roman" w:hAnsi="Times New Roman" w:eastAsia="Times New Roman" w:cs="Times New Roman"/>
                <w:sz w:val="20"/>
                <w:szCs w:val="20"/>
                <w:lang w:eastAsia="nl-NL"/>
              </w:rPr>
            </w:pPr>
          </w:p>
          <w:p w:rsidR="005E3A0C" w:rsidP="00450102" w:rsidRDefault="00E043AB" w14:paraId="7CFEF488" w14:textId="423467FE">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014098</w:t>
            </w:r>
          </w:p>
          <w:p w:rsidR="005E3A0C" w:rsidP="00450102" w:rsidRDefault="005E3A0C" w14:paraId="5524419B" w14:textId="77777777">
            <w:pPr>
              <w:spacing w:after="0" w:line="240" w:lineRule="auto"/>
              <w:rPr>
                <w:rFonts w:ascii="Times New Roman" w:hAnsi="Times New Roman" w:eastAsia="Times New Roman" w:cs="Times New Roman"/>
                <w:sz w:val="20"/>
                <w:szCs w:val="20"/>
                <w:lang w:eastAsia="nl-NL"/>
              </w:rPr>
            </w:pPr>
          </w:p>
          <w:p w:rsidR="005E3A0C" w:rsidP="00450102" w:rsidRDefault="005E3A0C" w14:paraId="726E0460" w14:textId="77777777">
            <w:pPr>
              <w:spacing w:after="0" w:line="240" w:lineRule="auto"/>
              <w:rPr>
                <w:rFonts w:ascii="Times New Roman" w:hAnsi="Times New Roman" w:eastAsia="Times New Roman" w:cs="Times New Roman"/>
                <w:sz w:val="20"/>
                <w:szCs w:val="20"/>
                <w:lang w:eastAsia="nl-NL"/>
              </w:rPr>
            </w:pPr>
          </w:p>
          <w:p w:rsidR="005E3A0C" w:rsidP="00450102" w:rsidRDefault="005E3A0C" w14:paraId="0E5B166F" w14:textId="77777777">
            <w:pPr>
              <w:spacing w:after="0" w:line="240" w:lineRule="auto"/>
              <w:rPr>
                <w:rFonts w:ascii="Times New Roman" w:hAnsi="Times New Roman" w:eastAsia="Times New Roman" w:cs="Times New Roman"/>
                <w:sz w:val="20"/>
                <w:szCs w:val="20"/>
                <w:lang w:eastAsia="nl-NL"/>
              </w:rPr>
            </w:pPr>
          </w:p>
          <w:p w:rsidR="005E3A0C" w:rsidP="00450102" w:rsidRDefault="005E3A0C" w14:paraId="4086CD61" w14:textId="77777777">
            <w:pPr>
              <w:spacing w:after="0" w:line="240" w:lineRule="auto"/>
              <w:rPr>
                <w:rFonts w:ascii="Times New Roman" w:hAnsi="Times New Roman" w:eastAsia="Times New Roman" w:cs="Times New Roman"/>
                <w:sz w:val="20"/>
                <w:szCs w:val="20"/>
                <w:lang w:eastAsia="nl-NL"/>
              </w:rPr>
            </w:pPr>
          </w:p>
          <w:p w:rsidR="005E3A0C" w:rsidP="00450102" w:rsidRDefault="005E3A0C" w14:paraId="241BDD03"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335569BC" w14:textId="6AF04D70">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w:t>
            </w:r>
            <w:r w:rsidR="00E043AB">
              <w:rPr>
                <w:rFonts w:ascii="Times New Roman" w:hAnsi="Times New Roman" w:eastAsia="Times New Roman" w:cs="Times New Roman"/>
                <w:sz w:val="20"/>
                <w:szCs w:val="20"/>
                <w:lang w:eastAsia="nl-NL"/>
              </w:rPr>
              <w:t>89</w:t>
            </w:r>
          </w:p>
          <w:p w:rsidR="00CE638D" w:rsidP="00450102" w:rsidRDefault="00CE638D" w14:paraId="408EF0A0"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33FEC70B"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7BECBDA7"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31AB2E06"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27ECFD67"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350439B7"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39C91BD9"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32907AFC"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6434704A"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76A1107E"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2EDFD0A7" w14:textId="77777777">
            <w:pPr>
              <w:spacing w:after="0" w:line="240" w:lineRule="auto"/>
              <w:rPr>
                <w:rFonts w:ascii="Times New Roman" w:hAnsi="Times New Roman" w:eastAsia="Times New Roman" w:cs="Times New Roman"/>
                <w:sz w:val="20"/>
                <w:szCs w:val="20"/>
                <w:lang w:eastAsia="nl-NL"/>
              </w:rPr>
            </w:pPr>
          </w:p>
          <w:p w:rsidR="00CE638D" w:rsidP="00450102" w:rsidRDefault="00CE638D" w14:paraId="51EE5714" w14:textId="77777777">
            <w:pPr>
              <w:spacing w:after="0" w:line="240" w:lineRule="auto"/>
              <w:rPr>
                <w:rFonts w:ascii="Times New Roman" w:hAnsi="Times New Roman" w:eastAsia="Times New Roman" w:cs="Times New Roman"/>
                <w:sz w:val="20"/>
                <w:szCs w:val="20"/>
                <w:lang w:eastAsia="nl-NL"/>
              </w:rPr>
            </w:pPr>
          </w:p>
          <w:p w:rsidR="00E043AB" w:rsidP="00450102" w:rsidRDefault="00E043AB" w14:paraId="251DB8E7" w14:textId="77777777">
            <w:pPr>
              <w:spacing w:after="0" w:line="240" w:lineRule="auto"/>
              <w:rPr>
                <w:rFonts w:ascii="Times New Roman" w:hAnsi="Times New Roman" w:eastAsia="Times New Roman" w:cs="Times New Roman"/>
                <w:sz w:val="20"/>
                <w:szCs w:val="20"/>
                <w:lang w:eastAsia="nl-NL"/>
              </w:rPr>
            </w:pPr>
          </w:p>
          <w:p w:rsidR="00E043AB" w:rsidP="00450102" w:rsidRDefault="00E043AB" w14:paraId="60F55D0A" w14:textId="77777777">
            <w:pPr>
              <w:spacing w:after="0" w:line="240" w:lineRule="auto"/>
              <w:rPr>
                <w:rFonts w:ascii="Times New Roman" w:hAnsi="Times New Roman" w:eastAsia="Times New Roman" w:cs="Times New Roman"/>
                <w:sz w:val="20"/>
                <w:szCs w:val="20"/>
                <w:lang w:eastAsia="nl-NL"/>
              </w:rPr>
            </w:pPr>
          </w:p>
          <w:p w:rsidR="00E043AB" w:rsidP="00450102" w:rsidRDefault="00E043AB" w14:paraId="3C839D5E"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09D71006"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65B1759B"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17702F88" w14:textId="77777777">
            <w:pPr>
              <w:spacing w:after="0" w:line="240" w:lineRule="auto"/>
              <w:rPr>
                <w:rFonts w:ascii="Times New Roman" w:hAnsi="Times New Roman" w:eastAsia="Times New Roman" w:cs="Times New Roman"/>
                <w:sz w:val="20"/>
                <w:szCs w:val="20"/>
                <w:lang w:eastAsia="nl-NL"/>
              </w:rPr>
            </w:pPr>
          </w:p>
          <w:p w:rsidR="00E043AB" w:rsidP="00450102" w:rsidRDefault="006C247E" w14:paraId="41481B07" w14:textId="057C9516">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014104</w:t>
            </w:r>
          </w:p>
          <w:p w:rsidR="00E043AB" w:rsidP="00450102" w:rsidRDefault="00E043AB" w14:paraId="206B32B3"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4281D4A7"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56AFA8B7"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097ED80F"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1D32C9D4"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79D4547B"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3479EDDE"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5BE94086"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797AC2B7"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3960BA90" w14:textId="77777777">
            <w:pPr>
              <w:spacing w:after="0" w:line="240" w:lineRule="auto"/>
              <w:rPr>
                <w:rFonts w:ascii="Times New Roman" w:hAnsi="Times New Roman" w:eastAsia="Times New Roman" w:cs="Times New Roman"/>
                <w:sz w:val="20"/>
                <w:szCs w:val="20"/>
                <w:lang w:eastAsia="nl-NL"/>
              </w:rPr>
            </w:pPr>
          </w:p>
          <w:p w:rsidR="006C247E" w:rsidP="00450102" w:rsidRDefault="006C247E" w14:paraId="4B4456D8" w14:textId="77777777">
            <w:pPr>
              <w:spacing w:after="0" w:line="240" w:lineRule="auto"/>
              <w:rPr>
                <w:rFonts w:ascii="Times New Roman" w:hAnsi="Times New Roman" w:eastAsia="Times New Roman" w:cs="Times New Roman"/>
                <w:sz w:val="20"/>
                <w:szCs w:val="20"/>
                <w:lang w:eastAsia="nl-NL"/>
              </w:rPr>
            </w:pPr>
          </w:p>
          <w:p w:rsidR="003A70A9" w:rsidP="00450102" w:rsidRDefault="003A70A9" w14:paraId="4F3C0576" w14:textId="77777777">
            <w:pPr>
              <w:spacing w:after="0" w:line="240" w:lineRule="auto"/>
              <w:rPr>
                <w:rFonts w:ascii="Times New Roman" w:hAnsi="Times New Roman" w:eastAsia="Times New Roman" w:cs="Times New Roman"/>
                <w:sz w:val="20"/>
                <w:szCs w:val="20"/>
                <w:lang w:eastAsia="nl-NL"/>
              </w:rPr>
            </w:pPr>
          </w:p>
          <w:p w:rsidR="00564514" w:rsidP="00450102" w:rsidRDefault="000441B0" w14:paraId="2229AC92" w14:textId="1B600F6A">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014087</w:t>
            </w:r>
          </w:p>
          <w:p w:rsidR="00564514" w:rsidP="00450102" w:rsidRDefault="00564514" w14:paraId="06088AD9"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33D93E70"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340C62F1"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5F8307EE" w14:textId="77777777">
            <w:pPr>
              <w:spacing w:after="0" w:line="240" w:lineRule="auto"/>
              <w:rPr>
                <w:rFonts w:ascii="Times New Roman" w:hAnsi="Times New Roman" w:eastAsia="Times New Roman" w:cs="Times New Roman"/>
                <w:sz w:val="20"/>
                <w:szCs w:val="20"/>
                <w:lang w:eastAsia="nl-NL"/>
              </w:rPr>
            </w:pPr>
          </w:p>
          <w:p w:rsidR="009E3880" w:rsidP="00450102" w:rsidRDefault="009E3880" w14:paraId="78C8387E" w14:textId="77777777">
            <w:pPr>
              <w:spacing w:after="0" w:line="240" w:lineRule="auto"/>
              <w:rPr>
                <w:rFonts w:ascii="Times New Roman" w:hAnsi="Times New Roman" w:eastAsia="Times New Roman" w:cs="Times New Roman"/>
                <w:sz w:val="20"/>
                <w:szCs w:val="20"/>
                <w:lang w:eastAsia="nl-NL"/>
              </w:rPr>
            </w:pPr>
          </w:p>
          <w:p w:rsidR="009E3880" w:rsidP="00450102" w:rsidRDefault="009E3880" w14:paraId="1FAD7E16" w14:textId="77777777">
            <w:pPr>
              <w:spacing w:after="0" w:line="240" w:lineRule="auto"/>
              <w:rPr>
                <w:rFonts w:ascii="Times New Roman" w:hAnsi="Times New Roman" w:eastAsia="Times New Roman" w:cs="Times New Roman"/>
                <w:sz w:val="20"/>
                <w:szCs w:val="20"/>
                <w:lang w:eastAsia="nl-NL"/>
              </w:rPr>
            </w:pPr>
          </w:p>
          <w:p w:rsidR="009E3880" w:rsidP="00450102" w:rsidRDefault="009E3880" w14:paraId="4A78D690" w14:textId="77777777">
            <w:pPr>
              <w:spacing w:after="0" w:line="240" w:lineRule="auto"/>
              <w:rPr>
                <w:rFonts w:ascii="Times New Roman" w:hAnsi="Times New Roman" w:eastAsia="Times New Roman" w:cs="Times New Roman"/>
                <w:sz w:val="20"/>
                <w:szCs w:val="20"/>
                <w:lang w:eastAsia="nl-NL"/>
              </w:rPr>
            </w:pPr>
          </w:p>
          <w:p w:rsidR="009E3880" w:rsidP="00450102" w:rsidRDefault="009E3880" w14:paraId="6BD50531" w14:textId="77777777">
            <w:pPr>
              <w:spacing w:after="0" w:line="240" w:lineRule="auto"/>
              <w:rPr>
                <w:rFonts w:ascii="Times New Roman" w:hAnsi="Times New Roman" w:eastAsia="Times New Roman" w:cs="Times New Roman"/>
                <w:sz w:val="20"/>
                <w:szCs w:val="20"/>
                <w:lang w:eastAsia="nl-NL"/>
              </w:rPr>
            </w:pPr>
          </w:p>
          <w:p w:rsidR="009E3880" w:rsidP="00450102" w:rsidRDefault="009E3880" w14:paraId="1D4B2187" w14:textId="77777777">
            <w:pPr>
              <w:spacing w:after="0" w:line="240" w:lineRule="auto"/>
              <w:rPr>
                <w:rFonts w:ascii="Times New Roman" w:hAnsi="Times New Roman" w:eastAsia="Times New Roman" w:cs="Times New Roman"/>
                <w:sz w:val="20"/>
                <w:szCs w:val="20"/>
                <w:lang w:eastAsia="nl-NL"/>
              </w:rPr>
            </w:pPr>
          </w:p>
          <w:p w:rsidR="009E3880" w:rsidP="00450102" w:rsidRDefault="009E3880" w14:paraId="72DB9B6C"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3EBC72EF" w14:textId="1B95F828">
            <w:pPr>
              <w:spacing w:after="0" w:line="240" w:lineRule="auto"/>
              <w:rPr>
                <w:rFonts w:ascii="Times New Roman" w:hAnsi="Times New Roman" w:eastAsia="Times New Roman" w:cs="Times New Roman"/>
                <w:sz w:val="20"/>
                <w:szCs w:val="20"/>
                <w:lang w:eastAsia="nl-NL"/>
              </w:rPr>
            </w:pPr>
            <w:r w:rsidRPr="00FD76AA">
              <w:rPr>
                <w:rFonts w:ascii="Times New Roman" w:hAnsi="Times New Roman" w:eastAsia="Times New Roman" w:cs="Times New Roman"/>
                <w:sz w:val="20"/>
                <w:szCs w:val="20"/>
                <w:lang w:eastAsia="nl-NL"/>
              </w:rPr>
              <w:t>014105</w:t>
            </w:r>
          </w:p>
          <w:p w:rsidR="00FD76AA" w:rsidP="00450102" w:rsidRDefault="00FD76AA" w14:paraId="23F07DC9"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6133AC69"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02FAEBC7"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33805AE4"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4BAA2B36"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2B7BF9F5"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44843D26"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2069BABD"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587FB962" w14:textId="77777777">
            <w:pPr>
              <w:spacing w:after="0" w:line="240" w:lineRule="auto"/>
              <w:rPr>
                <w:rFonts w:ascii="Times New Roman" w:hAnsi="Times New Roman" w:eastAsia="Times New Roman" w:cs="Times New Roman"/>
                <w:sz w:val="20"/>
                <w:szCs w:val="20"/>
                <w:lang w:eastAsia="nl-NL"/>
              </w:rPr>
            </w:pPr>
          </w:p>
          <w:p w:rsidR="00FD76AA" w:rsidP="00450102" w:rsidRDefault="00FD76AA" w14:paraId="5C59E3CE" w14:textId="77777777">
            <w:pPr>
              <w:spacing w:after="0" w:line="240" w:lineRule="auto"/>
              <w:rPr>
                <w:rFonts w:ascii="Times New Roman" w:hAnsi="Times New Roman" w:eastAsia="Times New Roman" w:cs="Times New Roman"/>
                <w:sz w:val="20"/>
                <w:szCs w:val="20"/>
                <w:lang w:eastAsia="nl-NL"/>
              </w:rPr>
            </w:pPr>
          </w:p>
          <w:p w:rsidR="00564514" w:rsidP="00450102" w:rsidRDefault="000441B0" w14:paraId="268EDE47" w14:textId="4A7965BB">
            <w:pPr>
              <w:spacing w:after="0" w:line="240" w:lineRule="auto"/>
              <w:rPr>
                <w:rFonts w:ascii="Times New Roman" w:hAnsi="Times New Roman" w:eastAsia="Times New Roman" w:cs="Times New Roman"/>
                <w:sz w:val="20"/>
                <w:szCs w:val="20"/>
                <w:lang w:eastAsia="nl-NL"/>
              </w:rPr>
            </w:pPr>
            <w:r w:rsidRPr="000441B0">
              <w:rPr>
                <w:rFonts w:ascii="Times New Roman" w:hAnsi="Times New Roman" w:eastAsia="Times New Roman" w:cs="Times New Roman"/>
                <w:sz w:val="20"/>
                <w:szCs w:val="20"/>
                <w:lang w:eastAsia="nl-NL"/>
              </w:rPr>
              <w:t>014095</w:t>
            </w:r>
          </w:p>
          <w:p w:rsidR="00564514" w:rsidP="00450102" w:rsidRDefault="00564514" w14:paraId="5039DBF0" w14:textId="77777777">
            <w:pPr>
              <w:spacing w:after="0" w:line="240" w:lineRule="auto"/>
              <w:rPr>
                <w:rFonts w:ascii="Times New Roman" w:hAnsi="Times New Roman" w:eastAsia="Times New Roman" w:cs="Times New Roman"/>
                <w:sz w:val="20"/>
                <w:szCs w:val="20"/>
                <w:lang w:eastAsia="nl-NL"/>
              </w:rPr>
            </w:pPr>
          </w:p>
          <w:p w:rsidRPr="003E3AA9" w:rsidR="001D1C9E" w:rsidP="00450102" w:rsidRDefault="001D1C9E" w14:paraId="656775A0" w14:textId="23E0643C">
            <w:pPr>
              <w:spacing w:after="0" w:line="240" w:lineRule="auto"/>
              <w:rPr>
                <w:rFonts w:ascii="Times New Roman" w:hAnsi="Times New Roman" w:eastAsia="Times New Roman" w:cs="Times New Roman"/>
                <w:sz w:val="20"/>
                <w:szCs w:val="20"/>
                <w:lang w:eastAsia="nl-NL"/>
              </w:rPr>
            </w:pPr>
          </w:p>
        </w:tc>
        <w:tc>
          <w:tcPr>
            <w:tcW w:w="4470" w:type="dxa"/>
            <w:tcBorders>
              <w:top w:val="nil"/>
              <w:left w:val="nil"/>
              <w:bottom w:val="nil"/>
              <w:right w:val="nil"/>
            </w:tcBorders>
            <w:shd w:val="clear" w:color="auto" w:fill="auto"/>
          </w:tcPr>
          <w:p w:rsidR="00E043AB" w:rsidP="008F608D" w:rsidRDefault="008D5931" w14:paraId="0D9C5286" w14:textId="02EA56C4">
            <w:pPr>
              <w:tabs>
                <w:tab w:val="left" w:pos="2710"/>
              </w:tabs>
              <w:spacing w:after="0"/>
              <w:rPr>
                <w:rFonts w:ascii="Times New Roman" w:hAnsi="Times New Roman" w:eastAsia="Times New Roman" w:cs="Times New Roman"/>
                <w:sz w:val="20"/>
                <w:szCs w:val="20"/>
                <w:lang w:eastAsia="nl-NL"/>
              </w:rPr>
            </w:pPr>
            <w:r w:rsidRPr="008D5931">
              <w:rPr>
                <w:rFonts w:ascii="Times New Roman" w:hAnsi="Times New Roman" w:eastAsia="Times New Roman" w:cs="Times New Roman"/>
                <w:sz w:val="20"/>
                <w:szCs w:val="20"/>
                <w:lang w:eastAsia="nl-NL"/>
              </w:rPr>
              <w:lastRenderedPageBreak/>
              <w:t>Het verdrag regelt de vrije toegang tot de arbeidsmarkt van de gezinsleden van personeel van diplomatieke missies en consulaire posten in de ontvangende staat. Het verdrag bepaalt onder meer welke gezinsleden in de ontvangende staat mogen werken, aan welke voorwaarden zij moeten voldoen om te mogen werken en wat de gevolgen voor de immuniteiten van het werkende gezinslid zijn.</w:t>
            </w:r>
          </w:p>
          <w:p w:rsidR="00CE638D" w:rsidP="006C247E" w:rsidRDefault="00CE638D" w14:paraId="18477B70" w14:textId="718178BA">
            <w:pPr>
              <w:tabs>
                <w:tab w:val="left" w:pos="2710"/>
              </w:tabs>
              <w:spacing w:before="240" w:after="0"/>
              <w:rPr>
                <w:rFonts w:ascii="Times New Roman" w:hAnsi="Times New Roman" w:eastAsia="Times New Roman" w:cs="Times New Roman"/>
                <w:sz w:val="20"/>
                <w:szCs w:val="20"/>
                <w:lang w:eastAsia="nl-NL"/>
              </w:rPr>
            </w:pPr>
            <w:r w:rsidRPr="00CE638D">
              <w:rPr>
                <w:rFonts w:ascii="Times New Roman" w:hAnsi="Times New Roman" w:eastAsia="Times New Roman" w:cs="Times New Roman"/>
                <w:sz w:val="20"/>
                <w:szCs w:val="20"/>
                <w:lang w:eastAsia="nl-NL"/>
              </w:rPr>
              <w:t xml:space="preserve">Dit verdrag met de Caribische Gemeenschap (CARICOM) wordt ten behoeve van Curaçao gesloten. Met dit verdrag krijgt Curaçao de mogelijkheid om geassocieerd lid van CARICOM te worden. </w:t>
            </w:r>
          </w:p>
          <w:p w:rsidR="008F608D" w:rsidP="008F608D" w:rsidRDefault="008F608D" w14:paraId="545C0EF3" w14:textId="77777777">
            <w:pPr>
              <w:tabs>
                <w:tab w:val="left" w:pos="2710"/>
              </w:tabs>
              <w:spacing w:after="0"/>
              <w:rPr>
                <w:rFonts w:ascii="Times New Roman" w:hAnsi="Times New Roman" w:eastAsia="Times New Roman" w:cs="Times New Roman"/>
                <w:sz w:val="20"/>
                <w:szCs w:val="20"/>
                <w:lang w:eastAsia="nl-NL"/>
              </w:rPr>
            </w:pPr>
          </w:p>
          <w:p w:rsidR="00CE638D" w:rsidP="008F608D" w:rsidRDefault="00E043AB" w14:paraId="4D92EFC1" w14:textId="718D5DE2">
            <w:pPr>
              <w:tabs>
                <w:tab w:val="left" w:pos="2710"/>
              </w:tabs>
              <w:spacing w:after="0"/>
              <w:rPr>
                <w:rFonts w:ascii="Times New Roman" w:hAnsi="Times New Roman" w:eastAsia="Times New Roman" w:cs="Times New Roman"/>
                <w:sz w:val="20"/>
                <w:szCs w:val="20"/>
                <w:lang w:eastAsia="nl-NL"/>
              </w:rPr>
            </w:pPr>
            <w:r w:rsidRPr="00E043AB">
              <w:rPr>
                <w:rFonts w:ascii="Times New Roman" w:hAnsi="Times New Roman" w:eastAsia="Times New Roman" w:cs="Times New Roman"/>
                <w:sz w:val="20"/>
                <w:szCs w:val="20"/>
                <w:lang w:eastAsia="nl-NL"/>
              </w:rPr>
              <w:t xml:space="preserve">Het verdrag tussen de Benelux-staten enerzijds en Oezbekistan anderzijds beoogt een vrijstelling te regelen van de visumplicht voor houders van diplomatieke en dienstpaspoorten. Op basis van Verordening (EU) Nr. 2018/1806 inzake de visumplicht en vrijstelling daarvan kunnen EU-lidstaten afspraken maken met derde landen over het vrijstellen van de visumplicht van houders van een diplomatiek paspoort of een dienstpaspoort, indien op EU-niveau nog niet besloten is te onderhandelen over visumvrijstelling met dat derde land. Dit type verdragen wordt gesloten door de Benelux-staten gezamenlijk en wordt door deze staten gekoppeld aan </w:t>
            </w:r>
            <w:r w:rsidRPr="00E043AB">
              <w:rPr>
                <w:rFonts w:ascii="Times New Roman" w:hAnsi="Times New Roman" w:eastAsia="Times New Roman" w:cs="Times New Roman"/>
                <w:sz w:val="20"/>
                <w:szCs w:val="20"/>
                <w:lang w:eastAsia="nl-NL"/>
              </w:rPr>
              <w:lastRenderedPageBreak/>
              <w:t>een verdrag inzake de terug- en overname van personen die onrechtmatig op het grondgebied van de verdragspartijen verblijven</w:t>
            </w:r>
            <w:r w:rsidR="008F608D">
              <w:rPr>
                <w:rFonts w:ascii="Times New Roman" w:hAnsi="Times New Roman" w:eastAsia="Times New Roman" w:cs="Times New Roman"/>
                <w:sz w:val="20"/>
                <w:szCs w:val="20"/>
                <w:lang w:eastAsia="nl-NL"/>
              </w:rPr>
              <w:t>.</w:t>
            </w:r>
          </w:p>
          <w:p w:rsidR="006C247E" w:rsidP="008F608D" w:rsidRDefault="006C247E" w14:paraId="21935402" w14:textId="77777777">
            <w:pPr>
              <w:tabs>
                <w:tab w:val="left" w:pos="2710"/>
              </w:tabs>
              <w:spacing w:after="0"/>
              <w:rPr>
                <w:rFonts w:ascii="Times New Roman" w:hAnsi="Times New Roman" w:eastAsia="Times New Roman" w:cs="Times New Roman"/>
                <w:sz w:val="20"/>
                <w:szCs w:val="20"/>
                <w:lang w:eastAsia="nl-NL"/>
              </w:rPr>
            </w:pPr>
          </w:p>
          <w:p w:rsidR="008F608D" w:rsidP="008F608D" w:rsidRDefault="006C247E" w14:paraId="566727C7" w14:textId="49DCAC4B">
            <w:pPr>
              <w:tabs>
                <w:tab w:val="left" w:pos="2710"/>
              </w:tabs>
              <w:spacing w:after="0"/>
              <w:rPr>
                <w:rFonts w:ascii="Times New Roman" w:hAnsi="Times New Roman" w:eastAsia="Times New Roman" w:cs="Times New Roman"/>
                <w:sz w:val="20"/>
                <w:szCs w:val="20"/>
                <w:lang w:eastAsia="nl-NL"/>
              </w:rPr>
            </w:pPr>
            <w:r w:rsidRPr="006C247E">
              <w:rPr>
                <w:rFonts w:ascii="Times New Roman" w:hAnsi="Times New Roman" w:eastAsia="Times New Roman" w:cs="Times New Roman"/>
                <w:sz w:val="20"/>
                <w:szCs w:val="20"/>
                <w:lang w:eastAsia="nl-NL"/>
              </w:rPr>
              <w:t xml:space="preserve">Het verdrag beoogt de wederzijdse verantwoordelijkheden van het </w:t>
            </w:r>
            <w:proofErr w:type="spellStart"/>
            <w:r w:rsidRPr="006C247E">
              <w:rPr>
                <w:rFonts w:ascii="Times New Roman" w:hAnsi="Times New Roman" w:eastAsia="Times New Roman" w:cs="Times New Roman"/>
                <w:sz w:val="20"/>
                <w:szCs w:val="20"/>
                <w:lang w:eastAsia="nl-NL"/>
              </w:rPr>
              <w:t>Department</w:t>
            </w:r>
            <w:proofErr w:type="spellEnd"/>
            <w:r w:rsidRPr="006C247E">
              <w:rPr>
                <w:rFonts w:ascii="Times New Roman" w:hAnsi="Times New Roman" w:eastAsia="Times New Roman" w:cs="Times New Roman"/>
                <w:sz w:val="20"/>
                <w:szCs w:val="20"/>
                <w:lang w:eastAsia="nl-NL"/>
              </w:rPr>
              <w:t xml:space="preserve"> of </w:t>
            </w:r>
            <w:proofErr w:type="spellStart"/>
            <w:r w:rsidRPr="006C247E">
              <w:rPr>
                <w:rFonts w:ascii="Times New Roman" w:hAnsi="Times New Roman" w:eastAsia="Times New Roman" w:cs="Times New Roman"/>
                <w:sz w:val="20"/>
                <w:szCs w:val="20"/>
                <w:lang w:eastAsia="nl-NL"/>
              </w:rPr>
              <w:t>Peace</w:t>
            </w:r>
            <w:proofErr w:type="spellEnd"/>
            <w:r w:rsidRPr="006C247E">
              <w:rPr>
                <w:rFonts w:ascii="Times New Roman" w:hAnsi="Times New Roman" w:eastAsia="Times New Roman" w:cs="Times New Roman"/>
                <w:sz w:val="20"/>
                <w:szCs w:val="20"/>
                <w:lang w:eastAsia="nl-NL"/>
              </w:rPr>
              <w:t xml:space="preserve"> Operations van de Verenigde Naties en Nederland vast te leggen voor een van 18 tot en met 23 oktober 2024 te houden "United Nations Peacekeeping </w:t>
            </w:r>
            <w:proofErr w:type="spellStart"/>
            <w:r w:rsidRPr="006C247E">
              <w:rPr>
                <w:rFonts w:ascii="Times New Roman" w:hAnsi="Times New Roman" w:eastAsia="Times New Roman" w:cs="Times New Roman"/>
                <w:sz w:val="20"/>
                <w:szCs w:val="20"/>
                <w:lang w:eastAsia="nl-NL"/>
              </w:rPr>
              <w:t>Capability</w:t>
            </w:r>
            <w:proofErr w:type="spellEnd"/>
            <w:r w:rsidRPr="006C247E">
              <w:rPr>
                <w:rFonts w:ascii="Times New Roman" w:hAnsi="Times New Roman" w:eastAsia="Times New Roman" w:cs="Times New Roman"/>
                <w:sz w:val="20"/>
                <w:szCs w:val="20"/>
                <w:lang w:eastAsia="nl-NL"/>
              </w:rPr>
              <w:t xml:space="preserve"> Readiness System Rapid Deployment Level Workshop". Hieronder vallen ook de aan de deelnemers toe te kennen privileges en immuniteiten. Met het oog op de tijdelijke aard van de bijeenkomst zal het verdrag voor niet langer dan een jaar worden gesloten. </w:t>
            </w:r>
          </w:p>
          <w:p w:rsidR="006C247E" w:rsidP="00CE638D" w:rsidRDefault="006C247E" w14:paraId="6C48D8DC" w14:textId="77777777">
            <w:pPr>
              <w:tabs>
                <w:tab w:val="left" w:pos="2710"/>
              </w:tabs>
              <w:spacing w:after="0"/>
              <w:rPr>
                <w:rFonts w:ascii="Times New Roman" w:hAnsi="Times New Roman" w:eastAsia="Times New Roman" w:cs="Times New Roman"/>
                <w:sz w:val="20"/>
                <w:szCs w:val="20"/>
                <w:lang w:eastAsia="nl-NL"/>
              </w:rPr>
            </w:pPr>
          </w:p>
          <w:p w:rsidR="00FF1BE8" w:rsidP="00CE638D" w:rsidRDefault="00FF1BE8" w14:paraId="2236AFF0" w14:textId="389D0660">
            <w:pPr>
              <w:tabs>
                <w:tab w:val="left" w:pos="2710"/>
              </w:tabs>
              <w:spacing w:after="0"/>
              <w:rPr>
                <w:rFonts w:ascii="Times New Roman" w:hAnsi="Times New Roman" w:eastAsia="Times New Roman" w:cs="Times New Roman"/>
                <w:sz w:val="20"/>
                <w:szCs w:val="20"/>
                <w:lang w:eastAsia="nl-NL"/>
              </w:rPr>
            </w:pPr>
            <w:r w:rsidRPr="00FF1BE8">
              <w:rPr>
                <w:rFonts w:ascii="Times New Roman" w:hAnsi="Times New Roman" w:eastAsia="Times New Roman" w:cs="Times New Roman"/>
                <w:sz w:val="20"/>
                <w:szCs w:val="20"/>
                <w:lang w:eastAsia="nl-NL"/>
              </w:rPr>
              <w:t xml:space="preserve">De op 4 december 2017 te Parijs tot stand gekomen Verklaring van bepaalde Europese </w:t>
            </w:r>
            <w:r w:rsidR="00BE4779">
              <w:rPr>
                <w:rFonts w:ascii="Times New Roman" w:hAnsi="Times New Roman" w:eastAsia="Times New Roman" w:cs="Times New Roman"/>
                <w:sz w:val="20"/>
                <w:szCs w:val="20"/>
                <w:lang w:eastAsia="nl-NL"/>
              </w:rPr>
              <w:t>R</w:t>
            </w:r>
            <w:r w:rsidRPr="00FF1BE8">
              <w:rPr>
                <w:rFonts w:ascii="Times New Roman" w:hAnsi="Times New Roman" w:eastAsia="Times New Roman" w:cs="Times New Roman"/>
                <w:sz w:val="20"/>
                <w:szCs w:val="20"/>
                <w:lang w:eastAsia="nl-NL"/>
              </w:rPr>
              <w:t xml:space="preserve">egeringen inzake de exploitatiefase van de lanceervoertuigen Ariane, Vega en </w:t>
            </w:r>
            <w:proofErr w:type="spellStart"/>
            <w:r w:rsidRPr="00FF1BE8">
              <w:rPr>
                <w:rFonts w:ascii="Times New Roman" w:hAnsi="Times New Roman" w:eastAsia="Times New Roman" w:cs="Times New Roman"/>
                <w:sz w:val="20"/>
                <w:szCs w:val="20"/>
                <w:lang w:eastAsia="nl-NL"/>
              </w:rPr>
              <w:t>Sojoez</w:t>
            </w:r>
            <w:proofErr w:type="spellEnd"/>
            <w:r w:rsidRPr="00FF1BE8">
              <w:rPr>
                <w:rFonts w:ascii="Times New Roman" w:hAnsi="Times New Roman" w:eastAsia="Times New Roman" w:cs="Times New Roman"/>
                <w:sz w:val="20"/>
                <w:szCs w:val="20"/>
                <w:lang w:eastAsia="nl-NL"/>
              </w:rPr>
              <w:t xml:space="preserve"> vanaf het Ruimtecentrum in Guyana regelt de verplichtingen tussen de verdragspartijen in de exploitatiefase van de genoemde lanceervoertuigen die volgt op de ontwikkeling ervan. De wijziging voor dit verdrag heeft als doel het bedrijf AVIO verantwoordelijk te maken voor de exploitatie van de Vega draagraket.</w:t>
            </w:r>
          </w:p>
          <w:p w:rsidR="00FF1BE8" w:rsidP="008F608D" w:rsidRDefault="00FF1BE8" w14:paraId="07821743" w14:textId="77777777">
            <w:pPr>
              <w:tabs>
                <w:tab w:val="left" w:pos="2710"/>
              </w:tabs>
              <w:spacing w:after="0"/>
              <w:rPr>
                <w:rFonts w:ascii="Times New Roman" w:hAnsi="Times New Roman" w:eastAsia="Times New Roman" w:cs="Times New Roman"/>
                <w:sz w:val="20"/>
                <w:szCs w:val="20"/>
                <w:lang w:eastAsia="nl-NL"/>
              </w:rPr>
            </w:pPr>
          </w:p>
          <w:p w:rsidR="00FD76AA" w:rsidP="008F608D" w:rsidRDefault="00FD76AA" w14:paraId="52A8AD51" w14:textId="78B1BE1B">
            <w:pPr>
              <w:pStyle w:val="Heading3"/>
              <w:shd w:val="clear" w:color="auto" w:fill="FFFFFF"/>
              <w:spacing w:before="0" w:beforeAutospacing="0" w:after="240" w:afterAutospacing="0" w:line="240" w:lineRule="atLeast"/>
              <w:rPr>
                <w:b w:val="0"/>
                <w:bCs w:val="0"/>
                <w:sz w:val="20"/>
                <w:szCs w:val="20"/>
              </w:rPr>
            </w:pPr>
            <w:r w:rsidRPr="00FD76AA">
              <w:rPr>
                <w:b w:val="0"/>
                <w:bCs w:val="0"/>
                <w:sz w:val="20"/>
                <w:szCs w:val="20"/>
              </w:rPr>
              <w:t xml:space="preserve">Het verdrag bevat regels die aanwijzen welke van de verdragsluitende staten bevoegd is om in overeenstemming met zijn nationale wetgeving belasting te heffen over het inkomen van inwoners van één of van beide staten. Daarnaast is in het verdrag, onder meer met het oog op het voorkomen van het ontduiken en ontwijken van belasting, een </w:t>
            </w:r>
            <w:r w:rsidRPr="00FD76AA">
              <w:rPr>
                <w:b w:val="0"/>
                <w:bCs w:val="0"/>
                <w:sz w:val="20"/>
                <w:szCs w:val="20"/>
              </w:rPr>
              <w:lastRenderedPageBreak/>
              <w:t>juridische basis opgenomen voor onderling overleg, voor uitwisseling van gegevens en voor bijstand bij de invordering van belastingschulden.</w:t>
            </w:r>
          </w:p>
          <w:p w:rsidRPr="00E60696" w:rsidR="000441B0" w:rsidP="008F608D" w:rsidRDefault="00E60696" w14:paraId="2E1C3A22" w14:textId="2EF382D9">
            <w:pPr>
              <w:pStyle w:val="Heading3"/>
              <w:shd w:val="clear" w:color="auto" w:fill="FFFFFF"/>
              <w:spacing w:before="0" w:beforeAutospacing="0" w:after="240" w:afterAutospacing="0" w:line="240" w:lineRule="atLeast"/>
              <w:rPr>
                <w:b w:val="0"/>
                <w:bCs w:val="0"/>
                <w:sz w:val="20"/>
                <w:szCs w:val="20"/>
              </w:rPr>
            </w:pPr>
            <w:r w:rsidRPr="00E60696">
              <w:rPr>
                <w:b w:val="0"/>
                <w:bCs w:val="0"/>
                <w:sz w:val="20"/>
                <w:szCs w:val="20"/>
              </w:rPr>
              <w:t>In het tweede kwartaal van 2024 zijn de eerste verkennende gesprekken tussen Nederland en de Verenigde Staten van Amerika gestart om te komen tot een verdrag inzake samenwerking op het gebied van wetenschap, technologie en innovatie. Met dit verdrag wordt beoogd om wetenschappelijke en technologische samenwerking te bevorderen.</w:t>
            </w:r>
          </w:p>
          <w:p w:rsidRPr="00741D5E" w:rsidR="000441B0" w:rsidP="004B114A" w:rsidRDefault="000441B0" w14:paraId="4D18672C" w14:textId="7E818D29">
            <w:pPr>
              <w:tabs>
                <w:tab w:val="left" w:pos="2710"/>
              </w:tabs>
              <w:rPr>
                <w:rFonts w:ascii="Times New Roman" w:hAnsi="Times New Roman" w:eastAsia="Times New Roman" w:cs="Times New Roman"/>
                <w:sz w:val="20"/>
                <w:szCs w:val="20"/>
                <w:lang w:eastAsia="nl-NL"/>
              </w:rPr>
            </w:pPr>
          </w:p>
        </w:tc>
        <w:tc>
          <w:tcPr>
            <w:tcW w:w="958" w:type="dxa"/>
            <w:tcBorders>
              <w:top w:val="nil"/>
              <w:left w:val="nil"/>
              <w:bottom w:val="nil"/>
              <w:right w:val="nil"/>
            </w:tcBorders>
            <w:shd w:val="clear" w:color="auto" w:fill="auto"/>
            <w:hideMark/>
          </w:tcPr>
          <w:p w:rsidRPr="00C20086" w:rsidR="00043433" w:rsidP="00043433" w:rsidRDefault="00043433" w14:paraId="3C3AD9FA" w14:textId="61953DDB">
            <w:pPr>
              <w:spacing w:after="0" w:line="240" w:lineRule="auto"/>
              <w:rPr>
                <w:rFonts w:ascii="Times New Roman" w:hAnsi="Times New Roman" w:eastAsia="Times New Roman" w:cs="Times New Roman"/>
                <w:sz w:val="20"/>
                <w:szCs w:val="20"/>
                <w:lang w:eastAsia="nl-NL"/>
              </w:rPr>
            </w:pPr>
          </w:p>
        </w:tc>
      </w:tr>
    </w:tbl>
    <w:p w:rsidR="001945A6" w:rsidP="00524A08" w:rsidRDefault="001945A6" w14:paraId="00D84624" w14:textId="6A1FCB84">
      <w:pPr>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lastRenderedPageBreak/>
        <w:t xml:space="preserve">Totaal: </w:t>
      </w:r>
      <w:r w:rsidR="006C247E">
        <w:rPr>
          <w:rFonts w:ascii="Times New Roman" w:hAnsi="Times New Roman" w:eastAsia="Times New Roman" w:cs="Times New Roman"/>
          <w:sz w:val="20"/>
          <w:szCs w:val="20"/>
          <w:lang w:eastAsia="nl-NL"/>
        </w:rPr>
        <w:t>7</w:t>
      </w:r>
    </w:p>
    <w:p w:rsidR="002B0D66" w:rsidP="00524A08" w:rsidRDefault="002B0D66" w14:paraId="38F83497" w14:textId="77777777">
      <w:pPr>
        <w:rPr>
          <w:rFonts w:ascii="Times New Roman" w:hAnsi="Times New Roman" w:eastAsia="Times New Roman" w:cs="Times New Roman"/>
          <w:sz w:val="20"/>
          <w:szCs w:val="20"/>
          <w:lang w:eastAsia="nl-NL"/>
        </w:rPr>
      </w:pPr>
    </w:p>
    <w:sectPr w:rsidR="002B0D66" w:rsidSect="008122E6">
      <w:headerReference w:type="default" r:id="rId7"/>
      <w:pgSz w:w="16838" w:h="11906" w:orient="landscape"/>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CFF8" w14:textId="77777777" w:rsidR="006756B2" w:rsidRDefault="006756B2" w:rsidP="00043433">
      <w:pPr>
        <w:spacing w:after="0" w:line="240" w:lineRule="auto"/>
      </w:pPr>
      <w:r>
        <w:separator/>
      </w:r>
    </w:p>
  </w:endnote>
  <w:endnote w:type="continuationSeparator" w:id="0">
    <w:p w14:paraId="5E3F278D" w14:textId="77777777" w:rsidR="006756B2" w:rsidRDefault="006756B2" w:rsidP="0004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C3B1" w14:textId="77777777" w:rsidR="006756B2" w:rsidRDefault="006756B2" w:rsidP="00043433">
      <w:pPr>
        <w:spacing w:after="0" w:line="240" w:lineRule="auto"/>
      </w:pPr>
      <w:r>
        <w:separator/>
      </w:r>
    </w:p>
  </w:footnote>
  <w:footnote w:type="continuationSeparator" w:id="0">
    <w:p w14:paraId="346B9B73" w14:textId="77777777" w:rsidR="006756B2" w:rsidRDefault="006756B2" w:rsidP="0004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3F66" w14:textId="1055543B" w:rsidR="00043433" w:rsidRDefault="00043433" w:rsidP="00043433">
    <w:pPr>
      <w:jc w:val="right"/>
      <w:rPr>
        <w:rFonts w:ascii="Times New Roman" w:eastAsia="Times New Roman" w:hAnsi="Times New Roman" w:cs="Times New Roman"/>
        <w:b/>
        <w:sz w:val="20"/>
      </w:rPr>
    </w:pPr>
    <w:r>
      <w:rPr>
        <w:rFonts w:ascii="Times New Roman" w:eastAsia="Times New Roman" w:hAnsi="Times New Roman" w:cs="Times New Roman"/>
        <w:b/>
        <w:sz w:val="20"/>
      </w:rPr>
      <w:t>Bijlage 1</w:t>
    </w:r>
  </w:p>
  <w:p w14:paraId="7B3A5512" w14:textId="57009245" w:rsidR="00043433" w:rsidRDefault="00043433" w:rsidP="00043433">
    <w:r>
      <w:rPr>
        <w:rFonts w:ascii="Times New Roman" w:eastAsia="Times New Roman" w:hAnsi="Times New Roman" w:cs="Times New Roman"/>
        <w:b/>
        <w:sz w:val="20"/>
      </w:rPr>
      <w:t xml:space="preserve">Overzicht van </w:t>
    </w:r>
    <w:proofErr w:type="spellStart"/>
    <w:r>
      <w:rPr>
        <w:rFonts w:ascii="Times New Roman" w:eastAsia="Times New Roman" w:hAnsi="Times New Roman" w:cs="Times New Roman"/>
        <w:b/>
        <w:sz w:val="20"/>
      </w:rPr>
      <w:t>ontwerp-verdragen</w:t>
    </w:r>
    <w:proofErr w:type="spellEnd"/>
    <w:r>
      <w:rPr>
        <w:rFonts w:ascii="Times New Roman" w:eastAsia="Times New Roman" w:hAnsi="Times New Roman" w:cs="Times New Roman"/>
        <w:b/>
        <w:sz w:val="20"/>
      </w:rPr>
      <w:t xml:space="preserve"> per 1 </w:t>
    </w:r>
    <w:r w:rsidR="00B9736A">
      <w:rPr>
        <w:rFonts w:ascii="Times New Roman" w:eastAsia="Times New Roman" w:hAnsi="Times New Roman" w:cs="Times New Roman"/>
        <w:b/>
        <w:sz w:val="20"/>
      </w:rPr>
      <w:t>juli</w:t>
    </w:r>
    <w:r w:rsidR="00841EC4">
      <w:rPr>
        <w:rFonts w:ascii="Times New Roman" w:eastAsia="Times New Roman" w:hAnsi="Times New Roman" w:cs="Times New Roman"/>
        <w:b/>
        <w:sz w:val="20"/>
      </w:rPr>
      <w:t xml:space="preserve"> </w:t>
    </w:r>
    <w:r w:rsidR="00AA6E21">
      <w:rPr>
        <w:rFonts w:ascii="Times New Roman" w:eastAsia="Times New Roman" w:hAnsi="Times New Roman" w:cs="Times New Roman"/>
        <w:b/>
        <w:sz w:val="20"/>
      </w:rPr>
      <w:t>2024</w:t>
    </w:r>
    <w:r>
      <w:rPr>
        <w:rFonts w:ascii="Times New Roman" w:eastAsia="Times New Roman" w:hAnsi="Times New Roman" w:cs="Times New Roman"/>
        <w:b/>
        <w:sz w:val="20"/>
      </w:rPr>
      <w:t xml:space="preserve"> die vergeleken met de lijst van 1 </w:t>
    </w:r>
    <w:r w:rsidR="00B9736A">
      <w:rPr>
        <w:rFonts w:ascii="Times New Roman" w:eastAsia="Times New Roman" w:hAnsi="Times New Roman" w:cs="Times New Roman"/>
        <w:b/>
        <w:sz w:val="20"/>
      </w:rPr>
      <w:t xml:space="preserve">april </w:t>
    </w:r>
    <w:r w:rsidR="00841EC4">
      <w:rPr>
        <w:rFonts w:ascii="Times New Roman" w:eastAsia="Times New Roman" w:hAnsi="Times New Roman" w:cs="Times New Roman"/>
        <w:b/>
        <w:sz w:val="20"/>
      </w:rPr>
      <w:t>2024</w:t>
    </w:r>
    <w:r>
      <w:rPr>
        <w:rFonts w:ascii="Times New Roman" w:eastAsia="Times New Roman" w:hAnsi="Times New Roman" w:cs="Times New Roman"/>
        <w:b/>
        <w:sz w:val="20"/>
      </w:rPr>
      <w:t xml:space="preserve"> (Kamerstukken II 202</w:t>
    </w:r>
    <w:r w:rsidR="00AA6E21">
      <w:rPr>
        <w:rFonts w:ascii="Times New Roman" w:eastAsia="Times New Roman" w:hAnsi="Times New Roman" w:cs="Times New Roman"/>
        <w:b/>
        <w:sz w:val="20"/>
      </w:rPr>
      <w:t>3</w:t>
    </w:r>
    <w:r>
      <w:rPr>
        <w:rFonts w:ascii="Times New Roman" w:eastAsia="Times New Roman" w:hAnsi="Times New Roman" w:cs="Times New Roman"/>
        <w:b/>
        <w:sz w:val="20"/>
      </w:rPr>
      <w:t>/202</w:t>
    </w:r>
    <w:r w:rsidR="00AA6E21">
      <w:rPr>
        <w:rFonts w:ascii="Times New Roman" w:eastAsia="Times New Roman" w:hAnsi="Times New Roman" w:cs="Times New Roman"/>
        <w:b/>
        <w:sz w:val="20"/>
      </w:rPr>
      <w:t>4</w:t>
    </w:r>
    <w:r>
      <w:rPr>
        <w:rFonts w:ascii="Times New Roman" w:eastAsia="Times New Roman" w:hAnsi="Times New Roman" w:cs="Times New Roman"/>
        <w:b/>
        <w:sz w:val="20"/>
      </w:rPr>
      <w:t xml:space="preserve">, 23530, </w:t>
    </w:r>
    <w:r w:rsidR="008B3D7D">
      <w:rPr>
        <w:rFonts w:ascii="Times New Roman" w:eastAsia="Times New Roman" w:hAnsi="Times New Roman" w:cs="Times New Roman"/>
        <w:b/>
        <w:sz w:val="20"/>
      </w:rPr>
      <w:t>14</w:t>
    </w:r>
    <w:r w:rsidR="00723E39">
      <w:rPr>
        <w:rFonts w:ascii="Times New Roman" w:eastAsia="Times New Roman" w:hAnsi="Times New Roman" w:cs="Times New Roman"/>
        <w:b/>
        <w:sz w:val="20"/>
      </w:rPr>
      <w:t>6</w:t>
    </w:r>
    <w:r>
      <w:rPr>
        <w:rFonts w:ascii="Times New Roman" w:eastAsia="Times New Roman" w:hAnsi="Times New Roman" w:cs="Times New Roman"/>
        <w:b/>
        <w:sz w:val="20"/>
      </w:rPr>
      <w:t>) NIEUW zijn op de lijst; *= politiek belangrijk</w:t>
    </w:r>
  </w:p>
  <w:p w14:paraId="63BB98B9" w14:textId="77777777" w:rsidR="00043433" w:rsidRDefault="00043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E6"/>
    <w:rsid w:val="00001672"/>
    <w:rsid w:val="00006BAA"/>
    <w:rsid w:val="000131F6"/>
    <w:rsid w:val="00013D31"/>
    <w:rsid w:val="000169C9"/>
    <w:rsid w:val="00021A35"/>
    <w:rsid w:val="00023B89"/>
    <w:rsid w:val="00043433"/>
    <w:rsid w:val="000441B0"/>
    <w:rsid w:val="00045BA7"/>
    <w:rsid w:val="0004797C"/>
    <w:rsid w:val="000529C9"/>
    <w:rsid w:val="00061387"/>
    <w:rsid w:val="00061628"/>
    <w:rsid w:val="00070189"/>
    <w:rsid w:val="00083ABC"/>
    <w:rsid w:val="00094956"/>
    <w:rsid w:val="00095390"/>
    <w:rsid w:val="000A0E45"/>
    <w:rsid w:val="000A1F27"/>
    <w:rsid w:val="000A5FD0"/>
    <w:rsid w:val="000C41D7"/>
    <w:rsid w:val="000C4C0E"/>
    <w:rsid w:val="000C6D4F"/>
    <w:rsid w:val="000D4285"/>
    <w:rsid w:val="000D7E53"/>
    <w:rsid w:val="000E2D2B"/>
    <w:rsid w:val="000F18CF"/>
    <w:rsid w:val="0010249F"/>
    <w:rsid w:val="001056F6"/>
    <w:rsid w:val="00105A3E"/>
    <w:rsid w:val="00121B88"/>
    <w:rsid w:val="00125459"/>
    <w:rsid w:val="00134C46"/>
    <w:rsid w:val="00135BAC"/>
    <w:rsid w:val="001467FB"/>
    <w:rsid w:val="00153D94"/>
    <w:rsid w:val="001719AF"/>
    <w:rsid w:val="00173765"/>
    <w:rsid w:val="001831DA"/>
    <w:rsid w:val="001945A6"/>
    <w:rsid w:val="001A04E3"/>
    <w:rsid w:val="001A064C"/>
    <w:rsid w:val="001A2FA0"/>
    <w:rsid w:val="001A3816"/>
    <w:rsid w:val="001A4E8E"/>
    <w:rsid w:val="001A62CE"/>
    <w:rsid w:val="001A6C8E"/>
    <w:rsid w:val="001A7E2F"/>
    <w:rsid w:val="001B138C"/>
    <w:rsid w:val="001B7D59"/>
    <w:rsid w:val="001C52FE"/>
    <w:rsid w:val="001D1C9E"/>
    <w:rsid w:val="001D6D1B"/>
    <w:rsid w:val="001D7704"/>
    <w:rsid w:val="001E2D49"/>
    <w:rsid w:val="001E2FE2"/>
    <w:rsid w:val="001E7B40"/>
    <w:rsid w:val="001F2589"/>
    <w:rsid w:val="001F38AE"/>
    <w:rsid w:val="001F4237"/>
    <w:rsid w:val="002008AE"/>
    <w:rsid w:val="00206B07"/>
    <w:rsid w:val="00231DED"/>
    <w:rsid w:val="002323C3"/>
    <w:rsid w:val="00233A1A"/>
    <w:rsid w:val="00246C28"/>
    <w:rsid w:val="002655D3"/>
    <w:rsid w:val="0026778C"/>
    <w:rsid w:val="00275137"/>
    <w:rsid w:val="00283EA8"/>
    <w:rsid w:val="0028741E"/>
    <w:rsid w:val="002A6B61"/>
    <w:rsid w:val="002B0D66"/>
    <w:rsid w:val="002C4C35"/>
    <w:rsid w:val="002C61DB"/>
    <w:rsid w:val="002D5873"/>
    <w:rsid w:val="002F50D4"/>
    <w:rsid w:val="002F6A44"/>
    <w:rsid w:val="0030276E"/>
    <w:rsid w:val="003047D5"/>
    <w:rsid w:val="00307023"/>
    <w:rsid w:val="00326F86"/>
    <w:rsid w:val="00342727"/>
    <w:rsid w:val="003441F1"/>
    <w:rsid w:val="00345802"/>
    <w:rsid w:val="003546D5"/>
    <w:rsid w:val="00360266"/>
    <w:rsid w:val="0036065A"/>
    <w:rsid w:val="003638B4"/>
    <w:rsid w:val="0036687F"/>
    <w:rsid w:val="00377FCB"/>
    <w:rsid w:val="00381583"/>
    <w:rsid w:val="003943D9"/>
    <w:rsid w:val="003A0CA5"/>
    <w:rsid w:val="003A598A"/>
    <w:rsid w:val="003A70A9"/>
    <w:rsid w:val="003B2134"/>
    <w:rsid w:val="003B7579"/>
    <w:rsid w:val="003C1326"/>
    <w:rsid w:val="003C39B2"/>
    <w:rsid w:val="003C76A2"/>
    <w:rsid w:val="003D051D"/>
    <w:rsid w:val="003D6950"/>
    <w:rsid w:val="003D7FC0"/>
    <w:rsid w:val="003E3AA9"/>
    <w:rsid w:val="003F69FB"/>
    <w:rsid w:val="0041341F"/>
    <w:rsid w:val="004204C7"/>
    <w:rsid w:val="00421E1F"/>
    <w:rsid w:val="004234A5"/>
    <w:rsid w:val="00424BB1"/>
    <w:rsid w:val="0043394B"/>
    <w:rsid w:val="0044780D"/>
    <w:rsid w:val="00450102"/>
    <w:rsid w:val="00453699"/>
    <w:rsid w:val="004663D9"/>
    <w:rsid w:val="00476DC0"/>
    <w:rsid w:val="0047792F"/>
    <w:rsid w:val="0048052C"/>
    <w:rsid w:val="00482004"/>
    <w:rsid w:val="00487149"/>
    <w:rsid w:val="00495678"/>
    <w:rsid w:val="004B114A"/>
    <w:rsid w:val="004B7318"/>
    <w:rsid w:val="004B7C9F"/>
    <w:rsid w:val="004C07E4"/>
    <w:rsid w:val="004E6435"/>
    <w:rsid w:val="0050364C"/>
    <w:rsid w:val="005102AD"/>
    <w:rsid w:val="00514B1B"/>
    <w:rsid w:val="00514D5C"/>
    <w:rsid w:val="0051543E"/>
    <w:rsid w:val="00524A08"/>
    <w:rsid w:val="00537F61"/>
    <w:rsid w:val="00542B61"/>
    <w:rsid w:val="005465E9"/>
    <w:rsid w:val="00553FC2"/>
    <w:rsid w:val="00556F34"/>
    <w:rsid w:val="00564514"/>
    <w:rsid w:val="005714ED"/>
    <w:rsid w:val="0059098C"/>
    <w:rsid w:val="00591620"/>
    <w:rsid w:val="00596180"/>
    <w:rsid w:val="005979DA"/>
    <w:rsid w:val="005A0364"/>
    <w:rsid w:val="005A2203"/>
    <w:rsid w:val="005C20F3"/>
    <w:rsid w:val="005E3A0C"/>
    <w:rsid w:val="005E4E9D"/>
    <w:rsid w:val="005F65E7"/>
    <w:rsid w:val="006200E5"/>
    <w:rsid w:val="006447A5"/>
    <w:rsid w:val="006454AF"/>
    <w:rsid w:val="00645D43"/>
    <w:rsid w:val="006541FB"/>
    <w:rsid w:val="00657A83"/>
    <w:rsid w:val="00661084"/>
    <w:rsid w:val="006713E9"/>
    <w:rsid w:val="006756B2"/>
    <w:rsid w:val="00681A48"/>
    <w:rsid w:val="006A0794"/>
    <w:rsid w:val="006A43D9"/>
    <w:rsid w:val="006A493A"/>
    <w:rsid w:val="006B4894"/>
    <w:rsid w:val="006C247E"/>
    <w:rsid w:val="006D34AF"/>
    <w:rsid w:val="006F4B36"/>
    <w:rsid w:val="006F4CA4"/>
    <w:rsid w:val="007012D8"/>
    <w:rsid w:val="007045AC"/>
    <w:rsid w:val="007106A9"/>
    <w:rsid w:val="007121C4"/>
    <w:rsid w:val="007203EE"/>
    <w:rsid w:val="007225F4"/>
    <w:rsid w:val="00723E39"/>
    <w:rsid w:val="00731F5C"/>
    <w:rsid w:val="00733C51"/>
    <w:rsid w:val="00737B71"/>
    <w:rsid w:val="00741D5E"/>
    <w:rsid w:val="007463A4"/>
    <w:rsid w:val="00775FB7"/>
    <w:rsid w:val="00782F58"/>
    <w:rsid w:val="00787819"/>
    <w:rsid w:val="007974EA"/>
    <w:rsid w:val="007A365D"/>
    <w:rsid w:val="007B410E"/>
    <w:rsid w:val="007B4A2D"/>
    <w:rsid w:val="007C4615"/>
    <w:rsid w:val="007D0875"/>
    <w:rsid w:val="007E1B80"/>
    <w:rsid w:val="007F03C5"/>
    <w:rsid w:val="00801BC1"/>
    <w:rsid w:val="00807E8A"/>
    <w:rsid w:val="008122E6"/>
    <w:rsid w:val="00817371"/>
    <w:rsid w:val="00823779"/>
    <w:rsid w:val="008346D3"/>
    <w:rsid w:val="00836764"/>
    <w:rsid w:val="00840620"/>
    <w:rsid w:val="00841EC4"/>
    <w:rsid w:val="008424F8"/>
    <w:rsid w:val="00857433"/>
    <w:rsid w:val="0086396F"/>
    <w:rsid w:val="00871BD4"/>
    <w:rsid w:val="00872084"/>
    <w:rsid w:val="00883E48"/>
    <w:rsid w:val="008935EA"/>
    <w:rsid w:val="008960AC"/>
    <w:rsid w:val="0089798F"/>
    <w:rsid w:val="008A7ACF"/>
    <w:rsid w:val="008B316E"/>
    <w:rsid w:val="008B3D7D"/>
    <w:rsid w:val="008C2F55"/>
    <w:rsid w:val="008D2366"/>
    <w:rsid w:val="008D5931"/>
    <w:rsid w:val="008E3E81"/>
    <w:rsid w:val="008F09B6"/>
    <w:rsid w:val="008F608D"/>
    <w:rsid w:val="008F61FA"/>
    <w:rsid w:val="00902620"/>
    <w:rsid w:val="00926342"/>
    <w:rsid w:val="00937D6D"/>
    <w:rsid w:val="009416EE"/>
    <w:rsid w:val="0094428E"/>
    <w:rsid w:val="0094598E"/>
    <w:rsid w:val="00946F7B"/>
    <w:rsid w:val="00951F60"/>
    <w:rsid w:val="0095712E"/>
    <w:rsid w:val="00961872"/>
    <w:rsid w:val="009918C0"/>
    <w:rsid w:val="009919A0"/>
    <w:rsid w:val="009934DD"/>
    <w:rsid w:val="00994765"/>
    <w:rsid w:val="009B06D3"/>
    <w:rsid w:val="009B2234"/>
    <w:rsid w:val="009B338B"/>
    <w:rsid w:val="009D005C"/>
    <w:rsid w:val="009D31CD"/>
    <w:rsid w:val="009D431B"/>
    <w:rsid w:val="009D5930"/>
    <w:rsid w:val="009E084A"/>
    <w:rsid w:val="009E3880"/>
    <w:rsid w:val="009F0056"/>
    <w:rsid w:val="009F08CC"/>
    <w:rsid w:val="00A17E26"/>
    <w:rsid w:val="00A25A6E"/>
    <w:rsid w:val="00A35073"/>
    <w:rsid w:val="00A3596A"/>
    <w:rsid w:val="00A53265"/>
    <w:rsid w:val="00A5376B"/>
    <w:rsid w:val="00A731AA"/>
    <w:rsid w:val="00A76BED"/>
    <w:rsid w:val="00A8608A"/>
    <w:rsid w:val="00A97764"/>
    <w:rsid w:val="00AA46AE"/>
    <w:rsid w:val="00AA6E21"/>
    <w:rsid w:val="00AA7CDB"/>
    <w:rsid w:val="00AB1593"/>
    <w:rsid w:val="00AC060F"/>
    <w:rsid w:val="00AC2491"/>
    <w:rsid w:val="00AD07AD"/>
    <w:rsid w:val="00AD24B0"/>
    <w:rsid w:val="00AF5582"/>
    <w:rsid w:val="00B14D5D"/>
    <w:rsid w:val="00B16B66"/>
    <w:rsid w:val="00B2161C"/>
    <w:rsid w:val="00B6069C"/>
    <w:rsid w:val="00B63122"/>
    <w:rsid w:val="00B6644A"/>
    <w:rsid w:val="00B72184"/>
    <w:rsid w:val="00B76BDA"/>
    <w:rsid w:val="00B85658"/>
    <w:rsid w:val="00B8639A"/>
    <w:rsid w:val="00B87A13"/>
    <w:rsid w:val="00B96272"/>
    <w:rsid w:val="00B97152"/>
    <w:rsid w:val="00B9736A"/>
    <w:rsid w:val="00BB72F6"/>
    <w:rsid w:val="00BC26A0"/>
    <w:rsid w:val="00BD372C"/>
    <w:rsid w:val="00BD3CEE"/>
    <w:rsid w:val="00BD6AC4"/>
    <w:rsid w:val="00BE4779"/>
    <w:rsid w:val="00BE482F"/>
    <w:rsid w:val="00C024F9"/>
    <w:rsid w:val="00C033CF"/>
    <w:rsid w:val="00C05FFE"/>
    <w:rsid w:val="00C10CBF"/>
    <w:rsid w:val="00C13401"/>
    <w:rsid w:val="00C20086"/>
    <w:rsid w:val="00C27C8C"/>
    <w:rsid w:val="00C3548A"/>
    <w:rsid w:val="00C41502"/>
    <w:rsid w:val="00C41DD6"/>
    <w:rsid w:val="00C420F5"/>
    <w:rsid w:val="00C501C4"/>
    <w:rsid w:val="00C539AB"/>
    <w:rsid w:val="00C64B6F"/>
    <w:rsid w:val="00C96DBC"/>
    <w:rsid w:val="00CB1E68"/>
    <w:rsid w:val="00CB5744"/>
    <w:rsid w:val="00CC289B"/>
    <w:rsid w:val="00CC2A63"/>
    <w:rsid w:val="00CE638D"/>
    <w:rsid w:val="00CE7127"/>
    <w:rsid w:val="00D17B61"/>
    <w:rsid w:val="00D4179B"/>
    <w:rsid w:val="00D44506"/>
    <w:rsid w:val="00D46EEF"/>
    <w:rsid w:val="00D53988"/>
    <w:rsid w:val="00D575BD"/>
    <w:rsid w:val="00D64DAB"/>
    <w:rsid w:val="00D67984"/>
    <w:rsid w:val="00D73F73"/>
    <w:rsid w:val="00D77FB4"/>
    <w:rsid w:val="00D909C4"/>
    <w:rsid w:val="00D97563"/>
    <w:rsid w:val="00DA64A1"/>
    <w:rsid w:val="00DB2605"/>
    <w:rsid w:val="00DD2507"/>
    <w:rsid w:val="00DD522D"/>
    <w:rsid w:val="00DE1D1A"/>
    <w:rsid w:val="00DE5B59"/>
    <w:rsid w:val="00DF3FB6"/>
    <w:rsid w:val="00DF5905"/>
    <w:rsid w:val="00E03020"/>
    <w:rsid w:val="00E0321B"/>
    <w:rsid w:val="00E043AB"/>
    <w:rsid w:val="00E117CA"/>
    <w:rsid w:val="00E22C79"/>
    <w:rsid w:val="00E26C0A"/>
    <w:rsid w:val="00E32E79"/>
    <w:rsid w:val="00E36B55"/>
    <w:rsid w:val="00E372AE"/>
    <w:rsid w:val="00E37DF0"/>
    <w:rsid w:val="00E47161"/>
    <w:rsid w:val="00E564E9"/>
    <w:rsid w:val="00E60696"/>
    <w:rsid w:val="00E66784"/>
    <w:rsid w:val="00E82542"/>
    <w:rsid w:val="00E82EB4"/>
    <w:rsid w:val="00E92F7B"/>
    <w:rsid w:val="00E94BF1"/>
    <w:rsid w:val="00E97387"/>
    <w:rsid w:val="00EA3EFC"/>
    <w:rsid w:val="00EB463E"/>
    <w:rsid w:val="00EC64ED"/>
    <w:rsid w:val="00EC6BFB"/>
    <w:rsid w:val="00ED4299"/>
    <w:rsid w:val="00ED48AD"/>
    <w:rsid w:val="00EE380A"/>
    <w:rsid w:val="00EE632F"/>
    <w:rsid w:val="00EF209E"/>
    <w:rsid w:val="00EF4D82"/>
    <w:rsid w:val="00F00FAA"/>
    <w:rsid w:val="00F070C3"/>
    <w:rsid w:val="00F119FB"/>
    <w:rsid w:val="00F22DFB"/>
    <w:rsid w:val="00F23DA3"/>
    <w:rsid w:val="00F27185"/>
    <w:rsid w:val="00F36CB5"/>
    <w:rsid w:val="00F42E50"/>
    <w:rsid w:val="00F533E6"/>
    <w:rsid w:val="00F73800"/>
    <w:rsid w:val="00F76861"/>
    <w:rsid w:val="00F776D1"/>
    <w:rsid w:val="00F80CB8"/>
    <w:rsid w:val="00F82DAF"/>
    <w:rsid w:val="00F90F67"/>
    <w:rsid w:val="00FA2EF7"/>
    <w:rsid w:val="00FA6253"/>
    <w:rsid w:val="00FC6CC8"/>
    <w:rsid w:val="00FD2324"/>
    <w:rsid w:val="00FD4E0B"/>
    <w:rsid w:val="00FD5187"/>
    <w:rsid w:val="00FD76AA"/>
    <w:rsid w:val="00FD7763"/>
    <w:rsid w:val="00FF1BE8"/>
    <w:rsid w:val="00FF5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3F597"/>
  <w15:chartTrackingRefBased/>
  <w15:docId w15:val="{DAB20B58-AF62-41F3-9B62-3F02A93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477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33"/>
  </w:style>
  <w:style w:type="paragraph" w:styleId="Footer">
    <w:name w:val="footer"/>
    <w:basedOn w:val="Normal"/>
    <w:link w:val="FooterChar"/>
    <w:uiPriority w:val="99"/>
    <w:unhideWhenUsed/>
    <w:rsid w:val="00043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33"/>
  </w:style>
  <w:style w:type="paragraph" w:styleId="Revision">
    <w:name w:val="Revision"/>
    <w:hidden/>
    <w:uiPriority w:val="99"/>
    <w:semiHidden/>
    <w:rsid w:val="004E6435"/>
    <w:pPr>
      <w:spacing w:after="0" w:line="240" w:lineRule="auto"/>
    </w:pPr>
  </w:style>
  <w:style w:type="character" w:customStyle="1" w:styleId="Heading3Char">
    <w:name w:val="Heading 3 Char"/>
    <w:basedOn w:val="DefaultParagraphFont"/>
    <w:link w:val="Heading3"/>
    <w:uiPriority w:val="9"/>
    <w:rsid w:val="00BE4779"/>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4666">
      <w:bodyDiv w:val="1"/>
      <w:marLeft w:val="0"/>
      <w:marRight w:val="0"/>
      <w:marTop w:val="0"/>
      <w:marBottom w:val="0"/>
      <w:divBdr>
        <w:top w:val="none" w:sz="0" w:space="0" w:color="auto"/>
        <w:left w:val="none" w:sz="0" w:space="0" w:color="auto"/>
        <w:bottom w:val="none" w:sz="0" w:space="0" w:color="auto"/>
        <w:right w:val="none" w:sz="0" w:space="0" w:color="auto"/>
      </w:divBdr>
    </w:div>
    <w:div w:id="760955088">
      <w:bodyDiv w:val="1"/>
      <w:marLeft w:val="0"/>
      <w:marRight w:val="0"/>
      <w:marTop w:val="0"/>
      <w:marBottom w:val="0"/>
      <w:divBdr>
        <w:top w:val="none" w:sz="0" w:space="0" w:color="auto"/>
        <w:left w:val="none" w:sz="0" w:space="0" w:color="auto"/>
        <w:bottom w:val="none" w:sz="0" w:space="0" w:color="auto"/>
        <w:right w:val="none" w:sz="0" w:space="0" w:color="auto"/>
      </w:divBdr>
    </w:div>
    <w:div w:id="922223877">
      <w:bodyDiv w:val="1"/>
      <w:marLeft w:val="0"/>
      <w:marRight w:val="0"/>
      <w:marTop w:val="0"/>
      <w:marBottom w:val="0"/>
      <w:divBdr>
        <w:top w:val="none" w:sz="0" w:space="0" w:color="auto"/>
        <w:left w:val="none" w:sz="0" w:space="0" w:color="auto"/>
        <w:bottom w:val="none" w:sz="0" w:space="0" w:color="auto"/>
        <w:right w:val="none" w:sz="0" w:space="0" w:color="auto"/>
      </w:divBdr>
    </w:div>
    <w:div w:id="979267879">
      <w:bodyDiv w:val="1"/>
      <w:marLeft w:val="0"/>
      <w:marRight w:val="0"/>
      <w:marTop w:val="0"/>
      <w:marBottom w:val="0"/>
      <w:divBdr>
        <w:top w:val="none" w:sz="0" w:space="0" w:color="auto"/>
        <w:left w:val="none" w:sz="0" w:space="0" w:color="auto"/>
        <w:bottom w:val="none" w:sz="0" w:space="0" w:color="auto"/>
        <w:right w:val="none" w:sz="0" w:space="0" w:color="auto"/>
      </w:divBdr>
    </w:div>
    <w:div w:id="1003629900">
      <w:bodyDiv w:val="1"/>
      <w:marLeft w:val="0"/>
      <w:marRight w:val="0"/>
      <w:marTop w:val="0"/>
      <w:marBottom w:val="0"/>
      <w:divBdr>
        <w:top w:val="none" w:sz="0" w:space="0" w:color="auto"/>
        <w:left w:val="none" w:sz="0" w:space="0" w:color="auto"/>
        <w:bottom w:val="none" w:sz="0" w:space="0" w:color="auto"/>
        <w:right w:val="none" w:sz="0" w:space="0" w:color="auto"/>
      </w:divBdr>
    </w:div>
    <w:div w:id="1051881182">
      <w:bodyDiv w:val="1"/>
      <w:marLeft w:val="0"/>
      <w:marRight w:val="0"/>
      <w:marTop w:val="0"/>
      <w:marBottom w:val="0"/>
      <w:divBdr>
        <w:top w:val="none" w:sz="0" w:space="0" w:color="auto"/>
        <w:left w:val="none" w:sz="0" w:space="0" w:color="auto"/>
        <w:bottom w:val="none" w:sz="0" w:space="0" w:color="auto"/>
        <w:right w:val="none" w:sz="0" w:space="0" w:color="auto"/>
      </w:divBdr>
    </w:div>
    <w:div w:id="1201628543">
      <w:bodyDiv w:val="1"/>
      <w:marLeft w:val="0"/>
      <w:marRight w:val="0"/>
      <w:marTop w:val="0"/>
      <w:marBottom w:val="0"/>
      <w:divBdr>
        <w:top w:val="none" w:sz="0" w:space="0" w:color="auto"/>
        <w:left w:val="none" w:sz="0" w:space="0" w:color="auto"/>
        <w:bottom w:val="none" w:sz="0" w:space="0" w:color="auto"/>
        <w:right w:val="none" w:sz="0" w:space="0" w:color="auto"/>
      </w:divBdr>
    </w:div>
    <w:div w:id="1203324754">
      <w:bodyDiv w:val="1"/>
      <w:marLeft w:val="0"/>
      <w:marRight w:val="0"/>
      <w:marTop w:val="0"/>
      <w:marBottom w:val="0"/>
      <w:divBdr>
        <w:top w:val="none" w:sz="0" w:space="0" w:color="auto"/>
        <w:left w:val="none" w:sz="0" w:space="0" w:color="auto"/>
        <w:bottom w:val="none" w:sz="0" w:space="0" w:color="auto"/>
        <w:right w:val="none" w:sz="0" w:space="0" w:color="auto"/>
      </w:divBdr>
    </w:div>
    <w:div w:id="1542980783">
      <w:bodyDiv w:val="1"/>
      <w:marLeft w:val="0"/>
      <w:marRight w:val="0"/>
      <w:marTop w:val="0"/>
      <w:marBottom w:val="0"/>
      <w:divBdr>
        <w:top w:val="none" w:sz="0" w:space="0" w:color="auto"/>
        <w:left w:val="none" w:sz="0" w:space="0" w:color="auto"/>
        <w:bottom w:val="none" w:sz="0" w:space="0" w:color="auto"/>
        <w:right w:val="none" w:sz="0" w:space="0" w:color="auto"/>
      </w:divBdr>
    </w:div>
    <w:div w:id="19016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668</ap:Words>
  <ap:Characters>3678</ap:Characters>
  <ap:DocSecurity>4</ap:DocSecurity>
  <ap:Lines>30</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2024-07-08T11:50:00.0000000Z</dcterms:created>
  <dcterms:modified xsi:type="dcterms:W3CDTF">2024-07-08T11:50:00.0000000Z</dcterms:modified>
  <version/>
  <category/>
</coreProperties>
</file>