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4454" w:rsidP="00974454" w:rsidRDefault="00974454" w14:paraId="433F613D" w14:textId="77777777">
      <w:pPr>
        <w:spacing w:before="300" w:after="300"/>
      </w:pPr>
      <w:r>
        <w:rPr>
          <w:b/>
        </w:rPr>
        <w:t>Regeling van werkzaamheden</w:t>
      </w:r>
    </w:p>
    <w:p w:rsidR="00974454" w:rsidP="00974454" w:rsidRDefault="00974454" w14:paraId="7182287D" w14:textId="77777777">
      <w:pPr>
        <w:spacing w:before="300" w:after="300"/>
      </w:pPr>
      <w:r>
        <w:t xml:space="preserve">De </w:t>
      </w:r>
      <w:r>
        <w:rPr>
          <w:b/>
        </w:rPr>
        <w:t>voorzitter</w:t>
      </w:r>
      <w:r>
        <w:t>:</w:t>
      </w:r>
      <w:r>
        <w:br/>
      </w:r>
      <w:bookmarkStart w:name="16" w:id="0"/>
      <w:bookmarkEnd w:id="0"/>
      <w:r>
        <w:t>Ik stel voor de volgende wetsvoorstellen toe te voegen aan de agenda van de Kamer:</w:t>
      </w:r>
    </w:p>
    <w:p w:rsidR="00974454" w:rsidP="00974454" w:rsidRDefault="00974454" w14:paraId="2958409E" w14:textId="77777777">
      <w:pPr>
        <w:numPr>
          <w:ilvl w:val="0"/>
          <w:numId w:val="1"/>
        </w:numPr>
        <w:spacing w:before="180"/>
      </w:pPr>
      <w:r>
        <w:t xml:space="preserve">Uitvoering van verordening (EU) 2022/2065 van het Europees Parlement en de Raad van 19 oktober 2022 betreffende een eengemaakte markt voor digitale diensten en tot wijziging van Richtlijn 2000/31/EG (Uitvoeringswet </w:t>
      </w:r>
      <w:proofErr w:type="spellStart"/>
      <w:r>
        <w:t>digitaledienstenverordening</w:t>
      </w:r>
      <w:proofErr w:type="spellEnd"/>
      <w:r>
        <w:t xml:space="preserve">) (36531); </w:t>
      </w:r>
    </w:p>
    <w:p w:rsidR="00974454" w:rsidP="00974454" w:rsidRDefault="00974454" w14:paraId="39B3B4F5" w14:textId="77777777">
      <w:pPr>
        <w:numPr>
          <w:ilvl w:val="0"/>
          <w:numId w:val="1"/>
        </w:numPr>
      </w:pPr>
      <w:r>
        <w:t>Wijziging van de Wet minimumloon en minimumvakantiebijslag in verband met de implementatie van Richtlijn (EU) 2022/2041 van het Europees Parlement en de Raad van 19 oktober 2022 betreffende toereikende minimumlonen in de Europese Unie (</w:t>
      </w:r>
      <w:proofErr w:type="spellStart"/>
      <w:r>
        <w:t>PbEU</w:t>
      </w:r>
      <w:proofErr w:type="spellEnd"/>
      <w:r>
        <w:t xml:space="preserve"> 2022, L 275) (36545);</w:t>
      </w:r>
    </w:p>
    <w:p w:rsidR="00974454" w:rsidP="00974454" w:rsidRDefault="00974454" w14:paraId="3E31E063" w14:textId="77777777">
      <w:pPr>
        <w:numPr>
          <w:ilvl w:val="0"/>
          <w:numId w:val="1"/>
        </w:numPr>
      </w:pPr>
      <w:r>
        <w:t>Voorstel van wet van de leden Van der Laan, Van der Woude, De Hoop, Westerveld, Kwint en Van Esch tot wijziging van het Wetboek van Strafrecht en enige andere wetten in verband met het strafbaar stellen van handelingen gericht op het veranderen of onderdrukken van de seksuele gerichtheid, genderidentiteit of genderexpressie (Wet strafbaarstelling conversiehandelingen) (36178);</w:t>
      </w:r>
    </w:p>
    <w:p w:rsidR="00974454" w:rsidP="00974454" w:rsidRDefault="00974454" w14:paraId="1A7A1773" w14:textId="77777777">
      <w:pPr>
        <w:numPr>
          <w:ilvl w:val="0"/>
          <w:numId w:val="1"/>
        </w:numPr>
      </w:pPr>
      <w:r>
        <w:t>Wijziging van de Politiewet 2012 in verband met een delegatiegrondslag voor een algemene maatregel van bestuur over de bewapening en uitrusting van buitengewoon opsporingsambtenaren (36395).</w:t>
      </w:r>
    </w:p>
    <w:p w:rsidR="00974454" w:rsidP="00974454" w:rsidRDefault="00974454" w14:paraId="58E25651" w14:textId="77777777">
      <w:pPr>
        <w:spacing w:before="300" w:after="300"/>
      </w:pPr>
      <w:r>
        <w:t>Ik stel voor de volgende tweeminutendebatten toe te voegen aan de agenda van de Kamer:</w:t>
      </w:r>
    </w:p>
    <w:p w:rsidR="00974454" w:rsidP="00974454" w:rsidRDefault="00974454" w14:paraId="7E163C76" w14:textId="77777777">
      <w:pPr>
        <w:numPr>
          <w:ilvl w:val="0"/>
          <w:numId w:val="1"/>
        </w:numPr>
        <w:spacing w:before="180"/>
      </w:pPr>
      <w:proofErr w:type="spellStart"/>
      <w:r>
        <w:t>Bestuursafspraak</w:t>
      </w:r>
      <w:proofErr w:type="spellEnd"/>
      <w:r>
        <w:t xml:space="preserve"> Friese Taal en Cultuur 2024-2028 (36410-VII, nr. 117), met als eerste spreker het lid De Hoop van GroenLinks-PvdA;</w:t>
      </w:r>
    </w:p>
    <w:p w:rsidR="00974454" w:rsidP="00974454" w:rsidRDefault="00974454" w14:paraId="361A6F4F" w14:textId="77777777">
      <w:pPr>
        <w:numPr>
          <w:ilvl w:val="0"/>
          <w:numId w:val="1"/>
        </w:numPr>
      </w:pPr>
      <w:r>
        <w:t>Landelijk Rapport Lokale Educatieve Agenda voor- en vroegschoolse educatie (31293, nr. 735), met als eerste spreker het lid Soepboer van NSC;</w:t>
      </w:r>
    </w:p>
    <w:p w:rsidR="00974454" w:rsidP="00974454" w:rsidRDefault="00974454" w14:paraId="2F2CE7AB" w14:textId="77777777">
      <w:pPr>
        <w:numPr>
          <w:ilvl w:val="0"/>
          <w:numId w:val="1"/>
        </w:numPr>
      </w:pPr>
      <w:r>
        <w:t xml:space="preserve">Onderzoek naar ervaren discriminatie bij burgers door banken en betaalinstellingen (32013, nr. 289), met als eerste spreker het lid </w:t>
      </w:r>
      <w:proofErr w:type="spellStart"/>
      <w:r>
        <w:t>Maatoug</w:t>
      </w:r>
      <w:proofErr w:type="spellEnd"/>
      <w:r>
        <w:t xml:space="preserve"> van GroenLinks-PvdA).</w:t>
      </w:r>
    </w:p>
    <w:p w:rsidR="00974454" w:rsidP="00974454" w:rsidRDefault="00974454" w14:paraId="68C046E9" w14:textId="77777777">
      <w:pPr>
        <w:spacing w:before="300" w:after="300"/>
      </w:pPr>
      <w:r>
        <w:t xml:space="preserve">Ik stel voor toestemming te verlenen tot het houden van de volgende wetgevings- c.q. </w:t>
      </w:r>
      <w:proofErr w:type="spellStart"/>
      <w:r>
        <w:t>notaoverleggen</w:t>
      </w:r>
      <w:proofErr w:type="spellEnd"/>
      <w:r>
        <w:t xml:space="preserve"> met stenografisch verslag:</w:t>
      </w:r>
    </w:p>
    <w:p w:rsidR="00974454" w:rsidP="00974454" w:rsidRDefault="00974454" w14:paraId="336D56E6" w14:textId="77777777">
      <w:pPr>
        <w:numPr>
          <w:ilvl w:val="0"/>
          <w:numId w:val="1"/>
        </w:numPr>
        <w:spacing w:before="180"/>
      </w:pPr>
      <w:r>
        <w:lastRenderedPageBreak/>
        <w:t>aan de vaste commissie voor Financiën, op maandag 9 september 2024 van 10.00 uur tot 15.00 uur, over de Wet plan van aanpak witwassen (36228);</w:t>
      </w:r>
    </w:p>
    <w:p w:rsidR="00974454" w:rsidP="00974454" w:rsidRDefault="00974454" w14:paraId="04AB91DF" w14:textId="77777777">
      <w:pPr>
        <w:numPr>
          <w:ilvl w:val="0"/>
          <w:numId w:val="1"/>
        </w:numPr>
      </w:pPr>
      <w:r>
        <w:t>aan de commissie voor de Werkwijze, op maandag 23 september 2024 van 10.00 uur tot 12.00 uur, over de wijziging van de Gedragscode en de Regeling toezicht en handhaving (35351);</w:t>
      </w:r>
    </w:p>
    <w:p w:rsidR="00974454" w:rsidP="00974454" w:rsidRDefault="00974454" w14:paraId="4507C318" w14:textId="77777777">
      <w:pPr>
        <w:numPr>
          <w:ilvl w:val="0"/>
          <w:numId w:val="1"/>
        </w:numPr>
      </w:pPr>
      <w:r>
        <w:t>aan de vaste commissie voor Defensie, op maandag 14 oktober 2024 van 13.00 uur tot 17.00 uur, over de initiatiefnota-Boswijk inzake het structureel verhogen van de Europese munitieproductie (36494);</w:t>
      </w:r>
    </w:p>
    <w:p w:rsidR="00974454" w:rsidP="00974454" w:rsidRDefault="00974454" w14:paraId="55D45A91" w14:textId="77777777">
      <w:pPr>
        <w:numPr>
          <w:ilvl w:val="0"/>
          <w:numId w:val="1"/>
        </w:numPr>
      </w:pPr>
      <w:r>
        <w:t>aan de vaste commissie voor Infrastructuur en Waterstaat, op maandag 21 oktober 2024 van 10.00 uur tot 17.00 uur, over het begrotingsonderdeel Water;</w:t>
      </w:r>
    </w:p>
    <w:p w:rsidR="00974454" w:rsidP="00974454" w:rsidRDefault="00974454" w14:paraId="4EA34743" w14:textId="77777777">
      <w:pPr>
        <w:numPr>
          <w:ilvl w:val="0"/>
          <w:numId w:val="1"/>
        </w:numPr>
      </w:pPr>
      <w:r>
        <w:t>aan de vaste commissie voor Digitale Zaken, op maandag 11 november 2024 van 10.00 uur tot 16.00 uur, over Digitalisering;</w:t>
      </w:r>
    </w:p>
    <w:p w:rsidR="00974454" w:rsidP="00974454" w:rsidRDefault="00974454" w14:paraId="68F1C654" w14:textId="77777777">
      <w:pPr>
        <w:numPr>
          <w:ilvl w:val="0"/>
          <w:numId w:val="1"/>
        </w:numPr>
      </w:pPr>
      <w:r>
        <w:t>aan de vaste commissie voor Onderwijs, Cultuur en Wetenschap, op maandag 11 november 2024 van 10.00 uur tot 16.00 uur, over het begrotingsonderdeel Cultuur, op maandag 18 november 2024 van 10.00 uur tot 15.00 uur over het begrotingsonderdeel Emancipatie, en op maandag 2 december 2024 van 10.00 uur tot 16.00 uur over het begrotingsonderdeel Media.</w:t>
      </w:r>
    </w:p>
    <w:p w:rsidR="00974454" w:rsidP="00974454" w:rsidRDefault="00974454" w14:paraId="1E52816C" w14:textId="77777777">
      <w:pPr>
        <w:spacing w:before="300" w:after="300"/>
      </w:pPr>
      <w:r>
        <w:t>Ik stel voor hedenavond ook te stemmen over:</w:t>
      </w:r>
    </w:p>
    <w:p w:rsidR="00974454" w:rsidP="00974454" w:rsidRDefault="00974454" w14:paraId="5E3BDE34" w14:textId="77777777">
      <w:pPr>
        <w:numPr>
          <w:ilvl w:val="0"/>
          <w:numId w:val="1"/>
        </w:numPr>
        <w:spacing w:before="180"/>
      </w:pPr>
      <w:r>
        <w:t>de aangehouden motie-Bruyning/Dobbe (31839, nr. 999);</w:t>
      </w:r>
    </w:p>
    <w:p w:rsidR="00974454" w:rsidP="00974454" w:rsidRDefault="00974454" w14:paraId="39C86627" w14:textId="77777777">
      <w:pPr>
        <w:numPr>
          <w:ilvl w:val="0"/>
          <w:numId w:val="1"/>
        </w:numPr>
      </w:pPr>
      <w:r>
        <w:t>de aangehouden motie-Van Vroonhoven/Ceder (32827, nr. 320);</w:t>
      </w:r>
    </w:p>
    <w:p w:rsidR="00974454" w:rsidP="00974454" w:rsidRDefault="00974454" w14:paraId="5803CA45" w14:textId="77777777">
      <w:pPr>
        <w:numPr>
          <w:ilvl w:val="0"/>
          <w:numId w:val="1"/>
        </w:numPr>
      </w:pPr>
      <w:r>
        <w:t>de aangehouden motie-Dijk (36550, nr. 11).</w:t>
      </w:r>
    </w:p>
    <w:p w:rsidR="00974454" w:rsidP="00974454" w:rsidRDefault="00974454" w14:paraId="2473ACAF" w14:textId="77777777">
      <w:pPr>
        <w:spacing w:before="300" w:after="300"/>
      </w:pPr>
      <w:r>
        <w:t>Ik deel aan de Kamer mee dat voor het debat over het rapport van de Staatscommissie Demografische Ontwikkelingen 2050 de termijn voor toekenning is verlengd.</w:t>
      </w:r>
    </w:p>
    <w:p w:rsidR="00974454" w:rsidP="00974454" w:rsidRDefault="00974454" w14:paraId="04B47378" w14:textId="77777777">
      <w:pPr>
        <w:spacing w:before="300" w:after="300"/>
      </w:pPr>
      <w:r>
        <w:t>Ik deel mee dat de volgende debatten zijn komen te vervallen:</w:t>
      </w:r>
    </w:p>
    <w:p w:rsidR="00974454" w:rsidP="00974454" w:rsidRDefault="00974454" w14:paraId="19BE776C" w14:textId="77777777">
      <w:pPr>
        <w:numPr>
          <w:ilvl w:val="0"/>
          <w:numId w:val="1"/>
        </w:numPr>
        <w:spacing w:before="180"/>
      </w:pPr>
      <w:r>
        <w:t>het debat over klimaatactivisten die stelselmatig vrijuit gaan;</w:t>
      </w:r>
    </w:p>
    <w:p w:rsidR="00974454" w:rsidP="00974454" w:rsidRDefault="00974454" w14:paraId="3AF81FE2" w14:textId="77777777">
      <w:pPr>
        <w:numPr>
          <w:ilvl w:val="0"/>
          <w:numId w:val="1"/>
        </w:numPr>
      </w:pPr>
      <w:r>
        <w:t>het debat over het effect van de mogelijkheden tot gespreid betalen op het gedrag en betalingspatroon van jongeren;</w:t>
      </w:r>
    </w:p>
    <w:p w:rsidR="00974454" w:rsidP="00974454" w:rsidRDefault="00974454" w14:paraId="5BEBFD0A" w14:textId="77777777">
      <w:pPr>
        <w:numPr>
          <w:ilvl w:val="0"/>
          <w:numId w:val="1"/>
        </w:numPr>
      </w:pPr>
      <w:r>
        <w:t>het debat over vertraging bij inburgeringstrajecten;</w:t>
      </w:r>
    </w:p>
    <w:p w:rsidR="00974454" w:rsidP="00974454" w:rsidRDefault="00974454" w14:paraId="07573D9B" w14:textId="77777777">
      <w:pPr>
        <w:numPr>
          <w:ilvl w:val="0"/>
          <w:numId w:val="1"/>
        </w:numPr>
      </w:pPr>
      <w:r>
        <w:lastRenderedPageBreak/>
        <w:t>het dertigledendebat over de beschikbaarheid en betaalbaarheid van drinkwater;</w:t>
      </w:r>
    </w:p>
    <w:p w:rsidR="00974454" w:rsidP="00974454" w:rsidRDefault="00974454" w14:paraId="38E31609" w14:textId="77777777">
      <w:pPr>
        <w:numPr>
          <w:ilvl w:val="0"/>
          <w:numId w:val="1"/>
        </w:numPr>
      </w:pPr>
      <w:r>
        <w:t>het dertigledendebat over de hoge grondprijzen als gevolg van de handel in bouwgrond.</w:t>
      </w:r>
    </w:p>
    <w:p w:rsidR="00974454" w:rsidP="00974454" w:rsidRDefault="00974454" w14:paraId="7AD12FFB" w14:textId="77777777">
      <w:pPr>
        <w:spacing w:before="300" w:after="300"/>
      </w:pPr>
      <w:r>
        <w:t>Aangezien voor het volgende stuk de termijn is verstreken, stel ik vast, dat wat deze Kamer betreft, het daarbij ter stilzwijgende goedkeuring overgelegde stuk is goedgekeurd: 36556-1.</w:t>
      </w:r>
    </w:p>
    <w:p w:rsidR="00974454" w:rsidP="00974454" w:rsidRDefault="00974454" w14:paraId="462AB2C9" w14:textId="77777777">
      <w:pPr>
        <w:spacing w:before="300" w:after="300"/>
      </w:pPr>
      <w:r>
        <w:t>Ik stel voor de volgende stukken van de stand van werkzaamheden af te voeren: 36410-92; 2024Z10868; 2024Z10625; 31289-548; 30079-116; 30079-117; 30079-121; 30079-119; 30079-118; 31865-251; 30196-828; 36410-XII-15; 36410-XII-82; 36410-XII-79; 29984-1201; 26643-1123; 36410-XII-17; 36560-J-1; 36560-A-1; 36560-XII-1; 36550-XVI-7; 34225-57; 36410-X-92; 36560-J-2; 36560-A-2; 36560-XII-2; 36560-X-6; 36410-IV-67.</w:t>
      </w:r>
    </w:p>
    <w:p w:rsidR="00974454" w:rsidP="00974454" w:rsidRDefault="00974454" w14:paraId="6F199392" w14:textId="77777777">
      <w:pPr>
        <w:spacing w:before="300" w:after="300"/>
      </w:pPr>
      <w:r>
        <w:t>Ik stel aan de Kamer voor in te stemmen met het volgende schema voor de begrotingsbehandelingen in het najaar van 2024:</w:t>
      </w:r>
    </w:p>
    <w:p w:rsidR="00974454" w:rsidP="00974454" w:rsidRDefault="00974454" w14:paraId="433F3DFA" w14:textId="77777777">
      <w:pPr>
        <w:numPr>
          <w:ilvl w:val="0"/>
          <w:numId w:val="1"/>
        </w:numPr>
        <w:spacing w:before="180"/>
      </w:pPr>
      <w:r>
        <w:t>in de week van 1 oktober: de Algemene Financiële Beschouwingen (inclusief de begroting van Financiën);</w:t>
      </w:r>
    </w:p>
    <w:p w:rsidR="00974454" w:rsidP="00974454" w:rsidRDefault="00974454" w14:paraId="6C39760F" w14:textId="77777777">
      <w:pPr>
        <w:numPr>
          <w:ilvl w:val="0"/>
          <w:numId w:val="1"/>
        </w:numPr>
      </w:pPr>
      <w:r>
        <w:t>in de week van 8 oktober: Algemene Zaken, de Koning, Infrastructuur en Waterstaat en Binnenlandse Zaken;</w:t>
      </w:r>
    </w:p>
    <w:p w:rsidR="00974454" w:rsidP="00974454" w:rsidRDefault="00974454" w14:paraId="73732045" w14:textId="77777777">
      <w:pPr>
        <w:numPr>
          <w:ilvl w:val="0"/>
          <w:numId w:val="1"/>
        </w:numPr>
      </w:pPr>
      <w:r>
        <w:t>in de week van 15 oktober: Economische Zaken en Landbouw, Visserij, Voedselzekerheid en Natuur;</w:t>
      </w:r>
    </w:p>
    <w:p w:rsidR="00974454" w:rsidP="00974454" w:rsidRDefault="00974454" w14:paraId="22A9FCF7" w14:textId="77777777">
      <w:pPr>
        <w:numPr>
          <w:ilvl w:val="0"/>
          <w:numId w:val="1"/>
        </w:numPr>
      </w:pPr>
      <w:r>
        <w:t>in de week van 22 oktober: Koninkrijksrelaties, Volksgezondheid, Welzijn en Sport en Volkshuisvesting en Ruimtelijke Ordening;</w:t>
      </w:r>
    </w:p>
    <w:p w:rsidR="00974454" w:rsidP="00974454" w:rsidRDefault="00974454" w14:paraId="6E5A59FB" w14:textId="77777777">
      <w:pPr>
        <w:numPr>
          <w:ilvl w:val="0"/>
          <w:numId w:val="1"/>
        </w:numPr>
      </w:pPr>
      <w:r>
        <w:t>in de week van 5 november: Asiel en Migratie en Klimaat en Groene Groei;</w:t>
      </w:r>
    </w:p>
    <w:p w:rsidR="00974454" w:rsidP="00974454" w:rsidRDefault="00974454" w14:paraId="1B3AF29D" w14:textId="77777777">
      <w:pPr>
        <w:numPr>
          <w:ilvl w:val="0"/>
          <w:numId w:val="1"/>
        </w:numPr>
      </w:pPr>
      <w:r>
        <w:t>in de week van 12 november: Buitenlandse Handel en Ontwikkelingshulp en Defensie;</w:t>
      </w:r>
    </w:p>
    <w:p w:rsidR="00974454" w:rsidP="00974454" w:rsidRDefault="00974454" w14:paraId="3F7A3166" w14:textId="77777777">
      <w:pPr>
        <w:numPr>
          <w:ilvl w:val="0"/>
          <w:numId w:val="1"/>
        </w:numPr>
      </w:pPr>
      <w:r>
        <w:t>in de week van 19 november: Buitenlandse Zaken en Justitie en Veiligheid;</w:t>
      </w:r>
    </w:p>
    <w:p w:rsidR="00974454" w:rsidP="00974454" w:rsidRDefault="00974454" w14:paraId="4DC5F104" w14:textId="77777777">
      <w:pPr>
        <w:numPr>
          <w:ilvl w:val="0"/>
          <w:numId w:val="1"/>
        </w:numPr>
      </w:pPr>
      <w:r>
        <w:t>in de week van 26 november: Onderwijs, Cultuur en Wetenschap en Sociale Zaken en Werkgelegenheid;</w:t>
      </w:r>
    </w:p>
    <w:p w:rsidR="00974454" w:rsidP="00974454" w:rsidRDefault="00974454" w14:paraId="3DBC13EC" w14:textId="77777777">
      <w:pPr>
        <w:spacing w:before="300" w:after="300"/>
      </w:pPr>
      <w:r>
        <w:t>Ik stel daarbij voor de volgende spreektijden aan de fracties voor de begrotingsbehandelingen toe te kennen:</w:t>
      </w:r>
    </w:p>
    <w:p w:rsidR="00974454" w:rsidP="00974454" w:rsidRDefault="00974454" w14:paraId="73552D08" w14:textId="77777777">
      <w:pPr>
        <w:numPr>
          <w:ilvl w:val="0"/>
          <w:numId w:val="1"/>
        </w:numPr>
        <w:spacing w:before="180"/>
      </w:pPr>
      <w:r>
        <w:lastRenderedPageBreak/>
        <w:t>PVV: 376 minuten;</w:t>
      </w:r>
    </w:p>
    <w:p w:rsidR="00974454" w:rsidP="00974454" w:rsidRDefault="00974454" w14:paraId="25AD861E" w14:textId="77777777">
      <w:pPr>
        <w:numPr>
          <w:ilvl w:val="0"/>
          <w:numId w:val="1"/>
        </w:numPr>
      </w:pPr>
      <w:r>
        <w:t>GroenLinks-PvdA: 280 minuten;</w:t>
      </w:r>
    </w:p>
    <w:p w:rsidR="00974454" w:rsidP="00974454" w:rsidRDefault="00974454" w14:paraId="0CFEEA45" w14:textId="77777777">
      <w:pPr>
        <w:numPr>
          <w:ilvl w:val="0"/>
          <w:numId w:val="1"/>
        </w:numPr>
      </w:pPr>
      <w:r>
        <w:t>VVD: 272 minuten;</w:t>
      </w:r>
    </w:p>
    <w:p w:rsidR="00974454" w:rsidP="00974454" w:rsidRDefault="00974454" w14:paraId="2A6E037A" w14:textId="77777777">
      <w:pPr>
        <w:numPr>
          <w:ilvl w:val="0"/>
          <w:numId w:val="1"/>
        </w:numPr>
      </w:pPr>
      <w:r>
        <w:t>NSC: 240 minuten;</w:t>
      </w:r>
    </w:p>
    <w:p w:rsidR="00974454" w:rsidP="00974454" w:rsidRDefault="00974454" w14:paraId="598831D1" w14:textId="77777777">
      <w:pPr>
        <w:numPr>
          <w:ilvl w:val="0"/>
          <w:numId w:val="1"/>
        </w:numPr>
      </w:pPr>
      <w:r>
        <w:t>D66: 152 minuten;</w:t>
      </w:r>
    </w:p>
    <w:p w:rsidR="00974454" w:rsidP="00974454" w:rsidRDefault="00974454" w14:paraId="58EBF83D" w14:textId="77777777">
      <w:pPr>
        <w:numPr>
          <w:ilvl w:val="0"/>
          <w:numId w:val="1"/>
        </w:numPr>
      </w:pPr>
      <w:r>
        <w:t>BBB: 136 minuten;</w:t>
      </w:r>
    </w:p>
    <w:p w:rsidR="00974454" w:rsidP="00974454" w:rsidRDefault="00974454" w14:paraId="6F9F29C7" w14:textId="77777777">
      <w:pPr>
        <w:numPr>
          <w:ilvl w:val="0"/>
          <w:numId w:val="1"/>
        </w:numPr>
      </w:pPr>
      <w:r>
        <w:t>CDA en SP: 120 minuten;</w:t>
      </w:r>
    </w:p>
    <w:p w:rsidR="00974454" w:rsidP="00974454" w:rsidRDefault="00974454" w14:paraId="4812AD88" w14:textId="77777777">
      <w:pPr>
        <w:numPr>
          <w:ilvl w:val="0"/>
          <w:numId w:val="1"/>
        </w:numPr>
      </w:pPr>
      <w:r>
        <w:t>DENK, Partij voor de Dieren, Forum voor Democratie, SGP en ChristenUnie: 104 minuten;</w:t>
      </w:r>
    </w:p>
    <w:p w:rsidR="00974454" w:rsidP="00974454" w:rsidRDefault="00974454" w14:paraId="0F980629" w14:textId="77777777">
      <w:pPr>
        <w:numPr>
          <w:ilvl w:val="0"/>
          <w:numId w:val="1"/>
        </w:numPr>
      </w:pPr>
      <w:r>
        <w:t>Volt: 96 minuten;</w:t>
      </w:r>
    </w:p>
    <w:p w:rsidR="00974454" w:rsidP="00974454" w:rsidRDefault="00974454" w14:paraId="56311EDF" w14:textId="77777777">
      <w:pPr>
        <w:numPr>
          <w:ilvl w:val="0"/>
          <w:numId w:val="1"/>
        </w:numPr>
      </w:pPr>
      <w:r>
        <w:t>JA21: 88 minuten.</w:t>
      </w:r>
    </w:p>
    <w:p w:rsidR="00974454" w:rsidP="00974454" w:rsidRDefault="00974454" w14:paraId="357A31E5" w14:textId="77777777">
      <w:pPr>
        <w:spacing w:before="180" w:after="180"/>
      </w:pPr>
    </w:p>
    <w:p w:rsidR="00974454" w:rsidP="00974454" w:rsidRDefault="00974454" w14:paraId="2BD8F2B6" w14:textId="77777777">
      <w:pPr>
        <w:spacing w:before="300" w:after="300"/>
      </w:pPr>
      <w:r>
        <w:rPr>
          <w:i/>
        </w:rPr>
        <w:t xml:space="preserve">(vervolg - nieuwe alinea, beurtnummer 38) </w:t>
      </w:r>
      <w:r>
        <w:t xml:space="preserve">De </w:t>
      </w:r>
      <w:r>
        <w:rPr>
          <w:b/>
        </w:rPr>
        <w:t>voorzitter</w:t>
      </w:r>
      <w:r>
        <w:t>:</w:t>
      </w:r>
      <w:r>
        <w:br/>
      </w:r>
      <w:bookmarkStart w:name="17" w:id="1"/>
      <w:bookmarkEnd w:id="1"/>
      <w:r>
        <w:t>Tot slot stel ik aan de Kamer voor de volgende spreektijden in eerste termijn aan de fracties toe te kennen voor de Algemene Politieke Beschouwingen:</w:t>
      </w:r>
    </w:p>
    <w:p w:rsidR="00974454" w:rsidP="00974454" w:rsidRDefault="00974454" w14:paraId="3CE405C3" w14:textId="77777777">
      <w:pPr>
        <w:numPr>
          <w:ilvl w:val="0"/>
          <w:numId w:val="1"/>
        </w:numPr>
        <w:spacing w:before="180"/>
      </w:pPr>
      <w:r>
        <w:t>PVV: 40 minuten;</w:t>
      </w:r>
    </w:p>
    <w:p w:rsidR="00974454" w:rsidP="00974454" w:rsidRDefault="00974454" w14:paraId="12BDD4EC" w14:textId="77777777">
      <w:pPr>
        <w:numPr>
          <w:ilvl w:val="0"/>
          <w:numId w:val="1"/>
        </w:numPr>
      </w:pPr>
      <w:r>
        <w:t>GroenLinks-PvdA: 36 minuten;</w:t>
      </w:r>
    </w:p>
    <w:p w:rsidR="00974454" w:rsidP="00974454" w:rsidRDefault="00974454" w14:paraId="179E155D" w14:textId="77777777">
      <w:pPr>
        <w:numPr>
          <w:ilvl w:val="0"/>
          <w:numId w:val="1"/>
        </w:numPr>
      </w:pPr>
      <w:r>
        <w:t>VVD: 35 minuten;</w:t>
      </w:r>
    </w:p>
    <w:p w:rsidR="00974454" w:rsidP="00974454" w:rsidRDefault="00974454" w14:paraId="26A64A08" w14:textId="77777777">
      <w:pPr>
        <w:numPr>
          <w:ilvl w:val="0"/>
          <w:numId w:val="1"/>
        </w:numPr>
      </w:pPr>
      <w:r>
        <w:t>NSC: 31 minuten;</w:t>
      </w:r>
    </w:p>
    <w:p w:rsidR="00974454" w:rsidP="00974454" w:rsidRDefault="00974454" w14:paraId="5472E60D" w14:textId="77777777">
      <w:pPr>
        <w:numPr>
          <w:ilvl w:val="0"/>
          <w:numId w:val="1"/>
        </w:numPr>
      </w:pPr>
      <w:r>
        <w:t>D66: 20 minuten;</w:t>
      </w:r>
    </w:p>
    <w:p w:rsidR="00974454" w:rsidP="00974454" w:rsidRDefault="00974454" w14:paraId="56F0760F" w14:textId="77777777">
      <w:pPr>
        <w:numPr>
          <w:ilvl w:val="0"/>
          <w:numId w:val="1"/>
        </w:numPr>
      </w:pPr>
      <w:r>
        <w:t>BBB: 18 minuten;</w:t>
      </w:r>
    </w:p>
    <w:p w:rsidR="00974454" w:rsidP="00974454" w:rsidRDefault="00974454" w14:paraId="61EE0885" w14:textId="77777777">
      <w:pPr>
        <w:numPr>
          <w:ilvl w:val="0"/>
          <w:numId w:val="1"/>
        </w:numPr>
      </w:pPr>
      <w:r>
        <w:t>CDA en SP: 16 minuten;</w:t>
      </w:r>
    </w:p>
    <w:p w:rsidR="00974454" w:rsidP="00974454" w:rsidRDefault="00974454" w14:paraId="03C9C5D0" w14:textId="77777777">
      <w:pPr>
        <w:numPr>
          <w:ilvl w:val="0"/>
          <w:numId w:val="1"/>
        </w:numPr>
      </w:pPr>
      <w:r>
        <w:t>DENK, Partij voor de Dieren, Forum voor Democratie, SGP en ChristenUnie: 14 minuten;</w:t>
      </w:r>
    </w:p>
    <w:p w:rsidR="00974454" w:rsidP="00974454" w:rsidRDefault="00974454" w14:paraId="6EB67AD3" w14:textId="77777777">
      <w:pPr>
        <w:numPr>
          <w:ilvl w:val="0"/>
          <w:numId w:val="1"/>
        </w:numPr>
      </w:pPr>
      <w:r>
        <w:t>Volt: 13 minuten;</w:t>
      </w:r>
    </w:p>
    <w:p w:rsidR="00974454" w:rsidP="00974454" w:rsidRDefault="00974454" w14:paraId="6992EEAE" w14:textId="77777777">
      <w:pPr>
        <w:numPr>
          <w:ilvl w:val="0"/>
          <w:numId w:val="1"/>
        </w:numPr>
      </w:pPr>
      <w:r>
        <w:t>JA21: 12 minuten.</w:t>
      </w:r>
    </w:p>
    <w:p w:rsidR="00974454" w:rsidP="00974454" w:rsidRDefault="00974454" w14:paraId="44DB7721" w14:textId="77777777">
      <w:pPr>
        <w:spacing w:before="180" w:after="180"/>
      </w:pPr>
    </w:p>
    <w:p w:rsidR="00974454" w:rsidP="00974454" w:rsidRDefault="00974454" w14:paraId="327618BC" w14:textId="77777777">
      <w:pPr>
        <w:spacing w:before="300" w:after="300"/>
      </w:pPr>
      <w:r>
        <w:t>Overeenkomstig de voorstellen van de voorzitter wordt besloten.</w:t>
      </w:r>
    </w:p>
    <w:p w:rsidR="001F7507" w:rsidRDefault="001F7507" w14:paraId="14513494" w14:textId="77777777"/>
    <w:sectPr w:rsidR="001F750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000000"/>
    <w:multiLevelType w:val="hybridMultilevel"/>
    <w:tmpl w:val="19BCB7D2"/>
    <w:lvl w:ilvl="0" w:tplc="7C3C6B62">
      <w:start w:val="1"/>
      <w:numFmt w:val="bullet"/>
      <w:lvlText w:val="·"/>
      <w:lvlJc w:val="left"/>
      <w:pPr>
        <w:tabs>
          <w:tab w:val="num" w:pos="720"/>
        </w:tabs>
        <w:ind w:left="720" w:hanging="360"/>
      </w:pPr>
      <w:rPr>
        <w:rFonts w:ascii="Symbol" w:hAnsi="Symbol" w:hint="default"/>
      </w:rPr>
    </w:lvl>
    <w:lvl w:ilvl="1" w:tplc="F8E2ACA0">
      <w:start w:val="1"/>
      <w:numFmt w:val="bullet"/>
      <w:lvlText w:val="·"/>
      <w:lvlJc w:val="left"/>
      <w:pPr>
        <w:tabs>
          <w:tab w:val="num" w:pos="1440"/>
        </w:tabs>
        <w:ind w:left="1440" w:hanging="360"/>
      </w:pPr>
      <w:rPr>
        <w:rFonts w:ascii="Symbol" w:hAnsi="Symbol" w:hint="default"/>
      </w:rPr>
    </w:lvl>
    <w:lvl w:ilvl="2" w:tplc="FCDC4144">
      <w:start w:val="1"/>
      <w:numFmt w:val="bullet"/>
      <w:lvlText w:val="·"/>
      <w:lvlJc w:val="left"/>
      <w:pPr>
        <w:tabs>
          <w:tab w:val="num" w:pos="2160"/>
        </w:tabs>
        <w:ind w:left="2160" w:hanging="360"/>
      </w:pPr>
      <w:rPr>
        <w:rFonts w:ascii="Symbol" w:hAnsi="Symbol" w:hint="default"/>
      </w:rPr>
    </w:lvl>
    <w:lvl w:ilvl="3" w:tplc="2FC038A8">
      <w:start w:val="1"/>
      <w:numFmt w:val="bullet"/>
      <w:lvlText w:val="·"/>
      <w:lvlJc w:val="left"/>
      <w:pPr>
        <w:tabs>
          <w:tab w:val="num" w:pos="2880"/>
        </w:tabs>
        <w:ind w:left="2880" w:hanging="360"/>
      </w:pPr>
      <w:rPr>
        <w:rFonts w:ascii="Symbol" w:hAnsi="Symbol" w:hint="default"/>
      </w:rPr>
    </w:lvl>
    <w:lvl w:ilvl="4" w:tplc="DD8E1FDE">
      <w:start w:val="1"/>
      <w:numFmt w:val="bullet"/>
      <w:lvlText w:val="·"/>
      <w:lvlJc w:val="left"/>
      <w:pPr>
        <w:tabs>
          <w:tab w:val="num" w:pos="3600"/>
        </w:tabs>
        <w:ind w:left="3600" w:hanging="360"/>
      </w:pPr>
      <w:rPr>
        <w:rFonts w:ascii="Symbol" w:hAnsi="Symbol" w:hint="default"/>
      </w:rPr>
    </w:lvl>
    <w:lvl w:ilvl="5" w:tplc="13C6E148">
      <w:start w:val="1"/>
      <w:numFmt w:val="bullet"/>
      <w:lvlText w:val="·"/>
      <w:lvlJc w:val="left"/>
      <w:pPr>
        <w:tabs>
          <w:tab w:val="num" w:pos="4320"/>
        </w:tabs>
        <w:ind w:left="4320" w:hanging="360"/>
      </w:pPr>
      <w:rPr>
        <w:rFonts w:ascii="Symbol" w:hAnsi="Symbol" w:hint="default"/>
      </w:rPr>
    </w:lvl>
    <w:lvl w:ilvl="6" w:tplc="142A023A">
      <w:start w:val="1"/>
      <w:numFmt w:val="bullet"/>
      <w:lvlText w:val="·"/>
      <w:lvlJc w:val="left"/>
      <w:pPr>
        <w:tabs>
          <w:tab w:val="num" w:pos="5040"/>
        </w:tabs>
        <w:ind w:left="5040" w:hanging="360"/>
      </w:pPr>
      <w:rPr>
        <w:rFonts w:ascii="Symbol" w:hAnsi="Symbol" w:hint="default"/>
      </w:rPr>
    </w:lvl>
    <w:lvl w:ilvl="7" w:tplc="A2DA35B2">
      <w:start w:val="1"/>
      <w:numFmt w:val="bullet"/>
      <w:lvlText w:val="·"/>
      <w:lvlJc w:val="left"/>
      <w:pPr>
        <w:tabs>
          <w:tab w:val="num" w:pos="5760"/>
        </w:tabs>
        <w:ind w:left="5760" w:hanging="360"/>
      </w:pPr>
      <w:rPr>
        <w:rFonts w:ascii="Symbol" w:hAnsi="Symbol" w:hint="default"/>
      </w:rPr>
    </w:lvl>
    <w:lvl w:ilvl="8" w:tplc="5548FE08">
      <w:start w:val="1"/>
      <w:numFmt w:val="bullet"/>
      <w:lvlText w:val="·"/>
      <w:lvlJc w:val="left"/>
      <w:pPr>
        <w:tabs>
          <w:tab w:val="num" w:pos="6480"/>
        </w:tabs>
        <w:ind w:left="6480" w:hanging="360"/>
      </w:pPr>
      <w:rPr>
        <w:rFonts w:ascii="Symbol" w:hAnsi="Symbol" w:hint="default"/>
      </w:rPr>
    </w:lvl>
  </w:abstractNum>
  <w:num w:numId="1" w16cid:durableId="200686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54"/>
    <w:rsid w:val="001F7507"/>
    <w:rsid w:val="009744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A5B59"/>
  <w15:chartTrackingRefBased/>
  <w15:docId w15:val="{8CF17674-2AF4-4DD3-93FA-F5CA3E883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974454"/>
    <w:rPr>
      <w:rFonts w:ascii="Verdana" w:eastAsiaTheme="minorEastAsia" w:hAnsi="Verdana" w:cs="Verdana"/>
      <w:color w:val="333333"/>
      <w:kern w:val="0"/>
      <w:sz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954</ap:Words>
  <ap:Characters>5249</ap:Characters>
  <ap:DocSecurity>0</ap:DocSecurity>
  <ap:Lines>43</ap:Lines>
  <ap:Paragraphs>12</ap:Paragraphs>
  <ap:ScaleCrop>false</ap:ScaleCrop>
  <ap:LinksUpToDate>false</ap:LinksUpToDate>
  <ap:CharactersWithSpaces>6191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2024-07-05T06:57:00.0000000Z</dcterms:created>
  <dcterms:modified xsi:type="dcterms:W3CDTF">2024-07-05T06:57:00.0000000Z</dcterms:modified>
  <version/>
  <category/>
</coreProperties>
</file>