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C78DC" w:rsidTr="000C78DC" w14:paraId="64FD3701" w14:textId="77777777">
        <w:sdt>
          <w:sdtPr>
            <w:tag w:val="bmZaakNummerAdvies"/>
            <w:id w:val="1703828788"/>
            <w:lock w:val="sdtLocked"/>
            <w:placeholder>
              <w:docPart w:val="DefaultPlaceholder_-1854013440"/>
            </w:placeholder>
          </w:sdtPr>
          <w:sdtEndPr/>
          <w:sdtContent>
            <w:tc>
              <w:tcPr>
                <w:tcW w:w="4251" w:type="dxa"/>
              </w:tcPr>
              <w:p w:rsidR="000C78DC" w:rsidRDefault="000C78DC" w14:paraId="5A8481AE" w14:textId="18300E09">
                <w:r>
                  <w:t>No. W06.23.00369/III</w:t>
                </w:r>
              </w:p>
            </w:tc>
          </w:sdtContent>
        </w:sdt>
        <w:sdt>
          <w:sdtPr>
            <w:tag w:val="bmDatumAdvies"/>
            <w:id w:val="710144583"/>
            <w:lock w:val="sdtLocked"/>
            <w:placeholder>
              <w:docPart w:val="DefaultPlaceholder_-1854013440"/>
            </w:placeholder>
          </w:sdtPr>
          <w:sdtEndPr/>
          <w:sdtContent>
            <w:tc>
              <w:tcPr>
                <w:tcW w:w="4252" w:type="dxa"/>
              </w:tcPr>
              <w:p w:rsidR="000C78DC" w:rsidRDefault="000C78DC" w14:paraId="286FD2F8" w14:textId="7C638936">
                <w:r>
                  <w:t xml:space="preserve">'s-Gravenhage, </w:t>
                </w:r>
                <w:r w:rsidR="000A4143">
                  <w:t>6</w:t>
                </w:r>
                <w:r>
                  <w:t xml:space="preserve"> maart 2024</w:t>
                </w:r>
              </w:p>
            </w:tc>
          </w:sdtContent>
        </w:sdt>
      </w:tr>
    </w:tbl>
    <w:p w:rsidR="000C78DC" w:rsidRDefault="000C78DC" w14:paraId="695E9B16" w14:textId="77777777"/>
    <w:p w:rsidR="000C78DC" w:rsidRDefault="000C78DC" w14:paraId="1061087B" w14:textId="77777777"/>
    <w:p w:rsidR="00392BA0" w:rsidRDefault="00FC16C4" w14:paraId="2748E272" w14:textId="36448407">
      <w:sdt>
        <w:sdtPr>
          <w:tag w:val="bmAanhef"/>
          <w:id w:val="-925188799"/>
          <w:lock w:val="sdtLocked"/>
          <w:placeholder>
            <w:docPart w:val="DefaultPlaceholder_-1854013440"/>
          </w:placeholder>
        </w:sdtPr>
        <w:sdtEndPr/>
        <w:sdtContent>
          <w:r w:rsidR="000C78DC">
            <w:rPr>
              <w:color w:val="000000"/>
            </w:rPr>
            <w:t>Bij Kabinetsmissive van 4 december 2023, no.2023002839, heeft Uwe Majesteit, op voordracht van de Minister van Financiën mede</w:t>
          </w:r>
          <w:r w:rsidR="00055F21">
            <w:rPr>
              <w:color w:val="000000"/>
            </w:rPr>
            <w:t>,</w:t>
          </w:r>
          <w:r w:rsidR="000C78DC">
            <w:rPr>
              <w:color w:val="000000"/>
            </w:rPr>
            <w:t xml:space="preserve"> namens de Minister van </w:t>
          </w:r>
          <w:r w:rsidR="00AC6E67">
            <w:rPr>
              <w:color w:val="000000"/>
            </w:rPr>
            <w:t xml:space="preserve">Justitie en Veiligheid en de Minister van </w:t>
          </w:r>
          <w:r w:rsidR="000C78DC">
            <w:rPr>
              <w:color w:val="000000"/>
            </w:rPr>
            <w:t>Economische Zaken en Klimaat, bij de Afdeling advisering van de Raad van State ter overweging aanhangig gemaakt het Voorstel van wet tot 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 met memorie van toelichting.</w:t>
          </w:r>
        </w:sdtContent>
      </w:sdt>
    </w:p>
    <w:p w:rsidR="00392BA0" w:rsidRDefault="00392BA0" w14:paraId="2748E273" w14:textId="77777777"/>
    <w:sdt>
      <w:sdtPr>
        <w:tag w:val="bmVrijeTekst1"/>
        <w:id w:val="-161944451"/>
        <w:lock w:val="sdtLocked"/>
        <w:placeholder>
          <w:docPart w:val="1827C5562AE44EBDAC96CFC71F3A85D3"/>
        </w:placeholder>
      </w:sdtPr>
      <w:sdtEndPr/>
      <w:sdtContent>
        <w:p w:rsidR="00B71A3D" w:rsidP="00B71A3D" w:rsidRDefault="00B71A3D" w14:paraId="3D4EED01" w14:textId="77777777">
          <w:r>
            <w:t>Het wetsvoorstel strekt tot aanpassing van de regels over de toegang tot geregistreerde informatie over de uiteindelijk belanghebbenden (</w:t>
          </w:r>
          <w:r>
            <w:rPr>
              <w:i/>
              <w:iCs/>
            </w:rPr>
            <w:t xml:space="preserve">ultimate </w:t>
          </w:r>
          <w:proofErr w:type="spellStart"/>
          <w:r>
            <w:rPr>
              <w:i/>
              <w:iCs/>
            </w:rPr>
            <w:t>beneficial</w:t>
          </w:r>
          <w:proofErr w:type="spellEnd"/>
          <w:r>
            <w:rPr>
              <w:i/>
              <w:iCs/>
            </w:rPr>
            <w:t xml:space="preserve"> </w:t>
          </w:r>
          <w:proofErr w:type="spellStart"/>
          <w:r>
            <w:rPr>
              <w:i/>
              <w:iCs/>
            </w:rPr>
            <w:t>owners</w:t>
          </w:r>
          <w:proofErr w:type="spellEnd"/>
          <w:r>
            <w:t xml:space="preserve">, afgekort: </w:t>
          </w:r>
          <w:proofErr w:type="spellStart"/>
          <w:r>
            <w:t>UBO’s</w:t>
          </w:r>
          <w:proofErr w:type="spellEnd"/>
          <w:r>
            <w:t>) van zowel vennootschappen en andere juridische entiteiten als trusts en soortgelijke juridische constructies. Aanleiding hiervoor is een arrest van het Hof van Justitie van de Europese Unie (Hof van Justitie), waarin een onderdeel van de anti-witwasrichtlijn ongeldig is verklaard.</w:t>
          </w:r>
          <w:r>
            <w:rPr>
              <w:rStyle w:val="Voetnootmarkering"/>
            </w:rPr>
            <w:footnoteReference w:id="2"/>
          </w:r>
          <w:r>
            <w:t xml:space="preserve"> </w:t>
          </w:r>
        </w:p>
        <w:p w:rsidR="00B71A3D" w:rsidP="00B71A3D" w:rsidRDefault="00B71A3D" w14:paraId="17E714A2" w14:textId="77777777"/>
        <w:p w:rsidR="001C0144" w:rsidRDefault="001C0144" w14:paraId="3618A127" w14:textId="006F041B">
          <w:r>
            <w:t xml:space="preserve">De Afdeling advisering van de Raad van State </w:t>
          </w:r>
          <w:r w:rsidR="00381C21">
            <w:t>adviseert om in</w:t>
          </w:r>
          <w:r w:rsidR="00147BC9">
            <w:t xml:space="preserve"> de toelichting in</w:t>
          </w:r>
          <w:r w:rsidR="00381C21">
            <w:t xml:space="preserve"> te </w:t>
          </w:r>
          <w:r w:rsidR="00147BC9">
            <w:t>gaa</w:t>
          </w:r>
          <w:r w:rsidR="00381C21">
            <w:t>n</w:t>
          </w:r>
          <w:r w:rsidR="00147BC9">
            <w:t xml:space="preserve"> op </w:t>
          </w:r>
          <w:r w:rsidR="00BA7BCC">
            <w:t xml:space="preserve">de </w:t>
          </w:r>
          <w:r w:rsidR="00B71A3D">
            <w:t>recente Europese ontwikkelingen en de consequenties daarvan voor de aangekondigde algemene maatregel van bestuur.</w:t>
          </w:r>
          <w:r w:rsidR="00987E7E">
            <w:t xml:space="preserve"> De Afdeling </w:t>
          </w:r>
          <w:r w:rsidR="00DF44FF">
            <w:t>adviseert</w:t>
          </w:r>
          <w:r w:rsidR="00987E7E">
            <w:t xml:space="preserve"> daarnaast </w:t>
          </w:r>
          <w:r w:rsidR="008526AE">
            <w:t xml:space="preserve">om </w:t>
          </w:r>
          <w:r w:rsidR="005C7602">
            <w:t xml:space="preserve">te motiveren </w:t>
          </w:r>
          <w:r w:rsidR="00E10613">
            <w:t>waarom</w:t>
          </w:r>
          <w:r w:rsidR="001333EA">
            <w:t xml:space="preserve"> kan worden aangenomen</w:t>
          </w:r>
          <w:r w:rsidR="004A01A6">
            <w:t xml:space="preserve"> dat Nederland niet gehouden </w:t>
          </w:r>
          <w:r w:rsidR="00CE3225">
            <w:t xml:space="preserve">is </w:t>
          </w:r>
          <w:r w:rsidR="004A01A6">
            <w:t>om</w:t>
          </w:r>
          <w:r w:rsidR="00797E74">
            <w:t xml:space="preserve"> </w:t>
          </w:r>
          <w:r w:rsidR="009637EE">
            <w:t xml:space="preserve">artikel 31, vierde lid, van de </w:t>
          </w:r>
          <w:r w:rsidR="003C70CE">
            <w:t>anti-witwasrichtlijn</w:t>
          </w:r>
          <w:r w:rsidR="009957E7">
            <w:t xml:space="preserve"> volledig </w:t>
          </w:r>
          <w:r w:rsidR="00E16259">
            <w:t>te i</w:t>
          </w:r>
          <w:r w:rsidR="009957E7">
            <w:t>mplemente</w:t>
          </w:r>
          <w:r w:rsidR="00E16259">
            <w:t>ren</w:t>
          </w:r>
          <w:r w:rsidR="00845A19">
            <w:t>.</w:t>
          </w:r>
        </w:p>
        <w:p w:rsidR="00CC20C5" w:rsidRDefault="00CC20C5" w14:paraId="4B5596AB" w14:textId="77777777"/>
        <w:p w:rsidR="001C0144" w:rsidRDefault="00CC20C5" w14:paraId="7EC86EB6" w14:textId="6C33EADC">
          <w:r>
            <w:t>In verband hiermee is aanpassing van de toelichting wenselijk.</w:t>
          </w:r>
        </w:p>
        <w:p w:rsidR="00D70E07" w:rsidRDefault="00D70E07" w14:paraId="40A5384A" w14:textId="77777777"/>
        <w:p w:rsidR="00BE1EF1" w:rsidRDefault="00251DAB" w14:paraId="7EAC2CB9" w14:textId="243D3BD3">
          <w:r>
            <w:t xml:space="preserve">1. </w:t>
          </w:r>
          <w:r>
            <w:tab/>
          </w:r>
          <w:r w:rsidRPr="00F41ABF" w:rsidR="00F41ABF">
            <w:rPr>
              <w:u w:val="single"/>
            </w:rPr>
            <w:t>Aanleiding en inhoud wetsvoorstel</w:t>
          </w:r>
          <w:r>
            <w:tab/>
          </w:r>
        </w:p>
        <w:p w:rsidR="00251DAB" w:rsidRDefault="00251DAB" w14:paraId="25AECA66" w14:textId="77777777"/>
        <w:p w:rsidR="001B5321" w:rsidP="001B5321" w:rsidRDefault="001B5321" w14:paraId="5EE920DC" w14:textId="77777777">
          <w:r>
            <w:t xml:space="preserve">De Nederlandse regelgeving ter voorkoming van het gebruik van het financiële </w:t>
          </w:r>
          <w:proofErr w:type="gramStart"/>
          <w:r>
            <w:t>stelsel</w:t>
          </w:r>
          <w:proofErr w:type="gramEnd"/>
          <w:r>
            <w:t xml:space="preserve"> voor het wit</w:t>
          </w:r>
          <w:r w:rsidRPr="003E16DA">
            <w:t xml:space="preserve">wassen van geld en </w:t>
          </w:r>
          <w:r>
            <w:t xml:space="preserve">het </w:t>
          </w:r>
          <w:r w:rsidRPr="003E16DA">
            <w:t xml:space="preserve">financieren van terrorisme </w:t>
          </w:r>
          <w:r>
            <w:t>vloeit</w:t>
          </w:r>
          <w:r w:rsidRPr="003E16DA">
            <w:t xml:space="preserve"> grotendeels voort uit richtlijnen van de Europese Unie en standaarden van de internationale Financial Action </w:t>
          </w:r>
          <w:proofErr w:type="spellStart"/>
          <w:r w:rsidRPr="003E16DA">
            <w:t>Task</w:t>
          </w:r>
          <w:proofErr w:type="spellEnd"/>
          <w:r w:rsidRPr="003E16DA">
            <w:t xml:space="preserve"> Force (FATF). </w:t>
          </w:r>
          <w:r>
            <w:t>In Europees verband speelt de vierde anti-witwasrichtlijn (</w:t>
          </w:r>
          <w:r>
            <w:rPr>
              <w:i/>
              <w:iCs/>
            </w:rPr>
            <w:t xml:space="preserve">Anti-Money </w:t>
          </w:r>
          <w:proofErr w:type="spellStart"/>
          <w:r>
            <w:rPr>
              <w:i/>
              <w:iCs/>
            </w:rPr>
            <w:t>Laundering</w:t>
          </w:r>
          <w:proofErr w:type="spellEnd"/>
          <w:r>
            <w:rPr>
              <w:i/>
              <w:iCs/>
            </w:rPr>
            <w:t xml:space="preserve"> </w:t>
          </w:r>
          <w:r w:rsidRPr="00C17BE6">
            <w:rPr>
              <w:i/>
              <w:iCs/>
            </w:rPr>
            <w:t>Directive</w:t>
          </w:r>
          <w:r>
            <w:t>, hierna: AMLD4),</w:t>
          </w:r>
          <w:r>
            <w:rPr>
              <w:rStyle w:val="Voetnootmarkering"/>
            </w:rPr>
            <w:footnoteReference w:id="3"/>
          </w:r>
          <w:r>
            <w:t xml:space="preserve"> </w:t>
          </w:r>
          <w:r>
            <w:lastRenderedPageBreak/>
            <w:t>zoals gewijzigd door de AMLD5,</w:t>
          </w:r>
          <w:r>
            <w:rPr>
              <w:rStyle w:val="Voetnootmarkering"/>
            </w:rPr>
            <w:footnoteReference w:id="4"/>
          </w:r>
          <w:r>
            <w:t xml:space="preserve"> een belangrijke rol. Beide richtlijnen zijn geïmplementeerd in Nederlandse wet- en regelgeving.</w:t>
          </w:r>
          <w:r>
            <w:rPr>
              <w:rStyle w:val="Voetnootmarkering"/>
            </w:rPr>
            <w:footnoteReference w:id="5"/>
          </w:r>
        </w:p>
        <w:p w:rsidR="001B5321" w:rsidP="001B5321" w:rsidRDefault="001B5321" w14:paraId="309E72A9" w14:textId="77777777"/>
        <w:p w:rsidR="001B5321" w:rsidP="001B5321" w:rsidRDefault="001B5321" w14:paraId="49A195F6" w14:textId="587C6376">
          <w:r>
            <w:t xml:space="preserve">De anti-witwasrichtlijn kent twee regimes voor het registreren van informatie over </w:t>
          </w:r>
          <w:proofErr w:type="spellStart"/>
          <w:r>
            <w:t>UBO’s</w:t>
          </w:r>
          <w:proofErr w:type="spellEnd"/>
          <w:r>
            <w:t xml:space="preserve">: een regime voor </w:t>
          </w:r>
          <w:proofErr w:type="spellStart"/>
          <w:r>
            <w:t>UBO’s</w:t>
          </w:r>
          <w:proofErr w:type="spellEnd"/>
          <w:r>
            <w:t xml:space="preserve"> van vennootschappen en andere juridische entiteiten (hierna: vennootschappen) die op het grondgebied van de lidstaat zijn opgericht en een regime voor </w:t>
          </w:r>
          <w:proofErr w:type="spellStart"/>
          <w:r>
            <w:t>UBO’s</w:t>
          </w:r>
          <w:proofErr w:type="spellEnd"/>
          <w:r>
            <w:t xml:space="preserve"> van trusts en soortgelijke constructies (hierna: trusts). Sinds de AMLD5 gold </w:t>
          </w:r>
          <w:r w:rsidR="00242C52">
            <w:t>–</w:t>
          </w:r>
          <w:r>
            <w:t xml:space="preserve"> onder andere </w:t>
          </w:r>
          <w:r w:rsidR="00242C52">
            <w:t>–</w:t>
          </w:r>
          <w:r>
            <w:t xml:space="preserve"> dat een deel van de informatie in het UBO-register van vennootschappen voor elk lid van de bevolking toegankelijk dient te zijn.</w:t>
          </w:r>
          <w:r>
            <w:rPr>
              <w:rStyle w:val="Voetnootmarkering"/>
            </w:rPr>
            <w:footnoteReference w:id="6"/>
          </w:r>
          <w:r>
            <w:t xml:space="preserve"> Nederland heeft er destijds voor gekozen om het UBO-register voor trusts, in lijn met het UBO-register van vennootschappen, ook deels toegankelijk te maken voor elk lid van de bevolking.</w:t>
          </w:r>
          <w:r>
            <w:rPr>
              <w:rStyle w:val="Voetnootmarkering"/>
            </w:rPr>
            <w:footnoteReference w:id="7"/>
          </w:r>
          <w:r>
            <w:t xml:space="preserve"> </w:t>
          </w:r>
        </w:p>
        <w:p w:rsidR="00DD5D91" w:rsidP="00863397" w:rsidRDefault="004E2C37" w14:paraId="2FD02ABF" w14:textId="445729BD">
          <w:r>
            <w:t xml:space="preserve"> </w:t>
          </w:r>
        </w:p>
        <w:p w:rsidR="0016332C" w:rsidP="0016332C" w:rsidRDefault="0016332C" w14:paraId="2D5B6CBA" w14:textId="2CF8C8D8">
          <w:r>
            <w:t>Op 22 november 2022 heeft het Hof van Justitie geoordeeld dat de publieke toegang tot het UBO-register voor vennootschappen e</w:t>
          </w:r>
          <w:r w:rsidRPr="007832BD">
            <w:t>en</w:t>
          </w:r>
          <w:r>
            <w:t xml:space="preserve"> </w:t>
          </w:r>
          <w:r w:rsidRPr="007832BD">
            <w:t>inmenging</w:t>
          </w:r>
          <w:r>
            <w:t xml:space="preserve"> vormt in het recht op eerbiediging van het privéleven en het recht op bescherming van persoonsgegevens</w:t>
          </w:r>
          <w:r w:rsidR="0080602E">
            <w:t>.</w:t>
          </w:r>
          <w:r>
            <w:rPr>
              <w:rStyle w:val="Voetnootmarkering"/>
            </w:rPr>
            <w:footnoteReference w:id="8"/>
          </w:r>
          <w:r>
            <w:t xml:space="preserve"> </w:t>
          </w:r>
          <w:r w:rsidR="0080602E">
            <w:t>Ook stelde het Hof</w:t>
          </w:r>
          <w:r w:rsidR="008134F9">
            <w:t xml:space="preserve"> van Justitie vast </w:t>
          </w:r>
          <w:r>
            <w:t>dat deze inmenging niet beperkt is to</w:t>
          </w:r>
          <w:r w:rsidRPr="007832BD">
            <w:t>t wat</w:t>
          </w:r>
          <w:r>
            <w:t xml:space="preserve"> strikt</w:t>
          </w:r>
          <w:r w:rsidRPr="007832BD">
            <w:t xml:space="preserve"> noodzakelijk is </w:t>
          </w:r>
          <w:r>
            <w:t xml:space="preserve">en niet </w:t>
          </w:r>
          <w:r w:rsidRPr="007832BD">
            <w:t>evenredig</w:t>
          </w:r>
          <w:r>
            <w:t xml:space="preserve"> is aan</w:t>
          </w:r>
          <w:r w:rsidRPr="007832BD">
            <w:t xml:space="preserve"> het nagestreefde doel</w:t>
          </w:r>
          <w:r>
            <w:t>.</w:t>
          </w:r>
          <w:r>
            <w:rPr>
              <w:rStyle w:val="Voetnootmarkering"/>
            </w:rPr>
            <w:footnoteReference w:id="9"/>
          </w:r>
          <w:r>
            <w:t xml:space="preserve"> Dit arrest heeft tot gevolg gehad dat de oorspronkelijke bepaling van de AMLD4 is herleefd.</w:t>
          </w:r>
          <w:r>
            <w:rPr>
              <w:rStyle w:val="Voetnootmarkering"/>
            </w:rPr>
            <w:footnoteReference w:id="10"/>
          </w:r>
          <w:r>
            <w:t xml:space="preserve"> Op grond daarvan is het kunnen aantonen van een legitiem belang </w:t>
          </w:r>
          <w:r w:rsidR="00CD5842">
            <w:t>v</w:t>
          </w:r>
          <w:r>
            <w:t>oor personen of organisaties een vereiste voor toegang tot dat UBO-register.</w:t>
          </w:r>
          <w:r>
            <w:rPr>
              <w:rStyle w:val="Voetnootmarkering"/>
            </w:rPr>
            <w:footnoteReference w:id="11"/>
          </w:r>
          <w:r>
            <w:t xml:space="preserve"> </w:t>
          </w:r>
        </w:p>
        <w:p w:rsidR="0016332C" w:rsidP="0016332C" w:rsidRDefault="0016332C" w14:paraId="2766DC29" w14:textId="77777777"/>
        <w:p w:rsidR="0016332C" w:rsidP="0016332C" w:rsidRDefault="0016332C" w14:paraId="3018DA67" w14:textId="106F0F41">
          <w:r>
            <w:t>Het wetsvoorstel wijzigt vanwege dit arrest in de onderscheiden wetten welke partijen toegang hebben tot de Nederlandse UBO-registers.</w:t>
          </w:r>
          <w:r>
            <w:rPr>
              <w:rStyle w:val="Voetnootmarkering"/>
            </w:rPr>
            <w:footnoteReference w:id="12"/>
          </w:r>
          <w:r>
            <w:t xml:space="preserve"> Dit zijn </w:t>
          </w:r>
          <w:r w:rsidR="004876FC">
            <w:t>enerzijds</w:t>
          </w:r>
          <w:r w:rsidR="007F4B36">
            <w:t xml:space="preserve"> de </w:t>
          </w:r>
          <w:r w:rsidR="007F4B36">
            <w:lastRenderedPageBreak/>
            <w:t>partijen waarvoor het vanwege op hen rustende verplichtingen wenselijk en noodzakelijk is dat zij volledige of gedeeltelijke toegang hebben tot de UBO-informatie.</w:t>
          </w:r>
          <w:r>
            <w:rPr>
              <w:rStyle w:val="Voetnootmarkering"/>
            </w:rPr>
            <w:footnoteReference w:id="13"/>
          </w:r>
          <w:r>
            <w:t xml:space="preserve"> </w:t>
          </w:r>
          <w:r w:rsidR="00477236">
            <w:t xml:space="preserve">Daarnaast wordt de toegang tot de registers, in lijn met de richtlijn en het arrest van het Hof van Justitie, beperkt tot natuurlijke personen en rechtspersonen met een legitiem belang. </w:t>
          </w:r>
          <w:r>
            <w:t>Bij algemene maatregel van bestuur zal worden aangewezen welke categorieën natuurlijke personen of rechtspersonen een aantoonbaar legitiem belang hebben.</w:t>
          </w:r>
          <w:r>
            <w:rPr>
              <w:rStyle w:val="Voetnootmarkering"/>
            </w:rPr>
            <w:footnoteReference w:id="14"/>
          </w:r>
        </w:p>
        <w:p w:rsidR="00F41ABF" w:rsidRDefault="00F41ABF" w14:paraId="4C7BF2D2" w14:textId="77777777"/>
        <w:p w:rsidR="00F41ABF" w:rsidRDefault="00F41ABF" w14:paraId="5481B576" w14:textId="349A00EF">
          <w:pPr>
            <w:rPr>
              <w:u w:val="single"/>
            </w:rPr>
          </w:pPr>
          <w:r>
            <w:t xml:space="preserve">2. </w:t>
          </w:r>
          <w:r>
            <w:tab/>
          </w:r>
          <w:r w:rsidRPr="00251DAB">
            <w:rPr>
              <w:u w:val="single"/>
            </w:rPr>
            <w:t>Europese context</w:t>
          </w:r>
        </w:p>
        <w:p w:rsidRPr="00F41ABF" w:rsidR="00F41ABF" w:rsidRDefault="00F41ABF" w14:paraId="771EBB79" w14:textId="4E419AA2"/>
        <w:p w:rsidR="00255D91" w:rsidP="00255D91" w:rsidRDefault="00255D91" w14:paraId="39B2532E" w14:textId="77777777">
          <w:r>
            <w:t xml:space="preserve">De Afdeling merkt op dat de toelichting geen melding maakt van relevante ontwikkelingen op het niveau van de Europese Unie. Dit is begrijpelijk voor zover deze ontwikkelingen zich hebben voorgedaan nadat het wetsvoorstel ter advisering is voorgelegd aan de Afdeling. </w:t>
          </w:r>
        </w:p>
        <w:p w:rsidR="00255D91" w:rsidP="00255D91" w:rsidRDefault="00255D91" w14:paraId="092DD884" w14:textId="77777777"/>
        <w:p w:rsidR="00255D91" w:rsidP="00255D91" w:rsidRDefault="00255D91" w14:paraId="3ED7FA66" w14:textId="77777777">
          <w:r>
            <w:t>In 2021 heeft de Europese Commissie een voorstel gepresenteerd voor een nieuwe anti-witwasrichtlijn, AMLD6.</w:t>
          </w:r>
          <w:r>
            <w:rPr>
              <w:rStyle w:val="Voetnootmarkering"/>
            </w:rPr>
            <w:footnoteReference w:id="15"/>
          </w:r>
          <w:r>
            <w:t xml:space="preserve"> In april 2023 hebben de betrokken commissies van het Europees Parlement in hun verslag voorstellen gedaan om dit voorstel in lijn te brengen met het arrest van het Hof van Justitie van 22 november 2022.</w:t>
          </w:r>
          <w:r>
            <w:rPr>
              <w:rStyle w:val="Voetnootmarkering"/>
            </w:rPr>
            <w:footnoteReference w:id="16"/>
          </w:r>
          <w:r>
            <w:t xml:space="preserve"> In de herfst van 2023 hebben </w:t>
          </w:r>
          <w:r w:rsidRPr="00C5607F">
            <w:t xml:space="preserve">de Europese Commissie, het Europees Parlement en de Raad van </w:t>
          </w:r>
          <w:r>
            <w:t>de Europese Unie hierover onderhandeld.</w:t>
          </w:r>
          <w:r>
            <w:rPr>
              <w:rStyle w:val="Voetnootmarkering"/>
            </w:rPr>
            <w:footnoteReference w:id="17"/>
          </w:r>
          <w:r>
            <w:t xml:space="preserve"> </w:t>
          </w:r>
        </w:p>
        <w:p w:rsidR="006A5817" w:rsidP="007B7958" w:rsidRDefault="006A5817" w14:paraId="68EF0220" w14:textId="77777777"/>
        <w:p w:rsidR="007B7958" w:rsidP="007B7958" w:rsidRDefault="007B7958" w14:paraId="132ACACE" w14:textId="5F3DD824">
          <w:r>
            <w:t>Inmiddels is bekend geworden dat in januari 2024 een voorlopig akkoord is bereikt over onder meer de toegang tot UBO-registers.</w:t>
          </w:r>
          <w:r>
            <w:rPr>
              <w:rStyle w:val="Voetnootmarkering"/>
            </w:rPr>
            <w:footnoteReference w:id="18"/>
          </w:r>
          <w:r>
            <w:t xml:space="preserve"> Uit een Kamerbrief van 13</w:t>
          </w:r>
          <w:r w:rsidR="006A4D35">
            <w:t> </w:t>
          </w:r>
          <w:r>
            <w:t>februari 2024 blijkt dat de richtlijn in dit verband een aantal categorieën zal identificeren die geacht worden een legitiem belang te hebben.</w:t>
          </w:r>
          <w:r>
            <w:rPr>
              <w:rStyle w:val="Voetnootmarkering"/>
            </w:rPr>
            <w:footnoteReference w:id="19"/>
          </w:r>
          <w:r>
            <w:t xml:space="preserve"> Genoemd worden journalisten en maatschappelijke organisaties die zich bezig houden met het voorkomen en bestrijden van witwassen, terrorismefinanciering en delicten die daarmee samenhangen. Ook worden natuurlijke of rechtspersonen genoemd die voornemens zijn een zakelijke transactie aan te gaan met een wederpartij.</w:t>
          </w:r>
        </w:p>
        <w:p w:rsidR="007B7958" w:rsidP="007B7958" w:rsidRDefault="007B7958" w14:paraId="6BB2ED6A" w14:textId="77777777"/>
        <w:p w:rsidR="007B7958" w:rsidP="007B7958" w:rsidRDefault="007B7958" w14:paraId="4A4AFEA2" w14:textId="77777777">
          <w:r>
            <w:t>De Afdeling adviseert om in de toelichting in te gaan op deze ontwikkelingen in de Europese Unie. Dit geldt in het bijzonder voor de invulling die de nieuwe richtlijn zal geven aan het begrip ‘legitiem belang’ als voorwaarde voor toegang tot UBO-registers. De Afdeling adviseert daarbij in te gaan op de gevolgen hiervan voor de aankondigde algemene maatregel van bestuur op grond van dit wetsvoorstel, waaronder de uitvoerbaarheid en de financiële gevolgen. Zij onderschrijft in dit verband het voornemen van de minister, aangekondigd in de brief van 13 februari 2024, om bij de uitwerking van het begrip legitiem belang rekening te houden met de inhoud van de nieuwe richtlijn.</w:t>
          </w:r>
          <w:r>
            <w:rPr>
              <w:rStyle w:val="Voetnootmarkering"/>
            </w:rPr>
            <w:footnoteReference w:id="20"/>
          </w:r>
        </w:p>
        <w:p w:rsidR="007B7958" w:rsidP="007B7958" w:rsidRDefault="007B7958" w14:paraId="3A1761E5" w14:textId="77777777"/>
        <w:p w:rsidR="007B7958" w:rsidP="007B7958" w:rsidRDefault="007B7958" w14:paraId="2E136E40" w14:textId="77777777">
          <w:r>
            <w:t xml:space="preserve">De Afdeling adviseert in de toelichting in te gaan op de recente Europese ontwikkelingen en de consequenties daarvan voor de aangekondigde algemene maatregel van bestuur. </w:t>
          </w:r>
        </w:p>
        <w:p w:rsidR="00AC503D" w:rsidRDefault="00AC503D" w14:paraId="6569CB0C" w14:textId="77777777"/>
        <w:p w:rsidRPr="00DD26DE" w:rsidR="0098597C" w:rsidRDefault="002D699C" w14:paraId="5E4BDE0A" w14:textId="0774C371">
          <w:pPr>
            <w:rPr>
              <w:u w:val="single"/>
            </w:rPr>
          </w:pPr>
          <w:r>
            <w:t>3.</w:t>
          </w:r>
          <w:r w:rsidR="0098597C">
            <w:tab/>
          </w:r>
          <w:r w:rsidRPr="00DD26DE" w:rsidR="0098597C">
            <w:rPr>
              <w:u w:val="single"/>
            </w:rPr>
            <w:t xml:space="preserve">Implementatie </w:t>
          </w:r>
          <w:r w:rsidR="00CC6E01">
            <w:rPr>
              <w:iCs/>
              <w:u w:val="single"/>
            </w:rPr>
            <w:t xml:space="preserve">van </w:t>
          </w:r>
          <w:r w:rsidRPr="00DD26DE" w:rsidR="0098597C">
            <w:rPr>
              <w:u w:val="single"/>
            </w:rPr>
            <w:t>artikel 31</w:t>
          </w:r>
          <w:r w:rsidR="006B5908">
            <w:rPr>
              <w:iCs/>
              <w:u w:val="single"/>
            </w:rPr>
            <w:t>, vierde lid</w:t>
          </w:r>
          <w:r w:rsidR="00E076CD">
            <w:rPr>
              <w:iCs/>
              <w:u w:val="single"/>
            </w:rPr>
            <w:t xml:space="preserve">, </w:t>
          </w:r>
          <w:r w:rsidR="000E439B">
            <w:rPr>
              <w:iCs/>
              <w:u w:val="single"/>
            </w:rPr>
            <w:t>anti-witwasrichtlijn</w:t>
          </w:r>
        </w:p>
        <w:p w:rsidR="00C22301" w:rsidRDefault="00C22301" w14:paraId="2E883EA4" w14:textId="77777777">
          <w:pPr>
            <w:rPr>
              <w:iCs/>
            </w:rPr>
          </w:pPr>
        </w:p>
        <w:p w:rsidR="000F0FB4" w:rsidP="000F0FB4" w:rsidRDefault="000F0FB4" w14:paraId="748CF36E" w14:textId="1F77C744">
          <w:pPr>
            <w:rPr>
              <w:iCs/>
            </w:rPr>
          </w:pPr>
          <w:r>
            <w:rPr>
              <w:iCs/>
            </w:rPr>
            <w:t xml:space="preserve">Bij de implementatie van artikel 31 van de anti-witwasrichtlijn </w:t>
          </w:r>
          <w:r w:rsidR="00C8594B">
            <w:rPr>
              <w:iCs/>
            </w:rPr>
            <w:t xml:space="preserve">was </w:t>
          </w:r>
          <w:r>
            <w:rPr>
              <w:iCs/>
            </w:rPr>
            <w:t>ervoor gekozen om het UBO-register van trusts ook deels voor eenieder toegankelijk te maken.</w:t>
          </w:r>
          <w:r>
            <w:rPr>
              <w:rStyle w:val="Voetnootmarkering"/>
              <w:iCs/>
            </w:rPr>
            <w:footnoteReference w:id="21"/>
          </w:r>
          <w:r>
            <w:rPr>
              <w:iCs/>
            </w:rPr>
            <w:t xml:space="preserve"> </w:t>
          </w:r>
          <w:r w:rsidR="00AE58DE">
            <w:rPr>
              <w:iCs/>
            </w:rPr>
            <w:t>Nu wordt</w:t>
          </w:r>
          <w:r>
            <w:rPr>
              <w:iCs/>
            </w:rPr>
            <w:t xml:space="preserve"> voorgesteld de implementatie op dit punt aan te passen</w:t>
          </w:r>
          <w:r w:rsidR="002E6965">
            <w:rPr>
              <w:iCs/>
            </w:rPr>
            <w:t xml:space="preserve"> en aan te sluiten </w:t>
          </w:r>
          <w:r>
            <w:rPr>
              <w:iCs/>
            </w:rPr>
            <w:t xml:space="preserve">bij de toegang tot het UBO-register van vennootschappen, zoals die na het arrest van het Hof van Justitie volgt uit artikel 30, vijfde lid, </w:t>
          </w:r>
          <w:r>
            <w:t xml:space="preserve">van de </w:t>
          </w:r>
          <w:r>
            <w:rPr>
              <w:iCs/>
            </w:rPr>
            <w:t xml:space="preserve">anti-witwasrichtlijn. </w:t>
          </w:r>
        </w:p>
        <w:p w:rsidR="000F0FB4" w:rsidP="000F0FB4" w:rsidRDefault="000F0FB4" w14:paraId="5E63A81D" w14:textId="77777777">
          <w:pPr>
            <w:rPr>
              <w:iCs/>
            </w:rPr>
          </w:pPr>
        </w:p>
        <w:p w:rsidR="000F0FB4" w:rsidP="000F0FB4" w:rsidRDefault="000F0FB4" w14:paraId="303542C4" w14:textId="77777777">
          <w:r>
            <w:rPr>
              <w:iCs/>
            </w:rPr>
            <w:t xml:space="preserve">Ten opzichte van artikel 30, vijfde lid, bevat artikel 31, vierde lid, een aanvullende toegangsgrond onder d. Dit betreft, kort gezegd, degene </w:t>
          </w:r>
          <w:r>
            <w:t>die een schriftelijk verzoek indient met betrekking tot een trust die een zeggenschapsdeelneming heeft in een buiten de Europese Unie opgerichte vennootschap of andere juridische entiteit. Vanwege de oorspronkelijke keuze voor gedeeltelijk publieke toegang tot het UBO-register van trusts was dit onderdeel eerder niet specifiek geïmplementeerd.</w:t>
          </w:r>
          <w:r>
            <w:rPr>
              <w:rStyle w:val="Voetnootmarkering"/>
            </w:rPr>
            <w:footnoteReference w:id="22"/>
          </w:r>
          <w:r>
            <w:t xml:space="preserve"> </w:t>
          </w:r>
        </w:p>
        <w:p w:rsidR="002831AA" w:rsidRDefault="002831AA" w14:paraId="0DE515A6" w14:textId="77777777"/>
        <w:p w:rsidR="00E86377" w:rsidP="00E86377" w:rsidRDefault="00E86377" w14:paraId="66CA3045" w14:textId="6299B677">
          <w:pPr>
            <w:rPr>
              <w:iCs/>
            </w:rPr>
          </w:pPr>
          <w:r>
            <w:rPr>
              <w:iCs/>
            </w:rPr>
            <w:t>Het wetsvoorstel bevat geen bepaling die voorziet in de implementatie van dit onderdeel van de richtlijn. De toelichting meldt dat hierin wel was voorzien in een eerdere versie van het voorstel, die ter consultatie is voorgelegd aan de Autoriteit Persoonsgegevens (AP). De AP adviseerde dat nadere onderbouwing van de proportionaliteit van deze bepaling noodzakelijk was en dat de mogelijkheid bestaat dat het Hof van Justitie dit onderdeel van de richtlijn ook buiten toepassing zal laten.</w:t>
          </w:r>
          <w:r>
            <w:rPr>
              <w:rStyle w:val="Voetnootmarkering"/>
              <w:iCs/>
            </w:rPr>
            <w:footnoteReference w:id="23"/>
          </w:r>
          <w:r>
            <w:rPr>
              <w:iCs/>
            </w:rPr>
            <w:t xml:space="preserve"> Naar aanleiding daarvan is de bepaling geschrapt.</w:t>
          </w:r>
          <w:r>
            <w:rPr>
              <w:rStyle w:val="Voetnootmarkering"/>
              <w:iCs/>
            </w:rPr>
            <w:footnoteReference w:id="24"/>
          </w:r>
          <w:r>
            <w:rPr>
              <w:iCs/>
            </w:rPr>
            <w:t xml:space="preserve"> </w:t>
          </w:r>
        </w:p>
        <w:p w:rsidR="00D03347" w:rsidRDefault="00D03347" w14:paraId="1340E1BF" w14:textId="77777777">
          <w:pPr>
            <w:rPr>
              <w:iCs/>
            </w:rPr>
          </w:pPr>
        </w:p>
        <w:p w:rsidR="008D2639" w:rsidP="008D2639" w:rsidRDefault="008D2639" w14:paraId="2A5D5697" w14:textId="77777777">
          <w:pPr>
            <w:rPr>
              <w:iCs/>
            </w:rPr>
          </w:pPr>
          <w:r>
            <w:rPr>
              <w:iCs/>
            </w:rPr>
            <w:t>De Afdeling merkt op dat de ongeldigverklaring van het Hof van Justitie in zijn arrest van 22 november 2022 vanwege de daarin beantwoorde prejudiciële vraag alleen ziet op het onderdeel van de AMLD5 dat artikel 30, vijfde lid, onderdeel c, van de AMLD4 heeft gewijzigd. Het ziet</w:t>
          </w:r>
          <w:r w:rsidDel="00AC3FD7">
            <w:rPr>
              <w:iCs/>
            </w:rPr>
            <w:t xml:space="preserve"> </w:t>
          </w:r>
          <w:r>
            <w:rPr>
              <w:iCs/>
            </w:rPr>
            <w:t>niet op de</w:t>
          </w:r>
          <w:r w:rsidDel="00706223">
            <w:rPr>
              <w:iCs/>
            </w:rPr>
            <w:t xml:space="preserve"> </w:t>
          </w:r>
          <w:r>
            <w:rPr>
              <w:iCs/>
            </w:rPr>
            <w:t xml:space="preserve">wijzigingen in artikel 31, vierde lid, van de AMLD4. </w:t>
          </w:r>
          <w:bookmarkStart w:name="_Hlk159425699" w:id="0"/>
        </w:p>
        <w:p w:rsidR="008D2639" w:rsidP="008D2639" w:rsidRDefault="008D2639" w14:paraId="59CFAD74" w14:textId="77777777">
          <w:pPr>
            <w:rPr>
              <w:iCs/>
            </w:rPr>
          </w:pPr>
        </w:p>
        <w:p w:rsidR="008D2639" w:rsidP="008D2639" w:rsidRDefault="008D2639" w14:paraId="0F3E29BD" w14:textId="77777777">
          <w:pPr>
            <w:rPr>
              <w:iCs/>
            </w:rPr>
          </w:pPr>
          <w:r>
            <w:rPr>
              <w:iCs/>
            </w:rPr>
            <w:t>Volgens</w:t>
          </w:r>
          <w:r w:rsidRPr="00437CCB">
            <w:rPr>
              <w:iCs/>
            </w:rPr>
            <w:t xml:space="preserve"> het beginsel van Unietrouw </w:t>
          </w:r>
          <w:r>
            <w:rPr>
              <w:iCs/>
            </w:rPr>
            <w:t>en</w:t>
          </w:r>
          <w:r w:rsidRPr="00437CCB">
            <w:rPr>
              <w:iCs/>
            </w:rPr>
            <w:t xml:space="preserve"> vaste jurisprudentie van het Hof van Justitie </w:t>
          </w:r>
          <w:r>
            <w:rPr>
              <w:iCs/>
            </w:rPr>
            <w:t xml:space="preserve">is een lidstaat </w:t>
          </w:r>
          <w:r w:rsidRPr="00437CCB">
            <w:rPr>
              <w:iCs/>
            </w:rPr>
            <w:t>verplicht tot volledige implementatie van een richtlijn in de nationale wetgeving.</w:t>
          </w:r>
          <w:r>
            <w:rPr>
              <w:rStyle w:val="Voetnootmarkering"/>
              <w:iCs/>
            </w:rPr>
            <w:footnoteReference w:id="25"/>
          </w:r>
          <w:r w:rsidRPr="00437CCB">
            <w:rPr>
              <w:iCs/>
            </w:rPr>
            <w:t xml:space="preserve"> Dat is alleen anders indien het Hof van Justitie de richtlijn op </w:t>
          </w:r>
          <w:r>
            <w:rPr>
              <w:iCs/>
            </w:rPr>
            <w:t>dit punt</w:t>
          </w:r>
          <w:r w:rsidRPr="00437CCB">
            <w:rPr>
              <w:iCs/>
            </w:rPr>
            <w:t xml:space="preserve"> onverbindend verklaart of als de Europese wetgever de richtlijn wijzigt of intrekt.</w:t>
          </w:r>
          <w:r>
            <w:rPr>
              <w:iCs/>
            </w:rPr>
            <w:t xml:space="preserve"> In dit kader wijst de Afdeling erop dat de toelichting nog geen zelfstandige motivering geeft waarom Nederland niet is gehouden om deze bepaling te implementeren.</w:t>
          </w:r>
        </w:p>
        <w:bookmarkEnd w:id="0"/>
        <w:p w:rsidR="00393DC9" w:rsidRDefault="00393DC9" w14:paraId="154CB8B5" w14:textId="77777777">
          <w:pPr>
            <w:rPr>
              <w:iCs/>
            </w:rPr>
          </w:pPr>
        </w:p>
        <w:p w:rsidR="002D7304" w:rsidRDefault="00393DC9" w14:paraId="7AADED0A" w14:textId="5548515A">
          <w:r>
            <w:rPr>
              <w:iCs/>
            </w:rPr>
            <w:t xml:space="preserve">De Afdeling adviseert </w:t>
          </w:r>
          <w:r w:rsidR="000D4158">
            <w:rPr>
              <w:iCs/>
            </w:rPr>
            <w:t>de toelichting</w:t>
          </w:r>
          <w:r w:rsidR="004A2A55">
            <w:rPr>
              <w:iCs/>
            </w:rPr>
            <w:t xml:space="preserve"> </w:t>
          </w:r>
          <w:r w:rsidRPr="0019294A" w:rsidR="0019294A">
            <w:rPr>
              <w:iCs/>
            </w:rPr>
            <w:t>in het licht van het voorgaande aan te passen.</w:t>
          </w:r>
        </w:p>
      </w:sdtContent>
    </w:sdt>
    <w:p w:rsidR="0020580B" w:rsidRDefault="0020580B" w14:paraId="680CFF43" w14:textId="77777777"/>
    <w:sdt>
      <w:sdtPr>
        <w:tag w:val="bmDictum"/>
        <w:id w:val="-818577128"/>
        <w:lock w:val="sdtLocked"/>
        <w:placeholder>
          <w:docPart w:val="DefaultPlaceholder_-1854013440"/>
        </w:placeholder>
      </w:sdtPr>
      <w:sdtEndPr/>
      <w:sdtContent>
        <w:p w:rsidR="00BF6C48" w:rsidRDefault="007D2AE9" w14:paraId="20D614DD" w14:textId="5585C2F4">
          <w:r>
            <w:t xml:space="preserve">De Afdeling advisering van de Raad van State heeft een aantal opmerkingen bij het voorstel en adviseert daarmee rekening te houden voordat het voorstel bij de Tweede Kamer der Staten-Generaal wordt ingediend. </w:t>
          </w:r>
          <w:r>
            <w:br/>
          </w:r>
          <w:r>
            <w:br/>
          </w:r>
          <w:r>
            <w:br/>
            <w:t xml:space="preserve">De </w:t>
          </w:r>
          <w:proofErr w:type="spellStart"/>
          <w:r>
            <w:t>vice-president</w:t>
          </w:r>
          <w:proofErr w:type="spellEnd"/>
          <w:r>
            <w:t xml:space="preserve"> van de Raad van State,</w:t>
          </w:r>
        </w:p>
      </w:sdtContent>
    </w:sdt>
    <w:sectPr w:rsidR="00BF6C48" w:rsidSect="000C78DC">
      <w:headerReference w:type="default" r:id="rId6"/>
      <w:footerReference w:type="default" r:id="rId7"/>
      <w:headerReference w:type="first" r:id="rId8"/>
      <w:footerReference w:type="first" r:id="rId9"/>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0BE89" w14:textId="77777777" w:rsidR="00243E0A" w:rsidRDefault="00243E0A">
      <w:r>
        <w:separator/>
      </w:r>
    </w:p>
  </w:endnote>
  <w:endnote w:type="continuationSeparator" w:id="0">
    <w:p w14:paraId="0843A16E" w14:textId="77777777" w:rsidR="00243E0A" w:rsidRDefault="00243E0A">
      <w:r>
        <w:continuationSeparator/>
      </w:r>
    </w:p>
  </w:endnote>
  <w:endnote w:type="continuationNotice" w:id="1">
    <w:p w14:paraId="536E98F2" w14:textId="77777777" w:rsidR="00243E0A" w:rsidRDefault="00243E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374EDA" w14:paraId="2748E27C" w14:textId="77777777" w:rsidTr="003265E9">
      <w:tc>
        <w:tcPr>
          <w:tcW w:w="4815" w:type="dxa"/>
        </w:tcPr>
        <w:p w14:paraId="2748E27A" w14:textId="77777777" w:rsidR="00392BA0" w:rsidRDefault="00392BA0" w:rsidP="003265E9">
          <w:pPr>
            <w:pStyle w:val="Voettekst"/>
          </w:pPr>
        </w:p>
      </w:tc>
      <w:tc>
        <w:tcPr>
          <w:tcW w:w="4247" w:type="dxa"/>
        </w:tcPr>
        <w:p w14:paraId="2748E27B" w14:textId="77777777" w:rsidR="00392BA0" w:rsidRDefault="00392BA0" w:rsidP="003265E9">
          <w:pPr>
            <w:pStyle w:val="Voettekst"/>
            <w:jc w:val="right"/>
          </w:pPr>
        </w:p>
      </w:tc>
    </w:tr>
  </w:tbl>
  <w:p w14:paraId="2748E27D" w14:textId="77777777" w:rsidR="00392BA0" w:rsidRDefault="00392B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C443" w14:textId="4240AAEB" w:rsidR="000C78DC" w:rsidRPr="000C78DC" w:rsidRDefault="000C78DC">
    <w:pPr>
      <w:pStyle w:val="Voettekst"/>
      <w:rPr>
        <w:rFonts w:ascii="Bembo" w:hAnsi="Bembo"/>
        <w:sz w:val="32"/>
      </w:rPr>
    </w:pPr>
    <w:r w:rsidRPr="000C78DC">
      <w:rPr>
        <w:rFonts w:ascii="Bembo" w:hAnsi="Bembo"/>
        <w:sz w:val="32"/>
      </w:rPr>
      <w:t>AAN DE KONING</w:t>
    </w:r>
  </w:p>
  <w:p w14:paraId="18F06725" w14:textId="77777777" w:rsidR="000C78DC" w:rsidRDefault="000C78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9D0E9" w14:textId="77777777" w:rsidR="00243E0A" w:rsidRDefault="00243E0A">
      <w:r>
        <w:separator/>
      </w:r>
    </w:p>
  </w:footnote>
  <w:footnote w:type="continuationSeparator" w:id="0">
    <w:p w14:paraId="4A96820E" w14:textId="77777777" w:rsidR="00243E0A" w:rsidRDefault="00243E0A">
      <w:r>
        <w:continuationSeparator/>
      </w:r>
    </w:p>
  </w:footnote>
  <w:footnote w:type="continuationNotice" w:id="1">
    <w:p w14:paraId="527CBF9B" w14:textId="77777777" w:rsidR="00243E0A" w:rsidRDefault="00243E0A"/>
  </w:footnote>
  <w:footnote w:id="2">
    <w:p w14:paraId="42E77F5F" w14:textId="13047E40" w:rsidR="00B71A3D" w:rsidRPr="00FC16C4" w:rsidRDefault="00B71A3D" w:rsidP="00B71A3D">
      <w:pPr>
        <w:pStyle w:val="Voetnoottekst"/>
      </w:pPr>
      <w:r>
        <w:rPr>
          <w:rStyle w:val="Voetnootmarkering"/>
        </w:rPr>
        <w:footnoteRef/>
      </w:r>
      <w:r w:rsidRPr="00FC16C4">
        <w:t xml:space="preserve"> </w:t>
      </w:r>
      <w:proofErr w:type="spellStart"/>
      <w:r w:rsidRPr="00FC16C4">
        <w:t>HvJEU</w:t>
      </w:r>
      <w:proofErr w:type="spellEnd"/>
      <w:r w:rsidRPr="00FC16C4">
        <w:t xml:space="preserve"> 22 november 2022, </w:t>
      </w:r>
      <w:r w:rsidRPr="00FC16C4">
        <w:rPr>
          <w:i/>
        </w:rPr>
        <w:t>Luxembourg Business Registers</w:t>
      </w:r>
      <w:r w:rsidRPr="00FC16C4">
        <w:t xml:space="preserve">, </w:t>
      </w:r>
      <w:r w:rsidR="00985D03" w:rsidRPr="00FC16C4">
        <w:t xml:space="preserve">C-37/20, </w:t>
      </w:r>
      <w:r w:rsidRPr="00FC16C4">
        <w:t xml:space="preserve">ECLI:EU:C:2022:912. </w:t>
      </w:r>
    </w:p>
  </w:footnote>
  <w:footnote w:id="3">
    <w:p w14:paraId="5702CCAB" w14:textId="2E6C25EF" w:rsidR="001B5321" w:rsidRDefault="001B5321" w:rsidP="001B5321">
      <w:pPr>
        <w:pStyle w:val="Voetnoottekst"/>
      </w:pPr>
      <w:r>
        <w:rPr>
          <w:rStyle w:val="Voetnootmarkering"/>
        </w:rPr>
        <w:footnoteRef/>
      </w:r>
      <w:r>
        <w:t xml:space="preserve"> </w:t>
      </w:r>
      <w:r w:rsidRPr="00816E83">
        <w:t xml:space="preserve">Richtlijn (EU) 2015/849 van het Europees </w:t>
      </w:r>
      <w:r w:rsidR="00985D03">
        <w:t>P</w:t>
      </w:r>
      <w:r w:rsidRPr="00816E83">
        <w:t xml:space="preserve">arlement en de Raad van 20 mei 2015 </w:t>
      </w:r>
      <w:proofErr w:type="gramStart"/>
      <w:r w:rsidRPr="00816E83">
        <w:t>inzake</w:t>
      </w:r>
      <w:proofErr w:type="gramEnd"/>
      <w:r>
        <w:t xml:space="preserve"> </w:t>
      </w:r>
      <w:r w:rsidRPr="00816E83">
        <w:t xml:space="preserve">de voorkoming van het gebruik van het financiële stelsel voor het witwassen van geld of terrorismefinanciering, tot wijziging van Verordening (EU) nr. 648/2012 van het Europees </w:t>
      </w:r>
      <w:r>
        <w:t>Pa</w:t>
      </w:r>
      <w:r w:rsidRPr="00816E83">
        <w:t xml:space="preserve">rlement en de Raad en tot intrekking van Richtlijn 2005/60/EG van het Europees </w:t>
      </w:r>
      <w:r>
        <w:t>P</w:t>
      </w:r>
      <w:r w:rsidRPr="00816E83">
        <w:t>arlement en de Raad en Richtlijn 2006/70/EG van de Commissie (</w:t>
      </w:r>
      <w:proofErr w:type="spellStart"/>
      <w:r w:rsidRPr="00816E83">
        <w:t>PbEU</w:t>
      </w:r>
      <w:proofErr w:type="spellEnd"/>
      <w:r w:rsidRPr="00816E83">
        <w:t xml:space="preserve"> 2015, L 141/73).</w:t>
      </w:r>
    </w:p>
  </w:footnote>
  <w:footnote w:id="4">
    <w:p w14:paraId="21728ED8" w14:textId="05F7FCA6" w:rsidR="001B5321" w:rsidRDefault="001B5321" w:rsidP="001B5321">
      <w:pPr>
        <w:pStyle w:val="Voetnoottekst"/>
      </w:pPr>
      <w:r>
        <w:rPr>
          <w:rStyle w:val="Voetnootmarkering"/>
        </w:rPr>
        <w:footnoteRef/>
      </w:r>
      <w:r>
        <w:t xml:space="preserve"> </w:t>
      </w:r>
      <w:r w:rsidRPr="00637E66">
        <w:t xml:space="preserve">Richtlijn (EU) 2018/843 van het Europees </w:t>
      </w:r>
      <w:r w:rsidR="00985D03">
        <w:t>P</w:t>
      </w:r>
      <w:r w:rsidRPr="00637E66">
        <w:t xml:space="preserve">arlement en de Raad van 30 mei 2018 tot wijziging van Richtlijn (EU) 2015/849 </w:t>
      </w:r>
      <w:proofErr w:type="gramStart"/>
      <w:r w:rsidRPr="00637E66">
        <w:t>inzake</w:t>
      </w:r>
      <w:proofErr w:type="gramEnd"/>
      <w:r w:rsidRPr="00637E66">
        <w:t xml:space="preserve"> de voorkoming van het gebruik van het financiële stelsel voor het witwassen van geld of terrorismefinanciering, en tot wijziging van de Richtlijnen 2009/138/EG en 2013/36/EU (</w:t>
      </w:r>
      <w:proofErr w:type="spellStart"/>
      <w:r w:rsidRPr="00637E66">
        <w:t>PbEU</w:t>
      </w:r>
      <w:proofErr w:type="spellEnd"/>
      <w:r w:rsidRPr="00637E66">
        <w:t xml:space="preserve"> 2018, L 156/43).</w:t>
      </w:r>
    </w:p>
  </w:footnote>
  <w:footnote w:id="5">
    <w:p w14:paraId="42DEBC53" w14:textId="77777777" w:rsidR="001B5321" w:rsidRDefault="001B5321" w:rsidP="001B5321">
      <w:pPr>
        <w:pStyle w:val="Voetnoottekst"/>
      </w:pPr>
      <w:r>
        <w:rPr>
          <w:rStyle w:val="Voetnootmarkering"/>
        </w:rPr>
        <w:footnoteRef/>
      </w:r>
      <w:r>
        <w:t xml:space="preserve"> I</w:t>
      </w:r>
      <w:r w:rsidRPr="002134E5">
        <w:t>mplementatiewet vierde anti-witwasrichtlijn</w:t>
      </w:r>
      <w:r>
        <w:t xml:space="preserve"> (Stb. 2018, 239) en I</w:t>
      </w:r>
      <w:r w:rsidRPr="00A175FD">
        <w:t>mplementatiewet wijziging vierde anti-witwasrichtlijn</w:t>
      </w:r>
      <w:r>
        <w:t xml:space="preserve"> (Stb. 2020, 146).</w:t>
      </w:r>
    </w:p>
  </w:footnote>
  <w:footnote w:id="6">
    <w:p w14:paraId="75EB9D68" w14:textId="77777777" w:rsidR="001B5321" w:rsidRPr="00FF5166" w:rsidRDefault="001B5321" w:rsidP="001B5321">
      <w:pPr>
        <w:pStyle w:val="Voetnoottekst"/>
      </w:pPr>
      <w:r>
        <w:rPr>
          <w:rStyle w:val="Voetnootmarkering"/>
        </w:rPr>
        <w:footnoteRef/>
      </w:r>
      <w:r w:rsidRPr="00FF5166">
        <w:t xml:space="preserve"> </w:t>
      </w:r>
      <w:r>
        <w:t>Zie a</w:t>
      </w:r>
      <w:r w:rsidRPr="00320932">
        <w:t>rtikel 30, vijfde lid, onderde</w:t>
      </w:r>
      <w:r>
        <w:t>el c, van de anti-witwasrichtlijn.</w:t>
      </w:r>
    </w:p>
  </w:footnote>
  <w:footnote w:id="7">
    <w:p w14:paraId="6B029624" w14:textId="77777777" w:rsidR="001B5321" w:rsidRDefault="001B5321" w:rsidP="001B5321">
      <w:pPr>
        <w:pStyle w:val="Voetnoottekst"/>
      </w:pPr>
      <w:r>
        <w:rPr>
          <w:rStyle w:val="Voetnootmarkering"/>
        </w:rPr>
        <w:footnoteRef/>
      </w:r>
      <w:r>
        <w:t xml:space="preserve"> Artikel 31, vierde lid, van de anti-witwasrichtlijn staat lidstaten</w:t>
      </w:r>
      <w:r w:rsidRPr="004C277E">
        <w:t xml:space="preserve"> </w:t>
      </w:r>
      <w:r>
        <w:t>toe overeenkomstig</w:t>
      </w:r>
      <w:r w:rsidRPr="004C277E">
        <w:t xml:space="preserve"> hun nationale recht een ruimere toegang </w:t>
      </w:r>
      <w:r>
        <w:t xml:space="preserve">toe te staan tot de informatie in het UBO-register van trusts. Dit is geregeld in artikel 7 van de </w:t>
      </w:r>
      <w:r w:rsidRPr="00334094">
        <w:t>Implementatiewet registratie uiteindelijk belanghebbenden van trusts en soortgelijke juridische constructies</w:t>
      </w:r>
      <w:r>
        <w:t xml:space="preserve"> (Stb. 2021, 610). Zie ook Kamerstukken II 2020/21, 35819, nr. 3, paragraaf 3.5 en de memorie van toelichting, paragraaf 2.2.2</w:t>
      </w:r>
      <w:r w:rsidDel="00D70DC5">
        <w:t>.</w:t>
      </w:r>
      <w:r>
        <w:t xml:space="preserve"> </w:t>
      </w:r>
    </w:p>
  </w:footnote>
  <w:footnote w:id="8">
    <w:p w14:paraId="447F5C29" w14:textId="77777777" w:rsidR="0016332C" w:rsidRDefault="0016332C" w:rsidP="0016332C">
      <w:pPr>
        <w:pStyle w:val="Voetnoottekst"/>
      </w:pPr>
      <w:r>
        <w:rPr>
          <w:rStyle w:val="Voetnootmarkering"/>
        </w:rPr>
        <w:footnoteRef/>
      </w:r>
      <w:r>
        <w:t xml:space="preserve"> Artikelen 7 en 8 van het Handvest van de grondrechten van de Europese Unie. </w:t>
      </w:r>
    </w:p>
  </w:footnote>
  <w:footnote w:id="9">
    <w:p w14:paraId="64FF7A51" w14:textId="1193DE8C" w:rsidR="0016332C" w:rsidRPr="007E0F5F" w:rsidRDefault="0016332C" w:rsidP="0016332C">
      <w:pPr>
        <w:pStyle w:val="Voetnoottekst"/>
      </w:pPr>
      <w:r>
        <w:rPr>
          <w:rStyle w:val="Voetnootmarkering"/>
        </w:rPr>
        <w:footnoteRef/>
      </w:r>
      <w:r w:rsidRPr="00FC16C4">
        <w:t xml:space="preserve"> </w:t>
      </w:r>
      <w:proofErr w:type="spellStart"/>
      <w:r w:rsidRPr="00FC16C4">
        <w:t>HvJEU</w:t>
      </w:r>
      <w:proofErr w:type="spellEnd"/>
      <w:r w:rsidRPr="00FC16C4">
        <w:t xml:space="preserve"> 22 november 2022, </w:t>
      </w:r>
      <w:r w:rsidRPr="00FC16C4">
        <w:rPr>
          <w:i/>
        </w:rPr>
        <w:t>Luxembourg Business Registers</w:t>
      </w:r>
      <w:r w:rsidRPr="00FC16C4">
        <w:t xml:space="preserve">, </w:t>
      </w:r>
      <w:r w:rsidR="00985D03" w:rsidRPr="00FC16C4">
        <w:t>C-</w:t>
      </w:r>
      <w:r w:rsidR="00561BD9" w:rsidRPr="00FC16C4">
        <w:t>37/20,</w:t>
      </w:r>
      <w:r w:rsidRPr="00FC16C4">
        <w:rPr>
          <w:i/>
        </w:rPr>
        <w:t xml:space="preserve"> </w:t>
      </w:r>
      <w:r w:rsidRPr="00FC16C4">
        <w:t xml:space="preserve">ECLI:EU:C:2022:912. </w:t>
      </w:r>
      <w:r>
        <w:t xml:space="preserve">Het Hof heeft artikel 1, punt 15, onder c, van de AMLD5 ongeldig verklaard. Dit onderdeel wijzigde artikel </w:t>
      </w:r>
      <w:r w:rsidRPr="007832BD">
        <w:t xml:space="preserve">30, vijfde lid, onderdeel c, </w:t>
      </w:r>
      <w:r>
        <w:t>van de AMLD4.</w:t>
      </w:r>
    </w:p>
  </w:footnote>
  <w:footnote w:id="10">
    <w:p w14:paraId="38046512" w14:textId="77777777" w:rsidR="0016332C" w:rsidRDefault="0016332C" w:rsidP="0016332C">
      <w:pPr>
        <w:pStyle w:val="Voetnoottekst"/>
      </w:pPr>
      <w:r>
        <w:rPr>
          <w:rStyle w:val="Voetnootmarkering"/>
        </w:rPr>
        <w:footnoteRef/>
      </w:r>
      <w:r>
        <w:t xml:space="preserve"> Zie de ‘review’ van het Hof van Justitie van 5 december 2023 (bijlage bij Kamerstukken II 2022/23, 31477, nr. 85).</w:t>
      </w:r>
    </w:p>
  </w:footnote>
  <w:footnote w:id="11">
    <w:p w14:paraId="1BA62FBE" w14:textId="77777777" w:rsidR="0016332C" w:rsidRDefault="0016332C" w:rsidP="0016332C">
      <w:pPr>
        <w:pStyle w:val="Voetnoottekst"/>
      </w:pPr>
      <w:r>
        <w:rPr>
          <w:rStyle w:val="Voetnootmarkering"/>
        </w:rPr>
        <w:footnoteRef/>
      </w:r>
      <w:r>
        <w:t xml:space="preserve"> Artikel 30, vijfde lid, onderdeel c, van de AMLD4. </w:t>
      </w:r>
    </w:p>
  </w:footnote>
  <w:footnote w:id="12">
    <w:p w14:paraId="51825B72" w14:textId="77777777" w:rsidR="0016332C" w:rsidRDefault="0016332C" w:rsidP="0016332C">
      <w:pPr>
        <w:pStyle w:val="Voetnoottekst"/>
      </w:pPr>
      <w:r>
        <w:rPr>
          <w:rStyle w:val="Voetnootmarkering"/>
        </w:rPr>
        <w:footnoteRef/>
      </w:r>
      <w:r>
        <w:t xml:space="preserve"> Memorie van toelichting, paragraaf 4. Het betreft de Handelsregisterwet 2007 en de </w:t>
      </w:r>
      <w:r w:rsidRPr="00B90F28">
        <w:t>Implementatiewet registratie uiteindelijk belanghebbenden van trusts en soortgelijke juridische constructies</w:t>
      </w:r>
      <w:r>
        <w:t>.</w:t>
      </w:r>
    </w:p>
  </w:footnote>
  <w:footnote w:id="13">
    <w:p w14:paraId="10FB12F0" w14:textId="77777777" w:rsidR="0016332C" w:rsidRPr="00FD5FB8" w:rsidRDefault="0016332C" w:rsidP="0016332C">
      <w:pPr>
        <w:pStyle w:val="Voetnoottekst"/>
      </w:pPr>
      <w:r w:rsidRPr="00FD5FB8">
        <w:rPr>
          <w:rStyle w:val="Voetnootmarkering"/>
        </w:rPr>
        <w:footnoteRef/>
      </w:r>
      <w:r w:rsidRPr="00FD5FB8">
        <w:t xml:space="preserve"> </w:t>
      </w:r>
      <w:r>
        <w:t>Zie de m</w:t>
      </w:r>
      <w:r w:rsidRPr="00FD5FB8">
        <w:t>emorie van toelichting, paragraaf 4.</w:t>
      </w:r>
    </w:p>
  </w:footnote>
  <w:footnote w:id="14">
    <w:p w14:paraId="0B123198" w14:textId="77777777" w:rsidR="0016332C" w:rsidRDefault="0016332C" w:rsidP="0016332C">
      <w:pPr>
        <w:pStyle w:val="Voetnoottekst"/>
      </w:pPr>
      <w:r>
        <w:rPr>
          <w:rStyle w:val="Voetnootmarkering"/>
        </w:rPr>
        <w:footnoteRef/>
      </w:r>
      <w:r>
        <w:t xml:space="preserve"> Zie artikel I, onderdeel C (voorgesteld artikel 22a, tweede lid), en artikel II, onderdeel B (voorgesteld artikel 7, derde lid), van het wetsvoorstel.</w:t>
      </w:r>
    </w:p>
  </w:footnote>
  <w:footnote w:id="15">
    <w:p w14:paraId="7EADE89A" w14:textId="3956E1FA" w:rsidR="00255D91" w:rsidRPr="00300C1A" w:rsidRDefault="00255D91" w:rsidP="00255D91">
      <w:pPr>
        <w:pStyle w:val="Voetnoottekst"/>
      </w:pPr>
      <w:r>
        <w:rPr>
          <w:rStyle w:val="Voetnootmarkering"/>
        </w:rPr>
        <w:footnoteRef/>
      </w:r>
      <w:r w:rsidRPr="00300C1A">
        <w:t xml:space="preserve"> </w:t>
      </w:r>
      <w:r w:rsidRPr="00677ABD">
        <w:t xml:space="preserve">Voorstel voor </w:t>
      </w:r>
      <w:r w:rsidRPr="00300C1A">
        <w:t xml:space="preserve">een richtlijn van het </w:t>
      </w:r>
      <w:r>
        <w:t>E</w:t>
      </w:r>
      <w:r w:rsidRPr="00300C1A">
        <w:t xml:space="preserve">uropees </w:t>
      </w:r>
      <w:r>
        <w:t>P</w:t>
      </w:r>
      <w:r w:rsidRPr="00300C1A">
        <w:t xml:space="preserve">arlement en de </w:t>
      </w:r>
      <w:r>
        <w:t>R</w:t>
      </w:r>
      <w:r w:rsidRPr="00300C1A">
        <w:t xml:space="preserve">aad </w:t>
      </w:r>
      <w:r w:rsidRPr="00677ABD">
        <w:t>betreffende de mechanismen die de lidstaten moeten invoeren om het gebruik van het financiële stelsel voor witwassen of terrorismefinanciering te voorkomen en tot intrekking van Richtlijn (EU) 2015/849</w:t>
      </w:r>
      <w:r w:rsidR="00561BD9">
        <w:t>,</w:t>
      </w:r>
      <w:r>
        <w:t xml:space="preserve"> </w:t>
      </w:r>
      <w:proofErr w:type="gramStart"/>
      <w:r w:rsidRPr="00677ABD">
        <w:t>COM</w:t>
      </w:r>
      <w:r w:rsidR="00561BD9">
        <w:t>(</w:t>
      </w:r>
      <w:proofErr w:type="gramEnd"/>
      <w:r w:rsidRPr="00677ABD">
        <w:t>2021</w:t>
      </w:r>
      <w:r w:rsidR="00561BD9">
        <w:t xml:space="preserve">) </w:t>
      </w:r>
      <w:r w:rsidRPr="00677ABD">
        <w:t xml:space="preserve">423 </w:t>
      </w:r>
      <w:proofErr w:type="spellStart"/>
      <w:r w:rsidRPr="00677ABD">
        <w:t>final</w:t>
      </w:r>
      <w:proofErr w:type="spellEnd"/>
      <w:r>
        <w:t>.</w:t>
      </w:r>
    </w:p>
  </w:footnote>
  <w:footnote w:id="16">
    <w:p w14:paraId="70C15C12" w14:textId="77777777" w:rsidR="00255D91" w:rsidRPr="00E7601D" w:rsidRDefault="00255D91" w:rsidP="00255D91">
      <w:pPr>
        <w:pStyle w:val="Voetnoottekst"/>
        <w:rPr>
          <w:lang w:val="en-GB"/>
        </w:rPr>
      </w:pPr>
      <w:r>
        <w:rPr>
          <w:rStyle w:val="Voetnootmarkering"/>
        </w:rPr>
        <w:footnoteRef/>
      </w:r>
      <w:r w:rsidRPr="00B24767">
        <w:rPr>
          <w:lang w:val="en-GB"/>
        </w:rPr>
        <w:t xml:space="preserve"> REPORT</w:t>
      </w:r>
      <w:r>
        <w:rPr>
          <w:lang w:val="en-GB"/>
        </w:rPr>
        <w:t xml:space="preserve"> A9-0150/2023</w:t>
      </w:r>
      <w:r w:rsidRPr="00B24767">
        <w:rPr>
          <w:lang w:val="en-GB"/>
        </w:rPr>
        <w:t xml:space="preserve"> on the proposal for a directive of the European Parliament and of the Council on the mechanisms to be put in place by the Member States for the prevention of the use of the financial system for the purposes of money laundering or terrorist financing and repealing Directive (EU) 2015/849</w:t>
      </w:r>
      <w:r>
        <w:rPr>
          <w:lang w:val="en-GB"/>
        </w:rPr>
        <w:t xml:space="preserve">, </w:t>
      </w:r>
      <w:r w:rsidRPr="00E7601D">
        <w:rPr>
          <w:lang w:val="en-GB"/>
        </w:rPr>
        <w:t xml:space="preserve">14 </w:t>
      </w:r>
      <w:proofErr w:type="spellStart"/>
      <w:r w:rsidRPr="00E7601D">
        <w:rPr>
          <w:lang w:val="en-GB"/>
        </w:rPr>
        <w:t>april</w:t>
      </w:r>
      <w:proofErr w:type="spellEnd"/>
      <w:r w:rsidRPr="00E7601D">
        <w:rPr>
          <w:lang w:val="en-GB"/>
        </w:rPr>
        <w:t xml:space="preserve"> 2023, europarl.europa.eu. </w:t>
      </w:r>
      <w:proofErr w:type="spellStart"/>
      <w:r>
        <w:rPr>
          <w:lang w:val="en-GB"/>
        </w:rPr>
        <w:t>Zie</w:t>
      </w:r>
      <w:proofErr w:type="spellEnd"/>
      <w:r>
        <w:rPr>
          <w:lang w:val="en-GB"/>
        </w:rPr>
        <w:t xml:space="preserve"> in het </w:t>
      </w:r>
      <w:proofErr w:type="spellStart"/>
      <w:r>
        <w:rPr>
          <w:lang w:val="en-GB"/>
        </w:rPr>
        <w:t>bijzonder</w:t>
      </w:r>
      <w:proofErr w:type="spellEnd"/>
      <w:r>
        <w:rPr>
          <w:lang w:val="en-GB"/>
        </w:rPr>
        <w:t xml:space="preserve"> de </w:t>
      </w:r>
      <w:proofErr w:type="spellStart"/>
      <w:r>
        <w:rPr>
          <w:lang w:val="en-GB"/>
        </w:rPr>
        <w:t>voorgestelde</w:t>
      </w:r>
      <w:proofErr w:type="spellEnd"/>
      <w:r>
        <w:rPr>
          <w:lang w:val="en-GB"/>
        </w:rPr>
        <w:t xml:space="preserve"> </w:t>
      </w:r>
      <w:proofErr w:type="spellStart"/>
      <w:r>
        <w:rPr>
          <w:lang w:val="en-GB"/>
        </w:rPr>
        <w:t>aanpassingen</w:t>
      </w:r>
      <w:proofErr w:type="spellEnd"/>
      <w:r>
        <w:rPr>
          <w:lang w:val="en-GB"/>
        </w:rPr>
        <w:t xml:space="preserve"> van </w:t>
      </w:r>
      <w:proofErr w:type="spellStart"/>
      <w:r>
        <w:rPr>
          <w:lang w:val="en-GB"/>
        </w:rPr>
        <w:t>artikel</w:t>
      </w:r>
      <w:proofErr w:type="spellEnd"/>
      <w:r>
        <w:rPr>
          <w:lang w:val="en-GB"/>
        </w:rPr>
        <w:t xml:space="preserve"> 12.</w:t>
      </w:r>
    </w:p>
  </w:footnote>
  <w:footnote w:id="17">
    <w:p w14:paraId="44F60FC1" w14:textId="77777777" w:rsidR="00255D91" w:rsidRPr="00E7601D" w:rsidRDefault="00255D91" w:rsidP="00255D91">
      <w:pPr>
        <w:pStyle w:val="Voetnoottekst"/>
        <w:rPr>
          <w:lang w:val="en-GB"/>
        </w:rPr>
      </w:pPr>
      <w:r w:rsidRPr="00964DAE">
        <w:rPr>
          <w:rStyle w:val="Voetnootmarkering"/>
        </w:rPr>
        <w:footnoteRef/>
      </w:r>
      <w:r w:rsidRPr="00E7601D">
        <w:rPr>
          <w:lang w:val="en-GB"/>
        </w:rPr>
        <w:t xml:space="preserve"> </w:t>
      </w:r>
      <w:proofErr w:type="spellStart"/>
      <w:r w:rsidRPr="00E7601D">
        <w:rPr>
          <w:lang w:val="en-GB"/>
        </w:rPr>
        <w:t>Zie</w:t>
      </w:r>
      <w:proofErr w:type="spellEnd"/>
      <w:r w:rsidRPr="00E7601D">
        <w:rPr>
          <w:lang w:val="en-GB"/>
        </w:rPr>
        <w:t xml:space="preserve"> </w:t>
      </w:r>
      <w:proofErr w:type="spellStart"/>
      <w:r w:rsidRPr="00E7601D">
        <w:rPr>
          <w:lang w:val="en-GB"/>
        </w:rPr>
        <w:t>bijvoorbeeld</w:t>
      </w:r>
      <w:proofErr w:type="spellEnd"/>
      <w:r w:rsidRPr="00E7601D">
        <w:rPr>
          <w:lang w:val="en-GB"/>
        </w:rPr>
        <w:t xml:space="preserve"> Elodie Lamer, ‘EU Institutions seek to redefine access to UBO registers’, </w:t>
      </w:r>
      <w:r w:rsidRPr="00E7601D">
        <w:rPr>
          <w:i/>
          <w:lang w:val="en-GB"/>
        </w:rPr>
        <w:t>Tax Notes International</w:t>
      </w:r>
      <w:r w:rsidRPr="00E7601D">
        <w:rPr>
          <w:lang w:val="en-GB"/>
        </w:rPr>
        <w:t xml:space="preserve">, 13 </w:t>
      </w:r>
      <w:proofErr w:type="spellStart"/>
      <w:r w:rsidRPr="00E7601D">
        <w:rPr>
          <w:lang w:val="en-GB"/>
        </w:rPr>
        <w:t>november</w:t>
      </w:r>
      <w:proofErr w:type="spellEnd"/>
      <w:r w:rsidRPr="00E7601D">
        <w:rPr>
          <w:lang w:val="en-GB"/>
        </w:rPr>
        <w:t xml:space="preserve"> 2023, p. 995.</w:t>
      </w:r>
    </w:p>
  </w:footnote>
  <w:footnote w:id="18">
    <w:p w14:paraId="3A7961D8" w14:textId="77777777" w:rsidR="007B7958" w:rsidRPr="00FC16C4" w:rsidRDefault="007B7958" w:rsidP="007B7958">
      <w:pPr>
        <w:pStyle w:val="Voetnoottekst"/>
      </w:pPr>
      <w:r>
        <w:rPr>
          <w:rStyle w:val="Voetnootmarkering"/>
        </w:rPr>
        <w:footnoteRef/>
      </w:r>
      <w:r w:rsidRPr="00FC16C4">
        <w:t xml:space="preserve"> ‘Witwasbestrijding: Raad en Parlement akkoord over strengere regels’, 18 januari 2024, consilium.europa.eu/nl.</w:t>
      </w:r>
    </w:p>
  </w:footnote>
  <w:footnote w:id="19">
    <w:p w14:paraId="5DAB7814" w14:textId="77777777" w:rsidR="007B7958" w:rsidRDefault="007B7958" w:rsidP="007B7958">
      <w:pPr>
        <w:pStyle w:val="Voetnoottekst"/>
      </w:pPr>
      <w:r>
        <w:rPr>
          <w:rStyle w:val="Voetnootmarkering"/>
        </w:rPr>
        <w:footnoteRef/>
      </w:r>
      <w:r>
        <w:t xml:space="preserve"> Kamerstukken II 2023/24, 31477, nr. 95.</w:t>
      </w:r>
    </w:p>
  </w:footnote>
  <w:footnote w:id="20">
    <w:p w14:paraId="162A8497" w14:textId="77777777" w:rsidR="007B7958" w:rsidRDefault="007B7958" w:rsidP="007B7958">
      <w:pPr>
        <w:pStyle w:val="Voetnoottekst"/>
      </w:pPr>
      <w:r>
        <w:rPr>
          <w:rStyle w:val="Voetnootmarkering"/>
        </w:rPr>
        <w:footnoteRef/>
      </w:r>
      <w:r>
        <w:t xml:space="preserve"> </w:t>
      </w:r>
      <w:r w:rsidRPr="0056424A">
        <w:t>Idem</w:t>
      </w:r>
      <w:r>
        <w:t>.</w:t>
      </w:r>
    </w:p>
  </w:footnote>
  <w:footnote w:id="21">
    <w:p w14:paraId="064F3811" w14:textId="77777777" w:rsidR="000F0FB4" w:rsidRDefault="000F0FB4" w:rsidP="000F0FB4">
      <w:pPr>
        <w:pStyle w:val="Voetnoottekst"/>
      </w:pPr>
      <w:r>
        <w:rPr>
          <w:rStyle w:val="Voetnootmarkering"/>
        </w:rPr>
        <w:footnoteRef/>
      </w:r>
      <w:r>
        <w:t xml:space="preserve"> Memorie van toelichting, paragraaf 2.2.2. Zie ook Kamerstukken II 2020/21, 35819, nr. 3, paragraaf 3.5</w:t>
      </w:r>
      <w:r w:rsidDel="00D721BB">
        <w:t>.</w:t>
      </w:r>
      <w:r>
        <w:t xml:space="preserve"> </w:t>
      </w:r>
    </w:p>
  </w:footnote>
  <w:footnote w:id="22">
    <w:p w14:paraId="28269601" w14:textId="77777777" w:rsidR="000F0FB4" w:rsidRDefault="000F0FB4" w:rsidP="000F0FB4">
      <w:pPr>
        <w:pStyle w:val="Voetnoottekst"/>
      </w:pPr>
      <w:r>
        <w:rPr>
          <w:rStyle w:val="Voetnootmarkering"/>
        </w:rPr>
        <w:footnoteRef/>
      </w:r>
      <w:r>
        <w:t xml:space="preserve"> Zie Kamerstukken II 2020/21, 35819, nr. 3, paragraaf 10.</w:t>
      </w:r>
    </w:p>
  </w:footnote>
  <w:footnote w:id="23">
    <w:p w14:paraId="75AABBCD" w14:textId="77777777" w:rsidR="00E86377" w:rsidRDefault="00E86377" w:rsidP="00E86377">
      <w:pPr>
        <w:pStyle w:val="Voetnoottekst"/>
      </w:pPr>
      <w:r>
        <w:rPr>
          <w:rStyle w:val="Voetnootmarkering"/>
        </w:rPr>
        <w:footnoteRef/>
      </w:r>
      <w:r>
        <w:t xml:space="preserve"> Zie ook Autoriteit Persoonsgegevens, ‘</w:t>
      </w:r>
      <w:r w:rsidRPr="00C23DEE">
        <w:t xml:space="preserve">Advies over het concept voor de Wijzigingswet beperking toegang </w:t>
      </w:r>
      <w:r>
        <w:t>UBO</w:t>
      </w:r>
      <w:r w:rsidRPr="00C23DEE">
        <w:t>-register</w:t>
      </w:r>
      <w:r>
        <w:t xml:space="preserve">’, 10 augustus 2023. </w:t>
      </w:r>
    </w:p>
  </w:footnote>
  <w:footnote w:id="24">
    <w:p w14:paraId="31F3A787" w14:textId="77777777" w:rsidR="00E86377" w:rsidRDefault="00E86377" w:rsidP="00E86377">
      <w:pPr>
        <w:pStyle w:val="Voetnoottekst"/>
      </w:pPr>
      <w:r>
        <w:rPr>
          <w:rStyle w:val="Voetnootmarkering"/>
        </w:rPr>
        <w:footnoteRef/>
      </w:r>
      <w:r>
        <w:t xml:space="preserve"> Memorie van toelichting, paragraaf 6.4.</w:t>
      </w:r>
    </w:p>
  </w:footnote>
  <w:footnote w:id="25">
    <w:p w14:paraId="5ED3EF08" w14:textId="77777777" w:rsidR="008D2639" w:rsidRDefault="008D2639" w:rsidP="008D2639">
      <w:pPr>
        <w:pStyle w:val="Voetnoottekst"/>
      </w:pPr>
      <w:r>
        <w:rPr>
          <w:rStyle w:val="Voetnootmarkering"/>
        </w:rPr>
        <w:footnoteRef/>
      </w:r>
      <w:r>
        <w:t xml:space="preserve"> </w:t>
      </w:r>
      <w:r w:rsidRPr="00D5206D">
        <w:t xml:space="preserve">Artikel 4, derde lid, van het Verdrag </w:t>
      </w:r>
      <w:proofErr w:type="gramStart"/>
      <w:r w:rsidRPr="00D5206D">
        <w:t>betreffende</w:t>
      </w:r>
      <w:proofErr w:type="gramEnd"/>
      <w:r w:rsidRPr="00D5206D">
        <w:t xml:space="preserve"> de Europese Unie. Zie </w:t>
      </w:r>
      <w:proofErr w:type="spellStart"/>
      <w:r w:rsidRPr="00D5206D">
        <w:t>HvJEU</w:t>
      </w:r>
      <w:proofErr w:type="spellEnd"/>
      <w:r w:rsidRPr="00D5206D">
        <w:t xml:space="preserve"> 6 oktober 2015, </w:t>
      </w:r>
      <w:proofErr w:type="spellStart"/>
      <w:r w:rsidRPr="00D5206D">
        <w:rPr>
          <w:i/>
          <w:iCs/>
        </w:rPr>
        <w:t>Schrems</w:t>
      </w:r>
      <w:proofErr w:type="spellEnd"/>
      <w:r w:rsidRPr="00D5206D">
        <w:t xml:space="preserve">, C-362/14, ECLI:EU:C:2015:650, punt 52 met verwijzing naar </w:t>
      </w:r>
      <w:proofErr w:type="spellStart"/>
      <w:r w:rsidRPr="00D5206D">
        <w:t>HvJEU</w:t>
      </w:r>
      <w:proofErr w:type="spellEnd"/>
      <w:r w:rsidRPr="00D5206D">
        <w:t xml:space="preserve"> 5 oktober 2004, </w:t>
      </w:r>
      <w:r w:rsidRPr="00D5206D">
        <w:rPr>
          <w:i/>
          <w:iCs/>
        </w:rPr>
        <w:t>Commissie/Griekenland</w:t>
      </w:r>
      <w:r w:rsidRPr="00D5206D">
        <w:t>, C-475/01, ECLI:EU:C:2004:585, punt 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E278" w14:textId="77777777" w:rsidR="00392BA0" w:rsidRDefault="00565552" w:rsidP="003265E9">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E27E" w14:textId="77777777" w:rsidR="00392BA0" w:rsidRDefault="00565552" w:rsidP="003265E9">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2748E27F" w14:textId="77777777" w:rsidR="00392BA0" w:rsidRDefault="00565552">
    <w:pPr>
      <w:pStyle w:val="Koptekst"/>
    </w:pPr>
    <w:r>
      <w:rPr>
        <w:noProof/>
      </w:rPr>
      <w:drawing>
        <wp:anchor distT="0" distB="0" distL="114300" distR="114300" simplePos="0" relativeHeight="251658240" behindDoc="1" locked="0" layoutInCell="1" allowOverlap="1" wp14:anchorId="2748E28A" wp14:editId="2748E28B">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DA"/>
    <w:rsid w:val="0000021E"/>
    <w:rsid w:val="000008A1"/>
    <w:rsid w:val="00001175"/>
    <w:rsid w:val="00001817"/>
    <w:rsid w:val="00002498"/>
    <w:rsid w:val="00002B1C"/>
    <w:rsid w:val="00003D78"/>
    <w:rsid w:val="00004086"/>
    <w:rsid w:val="000057A0"/>
    <w:rsid w:val="00006382"/>
    <w:rsid w:val="000079D3"/>
    <w:rsid w:val="000105E1"/>
    <w:rsid w:val="00010F6D"/>
    <w:rsid w:val="00011018"/>
    <w:rsid w:val="000113F5"/>
    <w:rsid w:val="00011553"/>
    <w:rsid w:val="0001337F"/>
    <w:rsid w:val="000135C1"/>
    <w:rsid w:val="000160E8"/>
    <w:rsid w:val="00023173"/>
    <w:rsid w:val="00023857"/>
    <w:rsid w:val="00023D89"/>
    <w:rsid w:val="00023FC3"/>
    <w:rsid w:val="000241A0"/>
    <w:rsid w:val="000244F1"/>
    <w:rsid w:val="000248BC"/>
    <w:rsid w:val="00025354"/>
    <w:rsid w:val="00026280"/>
    <w:rsid w:val="000279FF"/>
    <w:rsid w:val="00027E9B"/>
    <w:rsid w:val="000307E4"/>
    <w:rsid w:val="00032C4E"/>
    <w:rsid w:val="00032E38"/>
    <w:rsid w:val="00035757"/>
    <w:rsid w:val="00035A97"/>
    <w:rsid w:val="000365F1"/>
    <w:rsid w:val="00036A1D"/>
    <w:rsid w:val="00037180"/>
    <w:rsid w:val="00037DBF"/>
    <w:rsid w:val="00040514"/>
    <w:rsid w:val="00040953"/>
    <w:rsid w:val="0004131A"/>
    <w:rsid w:val="000413C4"/>
    <w:rsid w:val="00041897"/>
    <w:rsid w:val="00041BD9"/>
    <w:rsid w:val="00042BAF"/>
    <w:rsid w:val="00043F51"/>
    <w:rsid w:val="000442E3"/>
    <w:rsid w:val="00044DAE"/>
    <w:rsid w:val="000457D9"/>
    <w:rsid w:val="0004705F"/>
    <w:rsid w:val="00050943"/>
    <w:rsid w:val="00052020"/>
    <w:rsid w:val="00052177"/>
    <w:rsid w:val="000521A3"/>
    <w:rsid w:val="00052C2C"/>
    <w:rsid w:val="00055F21"/>
    <w:rsid w:val="00056160"/>
    <w:rsid w:val="00056372"/>
    <w:rsid w:val="00056CFD"/>
    <w:rsid w:val="00057F71"/>
    <w:rsid w:val="0006278E"/>
    <w:rsid w:val="00063227"/>
    <w:rsid w:val="00063D0B"/>
    <w:rsid w:val="000665B8"/>
    <w:rsid w:val="00066A43"/>
    <w:rsid w:val="00066D21"/>
    <w:rsid w:val="000701ED"/>
    <w:rsid w:val="000705B7"/>
    <w:rsid w:val="00070F98"/>
    <w:rsid w:val="00071675"/>
    <w:rsid w:val="00071DC1"/>
    <w:rsid w:val="000739BE"/>
    <w:rsid w:val="00074F9A"/>
    <w:rsid w:val="000756B7"/>
    <w:rsid w:val="00075D4C"/>
    <w:rsid w:val="000767DD"/>
    <w:rsid w:val="000778FD"/>
    <w:rsid w:val="000801D9"/>
    <w:rsid w:val="000806A8"/>
    <w:rsid w:val="00080E95"/>
    <w:rsid w:val="00081FDA"/>
    <w:rsid w:val="00082FD4"/>
    <w:rsid w:val="00083675"/>
    <w:rsid w:val="00084E49"/>
    <w:rsid w:val="00085095"/>
    <w:rsid w:val="00086881"/>
    <w:rsid w:val="00086C98"/>
    <w:rsid w:val="0009042B"/>
    <w:rsid w:val="00090B70"/>
    <w:rsid w:val="00090E28"/>
    <w:rsid w:val="000938A9"/>
    <w:rsid w:val="000968E5"/>
    <w:rsid w:val="000972B7"/>
    <w:rsid w:val="00097B4D"/>
    <w:rsid w:val="00097D54"/>
    <w:rsid w:val="000A0E39"/>
    <w:rsid w:val="000A138F"/>
    <w:rsid w:val="000A14DC"/>
    <w:rsid w:val="000A4143"/>
    <w:rsid w:val="000A44F6"/>
    <w:rsid w:val="000A4FE9"/>
    <w:rsid w:val="000A521D"/>
    <w:rsid w:val="000A60A6"/>
    <w:rsid w:val="000A617C"/>
    <w:rsid w:val="000A7A52"/>
    <w:rsid w:val="000B0926"/>
    <w:rsid w:val="000B22AB"/>
    <w:rsid w:val="000B3264"/>
    <w:rsid w:val="000B33AB"/>
    <w:rsid w:val="000B473C"/>
    <w:rsid w:val="000B4FD9"/>
    <w:rsid w:val="000B5ADE"/>
    <w:rsid w:val="000B5BB1"/>
    <w:rsid w:val="000B6964"/>
    <w:rsid w:val="000B69B5"/>
    <w:rsid w:val="000B6C52"/>
    <w:rsid w:val="000B715C"/>
    <w:rsid w:val="000C081D"/>
    <w:rsid w:val="000C24A2"/>
    <w:rsid w:val="000C2D2B"/>
    <w:rsid w:val="000C385E"/>
    <w:rsid w:val="000C3958"/>
    <w:rsid w:val="000C4D2C"/>
    <w:rsid w:val="000C78DC"/>
    <w:rsid w:val="000D11DB"/>
    <w:rsid w:val="000D1C2A"/>
    <w:rsid w:val="000D2ACF"/>
    <w:rsid w:val="000D4158"/>
    <w:rsid w:val="000D4B67"/>
    <w:rsid w:val="000D6681"/>
    <w:rsid w:val="000E03D5"/>
    <w:rsid w:val="000E0B30"/>
    <w:rsid w:val="000E101C"/>
    <w:rsid w:val="000E439B"/>
    <w:rsid w:val="000E4F25"/>
    <w:rsid w:val="000E5DF7"/>
    <w:rsid w:val="000E6B5A"/>
    <w:rsid w:val="000E70C5"/>
    <w:rsid w:val="000E72F2"/>
    <w:rsid w:val="000E7CCC"/>
    <w:rsid w:val="000F018C"/>
    <w:rsid w:val="000F0FB4"/>
    <w:rsid w:val="000F2D8B"/>
    <w:rsid w:val="000F3878"/>
    <w:rsid w:val="000F6661"/>
    <w:rsid w:val="001001BB"/>
    <w:rsid w:val="00100ED5"/>
    <w:rsid w:val="00102475"/>
    <w:rsid w:val="00102699"/>
    <w:rsid w:val="00104022"/>
    <w:rsid w:val="00106198"/>
    <w:rsid w:val="001079E2"/>
    <w:rsid w:val="00107A37"/>
    <w:rsid w:val="00110E84"/>
    <w:rsid w:val="00111B2E"/>
    <w:rsid w:val="00111D57"/>
    <w:rsid w:val="00112B0A"/>
    <w:rsid w:val="0011347D"/>
    <w:rsid w:val="00113645"/>
    <w:rsid w:val="0011389A"/>
    <w:rsid w:val="00113BF1"/>
    <w:rsid w:val="00113F32"/>
    <w:rsid w:val="001145E1"/>
    <w:rsid w:val="00114707"/>
    <w:rsid w:val="001174E9"/>
    <w:rsid w:val="001207C8"/>
    <w:rsid w:val="0012124B"/>
    <w:rsid w:val="00121F89"/>
    <w:rsid w:val="0012296C"/>
    <w:rsid w:val="00122FA6"/>
    <w:rsid w:val="001239A0"/>
    <w:rsid w:val="001240E9"/>
    <w:rsid w:val="001256AE"/>
    <w:rsid w:val="00125EF6"/>
    <w:rsid w:val="0012627A"/>
    <w:rsid w:val="00127116"/>
    <w:rsid w:val="00127405"/>
    <w:rsid w:val="00130A30"/>
    <w:rsid w:val="00130D66"/>
    <w:rsid w:val="001331CF"/>
    <w:rsid w:val="001333EA"/>
    <w:rsid w:val="00133D62"/>
    <w:rsid w:val="001345F4"/>
    <w:rsid w:val="00134E33"/>
    <w:rsid w:val="00135587"/>
    <w:rsid w:val="00135C09"/>
    <w:rsid w:val="0013652B"/>
    <w:rsid w:val="00137589"/>
    <w:rsid w:val="0013785D"/>
    <w:rsid w:val="001407E7"/>
    <w:rsid w:val="001409E6"/>
    <w:rsid w:val="00142662"/>
    <w:rsid w:val="00142DE2"/>
    <w:rsid w:val="001430D0"/>
    <w:rsid w:val="001443E8"/>
    <w:rsid w:val="00145D17"/>
    <w:rsid w:val="00147BC9"/>
    <w:rsid w:val="001501A2"/>
    <w:rsid w:val="0015039C"/>
    <w:rsid w:val="00150C7D"/>
    <w:rsid w:val="0015110A"/>
    <w:rsid w:val="00152306"/>
    <w:rsid w:val="001529FF"/>
    <w:rsid w:val="00152D8C"/>
    <w:rsid w:val="00152EA2"/>
    <w:rsid w:val="0015383D"/>
    <w:rsid w:val="00153862"/>
    <w:rsid w:val="0015426D"/>
    <w:rsid w:val="0015484A"/>
    <w:rsid w:val="00154B35"/>
    <w:rsid w:val="00154DB9"/>
    <w:rsid w:val="0015502B"/>
    <w:rsid w:val="001566A9"/>
    <w:rsid w:val="001574D0"/>
    <w:rsid w:val="0015770F"/>
    <w:rsid w:val="00157EDF"/>
    <w:rsid w:val="001601B3"/>
    <w:rsid w:val="001608C9"/>
    <w:rsid w:val="001612CC"/>
    <w:rsid w:val="0016216A"/>
    <w:rsid w:val="00162AE1"/>
    <w:rsid w:val="0016332C"/>
    <w:rsid w:val="00163A4E"/>
    <w:rsid w:val="00163CF5"/>
    <w:rsid w:val="00165144"/>
    <w:rsid w:val="0016668C"/>
    <w:rsid w:val="0016711B"/>
    <w:rsid w:val="00170E5B"/>
    <w:rsid w:val="00171A22"/>
    <w:rsid w:val="0017277B"/>
    <w:rsid w:val="0017317E"/>
    <w:rsid w:val="0017553B"/>
    <w:rsid w:val="0017595E"/>
    <w:rsid w:val="001759FE"/>
    <w:rsid w:val="001777A1"/>
    <w:rsid w:val="001805BC"/>
    <w:rsid w:val="00181819"/>
    <w:rsid w:val="001819F7"/>
    <w:rsid w:val="001820D0"/>
    <w:rsid w:val="0018285F"/>
    <w:rsid w:val="0018575D"/>
    <w:rsid w:val="00186B09"/>
    <w:rsid w:val="0019032B"/>
    <w:rsid w:val="0019294A"/>
    <w:rsid w:val="00193CB9"/>
    <w:rsid w:val="0019579B"/>
    <w:rsid w:val="00195817"/>
    <w:rsid w:val="001964E9"/>
    <w:rsid w:val="0019669F"/>
    <w:rsid w:val="00197D7F"/>
    <w:rsid w:val="00197DC5"/>
    <w:rsid w:val="001A1237"/>
    <w:rsid w:val="001A17D5"/>
    <w:rsid w:val="001A2203"/>
    <w:rsid w:val="001A2978"/>
    <w:rsid w:val="001A2D42"/>
    <w:rsid w:val="001A3641"/>
    <w:rsid w:val="001A3C09"/>
    <w:rsid w:val="001A4861"/>
    <w:rsid w:val="001A4E29"/>
    <w:rsid w:val="001A521B"/>
    <w:rsid w:val="001A5879"/>
    <w:rsid w:val="001A6D70"/>
    <w:rsid w:val="001A79E9"/>
    <w:rsid w:val="001B006B"/>
    <w:rsid w:val="001B030D"/>
    <w:rsid w:val="001B2C0E"/>
    <w:rsid w:val="001B3283"/>
    <w:rsid w:val="001B3FFF"/>
    <w:rsid w:val="001B527C"/>
    <w:rsid w:val="001B5321"/>
    <w:rsid w:val="001B5323"/>
    <w:rsid w:val="001B557C"/>
    <w:rsid w:val="001B5652"/>
    <w:rsid w:val="001B5BA7"/>
    <w:rsid w:val="001C0144"/>
    <w:rsid w:val="001C10E8"/>
    <w:rsid w:val="001C1235"/>
    <w:rsid w:val="001C1319"/>
    <w:rsid w:val="001C3D70"/>
    <w:rsid w:val="001C40A0"/>
    <w:rsid w:val="001C76E9"/>
    <w:rsid w:val="001C7808"/>
    <w:rsid w:val="001C7AD8"/>
    <w:rsid w:val="001D1983"/>
    <w:rsid w:val="001D23AA"/>
    <w:rsid w:val="001D271B"/>
    <w:rsid w:val="001D3C13"/>
    <w:rsid w:val="001D4B4E"/>
    <w:rsid w:val="001D74AD"/>
    <w:rsid w:val="001D7799"/>
    <w:rsid w:val="001E0139"/>
    <w:rsid w:val="001E0205"/>
    <w:rsid w:val="001E1C6C"/>
    <w:rsid w:val="001E1CED"/>
    <w:rsid w:val="001E2408"/>
    <w:rsid w:val="001E28A1"/>
    <w:rsid w:val="001E2ACE"/>
    <w:rsid w:val="001E3F89"/>
    <w:rsid w:val="001E43EA"/>
    <w:rsid w:val="001E4F75"/>
    <w:rsid w:val="001E52AA"/>
    <w:rsid w:val="001E560F"/>
    <w:rsid w:val="001E66FF"/>
    <w:rsid w:val="001E7A7D"/>
    <w:rsid w:val="001F1907"/>
    <w:rsid w:val="001F230B"/>
    <w:rsid w:val="001F36ED"/>
    <w:rsid w:val="001F519F"/>
    <w:rsid w:val="001F630F"/>
    <w:rsid w:val="001F7446"/>
    <w:rsid w:val="001F7D42"/>
    <w:rsid w:val="00200708"/>
    <w:rsid w:val="00201407"/>
    <w:rsid w:val="00201577"/>
    <w:rsid w:val="002018F0"/>
    <w:rsid w:val="00201F88"/>
    <w:rsid w:val="00201FAD"/>
    <w:rsid w:val="0020225A"/>
    <w:rsid w:val="0020307A"/>
    <w:rsid w:val="00203A0F"/>
    <w:rsid w:val="0020424E"/>
    <w:rsid w:val="0020580B"/>
    <w:rsid w:val="0020597E"/>
    <w:rsid w:val="00207D05"/>
    <w:rsid w:val="00207DAD"/>
    <w:rsid w:val="00210826"/>
    <w:rsid w:val="00211B90"/>
    <w:rsid w:val="00212374"/>
    <w:rsid w:val="002134E5"/>
    <w:rsid w:val="002147FD"/>
    <w:rsid w:val="00214A4B"/>
    <w:rsid w:val="00215B46"/>
    <w:rsid w:val="00215F2D"/>
    <w:rsid w:val="002173F6"/>
    <w:rsid w:val="00220942"/>
    <w:rsid w:val="00220C50"/>
    <w:rsid w:val="00221902"/>
    <w:rsid w:val="00221E2C"/>
    <w:rsid w:val="0022238A"/>
    <w:rsid w:val="00223E4A"/>
    <w:rsid w:val="0022430B"/>
    <w:rsid w:val="002253AA"/>
    <w:rsid w:val="002261B9"/>
    <w:rsid w:val="0022640D"/>
    <w:rsid w:val="002264ED"/>
    <w:rsid w:val="002273D3"/>
    <w:rsid w:val="00227679"/>
    <w:rsid w:val="002314C0"/>
    <w:rsid w:val="002325BC"/>
    <w:rsid w:val="00233CC6"/>
    <w:rsid w:val="0023462D"/>
    <w:rsid w:val="00234E49"/>
    <w:rsid w:val="0023546A"/>
    <w:rsid w:val="00235A79"/>
    <w:rsid w:val="00235D90"/>
    <w:rsid w:val="002379A7"/>
    <w:rsid w:val="00240800"/>
    <w:rsid w:val="002415EB"/>
    <w:rsid w:val="0024182C"/>
    <w:rsid w:val="00241D60"/>
    <w:rsid w:val="00242170"/>
    <w:rsid w:val="002429F7"/>
    <w:rsid w:val="00242BA8"/>
    <w:rsid w:val="00242C52"/>
    <w:rsid w:val="00243274"/>
    <w:rsid w:val="002436C0"/>
    <w:rsid w:val="00243E0A"/>
    <w:rsid w:val="00244654"/>
    <w:rsid w:val="00244BB6"/>
    <w:rsid w:val="00244D9D"/>
    <w:rsid w:val="002453CC"/>
    <w:rsid w:val="00246563"/>
    <w:rsid w:val="00246A50"/>
    <w:rsid w:val="00246C5D"/>
    <w:rsid w:val="00250041"/>
    <w:rsid w:val="002502AF"/>
    <w:rsid w:val="00250E4B"/>
    <w:rsid w:val="0025157A"/>
    <w:rsid w:val="00251799"/>
    <w:rsid w:val="00251DAB"/>
    <w:rsid w:val="00255B94"/>
    <w:rsid w:val="00255D91"/>
    <w:rsid w:val="00256FDB"/>
    <w:rsid w:val="00257C5C"/>
    <w:rsid w:val="00260448"/>
    <w:rsid w:val="002605EA"/>
    <w:rsid w:val="002623DE"/>
    <w:rsid w:val="00262C10"/>
    <w:rsid w:val="00262D3E"/>
    <w:rsid w:val="00264271"/>
    <w:rsid w:val="00264C9F"/>
    <w:rsid w:val="00265E62"/>
    <w:rsid w:val="00266628"/>
    <w:rsid w:val="00267234"/>
    <w:rsid w:val="00267389"/>
    <w:rsid w:val="00267D81"/>
    <w:rsid w:val="00270EBD"/>
    <w:rsid w:val="002710A3"/>
    <w:rsid w:val="002733B8"/>
    <w:rsid w:val="0027343F"/>
    <w:rsid w:val="0027404B"/>
    <w:rsid w:val="00274E69"/>
    <w:rsid w:val="002751F6"/>
    <w:rsid w:val="00275605"/>
    <w:rsid w:val="00275A91"/>
    <w:rsid w:val="00276168"/>
    <w:rsid w:val="002776E1"/>
    <w:rsid w:val="002806B5"/>
    <w:rsid w:val="002809C4"/>
    <w:rsid w:val="00280F8A"/>
    <w:rsid w:val="00281ACD"/>
    <w:rsid w:val="00281DD0"/>
    <w:rsid w:val="0028260F"/>
    <w:rsid w:val="002831AA"/>
    <w:rsid w:val="00283CFB"/>
    <w:rsid w:val="00283E03"/>
    <w:rsid w:val="00286327"/>
    <w:rsid w:val="00287323"/>
    <w:rsid w:val="00290162"/>
    <w:rsid w:val="00290829"/>
    <w:rsid w:val="002918EC"/>
    <w:rsid w:val="00293639"/>
    <w:rsid w:val="00294997"/>
    <w:rsid w:val="00294CC0"/>
    <w:rsid w:val="00295361"/>
    <w:rsid w:val="0029595E"/>
    <w:rsid w:val="00295ECD"/>
    <w:rsid w:val="00297F3A"/>
    <w:rsid w:val="002A04A4"/>
    <w:rsid w:val="002A27B9"/>
    <w:rsid w:val="002A345F"/>
    <w:rsid w:val="002A36F3"/>
    <w:rsid w:val="002A4A51"/>
    <w:rsid w:val="002A4B8C"/>
    <w:rsid w:val="002A5FBC"/>
    <w:rsid w:val="002A6032"/>
    <w:rsid w:val="002A773B"/>
    <w:rsid w:val="002A7959"/>
    <w:rsid w:val="002A7BAA"/>
    <w:rsid w:val="002B503A"/>
    <w:rsid w:val="002C4679"/>
    <w:rsid w:val="002C4CD3"/>
    <w:rsid w:val="002C56A6"/>
    <w:rsid w:val="002C5C69"/>
    <w:rsid w:val="002C69DA"/>
    <w:rsid w:val="002C6F42"/>
    <w:rsid w:val="002C7940"/>
    <w:rsid w:val="002D0DB3"/>
    <w:rsid w:val="002D2DD1"/>
    <w:rsid w:val="002D39DE"/>
    <w:rsid w:val="002D42AE"/>
    <w:rsid w:val="002D5913"/>
    <w:rsid w:val="002D6263"/>
    <w:rsid w:val="002D6852"/>
    <w:rsid w:val="002D699C"/>
    <w:rsid w:val="002D7304"/>
    <w:rsid w:val="002E0434"/>
    <w:rsid w:val="002E0ED4"/>
    <w:rsid w:val="002E2A0D"/>
    <w:rsid w:val="002E2D47"/>
    <w:rsid w:val="002E2FF1"/>
    <w:rsid w:val="002E3BCB"/>
    <w:rsid w:val="002E48E7"/>
    <w:rsid w:val="002E5A07"/>
    <w:rsid w:val="002E6965"/>
    <w:rsid w:val="002E7334"/>
    <w:rsid w:val="002E7A30"/>
    <w:rsid w:val="002F09AD"/>
    <w:rsid w:val="002F0DEC"/>
    <w:rsid w:val="002F1331"/>
    <w:rsid w:val="002F1392"/>
    <w:rsid w:val="002F2A0D"/>
    <w:rsid w:val="002F2B46"/>
    <w:rsid w:val="002F3FE0"/>
    <w:rsid w:val="002F4188"/>
    <w:rsid w:val="002F68A2"/>
    <w:rsid w:val="002F6EC5"/>
    <w:rsid w:val="002F796B"/>
    <w:rsid w:val="00300468"/>
    <w:rsid w:val="00300C1A"/>
    <w:rsid w:val="003014A6"/>
    <w:rsid w:val="003043B9"/>
    <w:rsid w:val="00304441"/>
    <w:rsid w:val="00305292"/>
    <w:rsid w:val="00305D92"/>
    <w:rsid w:val="00306665"/>
    <w:rsid w:val="00306920"/>
    <w:rsid w:val="00306E12"/>
    <w:rsid w:val="0031099E"/>
    <w:rsid w:val="00310D25"/>
    <w:rsid w:val="0031137B"/>
    <w:rsid w:val="003131DC"/>
    <w:rsid w:val="003137B1"/>
    <w:rsid w:val="00314238"/>
    <w:rsid w:val="00316CCC"/>
    <w:rsid w:val="00316CF3"/>
    <w:rsid w:val="00320932"/>
    <w:rsid w:val="00320E99"/>
    <w:rsid w:val="00322E1F"/>
    <w:rsid w:val="00323F09"/>
    <w:rsid w:val="00324401"/>
    <w:rsid w:val="00324598"/>
    <w:rsid w:val="00324BB6"/>
    <w:rsid w:val="003265E9"/>
    <w:rsid w:val="00326704"/>
    <w:rsid w:val="003270AC"/>
    <w:rsid w:val="00330A1F"/>
    <w:rsid w:val="00330A38"/>
    <w:rsid w:val="00330F31"/>
    <w:rsid w:val="00331C98"/>
    <w:rsid w:val="003328B3"/>
    <w:rsid w:val="00333EDE"/>
    <w:rsid w:val="00334094"/>
    <w:rsid w:val="00334B15"/>
    <w:rsid w:val="003353B6"/>
    <w:rsid w:val="00336045"/>
    <w:rsid w:val="00336C0D"/>
    <w:rsid w:val="0033773F"/>
    <w:rsid w:val="00337A9D"/>
    <w:rsid w:val="00341C72"/>
    <w:rsid w:val="00342A59"/>
    <w:rsid w:val="00343F97"/>
    <w:rsid w:val="00344016"/>
    <w:rsid w:val="00346ABC"/>
    <w:rsid w:val="00346C12"/>
    <w:rsid w:val="003508B8"/>
    <w:rsid w:val="003508CA"/>
    <w:rsid w:val="00350BA9"/>
    <w:rsid w:val="00351F58"/>
    <w:rsid w:val="003521F2"/>
    <w:rsid w:val="00352E93"/>
    <w:rsid w:val="00353C5F"/>
    <w:rsid w:val="00355C16"/>
    <w:rsid w:val="0035634A"/>
    <w:rsid w:val="003575EA"/>
    <w:rsid w:val="00357792"/>
    <w:rsid w:val="00360BF3"/>
    <w:rsid w:val="00360CB7"/>
    <w:rsid w:val="00362E67"/>
    <w:rsid w:val="00363090"/>
    <w:rsid w:val="003634C9"/>
    <w:rsid w:val="00363FDA"/>
    <w:rsid w:val="00365795"/>
    <w:rsid w:val="00365975"/>
    <w:rsid w:val="00365FD9"/>
    <w:rsid w:val="00366DEE"/>
    <w:rsid w:val="00367705"/>
    <w:rsid w:val="00367E09"/>
    <w:rsid w:val="00370985"/>
    <w:rsid w:val="00372053"/>
    <w:rsid w:val="00372A96"/>
    <w:rsid w:val="0037363D"/>
    <w:rsid w:val="0037391C"/>
    <w:rsid w:val="00374709"/>
    <w:rsid w:val="00374EDA"/>
    <w:rsid w:val="00375C3E"/>
    <w:rsid w:val="00377D17"/>
    <w:rsid w:val="00381317"/>
    <w:rsid w:val="00381C21"/>
    <w:rsid w:val="0038259A"/>
    <w:rsid w:val="00382BEE"/>
    <w:rsid w:val="003832D9"/>
    <w:rsid w:val="00384A21"/>
    <w:rsid w:val="00385722"/>
    <w:rsid w:val="00391E7C"/>
    <w:rsid w:val="00391F39"/>
    <w:rsid w:val="00392BA0"/>
    <w:rsid w:val="00392D23"/>
    <w:rsid w:val="0039325F"/>
    <w:rsid w:val="003939C6"/>
    <w:rsid w:val="00393DC9"/>
    <w:rsid w:val="003941F2"/>
    <w:rsid w:val="0039468F"/>
    <w:rsid w:val="00396416"/>
    <w:rsid w:val="00396706"/>
    <w:rsid w:val="00396CB4"/>
    <w:rsid w:val="00397321"/>
    <w:rsid w:val="003A4BAD"/>
    <w:rsid w:val="003A4C5E"/>
    <w:rsid w:val="003A5B69"/>
    <w:rsid w:val="003A72E3"/>
    <w:rsid w:val="003B00AA"/>
    <w:rsid w:val="003B0614"/>
    <w:rsid w:val="003B1EAC"/>
    <w:rsid w:val="003B3CDF"/>
    <w:rsid w:val="003B5722"/>
    <w:rsid w:val="003B64F8"/>
    <w:rsid w:val="003B6E54"/>
    <w:rsid w:val="003B7C8E"/>
    <w:rsid w:val="003C0989"/>
    <w:rsid w:val="003C1179"/>
    <w:rsid w:val="003C46BC"/>
    <w:rsid w:val="003C54CB"/>
    <w:rsid w:val="003C5505"/>
    <w:rsid w:val="003C5B30"/>
    <w:rsid w:val="003C70CE"/>
    <w:rsid w:val="003C7EB2"/>
    <w:rsid w:val="003D01BB"/>
    <w:rsid w:val="003D0B22"/>
    <w:rsid w:val="003D0E8C"/>
    <w:rsid w:val="003D1323"/>
    <w:rsid w:val="003D1676"/>
    <w:rsid w:val="003D199E"/>
    <w:rsid w:val="003D1ADF"/>
    <w:rsid w:val="003D2389"/>
    <w:rsid w:val="003D2441"/>
    <w:rsid w:val="003D3C7C"/>
    <w:rsid w:val="003D507C"/>
    <w:rsid w:val="003D51E8"/>
    <w:rsid w:val="003D5490"/>
    <w:rsid w:val="003D6C30"/>
    <w:rsid w:val="003D7431"/>
    <w:rsid w:val="003E0DEB"/>
    <w:rsid w:val="003E108A"/>
    <w:rsid w:val="003E16DA"/>
    <w:rsid w:val="003E1AED"/>
    <w:rsid w:val="003E1B0E"/>
    <w:rsid w:val="003E39DA"/>
    <w:rsid w:val="003E4FAA"/>
    <w:rsid w:val="003E5CE3"/>
    <w:rsid w:val="003E618A"/>
    <w:rsid w:val="003E6B55"/>
    <w:rsid w:val="003E7329"/>
    <w:rsid w:val="003F0F40"/>
    <w:rsid w:val="003F16E0"/>
    <w:rsid w:val="003F2E1C"/>
    <w:rsid w:val="003F3234"/>
    <w:rsid w:val="003F62C5"/>
    <w:rsid w:val="003F67A9"/>
    <w:rsid w:val="003F697A"/>
    <w:rsid w:val="003F6E1E"/>
    <w:rsid w:val="003F6EE8"/>
    <w:rsid w:val="00401BC5"/>
    <w:rsid w:val="00402264"/>
    <w:rsid w:val="004026D9"/>
    <w:rsid w:val="0040292D"/>
    <w:rsid w:val="00404035"/>
    <w:rsid w:val="00407D6E"/>
    <w:rsid w:val="0041157E"/>
    <w:rsid w:val="004120F2"/>
    <w:rsid w:val="00413D61"/>
    <w:rsid w:val="0041401A"/>
    <w:rsid w:val="00414265"/>
    <w:rsid w:val="0041458A"/>
    <w:rsid w:val="00414E01"/>
    <w:rsid w:val="00415D9D"/>
    <w:rsid w:val="0042250C"/>
    <w:rsid w:val="004255A6"/>
    <w:rsid w:val="004273AA"/>
    <w:rsid w:val="00427922"/>
    <w:rsid w:val="00427A69"/>
    <w:rsid w:val="00427FD5"/>
    <w:rsid w:val="00431C23"/>
    <w:rsid w:val="004325D0"/>
    <w:rsid w:val="0043330A"/>
    <w:rsid w:val="00433419"/>
    <w:rsid w:val="00433465"/>
    <w:rsid w:val="004337F8"/>
    <w:rsid w:val="00433FE2"/>
    <w:rsid w:val="004344D4"/>
    <w:rsid w:val="00435F4E"/>
    <w:rsid w:val="004366F9"/>
    <w:rsid w:val="00437521"/>
    <w:rsid w:val="00437910"/>
    <w:rsid w:val="00437CCB"/>
    <w:rsid w:val="00441ADE"/>
    <w:rsid w:val="00441FAC"/>
    <w:rsid w:val="00441FC4"/>
    <w:rsid w:val="0044301D"/>
    <w:rsid w:val="00443D5D"/>
    <w:rsid w:val="00444943"/>
    <w:rsid w:val="004459BF"/>
    <w:rsid w:val="00445DA3"/>
    <w:rsid w:val="00447E6B"/>
    <w:rsid w:val="00450D61"/>
    <w:rsid w:val="00451B37"/>
    <w:rsid w:val="00452639"/>
    <w:rsid w:val="00453154"/>
    <w:rsid w:val="00453811"/>
    <w:rsid w:val="00453BCB"/>
    <w:rsid w:val="00453BD0"/>
    <w:rsid w:val="004566C8"/>
    <w:rsid w:val="00456B44"/>
    <w:rsid w:val="00457B1C"/>
    <w:rsid w:val="00457F24"/>
    <w:rsid w:val="00460988"/>
    <w:rsid w:val="00462713"/>
    <w:rsid w:val="0046324B"/>
    <w:rsid w:val="00463257"/>
    <w:rsid w:val="004636AF"/>
    <w:rsid w:val="004636B9"/>
    <w:rsid w:val="00463B6A"/>
    <w:rsid w:val="00463F04"/>
    <w:rsid w:val="004651FA"/>
    <w:rsid w:val="00467137"/>
    <w:rsid w:val="0047253D"/>
    <w:rsid w:val="004728DC"/>
    <w:rsid w:val="004733DF"/>
    <w:rsid w:val="00474478"/>
    <w:rsid w:val="00475733"/>
    <w:rsid w:val="00477236"/>
    <w:rsid w:val="004772A8"/>
    <w:rsid w:val="00480036"/>
    <w:rsid w:val="0048020D"/>
    <w:rsid w:val="004823B4"/>
    <w:rsid w:val="00482E7D"/>
    <w:rsid w:val="00482F3C"/>
    <w:rsid w:val="00483660"/>
    <w:rsid w:val="00483E1A"/>
    <w:rsid w:val="00484338"/>
    <w:rsid w:val="00484C23"/>
    <w:rsid w:val="0048580C"/>
    <w:rsid w:val="00486519"/>
    <w:rsid w:val="004876FC"/>
    <w:rsid w:val="00490054"/>
    <w:rsid w:val="00490340"/>
    <w:rsid w:val="00492972"/>
    <w:rsid w:val="004940E6"/>
    <w:rsid w:val="00494309"/>
    <w:rsid w:val="00494326"/>
    <w:rsid w:val="00494687"/>
    <w:rsid w:val="00494FC0"/>
    <w:rsid w:val="00495BC0"/>
    <w:rsid w:val="00495E44"/>
    <w:rsid w:val="004969D8"/>
    <w:rsid w:val="00496DDD"/>
    <w:rsid w:val="00496F00"/>
    <w:rsid w:val="00497D2F"/>
    <w:rsid w:val="004A01A6"/>
    <w:rsid w:val="004A0CF6"/>
    <w:rsid w:val="004A2A55"/>
    <w:rsid w:val="004A5007"/>
    <w:rsid w:val="004A5E40"/>
    <w:rsid w:val="004A67E5"/>
    <w:rsid w:val="004A6841"/>
    <w:rsid w:val="004A7705"/>
    <w:rsid w:val="004B0D24"/>
    <w:rsid w:val="004B4DC1"/>
    <w:rsid w:val="004B58CF"/>
    <w:rsid w:val="004B62B8"/>
    <w:rsid w:val="004B6429"/>
    <w:rsid w:val="004C0336"/>
    <w:rsid w:val="004C13F7"/>
    <w:rsid w:val="004C22B4"/>
    <w:rsid w:val="004C40D2"/>
    <w:rsid w:val="004C42C3"/>
    <w:rsid w:val="004C4648"/>
    <w:rsid w:val="004C4D3B"/>
    <w:rsid w:val="004C5417"/>
    <w:rsid w:val="004C58E6"/>
    <w:rsid w:val="004C6A55"/>
    <w:rsid w:val="004C6DDC"/>
    <w:rsid w:val="004C7B82"/>
    <w:rsid w:val="004D0A9E"/>
    <w:rsid w:val="004D0B3F"/>
    <w:rsid w:val="004D1BBF"/>
    <w:rsid w:val="004D2663"/>
    <w:rsid w:val="004D408B"/>
    <w:rsid w:val="004D4756"/>
    <w:rsid w:val="004D5F26"/>
    <w:rsid w:val="004D64FC"/>
    <w:rsid w:val="004D6D6C"/>
    <w:rsid w:val="004E12FE"/>
    <w:rsid w:val="004E1EEF"/>
    <w:rsid w:val="004E2612"/>
    <w:rsid w:val="004E2C37"/>
    <w:rsid w:val="004E2D87"/>
    <w:rsid w:val="004E39F0"/>
    <w:rsid w:val="004E467A"/>
    <w:rsid w:val="004E5623"/>
    <w:rsid w:val="004E6EF0"/>
    <w:rsid w:val="004F04CF"/>
    <w:rsid w:val="004F1D93"/>
    <w:rsid w:val="004F284A"/>
    <w:rsid w:val="004F334C"/>
    <w:rsid w:val="004F5F01"/>
    <w:rsid w:val="004F78B2"/>
    <w:rsid w:val="00500763"/>
    <w:rsid w:val="005011CA"/>
    <w:rsid w:val="00501A2A"/>
    <w:rsid w:val="00501C66"/>
    <w:rsid w:val="00501D48"/>
    <w:rsid w:val="00504A46"/>
    <w:rsid w:val="0050682A"/>
    <w:rsid w:val="00507EA0"/>
    <w:rsid w:val="0051131F"/>
    <w:rsid w:val="00512F7B"/>
    <w:rsid w:val="005139AB"/>
    <w:rsid w:val="00514F96"/>
    <w:rsid w:val="00515593"/>
    <w:rsid w:val="00517187"/>
    <w:rsid w:val="005172F5"/>
    <w:rsid w:val="00520A00"/>
    <w:rsid w:val="005216CA"/>
    <w:rsid w:val="00522129"/>
    <w:rsid w:val="005223D6"/>
    <w:rsid w:val="00523115"/>
    <w:rsid w:val="005236F6"/>
    <w:rsid w:val="005237A5"/>
    <w:rsid w:val="00524A01"/>
    <w:rsid w:val="00525511"/>
    <w:rsid w:val="005263C9"/>
    <w:rsid w:val="00526C86"/>
    <w:rsid w:val="0053014F"/>
    <w:rsid w:val="005304BC"/>
    <w:rsid w:val="00531003"/>
    <w:rsid w:val="005313D3"/>
    <w:rsid w:val="0053168E"/>
    <w:rsid w:val="00532A30"/>
    <w:rsid w:val="00535018"/>
    <w:rsid w:val="0053702B"/>
    <w:rsid w:val="00537221"/>
    <w:rsid w:val="005412F2"/>
    <w:rsid w:val="0054355C"/>
    <w:rsid w:val="00543FD9"/>
    <w:rsid w:val="005450E1"/>
    <w:rsid w:val="00545453"/>
    <w:rsid w:val="005459C9"/>
    <w:rsid w:val="0054603D"/>
    <w:rsid w:val="005471D6"/>
    <w:rsid w:val="00550242"/>
    <w:rsid w:val="00551B8F"/>
    <w:rsid w:val="00552BDA"/>
    <w:rsid w:val="00553FA8"/>
    <w:rsid w:val="0055493D"/>
    <w:rsid w:val="00555945"/>
    <w:rsid w:val="005563A1"/>
    <w:rsid w:val="00556AE1"/>
    <w:rsid w:val="00557393"/>
    <w:rsid w:val="00557482"/>
    <w:rsid w:val="005578E2"/>
    <w:rsid w:val="0056108C"/>
    <w:rsid w:val="00561BD9"/>
    <w:rsid w:val="0056424A"/>
    <w:rsid w:val="00565155"/>
    <w:rsid w:val="00565537"/>
    <w:rsid w:val="00565552"/>
    <w:rsid w:val="0056573C"/>
    <w:rsid w:val="00565BA9"/>
    <w:rsid w:val="00566957"/>
    <w:rsid w:val="00567FF8"/>
    <w:rsid w:val="00570125"/>
    <w:rsid w:val="00571079"/>
    <w:rsid w:val="0057297A"/>
    <w:rsid w:val="00573DD0"/>
    <w:rsid w:val="00573DFE"/>
    <w:rsid w:val="005748DD"/>
    <w:rsid w:val="005749BA"/>
    <w:rsid w:val="005751AE"/>
    <w:rsid w:val="00576FC6"/>
    <w:rsid w:val="005776C2"/>
    <w:rsid w:val="00580727"/>
    <w:rsid w:val="00580E43"/>
    <w:rsid w:val="00581056"/>
    <w:rsid w:val="005814E6"/>
    <w:rsid w:val="00581597"/>
    <w:rsid w:val="00581C6B"/>
    <w:rsid w:val="00581F04"/>
    <w:rsid w:val="0058231D"/>
    <w:rsid w:val="00582430"/>
    <w:rsid w:val="005830B0"/>
    <w:rsid w:val="00583C1F"/>
    <w:rsid w:val="00584582"/>
    <w:rsid w:val="0058483B"/>
    <w:rsid w:val="00585021"/>
    <w:rsid w:val="005865B9"/>
    <w:rsid w:val="00590D24"/>
    <w:rsid w:val="00590D2F"/>
    <w:rsid w:val="00590FCE"/>
    <w:rsid w:val="00591076"/>
    <w:rsid w:val="005915B7"/>
    <w:rsid w:val="00592B98"/>
    <w:rsid w:val="0059308C"/>
    <w:rsid w:val="0059333F"/>
    <w:rsid w:val="0059622F"/>
    <w:rsid w:val="0059651F"/>
    <w:rsid w:val="00597920"/>
    <w:rsid w:val="00597B77"/>
    <w:rsid w:val="005A06BA"/>
    <w:rsid w:val="005A0DAF"/>
    <w:rsid w:val="005A16DA"/>
    <w:rsid w:val="005A2454"/>
    <w:rsid w:val="005A3FF4"/>
    <w:rsid w:val="005A4F78"/>
    <w:rsid w:val="005A6606"/>
    <w:rsid w:val="005A7EF9"/>
    <w:rsid w:val="005B01D1"/>
    <w:rsid w:val="005B2205"/>
    <w:rsid w:val="005B22BE"/>
    <w:rsid w:val="005B2E29"/>
    <w:rsid w:val="005B48BB"/>
    <w:rsid w:val="005B6A7A"/>
    <w:rsid w:val="005B6B44"/>
    <w:rsid w:val="005B6D9F"/>
    <w:rsid w:val="005B7298"/>
    <w:rsid w:val="005C09BC"/>
    <w:rsid w:val="005C14FC"/>
    <w:rsid w:val="005C2EDC"/>
    <w:rsid w:val="005C4081"/>
    <w:rsid w:val="005C54A3"/>
    <w:rsid w:val="005C693A"/>
    <w:rsid w:val="005C7602"/>
    <w:rsid w:val="005D0D35"/>
    <w:rsid w:val="005D14DD"/>
    <w:rsid w:val="005D175C"/>
    <w:rsid w:val="005D30F0"/>
    <w:rsid w:val="005D3587"/>
    <w:rsid w:val="005D3D1B"/>
    <w:rsid w:val="005D4C6D"/>
    <w:rsid w:val="005D5AC3"/>
    <w:rsid w:val="005D6AEC"/>
    <w:rsid w:val="005D6C68"/>
    <w:rsid w:val="005D6EB6"/>
    <w:rsid w:val="005E0D2D"/>
    <w:rsid w:val="005E176E"/>
    <w:rsid w:val="005E1E63"/>
    <w:rsid w:val="005E2FFD"/>
    <w:rsid w:val="005E324F"/>
    <w:rsid w:val="005E49AF"/>
    <w:rsid w:val="005E653B"/>
    <w:rsid w:val="005E72F7"/>
    <w:rsid w:val="005E7D38"/>
    <w:rsid w:val="005F0166"/>
    <w:rsid w:val="005F1A3B"/>
    <w:rsid w:val="005F20F1"/>
    <w:rsid w:val="005F2347"/>
    <w:rsid w:val="005F2CFC"/>
    <w:rsid w:val="005F2DF7"/>
    <w:rsid w:val="005F3E95"/>
    <w:rsid w:val="005F6B4C"/>
    <w:rsid w:val="005F7EA2"/>
    <w:rsid w:val="00600927"/>
    <w:rsid w:val="00601414"/>
    <w:rsid w:val="00602217"/>
    <w:rsid w:val="00603B75"/>
    <w:rsid w:val="00604FCA"/>
    <w:rsid w:val="006055C0"/>
    <w:rsid w:val="00605E19"/>
    <w:rsid w:val="00610573"/>
    <w:rsid w:val="00610DC0"/>
    <w:rsid w:val="0061351A"/>
    <w:rsid w:val="006147FA"/>
    <w:rsid w:val="006168C8"/>
    <w:rsid w:val="00616CF2"/>
    <w:rsid w:val="00616D27"/>
    <w:rsid w:val="00616E62"/>
    <w:rsid w:val="00617319"/>
    <w:rsid w:val="006173CE"/>
    <w:rsid w:val="006204F4"/>
    <w:rsid w:val="0062139C"/>
    <w:rsid w:val="00623568"/>
    <w:rsid w:val="00624D45"/>
    <w:rsid w:val="00624EFD"/>
    <w:rsid w:val="00630DF2"/>
    <w:rsid w:val="00630FD1"/>
    <w:rsid w:val="00631C6D"/>
    <w:rsid w:val="006323B9"/>
    <w:rsid w:val="006341BC"/>
    <w:rsid w:val="0063491B"/>
    <w:rsid w:val="00635056"/>
    <w:rsid w:val="006363A0"/>
    <w:rsid w:val="00636FA7"/>
    <w:rsid w:val="0063753C"/>
    <w:rsid w:val="00637DD8"/>
    <w:rsid w:val="00637E66"/>
    <w:rsid w:val="00640434"/>
    <w:rsid w:val="00640E46"/>
    <w:rsid w:val="00641A6C"/>
    <w:rsid w:val="00643432"/>
    <w:rsid w:val="00643B9A"/>
    <w:rsid w:val="006445F8"/>
    <w:rsid w:val="006447B7"/>
    <w:rsid w:val="00644D56"/>
    <w:rsid w:val="00644D85"/>
    <w:rsid w:val="006460F9"/>
    <w:rsid w:val="00646229"/>
    <w:rsid w:val="006463D2"/>
    <w:rsid w:val="00646AC2"/>
    <w:rsid w:val="00650D7B"/>
    <w:rsid w:val="00651D36"/>
    <w:rsid w:val="00652833"/>
    <w:rsid w:val="00653BEA"/>
    <w:rsid w:val="006561B3"/>
    <w:rsid w:val="0065640E"/>
    <w:rsid w:val="006601F3"/>
    <w:rsid w:val="00660212"/>
    <w:rsid w:val="00660889"/>
    <w:rsid w:val="00661B1A"/>
    <w:rsid w:val="00661D95"/>
    <w:rsid w:val="00661FF8"/>
    <w:rsid w:val="006624CE"/>
    <w:rsid w:val="006634E7"/>
    <w:rsid w:val="00663F36"/>
    <w:rsid w:val="006648A2"/>
    <w:rsid w:val="00664B04"/>
    <w:rsid w:val="00664B13"/>
    <w:rsid w:val="00664FEB"/>
    <w:rsid w:val="0067096B"/>
    <w:rsid w:val="006712BB"/>
    <w:rsid w:val="00672E90"/>
    <w:rsid w:val="006737DD"/>
    <w:rsid w:val="00673AB7"/>
    <w:rsid w:val="00674B92"/>
    <w:rsid w:val="006762EC"/>
    <w:rsid w:val="00676367"/>
    <w:rsid w:val="006805AB"/>
    <w:rsid w:val="00680CC5"/>
    <w:rsid w:val="00680D8A"/>
    <w:rsid w:val="006811EF"/>
    <w:rsid w:val="0068322B"/>
    <w:rsid w:val="0068531F"/>
    <w:rsid w:val="00685407"/>
    <w:rsid w:val="00685746"/>
    <w:rsid w:val="00687203"/>
    <w:rsid w:val="00690046"/>
    <w:rsid w:val="00691700"/>
    <w:rsid w:val="00691765"/>
    <w:rsid w:val="006930ED"/>
    <w:rsid w:val="00693510"/>
    <w:rsid w:val="00695498"/>
    <w:rsid w:val="00696706"/>
    <w:rsid w:val="00696DCD"/>
    <w:rsid w:val="00696F7A"/>
    <w:rsid w:val="0069739B"/>
    <w:rsid w:val="00697AA5"/>
    <w:rsid w:val="006A23BB"/>
    <w:rsid w:val="006A4B59"/>
    <w:rsid w:val="006A4D35"/>
    <w:rsid w:val="006A5365"/>
    <w:rsid w:val="006A55C5"/>
    <w:rsid w:val="006A5817"/>
    <w:rsid w:val="006A5F03"/>
    <w:rsid w:val="006A6247"/>
    <w:rsid w:val="006A687E"/>
    <w:rsid w:val="006A7A28"/>
    <w:rsid w:val="006B2762"/>
    <w:rsid w:val="006B37A0"/>
    <w:rsid w:val="006B3890"/>
    <w:rsid w:val="006B3F3F"/>
    <w:rsid w:val="006B4844"/>
    <w:rsid w:val="006B494F"/>
    <w:rsid w:val="006B5908"/>
    <w:rsid w:val="006B5BE4"/>
    <w:rsid w:val="006C17CD"/>
    <w:rsid w:val="006C3A7F"/>
    <w:rsid w:val="006C4D5C"/>
    <w:rsid w:val="006C5E0B"/>
    <w:rsid w:val="006C6A3E"/>
    <w:rsid w:val="006C776D"/>
    <w:rsid w:val="006D071A"/>
    <w:rsid w:val="006D0B52"/>
    <w:rsid w:val="006D158C"/>
    <w:rsid w:val="006D1E80"/>
    <w:rsid w:val="006D24C6"/>
    <w:rsid w:val="006D3719"/>
    <w:rsid w:val="006D3AA3"/>
    <w:rsid w:val="006D4144"/>
    <w:rsid w:val="006D4200"/>
    <w:rsid w:val="006D4667"/>
    <w:rsid w:val="006D53C4"/>
    <w:rsid w:val="006D55AF"/>
    <w:rsid w:val="006D7E94"/>
    <w:rsid w:val="006E02B3"/>
    <w:rsid w:val="006E0EB5"/>
    <w:rsid w:val="006E0FAE"/>
    <w:rsid w:val="006E1F9E"/>
    <w:rsid w:val="006E4B64"/>
    <w:rsid w:val="006E5724"/>
    <w:rsid w:val="006E6925"/>
    <w:rsid w:val="006E7790"/>
    <w:rsid w:val="006F17FE"/>
    <w:rsid w:val="006F1F43"/>
    <w:rsid w:val="006F2AD9"/>
    <w:rsid w:val="006F3961"/>
    <w:rsid w:val="006F39AA"/>
    <w:rsid w:val="006F5380"/>
    <w:rsid w:val="006F758B"/>
    <w:rsid w:val="007001BA"/>
    <w:rsid w:val="007016AD"/>
    <w:rsid w:val="007060BB"/>
    <w:rsid w:val="00706223"/>
    <w:rsid w:val="00706231"/>
    <w:rsid w:val="0070653E"/>
    <w:rsid w:val="00710687"/>
    <w:rsid w:val="00713C97"/>
    <w:rsid w:val="007143F4"/>
    <w:rsid w:val="00714592"/>
    <w:rsid w:val="00714A95"/>
    <w:rsid w:val="00714B8B"/>
    <w:rsid w:val="00715311"/>
    <w:rsid w:val="00716401"/>
    <w:rsid w:val="00717296"/>
    <w:rsid w:val="007200B6"/>
    <w:rsid w:val="0072077A"/>
    <w:rsid w:val="00721638"/>
    <w:rsid w:val="00722734"/>
    <w:rsid w:val="00723D76"/>
    <w:rsid w:val="00724755"/>
    <w:rsid w:val="007247DC"/>
    <w:rsid w:val="00726363"/>
    <w:rsid w:val="00726679"/>
    <w:rsid w:val="00726B0F"/>
    <w:rsid w:val="00726E91"/>
    <w:rsid w:val="00727E9C"/>
    <w:rsid w:val="007300BD"/>
    <w:rsid w:val="00730A3B"/>
    <w:rsid w:val="00730EAC"/>
    <w:rsid w:val="00731512"/>
    <w:rsid w:val="007329FE"/>
    <w:rsid w:val="007332DF"/>
    <w:rsid w:val="00733667"/>
    <w:rsid w:val="007337FE"/>
    <w:rsid w:val="00734121"/>
    <w:rsid w:val="007347C6"/>
    <w:rsid w:val="00736089"/>
    <w:rsid w:val="007360A3"/>
    <w:rsid w:val="00737C18"/>
    <w:rsid w:val="00740DE0"/>
    <w:rsid w:val="007426C3"/>
    <w:rsid w:val="00743D06"/>
    <w:rsid w:val="00743ED6"/>
    <w:rsid w:val="00746BD6"/>
    <w:rsid w:val="007477ED"/>
    <w:rsid w:val="007504ED"/>
    <w:rsid w:val="00751733"/>
    <w:rsid w:val="00753EE2"/>
    <w:rsid w:val="00753F63"/>
    <w:rsid w:val="00754DF1"/>
    <w:rsid w:val="00756104"/>
    <w:rsid w:val="00756992"/>
    <w:rsid w:val="00757FFE"/>
    <w:rsid w:val="0076138D"/>
    <w:rsid w:val="007616C6"/>
    <w:rsid w:val="007616FF"/>
    <w:rsid w:val="0076214C"/>
    <w:rsid w:val="00762449"/>
    <w:rsid w:val="00763783"/>
    <w:rsid w:val="00763E7D"/>
    <w:rsid w:val="00763F7C"/>
    <w:rsid w:val="00764469"/>
    <w:rsid w:val="00764565"/>
    <w:rsid w:val="00764F9E"/>
    <w:rsid w:val="00766C69"/>
    <w:rsid w:val="007673AA"/>
    <w:rsid w:val="0077013B"/>
    <w:rsid w:val="007732FC"/>
    <w:rsid w:val="007751BB"/>
    <w:rsid w:val="00775F65"/>
    <w:rsid w:val="00776E11"/>
    <w:rsid w:val="00781F1E"/>
    <w:rsid w:val="00782302"/>
    <w:rsid w:val="007832BD"/>
    <w:rsid w:val="00783888"/>
    <w:rsid w:val="00783CD9"/>
    <w:rsid w:val="00783DF2"/>
    <w:rsid w:val="00785CBA"/>
    <w:rsid w:val="00785E31"/>
    <w:rsid w:val="00786B5E"/>
    <w:rsid w:val="00787BCA"/>
    <w:rsid w:val="007903B4"/>
    <w:rsid w:val="00790C15"/>
    <w:rsid w:val="00790EBA"/>
    <w:rsid w:val="00792593"/>
    <w:rsid w:val="0079360D"/>
    <w:rsid w:val="00793988"/>
    <w:rsid w:val="0079502D"/>
    <w:rsid w:val="0079523C"/>
    <w:rsid w:val="00796239"/>
    <w:rsid w:val="00797E74"/>
    <w:rsid w:val="007A19CB"/>
    <w:rsid w:val="007A1EEE"/>
    <w:rsid w:val="007A37B8"/>
    <w:rsid w:val="007A4663"/>
    <w:rsid w:val="007A6FF0"/>
    <w:rsid w:val="007A7A13"/>
    <w:rsid w:val="007A7ABF"/>
    <w:rsid w:val="007B290D"/>
    <w:rsid w:val="007B2F29"/>
    <w:rsid w:val="007B3990"/>
    <w:rsid w:val="007B3EAE"/>
    <w:rsid w:val="007B3FB7"/>
    <w:rsid w:val="007B7958"/>
    <w:rsid w:val="007C19ED"/>
    <w:rsid w:val="007C235B"/>
    <w:rsid w:val="007C30D7"/>
    <w:rsid w:val="007C358D"/>
    <w:rsid w:val="007C3857"/>
    <w:rsid w:val="007C43F5"/>
    <w:rsid w:val="007C5301"/>
    <w:rsid w:val="007C53C4"/>
    <w:rsid w:val="007C65A6"/>
    <w:rsid w:val="007C6EA2"/>
    <w:rsid w:val="007C7497"/>
    <w:rsid w:val="007C75D8"/>
    <w:rsid w:val="007D0D7E"/>
    <w:rsid w:val="007D100C"/>
    <w:rsid w:val="007D137A"/>
    <w:rsid w:val="007D207C"/>
    <w:rsid w:val="007D2AE9"/>
    <w:rsid w:val="007D2ED3"/>
    <w:rsid w:val="007D3C86"/>
    <w:rsid w:val="007D4727"/>
    <w:rsid w:val="007D4CB4"/>
    <w:rsid w:val="007D73DF"/>
    <w:rsid w:val="007E018D"/>
    <w:rsid w:val="007E13C2"/>
    <w:rsid w:val="007E1747"/>
    <w:rsid w:val="007E19CA"/>
    <w:rsid w:val="007E31CD"/>
    <w:rsid w:val="007E3434"/>
    <w:rsid w:val="007E5B5F"/>
    <w:rsid w:val="007E671A"/>
    <w:rsid w:val="007E6E00"/>
    <w:rsid w:val="007E77DC"/>
    <w:rsid w:val="007F0222"/>
    <w:rsid w:val="007F0396"/>
    <w:rsid w:val="007F2037"/>
    <w:rsid w:val="007F27B1"/>
    <w:rsid w:val="007F3A6E"/>
    <w:rsid w:val="007F4AA7"/>
    <w:rsid w:val="007F4B36"/>
    <w:rsid w:val="007F5213"/>
    <w:rsid w:val="007F5C2F"/>
    <w:rsid w:val="007F5ECB"/>
    <w:rsid w:val="00800875"/>
    <w:rsid w:val="00800CF5"/>
    <w:rsid w:val="00800D48"/>
    <w:rsid w:val="00800F29"/>
    <w:rsid w:val="008018CF"/>
    <w:rsid w:val="00801B6D"/>
    <w:rsid w:val="00802FFC"/>
    <w:rsid w:val="00803BB7"/>
    <w:rsid w:val="00804782"/>
    <w:rsid w:val="008053A8"/>
    <w:rsid w:val="00805A8E"/>
    <w:rsid w:val="00805F53"/>
    <w:rsid w:val="0080602E"/>
    <w:rsid w:val="00806B24"/>
    <w:rsid w:val="00807934"/>
    <w:rsid w:val="00807A92"/>
    <w:rsid w:val="008103A2"/>
    <w:rsid w:val="00811981"/>
    <w:rsid w:val="00813291"/>
    <w:rsid w:val="008134E5"/>
    <w:rsid w:val="008134F9"/>
    <w:rsid w:val="00814284"/>
    <w:rsid w:val="00814B08"/>
    <w:rsid w:val="008151AD"/>
    <w:rsid w:val="008162E4"/>
    <w:rsid w:val="00816565"/>
    <w:rsid w:val="00816832"/>
    <w:rsid w:val="0081695F"/>
    <w:rsid w:val="00816E83"/>
    <w:rsid w:val="0081771C"/>
    <w:rsid w:val="00817BDE"/>
    <w:rsid w:val="00817D4E"/>
    <w:rsid w:val="008201A0"/>
    <w:rsid w:val="008201BA"/>
    <w:rsid w:val="00821549"/>
    <w:rsid w:val="0082167A"/>
    <w:rsid w:val="0082375B"/>
    <w:rsid w:val="008237A0"/>
    <w:rsid w:val="008242C1"/>
    <w:rsid w:val="0082502E"/>
    <w:rsid w:val="0082507B"/>
    <w:rsid w:val="00826968"/>
    <w:rsid w:val="008278C1"/>
    <w:rsid w:val="00827978"/>
    <w:rsid w:val="008301F1"/>
    <w:rsid w:val="00830F82"/>
    <w:rsid w:val="008310E5"/>
    <w:rsid w:val="0083220B"/>
    <w:rsid w:val="00834C57"/>
    <w:rsid w:val="008352A9"/>
    <w:rsid w:val="008353B5"/>
    <w:rsid w:val="00835DF8"/>
    <w:rsid w:val="00836860"/>
    <w:rsid w:val="00837AE9"/>
    <w:rsid w:val="00840773"/>
    <w:rsid w:val="00840CDF"/>
    <w:rsid w:val="0084287B"/>
    <w:rsid w:val="008428BE"/>
    <w:rsid w:val="00843294"/>
    <w:rsid w:val="008449F0"/>
    <w:rsid w:val="0084585D"/>
    <w:rsid w:val="00845A19"/>
    <w:rsid w:val="00846397"/>
    <w:rsid w:val="008477A5"/>
    <w:rsid w:val="0085012F"/>
    <w:rsid w:val="008510C2"/>
    <w:rsid w:val="00851149"/>
    <w:rsid w:val="008514FE"/>
    <w:rsid w:val="00851727"/>
    <w:rsid w:val="008526AE"/>
    <w:rsid w:val="008530FC"/>
    <w:rsid w:val="008536F6"/>
    <w:rsid w:val="008553D9"/>
    <w:rsid w:val="00855953"/>
    <w:rsid w:val="008559F4"/>
    <w:rsid w:val="008563DA"/>
    <w:rsid w:val="0085661A"/>
    <w:rsid w:val="00856953"/>
    <w:rsid w:val="00857330"/>
    <w:rsid w:val="00857B52"/>
    <w:rsid w:val="00857EB3"/>
    <w:rsid w:val="00857EE0"/>
    <w:rsid w:val="00857F8E"/>
    <w:rsid w:val="008601C7"/>
    <w:rsid w:val="00860957"/>
    <w:rsid w:val="00860E46"/>
    <w:rsid w:val="008624B2"/>
    <w:rsid w:val="00863125"/>
    <w:rsid w:val="00863397"/>
    <w:rsid w:val="00863811"/>
    <w:rsid w:val="008643F0"/>
    <w:rsid w:val="00865239"/>
    <w:rsid w:val="0086558A"/>
    <w:rsid w:val="0086598B"/>
    <w:rsid w:val="00866050"/>
    <w:rsid w:val="00867444"/>
    <w:rsid w:val="0087023F"/>
    <w:rsid w:val="008704C3"/>
    <w:rsid w:val="00870BC4"/>
    <w:rsid w:val="0087174E"/>
    <w:rsid w:val="008730CC"/>
    <w:rsid w:val="00874B65"/>
    <w:rsid w:val="00874FB3"/>
    <w:rsid w:val="00876FCF"/>
    <w:rsid w:val="00877CC0"/>
    <w:rsid w:val="008803F1"/>
    <w:rsid w:val="00880DED"/>
    <w:rsid w:val="0088202A"/>
    <w:rsid w:val="00883432"/>
    <w:rsid w:val="00883BA2"/>
    <w:rsid w:val="00883DA3"/>
    <w:rsid w:val="008847F4"/>
    <w:rsid w:val="008861D0"/>
    <w:rsid w:val="008873D3"/>
    <w:rsid w:val="008878DC"/>
    <w:rsid w:val="008907BB"/>
    <w:rsid w:val="00890B18"/>
    <w:rsid w:val="008921FB"/>
    <w:rsid w:val="0089453D"/>
    <w:rsid w:val="008957E7"/>
    <w:rsid w:val="008959FE"/>
    <w:rsid w:val="00896067"/>
    <w:rsid w:val="0089723E"/>
    <w:rsid w:val="00897BFC"/>
    <w:rsid w:val="008A075E"/>
    <w:rsid w:val="008A17A9"/>
    <w:rsid w:val="008A1E58"/>
    <w:rsid w:val="008A2C6B"/>
    <w:rsid w:val="008A2CB9"/>
    <w:rsid w:val="008A2E44"/>
    <w:rsid w:val="008A33E7"/>
    <w:rsid w:val="008A5512"/>
    <w:rsid w:val="008A5F59"/>
    <w:rsid w:val="008A6535"/>
    <w:rsid w:val="008B0BD8"/>
    <w:rsid w:val="008B16DC"/>
    <w:rsid w:val="008B3A9D"/>
    <w:rsid w:val="008B56A9"/>
    <w:rsid w:val="008B62E3"/>
    <w:rsid w:val="008B7856"/>
    <w:rsid w:val="008C012F"/>
    <w:rsid w:val="008C15D1"/>
    <w:rsid w:val="008C1715"/>
    <w:rsid w:val="008C3905"/>
    <w:rsid w:val="008C3BDA"/>
    <w:rsid w:val="008C5828"/>
    <w:rsid w:val="008D147B"/>
    <w:rsid w:val="008D156B"/>
    <w:rsid w:val="008D171C"/>
    <w:rsid w:val="008D1CD8"/>
    <w:rsid w:val="008D2313"/>
    <w:rsid w:val="008D2639"/>
    <w:rsid w:val="008D3DE5"/>
    <w:rsid w:val="008D4896"/>
    <w:rsid w:val="008E04BB"/>
    <w:rsid w:val="008E0CF5"/>
    <w:rsid w:val="008E0F27"/>
    <w:rsid w:val="008E14ED"/>
    <w:rsid w:val="008E1A18"/>
    <w:rsid w:val="008E2630"/>
    <w:rsid w:val="008E298F"/>
    <w:rsid w:val="008E2B9E"/>
    <w:rsid w:val="008E2D19"/>
    <w:rsid w:val="008E3E7B"/>
    <w:rsid w:val="008E5C09"/>
    <w:rsid w:val="008E6458"/>
    <w:rsid w:val="008E779A"/>
    <w:rsid w:val="008E77D5"/>
    <w:rsid w:val="008E7D35"/>
    <w:rsid w:val="008F14CD"/>
    <w:rsid w:val="008F2028"/>
    <w:rsid w:val="008F242C"/>
    <w:rsid w:val="008F246E"/>
    <w:rsid w:val="008F2537"/>
    <w:rsid w:val="008F2DB5"/>
    <w:rsid w:val="008F387E"/>
    <w:rsid w:val="008F4CBF"/>
    <w:rsid w:val="008F4FA2"/>
    <w:rsid w:val="008F527F"/>
    <w:rsid w:val="008F5499"/>
    <w:rsid w:val="008F5C61"/>
    <w:rsid w:val="008F6747"/>
    <w:rsid w:val="008F74B5"/>
    <w:rsid w:val="008F7A02"/>
    <w:rsid w:val="00901ACB"/>
    <w:rsid w:val="00901FC9"/>
    <w:rsid w:val="00902007"/>
    <w:rsid w:val="009022D4"/>
    <w:rsid w:val="00905278"/>
    <w:rsid w:val="00905953"/>
    <w:rsid w:val="00906536"/>
    <w:rsid w:val="00906624"/>
    <w:rsid w:val="00906A92"/>
    <w:rsid w:val="00911FF0"/>
    <w:rsid w:val="00912254"/>
    <w:rsid w:val="0091307E"/>
    <w:rsid w:val="009142C7"/>
    <w:rsid w:val="00914500"/>
    <w:rsid w:val="0092084C"/>
    <w:rsid w:val="00922A36"/>
    <w:rsid w:val="00924A32"/>
    <w:rsid w:val="009250A4"/>
    <w:rsid w:val="00932B00"/>
    <w:rsid w:val="00933971"/>
    <w:rsid w:val="009345C3"/>
    <w:rsid w:val="009353FA"/>
    <w:rsid w:val="00936A7C"/>
    <w:rsid w:val="009379BF"/>
    <w:rsid w:val="009403C8"/>
    <w:rsid w:val="009405C8"/>
    <w:rsid w:val="00941A52"/>
    <w:rsid w:val="009439EE"/>
    <w:rsid w:val="00943B14"/>
    <w:rsid w:val="009440C7"/>
    <w:rsid w:val="009445DA"/>
    <w:rsid w:val="00944BA3"/>
    <w:rsid w:val="009452DE"/>
    <w:rsid w:val="00945DF5"/>
    <w:rsid w:val="00945E5C"/>
    <w:rsid w:val="0094758F"/>
    <w:rsid w:val="00947F50"/>
    <w:rsid w:val="00950FC7"/>
    <w:rsid w:val="00952251"/>
    <w:rsid w:val="00952FF9"/>
    <w:rsid w:val="00953DB0"/>
    <w:rsid w:val="009574FF"/>
    <w:rsid w:val="00961EE6"/>
    <w:rsid w:val="00962118"/>
    <w:rsid w:val="009637EE"/>
    <w:rsid w:val="00964D58"/>
    <w:rsid w:val="00964DA8"/>
    <w:rsid w:val="00964DAE"/>
    <w:rsid w:val="00964DC6"/>
    <w:rsid w:val="00965210"/>
    <w:rsid w:val="0096522F"/>
    <w:rsid w:val="00965744"/>
    <w:rsid w:val="0096622B"/>
    <w:rsid w:val="00967216"/>
    <w:rsid w:val="009673B0"/>
    <w:rsid w:val="009706EA"/>
    <w:rsid w:val="00970A35"/>
    <w:rsid w:val="009721F5"/>
    <w:rsid w:val="009725DF"/>
    <w:rsid w:val="00972903"/>
    <w:rsid w:val="00973252"/>
    <w:rsid w:val="009735B0"/>
    <w:rsid w:val="00973EBA"/>
    <w:rsid w:val="00974EEB"/>
    <w:rsid w:val="00975244"/>
    <w:rsid w:val="0097566E"/>
    <w:rsid w:val="00975A6B"/>
    <w:rsid w:val="00975ADA"/>
    <w:rsid w:val="00975D57"/>
    <w:rsid w:val="009775DA"/>
    <w:rsid w:val="00980D29"/>
    <w:rsid w:val="0098205B"/>
    <w:rsid w:val="009820DB"/>
    <w:rsid w:val="00984CC5"/>
    <w:rsid w:val="009855A1"/>
    <w:rsid w:val="0098597C"/>
    <w:rsid w:val="00985D03"/>
    <w:rsid w:val="00985F59"/>
    <w:rsid w:val="00986764"/>
    <w:rsid w:val="00987E7E"/>
    <w:rsid w:val="00990B48"/>
    <w:rsid w:val="009917C1"/>
    <w:rsid w:val="00991F97"/>
    <w:rsid w:val="0099245C"/>
    <w:rsid w:val="00992D92"/>
    <w:rsid w:val="00995219"/>
    <w:rsid w:val="009957E7"/>
    <w:rsid w:val="0099789C"/>
    <w:rsid w:val="00997A94"/>
    <w:rsid w:val="00997DCE"/>
    <w:rsid w:val="009A08DC"/>
    <w:rsid w:val="009A0E4B"/>
    <w:rsid w:val="009A0E99"/>
    <w:rsid w:val="009A18EB"/>
    <w:rsid w:val="009A3FD5"/>
    <w:rsid w:val="009A49C7"/>
    <w:rsid w:val="009A4D09"/>
    <w:rsid w:val="009A54E0"/>
    <w:rsid w:val="009A60AA"/>
    <w:rsid w:val="009A645D"/>
    <w:rsid w:val="009A64AD"/>
    <w:rsid w:val="009A6627"/>
    <w:rsid w:val="009A74FB"/>
    <w:rsid w:val="009A7515"/>
    <w:rsid w:val="009A7A8F"/>
    <w:rsid w:val="009B183E"/>
    <w:rsid w:val="009B22C5"/>
    <w:rsid w:val="009B29D5"/>
    <w:rsid w:val="009B383F"/>
    <w:rsid w:val="009B3BF0"/>
    <w:rsid w:val="009B3C87"/>
    <w:rsid w:val="009B4E44"/>
    <w:rsid w:val="009B4F5B"/>
    <w:rsid w:val="009B5E1D"/>
    <w:rsid w:val="009B5F76"/>
    <w:rsid w:val="009B68A9"/>
    <w:rsid w:val="009B7828"/>
    <w:rsid w:val="009B7C3C"/>
    <w:rsid w:val="009B7CDC"/>
    <w:rsid w:val="009C0863"/>
    <w:rsid w:val="009C2C22"/>
    <w:rsid w:val="009C559D"/>
    <w:rsid w:val="009C6083"/>
    <w:rsid w:val="009C6FB5"/>
    <w:rsid w:val="009C7B00"/>
    <w:rsid w:val="009C7B43"/>
    <w:rsid w:val="009D0D61"/>
    <w:rsid w:val="009D14A5"/>
    <w:rsid w:val="009D2D9D"/>
    <w:rsid w:val="009D3262"/>
    <w:rsid w:val="009D3703"/>
    <w:rsid w:val="009D3933"/>
    <w:rsid w:val="009D3AC4"/>
    <w:rsid w:val="009D4872"/>
    <w:rsid w:val="009D4FD5"/>
    <w:rsid w:val="009D52C6"/>
    <w:rsid w:val="009D69D5"/>
    <w:rsid w:val="009D71F9"/>
    <w:rsid w:val="009D7C84"/>
    <w:rsid w:val="009E0FAB"/>
    <w:rsid w:val="009E12E9"/>
    <w:rsid w:val="009E1FB5"/>
    <w:rsid w:val="009E28DF"/>
    <w:rsid w:val="009E2F8F"/>
    <w:rsid w:val="009E3145"/>
    <w:rsid w:val="009E394F"/>
    <w:rsid w:val="009E526E"/>
    <w:rsid w:val="009E5A9B"/>
    <w:rsid w:val="009F09FC"/>
    <w:rsid w:val="009F0A4E"/>
    <w:rsid w:val="009F17C7"/>
    <w:rsid w:val="009F428B"/>
    <w:rsid w:val="009F5F7D"/>
    <w:rsid w:val="009F6580"/>
    <w:rsid w:val="00A009E5"/>
    <w:rsid w:val="00A014E4"/>
    <w:rsid w:val="00A01F4F"/>
    <w:rsid w:val="00A02290"/>
    <w:rsid w:val="00A040F2"/>
    <w:rsid w:val="00A0418D"/>
    <w:rsid w:val="00A05144"/>
    <w:rsid w:val="00A05A73"/>
    <w:rsid w:val="00A06E19"/>
    <w:rsid w:val="00A075B1"/>
    <w:rsid w:val="00A07B15"/>
    <w:rsid w:val="00A10105"/>
    <w:rsid w:val="00A109C0"/>
    <w:rsid w:val="00A10FB9"/>
    <w:rsid w:val="00A1163D"/>
    <w:rsid w:val="00A120CA"/>
    <w:rsid w:val="00A12A69"/>
    <w:rsid w:val="00A1397D"/>
    <w:rsid w:val="00A16207"/>
    <w:rsid w:val="00A16B32"/>
    <w:rsid w:val="00A175FD"/>
    <w:rsid w:val="00A20E76"/>
    <w:rsid w:val="00A21ADA"/>
    <w:rsid w:val="00A23955"/>
    <w:rsid w:val="00A23B16"/>
    <w:rsid w:val="00A25695"/>
    <w:rsid w:val="00A25D0C"/>
    <w:rsid w:val="00A31B9D"/>
    <w:rsid w:val="00A33968"/>
    <w:rsid w:val="00A341B7"/>
    <w:rsid w:val="00A34291"/>
    <w:rsid w:val="00A34F8C"/>
    <w:rsid w:val="00A36242"/>
    <w:rsid w:val="00A36343"/>
    <w:rsid w:val="00A36834"/>
    <w:rsid w:val="00A3690E"/>
    <w:rsid w:val="00A409B1"/>
    <w:rsid w:val="00A409F7"/>
    <w:rsid w:val="00A42B1B"/>
    <w:rsid w:val="00A42B43"/>
    <w:rsid w:val="00A430AC"/>
    <w:rsid w:val="00A43A1D"/>
    <w:rsid w:val="00A45717"/>
    <w:rsid w:val="00A459CF"/>
    <w:rsid w:val="00A45EB4"/>
    <w:rsid w:val="00A46B31"/>
    <w:rsid w:val="00A47C54"/>
    <w:rsid w:val="00A47FDD"/>
    <w:rsid w:val="00A51A70"/>
    <w:rsid w:val="00A52689"/>
    <w:rsid w:val="00A5323B"/>
    <w:rsid w:val="00A54BE9"/>
    <w:rsid w:val="00A5534B"/>
    <w:rsid w:val="00A561E4"/>
    <w:rsid w:val="00A56C95"/>
    <w:rsid w:val="00A56CC4"/>
    <w:rsid w:val="00A56D60"/>
    <w:rsid w:val="00A57521"/>
    <w:rsid w:val="00A577E9"/>
    <w:rsid w:val="00A604CF"/>
    <w:rsid w:val="00A60899"/>
    <w:rsid w:val="00A611E5"/>
    <w:rsid w:val="00A63273"/>
    <w:rsid w:val="00A63323"/>
    <w:rsid w:val="00A655C5"/>
    <w:rsid w:val="00A65EC0"/>
    <w:rsid w:val="00A70463"/>
    <w:rsid w:val="00A70CF3"/>
    <w:rsid w:val="00A71BE0"/>
    <w:rsid w:val="00A71D8C"/>
    <w:rsid w:val="00A71E05"/>
    <w:rsid w:val="00A72848"/>
    <w:rsid w:val="00A73947"/>
    <w:rsid w:val="00A73AD3"/>
    <w:rsid w:val="00A7407C"/>
    <w:rsid w:val="00A7455D"/>
    <w:rsid w:val="00A75706"/>
    <w:rsid w:val="00A772D7"/>
    <w:rsid w:val="00A7768D"/>
    <w:rsid w:val="00A7798F"/>
    <w:rsid w:val="00A80A05"/>
    <w:rsid w:val="00A81769"/>
    <w:rsid w:val="00A850E9"/>
    <w:rsid w:val="00A8596D"/>
    <w:rsid w:val="00A8725D"/>
    <w:rsid w:val="00A87AE0"/>
    <w:rsid w:val="00A87BBD"/>
    <w:rsid w:val="00A90F3E"/>
    <w:rsid w:val="00A941BC"/>
    <w:rsid w:val="00A94CCD"/>
    <w:rsid w:val="00A94FD7"/>
    <w:rsid w:val="00A96923"/>
    <w:rsid w:val="00A96A01"/>
    <w:rsid w:val="00A96F21"/>
    <w:rsid w:val="00A972E7"/>
    <w:rsid w:val="00A978E6"/>
    <w:rsid w:val="00A97D78"/>
    <w:rsid w:val="00A97DC4"/>
    <w:rsid w:val="00AA0815"/>
    <w:rsid w:val="00AA11C4"/>
    <w:rsid w:val="00AA1804"/>
    <w:rsid w:val="00AA323B"/>
    <w:rsid w:val="00AA3D3C"/>
    <w:rsid w:val="00AA4637"/>
    <w:rsid w:val="00AA7B17"/>
    <w:rsid w:val="00AB0651"/>
    <w:rsid w:val="00AB0BB5"/>
    <w:rsid w:val="00AB19A6"/>
    <w:rsid w:val="00AB1F5C"/>
    <w:rsid w:val="00AB5F88"/>
    <w:rsid w:val="00AC2123"/>
    <w:rsid w:val="00AC2448"/>
    <w:rsid w:val="00AC279D"/>
    <w:rsid w:val="00AC33A0"/>
    <w:rsid w:val="00AC3650"/>
    <w:rsid w:val="00AC38A9"/>
    <w:rsid w:val="00AC3FD7"/>
    <w:rsid w:val="00AC503D"/>
    <w:rsid w:val="00AC5A74"/>
    <w:rsid w:val="00AC6410"/>
    <w:rsid w:val="00AC65D1"/>
    <w:rsid w:val="00AC6E67"/>
    <w:rsid w:val="00AD1FED"/>
    <w:rsid w:val="00AD2DDC"/>
    <w:rsid w:val="00AD3169"/>
    <w:rsid w:val="00AD388B"/>
    <w:rsid w:val="00AD5D6D"/>
    <w:rsid w:val="00AD7B9E"/>
    <w:rsid w:val="00AE0931"/>
    <w:rsid w:val="00AE1387"/>
    <w:rsid w:val="00AE1E1D"/>
    <w:rsid w:val="00AE2B2D"/>
    <w:rsid w:val="00AE4035"/>
    <w:rsid w:val="00AE500A"/>
    <w:rsid w:val="00AE58DE"/>
    <w:rsid w:val="00AE752B"/>
    <w:rsid w:val="00AF107D"/>
    <w:rsid w:val="00AF1C0C"/>
    <w:rsid w:val="00AF21E4"/>
    <w:rsid w:val="00AF3895"/>
    <w:rsid w:val="00AF44D9"/>
    <w:rsid w:val="00B01FE1"/>
    <w:rsid w:val="00B02668"/>
    <w:rsid w:val="00B03EC1"/>
    <w:rsid w:val="00B041C4"/>
    <w:rsid w:val="00B0452B"/>
    <w:rsid w:val="00B04A10"/>
    <w:rsid w:val="00B04C14"/>
    <w:rsid w:val="00B0730C"/>
    <w:rsid w:val="00B07CE9"/>
    <w:rsid w:val="00B10557"/>
    <w:rsid w:val="00B10D58"/>
    <w:rsid w:val="00B11623"/>
    <w:rsid w:val="00B14E0E"/>
    <w:rsid w:val="00B15727"/>
    <w:rsid w:val="00B1590F"/>
    <w:rsid w:val="00B15B3F"/>
    <w:rsid w:val="00B15CC4"/>
    <w:rsid w:val="00B15FFA"/>
    <w:rsid w:val="00B160AC"/>
    <w:rsid w:val="00B16B4F"/>
    <w:rsid w:val="00B16E20"/>
    <w:rsid w:val="00B171E6"/>
    <w:rsid w:val="00B20CA5"/>
    <w:rsid w:val="00B20D57"/>
    <w:rsid w:val="00B22F5A"/>
    <w:rsid w:val="00B22FBC"/>
    <w:rsid w:val="00B23818"/>
    <w:rsid w:val="00B2398D"/>
    <w:rsid w:val="00B23ABF"/>
    <w:rsid w:val="00B24533"/>
    <w:rsid w:val="00B24767"/>
    <w:rsid w:val="00B24D3B"/>
    <w:rsid w:val="00B24FCA"/>
    <w:rsid w:val="00B27A9C"/>
    <w:rsid w:val="00B3011B"/>
    <w:rsid w:val="00B31AE8"/>
    <w:rsid w:val="00B324DA"/>
    <w:rsid w:val="00B325B7"/>
    <w:rsid w:val="00B329D8"/>
    <w:rsid w:val="00B358B7"/>
    <w:rsid w:val="00B35FDF"/>
    <w:rsid w:val="00B36A3D"/>
    <w:rsid w:val="00B374D6"/>
    <w:rsid w:val="00B40073"/>
    <w:rsid w:val="00B41B7C"/>
    <w:rsid w:val="00B4469D"/>
    <w:rsid w:val="00B45C05"/>
    <w:rsid w:val="00B45FDF"/>
    <w:rsid w:val="00B46520"/>
    <w:rsid w:val="00B4759A"/>
    <w:rsid w:val="00B50C71"/>
    <w:rsid w:val="00B519C2"/>
    <w:rsid w:val="00B52B5E"/>
    <w:rsid w:val="00B53080"/>
    <w:rsid w:val="00B531AA"/>
    <w:rsid w:val="00B5339B"/>
    <w:rsid w:val="00B534F2"/>
    <w:rsid w:val="00B57345"/>
    <w:rsid w:val="00B57B4B"/>
    <w:rsid w:val="00B57C32"/>
    <w:rsid w:val="00B62925"/>
    <w:rsid w:val="00B630D5"/>
    <w:rsid w:val="00B630F3"/>
    <w:rsid w:val="00B632C1"/>
    <w:rsid w:val="00B63952"/>
    <w:rsid w:val="00B63967"/>
    <w:rsid w:val="00B64DB1"/>
    <w:rsid w:val="00B64E76"/>
    <w:rsid w:val="00B65559"/>
    <w:rsid w:val="00B66685"/>
    <w:rsid w:val="00B66ABA"/>
    <w:rsid w:val="00B66D7A"/>
    <w:rsid w:val="00B677F4"/>
    <w:rsid w:val="00B67884"/>
    <w:rsid w:val="00B718EB"/>
    <w:rsid w:val="00B71A3D"/>
    <w:rsid w:val="00B72335"/>
    <w:rsid w:val="00B734CC"/>
    <w:rsid w:val="00B7373F"/>
    <w:rsid w:val="00B74552"/>
    <w:rsid w:val="00B74DC4"/>
    <w:rsid w:val="00B75DBD"/>
    <w:rsid w:val="00B76D7B"/>
    <w:rsid w:val="00B77C79"/>
    <w:rsid w:val="00B77E11"/>
    <w:rsid w:val="00B80054"/>
    <w:rsid w:val="00B80C4F"/>
    <w:rsid w:val="00B80CAC"/>
    <w:rsid w:val="00B81DB7"/>
    <w:rsid w:val="00B82887"/>
    <w:rsid w:val="00B828F9"/>
    <w:rsid w:val="00B82C05"/>
    <w:rsid w:val="00B83CF2"/>
    <w:rsid w:val="00B8414C"/>
    <w:rsid w:val="00B8466A"/>
    <w:rsid w:val="00B849C7"/>
    <w:rsid w:val="00B85ABD"/>
    <w:rsid w:val="00B85E64"/>
    <w:rsid w:val="00B86CDC"/>
    <w:rsid w:val="00B90F28"/>
    <w:rsid w:val="00B913F4"/>
    <w:rsid w:val="00B91A6F"/>
    <w:rsid w:val="00B91F95"/>
    <w:rsid w:val="00B94322"/>
    <w:rsid w:val="00B95790"/>
    <w:rsid w:val="00B978BF"/>
    <w:rsid w:val="00B97A7B"/>
    <w:rsid w:val="00B97BD8"/>
    <w:rsid w:val="00B97DD1"/>
    <w:rsid w:val="00BA03FF"/>
    <w:rsid w:val="00BA0D1E"/>
    <w:rsid w:val="00BA1048"/>
    <w:rsid w:val="00BA118E"/>
    <w:rsid w:val="00BA2B52"/>
    <w:rsid w:val="00BA2E00"/>
    <w:rsid w:val="00BA31C6"/>
    <w:rsid w:val="00BA371B"/>
    <w:rsid w:val="00BA43E9"/>
    <w:rsid w:val="00BA4C26"/>
    <w:rsid w:val="00BA6E7A"/>
    <w:rsid w:val="00BA7142"/>
    <w:rsid w:val="00BA72E0"/>
    <w:rsid w:val="00BA7BCC"/>
    <w:rsid w:val="00BB07C1"/>
    <w:rsid w:val="00BB0C2A"/>
    <w:rsid w:val="00BB0E26"/>
    <w:rsid w:val="00BB2657"/>
    <w:rsid w:val="00BB2EDF"/>
    <w:rsid w:val="00BB2F98"/>
    <w:rsid w:val="00BB4140"/>
    <w:rsid w:val="00BB6D5B"/>
    <w:rsid w:val="00BB75E9"/>
    <w:rsid w:val="00BC06C2"/>
    <w:rsid w:val="00BC15AF"/>
    <w:rsid w:val="00BC164C"/>
    <w:rsid w:val="00BC249E"/>
    <w:rsid w:val="00BC2A2E"/>
    <w:rsid w:val="00BC3471"/>
    <w:rsid w:val="00BC381B"/>
    <w:rsid w:val="00BC4547"/>
    <w:rsid w:val="00BC5995"/>
    <w:rsid w:val="00BC5A2A"/>
    <w:rsid w:val="00BD03FD"/>
    <w:rsid w:val="00BD0BF9"/>
    <w:rsid w:val="00BD0E90"/>
    <w:rsid w:val="00BD1229"/>
    <w:rsid w:val="00BD1B7F"/>
    <w:rsid w:val="00BD233F"/>
    <w:rsid w:val="00BD285A"/>
    <w:rsid w:val="00BD397E"/>
    <w:rsid w:val="00BD3B25"/>
    <w:rsid w:val="00BD3D13"/>
    <w:rsid w:val="00BD42FA"/>
    <w:rsid w:val="00BD4797"/>
    <w:rsid w:val="00BD4A7D"/>
    <w:rsid w:val="00BD6088"/>
    <w:rsid w:val="00BD702F"/>
    <w:rsid w:val="00BD70ED"/>
    <w:rsid w:val="00BD76E9"/>
    <w:rsid w:val="00BD7BC5"/>
    <w:rsid w:val="00BE1769"/>
    <w:rsid w:val="00BE1EF1"/>
    <w:rsid w:val="00BE2375"/>
    <w:rsid w:val="00BE2BB4"/>
    <w:rsid w:val="00BE2E8D"/>
    <w:rsid w:val="00BE2EBA"/>
    <w:rsid w:val="00BE3CE9"/>
    <w:rsid w:val="00BE5151"/>
    <w:rsid w:val="00BE6022"/>
    <w:rsid w:val="00BE70F3"/>
    <w:rsid w:val="00BE74C3"/>
    <w:rsid w:val="00BE7557"/>
    <w:rsid w:val="00BE7B63"/>
    <w:rsid w:val="00BE7C62"/>
    <w:rsid w:val="00BF00C1"/>
    <w:rsid w:val="00BF048E"/>
    <w:rsid w:val="00BF0B69"/>
    <w:rsid w:val="00BF36FE"/>
    <w:rsid w:val="00BF3C7B"/>
    <w:rsid w:val="00BF3EA5"/>
    <w:rsid w:val="00BF6AAB"/>
    <w:rsid w:val="00BF6C48"/>
    <w:rsid w:val="00C00AFD"/>
    <w:rsid w:val="00C00B6D"/>
    <w:rsid w:val="00C00E2D"/>
    <w:rsid w:val="00C03631"/>
    <w:rsid w:val="00C03D8A"/>
    <w:rsid w:val="00C0660B"/>
    <w:rsid w:val="00C140B9"/>
    <w:rsid w:val="00C14270"/>
    <w:rsid w:val="00C157ED"/>
    <w:rsid w:val="00C16AA1"/>
    <w:rsid w:val="00C203D3"/>
    <w:rsid w:val="00C20B9F"/>
    <w:rsid w:val="00C212C3"/>
    <w:rsid w:val="00C22301"/>
    <w:rsid w:val="00C23DEE"/>
    <w:rsid w:val="00C246B4"/>
    <w:rsid w:val="00C25CDF"/>
    <w:rsid w:val="00C260D4"/>
    <w:rsid w:val="00C2624C"/>
    <w:rsid w:val="00C26BB1"/>
    <w:rsid w:val="00C2712C"/>
    <w:rsid w:val="00C27D3F"/>
    <w:rsid w:val="00C30302"/>
    <w:rsid w:val="00C31474"/>
    <w:rsid w:val="00C37274"/>
    <w:rsid w:val="00C40038"/>
    <w:rsid w:val="00C41BE9"/>
    <w:rsid w:val="00C42F41"/>
    <w:rsid w:val="00C43C15"/>
    <w:rsid w:val="00C43FF4"/>
    <w:rsid w:val="00C4535E"/>
    <w:rsid w:val="00C45578"/>
    <w:rsid w:val="00C4568C"/>
    <w:rsid w:val="00C45694"/>
    <w:rsid w:val="00C463BF"/>
    <w:rsid w:val="00C46D67"/>
    <w:rsid w:val="00C4729B"/>
    <w:rsid w:val="00C51AB6"/>
    <w:rsid w:val="00C52676"/>
    <w:rsid w:val="00C52EBA"/>
    <w:rsid w:val="00C5395A"/>
    <w:rsid w:val="00C53C01"/>
    <w:rsid w:val="00C54232"/>
    <w:rsid w:val="00C5469D"/>
    <w:rsid w:val="00C548C3"/>
    <w:rsid w:val="00C55F11"/>
    <w:rsid w:val="00C55F56"/>
    <w:rsid w:val="00C5607F"/>
    <w:rsid w:val="00C56245"/>
    <w:rsid w:val="00C56AFB"/>
    <w:rsid w:val="00C60863"/>
    <w:rsid w:val="00C61772"/>
    <w:rsid w:val="00C6239B"/>
    <w:rsid w:val="00C62D5D"/>
    <w:rsid w:val="00C63450"/>
    <w:rsid w:val="00C63552"/>
    <w:rsid w:val="00C6409A"/>
    <w:rsid w:val="00C64911"/>
    <w:rsid w:val="00C64B4F"/>
    <w:rsid w:val="00C64E83"/>
    <w:rsid w:val="00C64F1A"/>
    <w:rsid w:val="00C66CF5"/>
    <w:rsid w:val="00C67023"/>
    <w:rsid w:val="00C675F8"/>
    <w:rsid w:val="00C70165"/>
    <w:rsid w:val="00C70650"/>
    <w:rsid w:val="00C714FE"/>
    <w:rsid w:val="00C7183F"/>
    <w:rsid w:val="00C7190A"/>
    <w:rsid w:val="00C71A12"/>
    <w:rsid w:val="00C724D5"/>
    <w:rsid w:val="00C72B67"/>
    <w:rsid w:val="00C7331C"/>
    <w:rsid w:val="00C73FD3"/>
    <w:rsid w:val="00C7448B"/>
    <w:rsid w:val="00C76679"/>
    <w:rsid w:val="00C773DE"/>
    <w:rsid w:val="00C77AEF"/>
    <w:rsid w:val="00C83F2A"/>
    <w:rsid w:val="00C8594B"/>
    <w:rsid w:val="00C8599E"/>
    <w:rsid w:val="00C86238"/>
    <w:rsid w:val="00C910CC"/>
    <w:rsid w:val="00C917E8"/>
    <w:rsid w:val="00C925DE"/>
    <w:rsid w:val="00C92D51"/>
    <w:rsid w:val="00C93115"/>
    <w:rsid w:val="00C9373D"/>
    <w:rsid w:val="00C94417"/>
    <w:rsid w:val="00C95FA8"/>
    <w:rsid w:val="00CA0D03"/>
    <w:rsid w:val="00CA1F1A"/>
    <w:rsid w:val="00CA3ADD"/>
    <w:rsid w:val="00CA3C26"/>
    <w:rsid w:val="00CA4639"/>
    <w:rsid w:val="00CA7AFD"/>
    <w:rsid w:val="00CA7E98"/>
    <w:rsid w:val="00CB0018"/>
    <w:rsid w:val="00CB03B1"/>
    <w:rsid w:val="00CB2B88"/>
    <w:rsid w:val="00CB44B9"/>
    <w:rsid w:val="00CB528D"/>
    <w:rsid w:val="00CB62BD"/>
    <w:rsid w:val="00CC004D"/>
    <w:rsid w:val="00CC0B73"/>
    <w:rsid w:val="00CC20C5"/>
    <w:rsid w:val="00CC42BF"/>
    <w:rsid w:val="00CC4DE9"/>
    <w:rsid w:val="00CC5FA4"/>
    <w:rsid w:val="00CC6E01"/>
    <w:rsid w:val="00CC74AF"/>
    <w:rsid w:val="00CC7792"/>
    <w:rsid w:val="00CD1776"/>
    <w:rsid w:val="00CD18D7"/>
    <w:rsid w:val="00CD1D3E"/>
    <w:rsid w:val="00CD382F"/>
    <w:rsid w:val="00CD52C8"/>
    <w:rsid w:val="00CD5842"/>
    <w:rsid w:val="00CE1B39"/>
    <w:rsid w:val="00CE2E1D"/>
    <w:rsid w:val="00CE2F3A"/>
    <w:rsid w:val="00CE3225"/>
    <w:rsid w:val="00CE375B"/>
    <w:rsid w:val="00CE4667"/>
    <w:rsid w:val="00CE486A"/>
    <w:rsid w:val="00CE52AF"/>
    <w:rsid w:val="00CE57FD"/>
    <w:rsid w:val="00CE5822"/>
    <w:rsid w:val="00CE5FAA"/>
    <w:rsid w:val="00CE6EA7"/>
    <w:rsid w:val="00CE75E8"/>
    <w:rsid w:val="00CF0E99"/>
    <w:rsid w:val="00CF15E9"/>
    <w:rsid w:val="00CF16E0"/>
    <w:rsid w:val="00CF19A9"/>
    <w:rsid w:val="00CF1CC4"/>
    <w:rsid w:val="00CF2C97"/>
    <w:rsid w:val="00CF3670"/>
    <w:rsid w:val="00CF36FC"/>
    <w:rsid w:val="00CF3A2D"/>
    <w:rsid w:val="00CF3D98"/>
    <w:rsid w:val="00CF4261"/>
    <w:rsid w:val="00CF57E7"/>
    <w:rsid w:val="00CF7E70"/>
    <w:rsid w:val="00D004CD"/>
    <w:rsid w:val="00D0235F"/>
    <w:rsid w:val="00D03005"/>
    <w:rsid w:val="00D03347"/>
    <w:rsid w:val="00D0483F"/>
    <w:rsid w:val="00D049C6"/>
    <w:rsid w:val="00D04FD8"/>
    <w:rsid w:val="00D0502C"/>
    <w:rsid w:val="00D05E20"/>
    <w:rsid w:val="00D073CB"/>
    <w:rsid w:val="00D07EA7"/>
    <w:rsid w:val="00D11C27"/>
    <w:rsid w:val="00D12829"/>
    <w:rsid w:val="00D1322E"/>
    <w:rsid w:val="00D14658"/>
    <w:rsid w:val="00D14943"/>
    <w:rsid w:val="00D17B87"/>
    <w:rsid w:val="00D20D2E"/>
    <w:rsid w:val="00D21B60"/>
    <w:rsid w:val="00D2231A"/>
    <w:rsid w:val="00D22BB8"/>
    <w:rsid w:val="00D24F49"/>
    <w:rsid w:val="00D26C10"/>
    <w:rsid w:val="00D276D7"/>
    <w:rsid w:val="00D278E1"/>
    <w:rsid w:val="00D305EC"/>
    <w:rsid w:val="00D308EA"/>
    <w:rsid w:val="00D311FB"/>
    <w:rsid w:val="00D32B3F"/>
    <w:rsid w:val="00D3335E"/>
    <w:rsid w:val="00D33CEE"/>
    <w:rsid w:val="00D34EF7"/>
    <w:rsid w:val="00D3657E"/>
    <w:rsid w:val="00D37A8C"/>
    <w:rsid w:val="00D37DFF"/>
    <w:rsid w:val="00D4051D"/>
    <w:rsid w:val="00D436CD"/>
    <w:rsid w:val="00D4406D"/>
    <w:rsid w:val="00D44BD4"/>
    <w:rsid w:val="00D44D36"/>
    <w:rsid w:val="00D47203"/>
    <w:rsid w:val="00D47A20"/>
    <w:rsid w:val="00D50B0D"/>
    <w:rsid w:val="00D518CE"/>
    <w:rsid w:val="00D51D81"/>
    <w:rsid w:val="00D5204B"/>
    <w:rsid w:val="00D52BB9"/>
    <w:rsid w:val="00D53243"/>
    <w:rsid w:val="00D5475B"/>
    <w:rsid w:val="00D55865"/>
    <w:rsid w:val="00D562F1"/>
    <w:rsid w:val="00D56FB8"/>
    <w:rsid w:val="00D578BB"/>
    <w:rsid w:val="00D579F1"/>
    <w:rsid w:val="00D609C5"/>
    <w:rsid w:val="00D60FD7"/>
    <w:rsid w:val="00D61449"/>
    <w:rsid w:val="00D6171C"/>
    <w:rsid w:val="00D63220"/>
    <w:rsid w:val="00D63BCC"/>
    <w:rsid w:val="00D63D81"/>
    <w:rsid w:val="00D64A82"/>
    <w:rsid w:val="00D65E41"/>
    <w:rsid w:val="00D67F01"/>
    <w:rsid w:val="00D70466"/>
    <w:rsid w:val="00D70A31"/>
    <w:rsid w:val="00D70B85"/>
    <w:rsid w:val="00D70DC5"/>
    <w:rsid w:val="00D70E07"/>
    <w:rsid w:val="00D7179B"/>
    <w:rsid w:val="00D71C26"/>
    <w:rsid w:val="00D721B2"/>
    <w:rsid w:val="00D721BB"/>
    <w:rsid w:val="00D736F1"/>
    <w:rsid w:val="00D74BDD"/>
    <w:rsid w:val="00D76523"/>
    <w:rsid w:val="00D77B82"/>
    <w:rsid w:val="00D80003"/>
    <w:rsid w:val="00D801B0"/>
    <w:rsid w:val="00D80242"/>
    <w:rsid w:val="00D81FDD"/>
    <w:rsid w:val="00D82D25"/>
    <w:rsid w:val="00D82E86"/>
    <w:rsid w:val="00D842F0"/>
    <w:rsid w:val="00D84593"/>
    <w:rsid w:val="00D8616F"/>
    <w:rsid w:val="00D86782"/>
    <w:rsid w:val="00D87B02"/>
    <w:rsid w:val="00D909E7"/>
    <w:rsid w:val="00D90A4B"/>
    <w:rsid w:val="00D91C8B"/>
    <w:rsid w:val="00D922FB"/>
    <w:rsid w:val="00D92EA3"/>
    <w:rsid w:val="00D9336D"/>
    <w:rsid w:val="00D9368E"/>
    <w:rsid w:val="00D93E0D"/>
    <w:rsid w:val="00D9469F"/>
    <w:rsid w:val="00D94BEA"/>
    <w:rsid w:val="00D964E2"/>
    <w:rsid w:val="00D96834"/>
    <w:rsid w:val="00D968C2"/>
    <w:rsid w:val="00D97A63"/>
    <w:rsid w:val="00DA1C06"/>
    <w:rsid w:val="00DA3229"/>
    <w:rsid w:val="00DA335D"/>
    <w:rsid w:val="00DA4B2E"/>
    <w:rsid w:val="00DA5842"/>
    <w:rsid w:val="00DA6665"/>
    <w:rsid w:val="00DB0BCD"/>
    <w:rsid w:val="00DB20C7"/>
    <w:rsid w:val="00DB2DCA"/>
    <w:rsid w:val="00DB35A9"/>
    <w:rsid w:val="00DB39F1"/>
    <w:rsid w:val="00DB3B75"/>
    <w:rsid w:val="00DB60DB"/>
    <w:rsid w:val="00DB6EC4"/>
    <w:rsid w:val="00DB6F80"/>
    <w:rsid w:val="00DC0747"/>
    <w:rsid w:val="00DC0D72"/>
    <w:rsid w:val="00DC112E"/>
    <w:rsid w:val="00DC2EEC"/>
    <w:rsid w:val="00DC304F"/>
    <w:rsid w:val="00DC6B4B"/>
    <w:rsid w:val="00DD0195"/>
    <w:rsid w:val="00DD0491"/>
    <w:rsid w:val="00DD1152"/>
    <w:rsid w:val="00DD26DE"/>
    <w:rsid w:val="00DD2C59"/>
    <w:rsid w:val="00DD3555"/>
    <w:rsid w:val="00DD39A2"/>
    <w:rsid w:val="00DD3F33"/>
    <w:rsid w:val="00DD4792"/>
    <w:rsid w:val="00DD4FA4"/>
    <w:rsid w:val="00DD516E"/>
    <w:rsid w:val="00DD56E3"/>
    <w:rsid w:val="00DD57B5"/>
    <w:rsid w:val="00DD5D91"/>
    <w:rsid w:val="00DE0BA0"/>
    <w:rsid w:val="00DE0DB4"/>
    <w:rsid w:val="00DE1112"/>
    <w:rsid w:val="00DE1652"/>
    <w:rsid w:val="00DE20D7"/>
    <w:rsid w:val="00DE35A5"/>
    <w:rsid w:val="00DE3F6F"/>
    <w:rsid w:val="00DE403F"/>
    <w:rsid w:val="00DE4882"/>
    <w:rsid w:val="00DE60FC"/>
    <w:rsid w:val="00DE62B6"/>
    <w:rsid w:val="00DE7C89"/>
    <w:rsid w:val="00DF0636"/>
    <w:rsid w:val="00DF08B6"/>
    <w:rsid w:val="00DF0E4F"/>
    <w:rsid w:val="00DF25B0"/>
    <w:rsid w:val="00DF368B"/>
    <w:rsid w:val="00DF3F2A"/>
    <w:rsid w:val="00DF44FF"/>
    <w:rsid w:val="00DF5BA5"/>
    <w:rsid w:val="00DF630B"/>
    <w:rsid w:val="00E00540"/>
    <w:rsid w:val="00E00EE4"/>
    <w:rsid w:val="00E00FD7"/>
    <w:rsid w:val="00E01041"/>
    <w:rsid w:val="00E019E1"/>
    <w:rsid w:val="00E021E0"/>
    <w:rsid w:val="00E025D1"/>
    <w:rsid w:val="00E02C58"/>
    <w:rsid w:val="00E03DD8"/>
    <w:rsid w:val="00E03F95"/>
    <w:rsid w:val="00E05B77"/>
    <w:rsid w:val="00E061F0"/>
    <w:rsid w:val="00E06661"/>
    <w:rsid w:val="00E076CD"/>
    <w:rsid w:val="00E10613"/>
    <w:rsid w:val="00E112A7"/>
    <w:rsid w:val="00E12E85"/>
    <w:rsid w:val="00E13029"/>
    <w:rsid w:val="00E1326C"/>
    <w:rsid w:val="00E13551"/>
    <w:rsid w:val="00E13F85"/>
    <w:rsid w:val="00E1471F"/>
    <w:rsid w:val="00E15058"/>
    <w:rsid w:val="00E1560E"/>
    <w:rsid w:val="00E16259"/>
    <w:rsid w:val="00E16315"/>
    <w:rsid w:val="00E173E2"/>
    <w:rsid w:val="00E17DD2"/>
    <w:rsid w:val="00E21AD7"/>
    <w:rsid w:val="00E22C0D"/>
    <w:rsid w:val="00E23EB7"/>
    <w:rsid w:val="00E24A96"/>
    <w:rsid w:val="00E24C35"/>
    <w:rsid w:val="00E24D77"/>
    <w:rsid w:val="00E25593"/>
    <w:rsid w:val="00E25960"/>
    <w:rsid w:val="00E27F3F"/>
    <w:rsid w:val="00E30E55"/>
    <w:rsid w:val="00E3123C"/>
    <w:rsid w:val="00E31F45"/>
    <w:rsid w:val="00E322B4"/>
    <w:rsid w:val="00E37342"/>
    <w:rsid w:val="00E37A47"/>
    <w:rsid w:val="00E40A10"/>
    <w:rsid w:val="00E41020"/>
    <w:rsid w:val="00E416B6"/>
    <w:rsid w:val="00E42082"/>
    <w:rsid w:val="00E44032"/>
    <w:rsid w:val="00E45A6B"/>
    <w:rsid w:val="00E45EBD"/>
    <w:rsid w:val="00E46AB6"/>
    <w:rsid w:val="00E47B1F"/>
    <w:rsid w:val="00E52C9E"/>
    <w:rsid w:val="00E536A6"/>
    <w:rsid w:val="00E54597"/>
    <w:rsid w:val="00E56535"/>
    <w:rsid w:val="00E565E2"/>
    <w:rsid w:val="00E56815"/>
    <w:rsid w:val="00E570C7"/>
    <w:rsid w:val="00E60BA1"/>
    <w:rsid w:val="00E60CAF"/>
    <w:rsid w:val="00E612B1"/>
    <w:rsid w:val="00E61878"/>
    <w:rsid w:val="00E62334"/>
    <w:rsid w:val="00E65EDC"/>
    <w:rsid w:val="00E71829"/>
    <w:rsid w:val="00E72087"/>
    <w:rsid w:val="00E721D4"/>
    <w:rsid w:val="00E737D9"/>
    <w:rsid w:val="00E7601D"/>
    <w:rsid w:val="00E82DFD"/>
    <w:rsid w:val="00E83F03"/>
    <w:rsid w:val="00E85E00"/>
    <w:rsid w:val="00E861EE"/>
    <w:rsid w:val="00E86377"/>
    <w:rsid w:val="00E867BA"/>
    <w:rsid w:val="00E86EF2"/>
    <w:rsid w:val="00E8798C"/>
    <w:rsid w:val="00E87A43"/>
    <w:rsid w:val="00E87B65"/>
    <w:rsid w:val="00E87BC4"/>
    <w:rsid w:val="00E906AB"/>
    <w:rsid w:val="00E92CFC"/>
    <w:rsid w:val="00E94723"/>
    <w:rsid w:val="00E947BA"/>
    <w:rsid w:val="00E94B89"/>
    <w:rsid w:val="00E94C6D"/>
    <w:rsid w:val="00E94F75"/>
    <w:rsid w:val="00E95ED4"/>
    <w:rsid w:val="00E96012"/>
    <w:rsid w:val="00E96D7E"/>
    <w:rsid w:val="00E96E49"/>
    <w:rsid w:val="00E973B4"/>
    <w:rsid w:val="00E9783E"/>
    <w:rsid w:val="00E97CE4"/>
    <w:rsid w:val="00EA01D9"/>
    <w:rsid w:val="00EA1208"/>
    <w:rsid w:val="00EA206F"/>
    <w:rsid w:val="00EA252D"/>
    <w:rsid w:val="00EA3EE9"/>
    <w:rsid w:val="00EA4AE6"/>
    <w:rsid w:val="00EA4BD4"/>
    <w:rsid w:val="00EA4DDC"/>
    <w:rsid w:val="00EA54EF"/>
    <w:rsid w:val="00EA6B15"/>
    <w:rsid w:val="00EA7C33"/>
    <w:rsid w:val="00EB0147"/>
    <w:rsid w:val="00EB092A"/>
    <w:rsid w:val="00EB0BE4"/>
    <w:rsid w:val="00EB2496"/>
    <w:rsid w:val="00EB343D"/>
    <w:rsid w:val="00EB3EA6"/>
    <w:rsid w:val="00EB4EA4"/>
    <w:rsid w:val="00EB6417"/>
    <w:rsid w:val="00EB75CA"/>
    <w:rsid w:val="00EB75CB"/>
    <w:rsid w:val="00EC048B"/>
    <w:rsid w:val="00EC1870"/>
    <w:rsid w:val="00EC25C2"/>
    <w:rsid w:val="00EC2AD0"/>
    <w:rsid w:val="00EC3041"/>
    <w:rsid w:val="00EC3895"/>
    <w:rsid w:val="00EC4404"/>
    <w:rsid w:val="00EC6928"/>
    <w:rsid w:val="00EC6FA4"/>
    <w:rsid w:val="00EC7919"/>
    <w:rsid w:val="00ED0914"/>
    <w:rsid w:val="00ED1A0E"/>
    <w:rsid w:val="00ED2256"/>
    <w:rsid w:val="00ED28E7"/>
    <w:rsid w:val="00ED2C86"/>
    <w:rsid w:val="00ED3D83"/>
    <w:rsid w:val="00ED7B6F"/>
    <w:rsid w:val="00ED7DB2"/>
    <w:rsid w:val="00EE0C59"/>
    <w:rsid w:val="00EE2260"/>
    <w:rsid w:val="00EE3814"/>
    <w:rsid w:val="00EE3B8E"/>
    <w:rsid w:val="00EE416A"/>
    <w:rsid w:val="00EE7F60"/>
    <w:rsid w:val="00EF0393"/>
    <w:rsid w:val="00EF0946"/>
    <w:rsid w:val="00EF2F2E"/>
    <w:rsid w:val="00EF39CA"/>
    <w:rsid w:val="00EF3DD3"/>
    <w:rsid w:val="00EF403E"/>
    <w:rsid w:val="00EF4492"/>
    <w:rsid w:val="00EF4FE6"/>
    <w:rsid w:val="00EF5B72"/>
    <w:rsid w:val="00EF5C7E"/>
    <w:rsid w:val="00EF68FC"/>
    <w:rsid w:val="00EF7824"/>
    <w:rsid w:val="00F00177"/>
    <w:rsid w:val="00F008A4"/>
    <w:rsid w:val="00F00BF5"/>
    <w:rsid w:val="00F00E46"/>
    <w:rsid w:val="00F014C5"/>
    <w:rsid w:val="00F01A3C"/>
    <w:rsid w:val="00F021A1"/>
    <w:rsid w:val="00F0268C"/>
    <w:rsid w:val="00F04E66"/>
    <w:rsid w:val="00F05DAE"/>
    <w:rsid w:val="00F0721C"/>
    <w:rsid w:val="00F07A32"/>
    <w:rsid w:val="00F07E14"/>
    <w:rsid w:val="00F07E6C"/>
    <w:rsid w:val="00F10CFE"/>
    <w:rsid w:val="00F111DA"/>
    <w:rsid w:val="00F11BD3"/>
    <w:rsid w:val="00F129B8"/>
    <w:rsid w:val="00F131B9"/>
    <w:rsid w:val="00F14338"/>
    <w:rsid w:val="00F147AC"/>
    <w:rsid w:val="00F15B53"/>
    <w:rsid w:val="00F16AFA"/>
    <w:rsid w:val="00F16F0A"/>
    <w:rsid w:val="00F177F0"/>
    <w:rsid w:val="00F20D9A"/>
    <w:rsid w:val="00F21845"/>
    <w:rsid w:val="00F21BF2"/>
    <w:rsid w:val="00F222DA"/>
    <w:rsid w:val="00F234BE"/>
    <w:rsid w:val="00F23967"/>
    <w:rsid w:val="00F24128"/>
    <w:rsid w:val="00F24A0D"/>
    <w:rsid w:val="00F25EAF"/>
    <w:rsid w:val="00F30681"/>
    <w:rsid w:val="00F30AE0"/>
    <w:rsid w:val="00F30EDA"/>
    <w:rsid w:val="00F3402A"/>
    <w:rsid w:val="00F35C69"/>
    <w:rsid w:val="00F3622C"/>
    <w:rsid w:val="00F36D5C"/>
    <w:rsid w:val="00F36E36"/>
    <w:rsid w:val="00F40C14"/>
    <w:rsid w:val="00F41ABF"/>
    <w:rsid w:val="00F42E02"/>
    <w:rsid w:val="00F43FBE"/>
    <w:rsid w:val="00F44C86"/>
    <w:rsid w:val="00F45F1C"/>
    <w:rsid w:val="00F47921"/>
    <w:rsid w:val="00F52166"/>
    <w:rsid w:val="00F52B42"/>
    <w:rsid w:val="00F52B9D"/>
    <w:rsid w:val="00F53ACA"/>
    <w:rsid w:val="00F53BD6"/>
    <w:rsid w:val="00F544D2"/>
    <w:rsid w:val="00F54590"/>
    <w:rsid w:val="00F54868"/>
    <w:rsid w:val="00F54CAE"/>
    <w:rsid w:val="00F55A57"/>
    <w:rsid w:val="00F55B25"/>
    <w:rsid w:val="00F56183"/>
    <w:rsid w:val="00F56993"/>
    <w:rsid w:val="00F56E03"/>
    <w:rsid w:val="00F56E47"/>
    <w:rsid w:val="00F57760"/>
    <w:rsid w:val="00F57B10"/>
    <w:rsid w:val="00F57BDD"/>
    <w:rsid w:val="00F57ED1"/>
    <w:rsid w:val="00F6127E"/>
    <w:rsid w:val="00F617A4"/>
    <w:rsid w:val="00F62986"/>
    <w:rsid w:val="00F62A2D"/>
    <w:rsid w:val="00F637FF"/>
    <w:rsid w:val="00F6380E"/>
    <w:rsid w:val="00F63B26"/>
    <w:rsid w:val="00F63DD9"/>
    <w:rsid w:val="00F64568"/>
    <w:rsid w:val="00F64EFF"/>
    <w:rsid w:val="00F64F69"/>
    <w:rsid w:val="00F668D9"/>
    <w:rsid w:val="00F71583"/>
    <w:rsid w:val="00F718F7"/>
    <w:rsid w:val="00F7247A"/>
    <w:rsid w:val="00F74004"/>
    <w:rsid w:val="00F76185"/>
    <w:rsid w:val="00F76225"/>
    <w:rsid w:val="00F76744"/>
    <w:rsid w:val="00F76C03"/>
    <w:rsid w:val="00F76C80"/>
    <w:rsid w:val="00F77A3D"/>
    <w:rsid w:val="00F80018"/>
    <w:rsid w:val="00F808F5"/>
    <w:rsid w:val="00F81623"/>
    <w:rsid w:val="00F81F40"/>
    <w:rsid w:val="00F8233A"/>
    <w:rsid w:val="00F8250C"/>
    <w:rsid w:val="00F83A33"/>
    <w:rsid w:val="00F83DB4"/>
    <w:rsid w:val="00F84263"/>
    <w:rsid w:val="00F84E67"/>
    <w:rsid w:val="00F85C16"/>
    <w:rsid w:val="00F864E7"/>
    <w:rsid w:val="00F86C9D"/>
    <w:rsid w:val="00F907B9"/>
    <w:rsid w:val="00F908A3"/>
    <w:rsid w:val="00F90F9E"/>
    <w:rsid w:val="00F91B7A"/>
    <w:rsid w:val="00F929BA"/>
    <w:rsid w:val="00F92A83"/>
    <w:rsid w:val="00F94080"/>
    <w:rsid w:val="00F940B6"/>
    <w:rsid w:val="00F944BC"/>
    <w:rsid w:val="00F9676A"/>
    <w:rsid w:val="00F96909"/>
    <w:rsid w:val="00F96F1D"/>
    <w:rsid w:val="00F97756"/>
    <w:rsid w:val="00FA078D"/>
    <w:rsid w:val="00FA148A"/>
    <w:rsid w:val="00FA200A"/>
    <w:rsid w:val="00FA2056"/>
    <w:rsid w:val="00FA2165"/>
    <w:rsid w:val="00FA2350"/>
    <w:rsid w:val="00FA2FB6"/>
    <w:rsid w:val="00FA4B5E"/>
    <w:rsid w:val="00FA6563"/>
    <w:rsid w:val="00FA665B"/>
    <w:rsid w:val="00FA742C"/>
    <w:rsid w:val="00FB01A5"/>
    <w:rsid w:val="00FB0D3B"/>
    <w:rsid w:val="00FB12F5"/>
    <w:rsid w:val="00FB1336"/>
    <w:rsid w:val="00FB1B25"/>
    <w:rsid w:val="00FB36BD"/>
    <w:rsid w:val="00FB37EF"/>
    <w:rsid w:val="00FB3FA6"/>
    <w:rsid w:val="00FB4307"/>
    <w:rsid w:val="00FB4E78"/>
    <w:rsid w:val="00FB6744"/>
    <w:rsid w:val="00FB6756"/>
    <w:rsid w:val="00FC16C4"/>
    <w:rsid w:val="00FC16F4"/>
    <w:rsid w:val="00FC2709"/>
    <w:rsid w:val="00FC32F4"/>
    <w:rsid w:val="00FC3A66"/>
    <w:rsid w:val="00FC3CFE"/>
    <w:rsid w:val="00FC53BF"/>
    <w:rsid w:val="00FC5EB0"/>
    <w:rsid w:val="00FC66DD"/>
    <w:rsid w:val="00FC71CA"/>
    <w:rsid w:val="00FC7715"/>
    <w:rsid w:val="00FD22CD"/>
    <w:rsid w:val="00FD32C7"/>
    <w:rsid w:val="00FD38F7"/>
    <w:rsid w:val="00FD3F00"/>
    <w:rsid w:val="00FD3FE6"/>
    <w:rsid w:val="00FD4972"/>
    <w:rsid w:val="00FD5144"/>
    <w:rsid w:val="00FD5FB8"/>
    <w:rsid w:val="00FD69A8"/>
    <w:rsid w:val="00FD6BBE"/>
    <w:rsid w:val="00FD6F2F"/>
    <w:rsid w:val="00FD795F"/>
    <w:rsid w:val="00FD7B7B"/>
    <w:rsid w:val="00FE0A3B"/>
    <w:rsid w:val="00FE205F"/>
    <w:rsid w:val="00FE282D"/>
    <w:rsid w:val="00FE2D99"/>
    <w:rsid w:val="00FE3BC5"/>
    <w:rsid w:val="00FE4508"/>
    <w:rsid w:val="00FE52F2"/>
    <w:rsid w:val="00FE6305"/>
    <w:rsid w:val="00FE7CA4"/>
    <w:rsid w:val="00FF054A"/>
    <w:rsid w:val="00FF0A1C"/>
    <w:rsid w:val="00FF2E6C"/>
    <w:rsid w:val="00FF4475"/>
    <w:rsid w:val="00FF57FA"/>
    <w:rsid w:val="00FF7A7F"/>
    <w:rsid w:val="00FF7CF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48E26A"/>
  <w15:docId w15:val="{CC69AE0B-BD89-4D4F-9F30-2BA1C8A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8477A5"/>
    <w:rPr>
      <w:color w:val="808080"/>
    </w:rPr>
  </w:style>
  <w:style w:type="paragraph" w:styleId="Revisie">
    <w:name w:val="Revision"/>
    <w:hidden/>
    <w:uiPriority w:val="99"/>
    <w:semiHidden/>
    <w:rsid w:val="008477A5"/>
    <w:rPr>
      <w:rFonts w:ascii="Univers" w:hAnsi="Univers"/>
      <w:sz w:val="22"/>
      <w:szCs w:val="24"/>
    </w:rPr>
  </w:style>
  <w:style w:type="paragraph" w:styleId="Lijstalinea">
    <w:name w:val="List Paragraph"/>
    <w:basedOn w:val="Standaard"/>
    <w:uiPriority w:val="34"/>
    <w:qFormat/>
    <w:rsid w:val="00251DAB"/>
    <w:pPr>
      <w:ind w:left="720"/>
      <w:contextualSpacing/>
    </w:pPr>
  </w:style>
  <w:style w:type="paragraph" w:styleId="Voetnoottekst">
    <w:name w:val="footnote text"/>
    <w:basedOn w:val="Standaard"/>
    <w:link w:val="VoetnoottekstChar"/>
    <w:uiPriority w:val="99"/>
    <w:semiHidden/>
    <w:unhideWhenUsed/>
    <w:rsid w:val="00CF3670"/>
    <w:rPr>
      <w:sz w:val="20"/>
      <w:szCs w:val="20"/>
    </w:rPr>
  </w:style>
  <w:style w:type="character" w:customStyle="1" w:styleId="VoetnoottekstChar">
    <w:name w:val="Voetnoottekst Char"/>
    <w:basedOn w:val="Standaardalinea-lettertype"/>
    <w:link w:val="Voetnoottekst"/>
    <w:uiPriority w:val="99"/>
    <w:semiHidden/>
    <w:rsid w:val="00CF3670"/>
    <w:rPr>
      <w:rFonts w:ascii="Univers" w:hAnsi="Univers"/>
    </w:rPr>
  </w:style>
  <w:style w:type="character" w:styleId="Voetnootmarkering">
    <w:name w:val="footnote reference"/>
    <w:basedOn w:val="Standaardalinea-lettertype"/>
    <w:uiPriority w:val="99"/>
    <w:semiHidden/>
    <w:unhideWhenUsed/>
    <w:rsid w:val="00CF3670"/>
    <w:rPr>
      <w:vertAlign w:val="superscript"/>
    </w:rPr>
  </w:style>
  <w:style w:type="character" w:styleId="Verwijzingopmerking">
    <w:name w:val="annotation reference"/>
    <w:basedOn w:val="Standaardalinea-lettertype"/>
    <w:uiPriority w:val="99"/>
    <w:semiHidden/>
    <w:unhideWhenUsed/>
    <w:rsid w:val="00583C1F"/>
    <w:rPr>
      <w:sz w:val="16"/>
      <w:szCs w:val="16"/>
    </w:rPr>
  </w:style>
  <w:style w:type="paragraph" w:styleId="Tekstopmerking">
    <w:name w:val="annotation text"/>
    <w:basedOn w:val="Standaard"/>
    <w:link w:val="TekstopmerkingChar"/>
    <w:uiPriority w:val="99"/>
    <w:unhideWhenUsed/>
    <w:rsid w:val="00583C1F"/>
    <w:rPr>
      <w:sz w:val="20"/>
      <w:szCs w:val="20"/>
    </w:rPr>
  </w:style>
  <w:style w:type="character" w:customStyle="1" w:styleId="TekstopmerkingChar">
    <w:name w:val="Tekst opmerking Char"/>
    <w:basedOn w:val="Standaardalinea-lettertype"/>
    <w:link w:val="Tekstopmerking"/>
    <w:uiPriority w:val="99"/>
    <w:rsid w:val="00583C1F"/>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583C1F"/>
    <w:rPr>
      <w:b/>
      <w:bCs/>
    </w:rPr>
  </w:style>
  <w:style w:type="character" w:customStyle="1" w:styleId="OnderwerpvanopmerkingChar">
    <w:name w:val="Onderwerp van opmerking Char"/>
    <w:basedOn w:val="TekstopmerkingChar"/>
    <w:link w:val="Onderwerpvanopmerking"/>
    <w:uiPriority w:val="99"/>
    <w:semiHidden/>
    <w:rsid w:val="00583C1F"/>
    <w:rPr>
      <w:rFonts w:ascii="Univers" w:hAnsi="Univers"/>
      <w:b/>
      <w:bCs/>
    </w:rPr>
  </w:style>
  <w:style w:type="character" w:styleId="Hyperlink">
    <w:name w:val="Hyperlink"/>
    <w:basedOn w:val="Standaardalinea-lettertype"/>
    <w:uiPriority w:val="99"/>
    <w:unhideWhenUsed/>
    <w:rsid w:val="005830B0"/>
    <w:rPr>
      <w:color w:val="0000FF" w:themeColor="hyperlink"/>
      <w:u w:val="single"/>
    </w:rPr>
  </w:style>
  <w:style w:type="character" w:styleId="Onopgelostemelding">
    <w:name w:val="Unresolved Mention"/>
    <w:basedOn w:val="Standaardalinea-lettertype"/>
    <w:uiPriority w:val="99"/>
    <w:rsid w:val="00583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7FDAC452-4353-4AD5-B864-E84BC2EAA541}"/>
      </w:docPartPr>
      <w:docPartBody>
        <w:p w:rsidR="000925FE" w:rsidRDefault="00D23222">
          <w:r w:rsidRPr="007C6167">
            <w:rPr>
              <w:rStyle w:val="Tekstvantijdelijkeaanduiding"/>
            </w:rPr>
            <w:t>Klik of tik om tekst in te voeren.</w:t>
          </w:r>
        </w:p>
      </w:docPartBody>
    </w:docPart>
    <w:docPart>
      <w:docPartPr>
        <w:name w:val="1827C5562AE44EBDAC96CFC71F3A85D3"/>
        <w:category>
          <w:name w:val="Algemeen"/>
          <w:gallery w:val="placeholder"/>
        </w:category>
        <w:types>
          <w:type w:val="bbPlcHdr"/>
        </w:types>
        <w:behaviors>
          <w:behavior w:val="content"/>
        </w:behaviors>
        <w:guid w:val="{914B66EF-66E3-49BF-8475-53B96DF3CD81}"/>
      </w:docPartPr>
      <w:docPartBody>
        <w:p w:rsidR="000C78CD" w:rsidRDefault="00D23222">
          <w:pPr>
            <w:pStyle w:val="1827C5562AE44EBDAC96CFC71F3A85D3"/>
          </w:pPr>
          <w:r w:rsidRPr="007C616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222"/>
    <w:rsid w:val="000925FE"/>
    <w:rsid w:val="000C78CD"/>
    <w:rsid w:val="00256184"/>
    <w:rsid w:val="00516CFC"/>
    <w:rsid w:val="005451CF"/>
    <w:rsid w:val="005F0B2D"/>
    <w:rsid w:val="00752C35"/>
    <w:rsid w:val="007961B7"/>
    <w:rsid w:val="0098418F"/>
    <w:rsid w:val="00D23222"/>
    <w:rsid w:val="00E454F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23222"/>
    <w:rPr>
      <w:color w:val="808080"/>
    </w:rPr>
  </w:style>
  <w:style w:type="paragraph" w:customStyle="1" w:styleId="1827C5562AE44EBDAC96CFC71F3A85D3">
    <w:name w:val="1827C5562AE44EBDAC96CFC71F3A85D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1361</ap:Words>
  <ap:Characters>7907</ap:Characters>
  <ap:DocSecurity>4</ap:DocSecurity>
  <ap:Lines>65</ap:Lines>
  <ap:Paragraphs>18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9250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2024-07-01T12:12:00.0000000Z</dcterms:created>
  <dcterms:modified xsi:type="dcterms:W3CDTF">2024-07-01T12:12:00.0000000Z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W06.23.00369/III</vt:lpwstr>
  </property>
  <property fmtid="{D5CDD505-2E9C-101B-9397-08002B2CF9AE}" pid="5" name="zaaktype">
    <vt:lpwstr>WET</vt:lpwstr>
  </property>
  <property fmtid="{D5CDD505-2E9C-101B-9397-08002B2CF9AE}" pid="6" name="ContentTypeId">
    <vt:lpwstr>0x010100FA5A77795FEADA4EA5122730361344460022E5B581EDED1C42AC6DFE639C1E25F9</vt:lpwstr>
  </property>
  <property fmtid="{D5CDD505-2E9C-101B-9397-08002B2CF9AE}" pid="7" name="Bestemming">
    <vt:lpwstr>2;#Corsa|a7721b99-8166-4953-a37e-7c8574fb4b8b</vt:lpwstr>
  </property>
  <property fmtid="{D5CDD505-2E9C-101B-9397-08002B2CF9AE}" pid="8" name="_dlc_DocIdItemGuid">
    <vt:lpwstr>8cb12ec0-5320-4c53-84d1-d37b2185144a</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6800fede-0e59-47ad-af95-4e63bbdb932d_Enabled">
    <vt:lpwstr>true</vt:lpwstr>
  </property>
  <property fmtid="{D5CDD505-2E9C-101B-9397-08002B2CF9AE}" pid="14" name="MSIP_Label_6800fede-0e59-47ad-af95-4e63bbdb932d_SetDate">
    <vt:lpwstr>2024-06-28T08:25:31Z</vt:lpwstr>
  </property>
  <property fmtid="{D5CDD505-2E9C-101B-9397-08002B2CF9AE}" pid="15" name="MSIP_Label_6800fede-0e59-47ad-af95-4e63bbdb932d_Method">
    <vt:lpwstr>Standard</vt:lpwstr>
  </property>
  <property fmtid="{D5CDD505-2E9C-101B-9397-08002B2CF9AE}" pid="16" name="MSIP_Label_6800fede-0e59-47ad-af95-4e63bbdb932d_Name">
    <vt:lpwstr>FIN-DGGT-Rijksoverheid</vt:lpwstr>
  </property>
  <property fmtid="{D5CDD505-2E9C-101B-9397-08002B2CF9AE}" pid="17" name="MSIP_Label_6800fede-0e59-47ad-af95-4e63bbdb932d_SiteId">
    <vt:lpwstr>84712536-f524-40a0-913b-5d25ba502732</vt:lpwstr>
  </property>
  <property fmtid="{D5CDD505-2E9C-101B-9397-08002B2CF9AE}" pid="18" name="MSIP_Label_6800fede-0e59-47ad-af95-4e63bbdb932d_ActionId">
    <vt:lpwstr>43095989-cafb-494a-8e22-281ccc125c2d</vt:lpwstr>
  </property>
  <property fmtid="{D5CDD505-2E9C-101B-9397-08002B2CF9AE}" pid="19" name="MSIP_Label_6800fede-0e59-47ad-af95-4e63bbdb932d_ContentBits">
    <vt:lpwstr>0</vt:lpwstr>
  </property>
</Properties>
</file>