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6293" w:rsidR="00FD218C" w:rsidP="00AB6293" w:rsidRDefault="00FF3EA7" w14:paraId="7EE0E410" w14:textId="1A16E4AF">
      <w:pPr>
        <w:spacing w:line="240" w:lineRule="auto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AB6293">
        <w:rPr>
          <w:rFonts w:ascii="Verdana" w:hAnsi="Verdana"/>
          <w:b/>
          <w:bCs/>
          <w:sz w:val="18"/>
          <w:szCs w:val="18"/>
          <w:lang w:val="en-US"/>
        </w:rPr>
        <w:t xml:space="preserve">NON-PAPER 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by </w:t>
      </w:r>
      <w:r w:rsidRPr="00AB6293">
        <w:rPr>
          <w:rFonts w:ascii="Verdana" w:hAnsi="Verdana"/>
          <w:b/>
          <w:bCs/>
          <w:sz w:val="18"/>
          <w:szCs w:val="18"/>
          <w:lang w:val="en-US"/>
        </w:rPr>
        <w:t>NL, CZ, IT, DK, SE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: </w:t>
      </w:r>
      <w:r w:rsidRPr="009233B9" w:rsidR="00AB6293">
        <w:rPr>
          <w:rFonts w:ascii="Verdana" w:hAnsi="Verdana"/>
          <w:b/>
          <w:bCs/>
          <w:sz w:val="18"/>
          <w:szCs w:val="18"/>
          <w:lang w:val="en-US"/>
        </w:rPr>
        <w:t>Proposals for better regulation in times of transition</w:t>
      </w:r>
      <w:r w:rsidR="00AB6293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:rsidRPr="009233B9" w:rsidR="00A54A1D" w:rsidP="004F086C" w:rsidRDefault="00450975" w14:paraId="7BD3072F" w14:textId="4412AAC3">
      <w:p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>The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EU is </w:t>
      </w:r>
      <w:r w:rsidRPr="009233B9">
        <w:rPr>
          <w:rFonts w:ascii="Verdana" w:hAnsi="Verdana"/>
          <w:sz w:val="18"/>
          <w:szCs w:val="18"/>
          <w:lang w:val="en-US"/>
        </w:rPr>
        <w:t>undergoing multiple fundamental transitions. Confronted with major, urgent challenges</w:t>
      </w:r>
      <w:r w:rsidRPr="009233B9" w:rsidR="001E06EF">
        <w:rPr>
          <w:rFonts w:ascii="Verdana" w:hAnsi="Verdana"/>
          <w:sz w:val="18"/>
          <w:szCs w:val="18"/>
          <w:lang w:val="en-US"/>
        </w:rPr>
        <w:t xml:space="preserve"> and growing cross- border security threats</w:t>
      </w:r>
      <w:r w:rsidRPr="009233B9">
        <w:rPr>
          <w:rFonts w:ascii="Verdana" w:hAnsi="Verdana"/>
          <w:sz w:val="18"/>
          <w:szCs w:val="18"/>
          <w:lang w:val="en-US"/>
        </w:rPr>
        <w:t xml:space="preserve">, the EU is </w:t>
      </w:r>
      <w:r w:rsidRPr="009233B9" w:rsidR="001E06EF">
        <w:rPr>
          <w:rFonts w:ascii="Verdana" w:hAnsi="Verdana"/>
          <w:sz w:val="18"/>
          <w:szCs w:val="18"/>
          <w:lang w:val="en-US"/>
        </w:rPr>
        <w:t>transitioning</w:t>
      </w:r>
      <w:r w:rsidRPr="009233B9">
        <w:rPr>
          <w:rFonts w:ascii="Verdana" w:hAnsi="Verdana"/>
          <w:sz w:val="18"/>
          <w:szCs w:val="18"/>
          <w:lang w:val="en-US"/>
        </w:rPr>
        <w:t xml:space="preserve"> </w:t>
      </w:r>
      <w:r w:rsidRPr="00F14EEE">
        <w:rPr>
          <w:rFonts w:ascii="Verdana" w:hAnsi="Verdana"/>
          <w:sz w:val="18"/>
          <w:szCs w:val="18"/>
          <w:lang w:val="en-US"/>
        </w:rPr>
        <w:t>towards</w:t>
      </w:r>
      <w:r w:rsidRPr="00F14EEE" w:rsidR="00803D72">
        <w:rPr>
          <w:rFonts w:ascii="Verdana" w:hAnsi="Verdana"/>
          <w:sz w:val="18"/>
          <w:szCs w:val="18"/>
          <w:lang w:val="en-US"/>
        </w:rPr>
        <w:t xml:space="preserve"> becoming a stronger geopolitical</w:t>
      </w:r>
      <w:r w:rsidR="00803D72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803D72">
        <w:rPr>
          <w:rFonts w:ascii="Verdana" w:hAnsi="Verdana"/>
          <w:sz w:val="18"/>
          <w:szCs w:val="18"/>
          <w:lang w:val="en-US"/>
        </w:rPr>
        <w:t>actor</w:t>
      </w:r>
      <w:r w:rsidRPr="009233B9">
        <w:rPr>
          <w:rFonts w:ascii="Verdana" w:hAnsi="Verdana"/>
          <w:sz w:val="18"/>
          <w:szCs w:val="18"/>
          <w:lang w:val="en-US"/>
        </w:rPr>
        <w:t xml:space="preserve">. 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The EU is also transitioning towards a green and digital future. To this end an ambitious legislative agenda is being rolled out. </w:t>
      </w:r>
      <w:r w:rsidRPr="009233B9">
        <w:rPr>
          <w:rFonts w:ascii="Verdana" w:hAnsi="Verdana"/>
          <w:sz w:val="18"/>
          <w:szCs w:val="18"/>
          <w:lang w:val="en-US"/>
        </w:rPr>
        <w:t xml:space="preserve">In an increasingly competitive 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and uncertain </w:t>
      </w:r>
      <w:r w:rsidRPr="009233B9">
        <w:rPr>
          <w:rFonts w:ascii="Verdana" w:hAnsi="Verdana"/>
          <w:sz w:val="18"/>
          <w:szCs w:val="18"/>
          <w:lang w:val="en-US"/>
        </w:rPr>
        <w:t xml:space="preserve">global playing field, the EU must </w:t>
      </w:r>
      <w:r w:rsidRPr="00F14EEE">
        <w:rPr>
          <w:rFonts w:ascii="Verdana" w:hAnsi="Verdana"/>
          <w:sz w:val="18"/>
          <w:szCs w:val="18"/>
          <w:lang w:val="en-US"/>
        </w:rPr>
        <w:t>boost its innovation</w:t>
      </w:r>
      <w:r w:rsidRPr="00F14EEE" w:rsidR="002B3EC8">
        <w:rPr>
          <w:rFonts w:ascii="Verdana" w:hAnsi="Verdana"/>
          <w:sz w:val="18"/>
          <w:szCs w:val="18"/>
          <w:lang w:val="en-US"/>
        </w:rPr>
        <w:t>, competitiveness</w:t>
      </w:r>
      <w:r w:rsidRPr="00F14EEE">
        <w:rPr>
          <w:rFonts w:ascii="Verdana" w:hAnsi="Verdana"/>
          <w:sz w:val="18"/>
          <w:szCs w:val="18"/>
          <w:lang w:val="en-US"/>
        </w:rPr>
        <w:t xml:space="preserve"> and resilience</w:t>
      </w:r>
      <w:r w:rsidRPr="009233B9">
        <w:rPr>
          <w:rFonts w:ascii="Verdana" w:hAnsi="Verdana"/>
          <w:sz w:val="18"/>
          <w:szCs w:val="18"/>
          <w:lang w:val="en-US"/>
        </w:rPr>
        <w:t>.</w:t>
      </w:r>
      <w:r w:rsidRPr="009233B9" w:rsidR="001C03CB">
        <w:rPr>
          <w:lang w:val="en-US"/>
        </w:rPr>
        <w:t xml:space="preserve"> 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Equally important, the EU should deliver in practice and support the fulfillment of needs of citizens and organizations with tangible </w:t>
      </w:r>
      <w:r w:rsidRPr="00F14EEE" w:rsidR="001C03CB">
        <w:rPr>
          <w:rFonts w:ascii="Verdana" w:hAnsi="Verdana"/>
          <w:sz w:val="18"/>
          <w:szCs w:val="18"/>
          <w:lang w:val="en-US"/>
        </w:rPr>
        <w:t>results</w:t>
      </w:r>
      <w:r w:rsidRPr="00F14EEE" w:rsidR="00274755">
        <w:rPr>
          <w:rFonts w:ascii="Verdana" w:hAnsi="Verdana"/>
          <w:sz w:val="18"/>
          <w:szCs w:val="18"/>
          <w:lang w:val="en-US"/>
        </w:rPr>
        <w:t>, in a cost-efficient manner</w:t>
      </w:r>
      <w:r w:rsidRPr="00F14EEE" w:rsidR="001C03CB">
        <w:rPr>
          <w:rFonts w:ascii="Verdana" w:hAnsi="Verdana"/>
          <w:sz w:val="18"/>
          <w:szCs w:val="18"/>
          <w:lang w:val="en-US"/>
        </w:rPr>
        <w:t>.</w:t>
      </w:r>
      <w:r w:rsidRPr="009233B9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It is 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thus </w:t>
      </w:r>
      <w:r w:rsidRPr="009233B9" w:rsidR="00A54A1D">
        <w:rPr>
          <w:rFonts w:ascii="Verdana" w:hAnsi="Verdana"/>
          <w:sz w:val="18"/>
          <w:szCs w:val="18"/>
          <w:lang w:val="en-US"/>
        </w:rPr>
        <w:t>imperative that the EU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 and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its member states</w:t>
      </w:r>
      <w:r w:rsidRPr="009233B9" w:rsidR="00B60444">
        <w:rPr>
          <w:rFonts w:ascii="Verdana" w:hAnsi="Verdana"/>
          <w:sz w:val="18"/>
          <w:szCs w:val="18"/>
          <w:lang w:val="en-US"/>
        </w:rPr>
        <w:t>, businesses and citizens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B93851">
        <w:rPr>
          <w:rFonts w:ascii="Verdana" w:hAnsi="Verdana"/>
          <w:sz w:val="18"/>
          <w:szCs w:val="18"/>
          <w:lang w:val="en-US"/>
        </w:rPr>
        <w:t>can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A54A1D">
        <w:rPr>
          <w:rFonts w:ascii="Verdana" w:hAnsi="Verdana"/>
          <w:b/>
          <w:bCs/>
          <w:sz w:val="18"/>
          <w:szCs w:val="18"/>
          <w:lang w:val="en-US"/>
        </w:rPr>
        <w:t>implement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, </w:t>
      </w:r>
      <w:r w:rsidRPr="009233B9" w:rsidDel="00871C75" w:rsidR="00A54A1D">
        <w:rPr>
          <w:rFonts w:ascii="Verdana" w:hAnsi="Verdana"/>
          <w:b/>
          <w:bCs/>
          <w:sz w:val="18"/>
          <w:szCs w:val="18"/>
          <w:lang w:val="en-US"/>
        </w:rPr>
        <w:t>execute</w:t>
      </w:r>
      <w:r w:rsidRPr="009233B9" w:rsidDel="00871C75" w:rsidR="00A54A1D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A54A1D">
        <w:rPr>
          <w:rFonts w:ascii="Verdana" w:hAnsi="Verdana"/>
          <w:sz w:val="18"/>
          <w:szCs w:val="18"/>
          <w:lang w:val="en-US"/>
        </w:rPr>
        <w:t>and</w:t>
      </w:r>
      <w:r w:rsidRPr="009233B9" w:rsidR="00B60444">
        <w:rPr>
          <w:rFonts w:ascii="Verdana" w:hAnsi="Verdana"/>
          <w:sz w:val="18"/>
          <w:szCs w:val="18"/>
          <w:lang w:val="en-US"/>
        </w:rPr>
        <w:t>/or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A54A1D">
        <w:rPr>
          <w:rFonts w:ascii="Verdana" w:hAnsi="Verdana"/>
          <w:b/>
          <w:bCs/>
          <w:sz w:val="18"/>
          <w:szCs w:val="18"/>
          <w:lang w:val="en-US"/>
        </w:rPr>
        <w:t xml:space="preserve">comply with 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these ambitious plans, now and in the years to come. </w:t>
      </w:r>
    </w:p>
    <w:p w:rsidRPr="009233B9" w:rsidR="001C03CB" w:rsidP="004F086C" w:rsidRDefault="007B56F4" w14:paraId="69C790A8" w14:textId="47898543">
      <w:p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 xml:space="preserve">The current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better regulation</w:t>
      </w:r>
      <w:r w:rsidRPr="009233B9">
        <w:rPr>
          <w:rFonts w:ascii="Verdana" w:hAnsi="Verdana"/>
          <w:sz w:val="18"/>
          <w:szCs w:val="18"/>
          <w:lang w:val="en-US"/>
        </w:rPr>
        <w:t xml:space="preserve"> agenda </w:t>
      </w:r>
      <w:r w:rsidRPr="009233B9" w:rsidR="00D14F97">
        <w:rPr>
          <w:rFonts w:ascii="Verdana" w:hAnsi="Verdana"/>
          <w:sz w:val="18"/>
          <w:szCs w:val="18"/>
          <w:lang w:val="en-US"/>
        </w:rPr>
        <w:t>pursues</w:t>
      </w:r>
      <w:r w:rsidRPr="009233B9">
        <w:rPr>
          <w:rFonts w:ascii="Verdana" w:hAnsi="Verdana"/>
          <w:sz w:val="18"/>
          <w:szCs w:val="18"/>
          <w:lang w:val="en-US"/>
        </w:rPr>
        <w:t xml:space="preserve"> simplified legislation,</w:t>
      </w:r>
      <w:r w:rsidRPr="009233B9" w:rsidR="006A66C2">
        <w:rPr>
          <w:lang w:val="en-US"/>
        </w:rPr>
        <w:t xml:space="preserve"> </w:t>
      </w:r>
      <w:r w:rsidRPr="009233B9" w:rsidR="006A66C2">
        <w:rPr>
          <w:rFonts w:ascii="Verdana" w:hAnsi="Verdana"/>
          <w:sz w:val="18"/>
          <w:szCs w:val="18"/>
          <w:lang w:val="en-US"/>
        </w:rPr>
        <w:t>strengthened stakeholder consultation,</w:t>
      </w:r>
      <w:r w:rsidRPr="009233B9">
        <w:rPr>
          <w:rFonts w:ascii="Verdana" w:hAnsi="Verdana"/>
          <w:sz w:val="18"/>
          <w:szCs w:val="18"/>
          <w:lang w:val="en-US"/>
        </w:rPr>
        <w:t xml:space="preserve"> reduced administrative burdens and fostered transparency. 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The Regulatory Fitness and Performance (REFIT) program </w:t>
      </w:r>
      <w:r w:rsidRPr="009233B9">
        <w:rPr>
          <w:rFonts w:ascii="Verdana" w:hAnsi="Verdana"/>
          <w:sz w:val="18"/>
          <w:szCs w:val="18"/>
          <w:lang w:val="en-US"/>
        </w:rPr>
        <w:t>enabled the evaluation of legislation, allowing for adjustments needed to ensure</w:t>
      </w:r>
      <w:r w:rsidRPr="009233B9" w:rsidR="00A54A1D">
        <w:rPr>
          <w:rFonts w:ascii="Verdana" w:hAnsi="Verdana"/>
          <w:sz w:val="18"/>
          <w:szCs w:val="18"/>
          <w:lang w:val="en-US"/>
        </w:rPr>
        <w:t xml:space="preserve"> effectiveness and streamline implementation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. These steps </w:t>
      </w:r>
      <w:r w:rsidRPr="00F14EEE" w:rsidR="001C03CB">
        <w:rPr>
          <w:rFonts w:ascii="Verdana" w:hAnsi="Verdana"/>
          <w:sz w:val="18"/>
          <w:szCs w:val="18"/>
          <w:lang w:val="en-US"/>
        </w:rPr>
        <w:t>have</w:t>
      </w:r>
      <w:r w:rsidRPr="00F14EEE" w:rsid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E40FCF">
        <w:rPr>
          <w:rFonts w:ascii="Verdana" w:hAnsi="Verdana"/>
          <w:sz w:val="18"/>
          <w:szCs w:val="18"/>
          <w:lang w:val="en-US"/>
        </w:rPr>
        <w:t>work towards</w:t>
      </w:r>
      <w:r w:rsidRPr="00F14EEE" w:rsidR="00B60444">
        <w:rPr>
          <w:rFonts w:ascii="Verdana" w:hAnsi="Verdana"/>
          <w:sz w:val="18"/>
          <w:szCs w:val="18"/>
          <w:lang w:val="en-US"/>
        </w:rPr>
        <w:t xml:space="preserve"> a</w:t>
      </w:r>
      <w:r w:rsidRPr="009233B9" w:rsidR="00B60444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1C03CB">
        <w:rPr>
          <w:rFonts w:ascii="Verdana" w:hAnsi="Verdana"/>
          <w:sz w:val="18"/>
          <w:szCs w:val="18"/>
          <w:lang w:val="en-US"/>
        </w:rPr>
        <w:t xml:space="preserve">more efficient, business-friendly regulatory </w:t>
      </w:r>
      <w:r w:rsidRPr="00F14EEE" w:rsidR="001C03CB">
        <w:rPr>
          <w:rFonts w:ascii="Verdana" w:hAnsi="Verdana"/>
          <w:sz w:val="18"/>
          <w:szCs w:val="18"/>
          <w:lang w:val="en-US"/>
        </w:rPr>
        <w:t xml:space="preserve">environment across the EU, </w:t>
      </w:r>
      <w:r w:rsidRPr="00F14EEE" w:rsidR="00E40FCF">
        <w:rPr>
          <w:rFonts w:ascii="Verdana" w:hAnsi="Verdana"/>
          <w:sz w:val="18"/>
          <w:szCs w:val="18"/>
          <w:lang w:val="en-US"/>
        </w:rPr>
        <w:t xml:space="preserve">which are </w:t>
      </w:r>
      <w:r w:rsidRPr="00F14EEE" w:rsidR="00B60444">
        <w:rPr>
          <w:rFonts w:ascii="Verdana" w:hAnsi="Verdana"/>
          <w:sz w:val="18"/>
          <w:szCs w:val="18"/>
          <w:lang w:val="en-US"/>
        </w:rPr>
        <w:t>important</w:t>
      </w:r>
      <w:r w:rsidRPr="00F14EEE" w:rsidR="001C03CB">
        <w:rPr>
          <w:rFonts w:ascii="Verdana" w:hAnsi="Verdana"/>
          <w:sz w:val="18"/>
          <w:szCs w:val="18"/>
          <w:lang w:val="en-US"/>
        </w:rPr>
        <w:t xml:space="preserve"> for safeguarding a level playing field and a healthy internal market.</w:t>
      </w:r>
      <w:r w:rsidRPr="00F14EEE" w:rsidR="00993D6B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E40FCF">
        <w:rPr>
          <w:rFonts w:ascii="Verdana" w:hAnsi="Verdana"/>
          <w:sz w:val="18"/>
          <w:szCs w:val="18"/>
          <w:lang w:val="en-US"/>
        </w:rPr>
        <w:t xml:space="preserve">But </w:t>
      </w:r>
      <w:r w:rsidRPr="00F14EEE" w:rsidR="00E40FCF">
        <w:rPr>
          <w:rFonts w:ascii="Verdana" w:hAnsi="Verdana"/>
          <w:sz w:val="18"/>
          <w:szCs w:val="18"/>
        </w:rPr>
        <w:t xml:space="preserve">the regulatory burden in Europe is increasing, to the </w:t>
      </w:r>
      <w:r w:rsidRPr="00F14EEE" w:rsidR="00E40FCF">
        <w:rPr>
          <w:rFonts w:ascii="Verdana" w:hAnsi="Verdana"/>
          <w:sz w:val="18"/>
          <w:szCs w:val="18"/>
          <w:lang w:val="en-US"/>
        </w:rPr>
        <w:t>detriment</w:t>
      </w:r>
      <w:r w:rsidRPr="00F14EEE" w:rsidR="00E40FCF">
        <w:rPr>
          <w:rFonts w:ascii="Verdana" w:hAnsi="Verdana"/>
          <w:sz w:val="18"/>
          <w:szCs w:val="18"/>
        </w:rPr>
        <w:t xml:space="preserve"> of our competitiveness</w:t>
      </w:r>
      <w:r w:rsidRPr="00F14EEE" w:rsidR="00E40FCF">
        <w:rPr>
          <w:rFonts w:ascii="Verdana" w:hAnsi="Verdana"/>
          <w:sz w:val="18"/>
          <w:szCs w:val="18"/>
          <w:lang w:val="en-US"/>
        </w:rPr>
        <w:t>, as the costs of regulations as well as their consistency and coordination are not adequately considered when presented by the Commission.</w:t>
      </w:r>
    </w:p>
    <w:p w:rsidRPr="009233B9" w:rsidR="00A54A1D" w:rsidP="004F086C" w:rsidRDefault="007B56F4" w14:paraId="28055D2B" w14:textId="77777777">
      <w:p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 xml:space="preserve">This </w:t>
      </w:r>
      <w:r w:rsidRPr="009233B9" w:rsidR="006A66C2">
        <w:rPr>
          <w:rFonts w:ascii="Verdana" w:hAnsi="Verdana"/>
          <w:sz w:val="18"/>
          <w:szCs w:val="18"/>
          <w:lang w:val="en-US"/>
        </w:rPr>
        <w:t>two</w:t>
      </w:r>
      <w:r w:rsidRPr="009233B9">
        <w:rPr>
          <w:rFonts w:ascii="Verdana" w:hAnsi="Verdana"/>
          <w:sz w:val="18"/>
          <w:szCs w:val="18"/>
          <w:lang w:val="en-US"/>
        </w:rPr>
        <w:t xml:space="preserve"> pager builds on the existing better regulation agenda and proposes pathways to </w:t>
      </w:r>
      <w:r w:rsidRPr="009233B9" w:rsidR="002410FD">
        <w:rPr>
          <w:rFonts w:ascii="Verdana" w:hAnsi="Verdana"/>
          <w:sz w:val="18"/>
          <w:szCs w:val="18"/>
          <w:lang w:val="en-US"/>
        </w:rPr>
        <w:t xml:space="preserve">further </w:t>
      </w:r>
      <w:r w:rsidRPr="009233B9">
        <w:rPr>
          <w:rFonts w:ascii="Verdana" w:hAnsi="Verdana"/>
          <w:sz w:val="18"/>
          <w:szCs w:val="18"/>
          <w:lang w:val="en-US"/>
        </w:rPr>
        <w:t xml:space="preserve">enhance </w:t>
      </w:r>
      <w:r w:rsidRPr="009233B9" w:rsidR="00B60444">
        <w:rPr>
          <w:rFonts w:ascii="Verdana" w:hAnsi="Verdana"/>
          <w:sz w:val="18"/>
          <w:szCs w:val="18"/>
          <w:lang w:val="en-US"/>
        </w:rPr>
        <w:t xml:space="preserve">the ability of our national authorities, local governments and businesses to effectively implement and execute EU legislation. </w:t>
      </w:r>
      <w:r w:rsidRPr="009233B9" w:rsidR="00A54A1D">
        <w:rPr>
          <w:rFonts w:ascii="Verdana" w:hAnsi="Verdana"/>
          <w:sz w:val="18"/>
          <w:szCs w:val="18"/>
          <w:lang w:val="en-US"/>
        </w:rPr>
        <w:t>We propose two areas of improvement to this agenda.</w:t>
      </w:r>
    </w:p>
    <w:p w:rsidRPr="009233B9" w:rsidR="00F352AA" w:rsidP="004F086C" w:rsidRDefault="00B93851" w14:paraId="70D3EFD1" w14:textId="7777777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b/>
          <w:bCs/>
          <w:sz w:val="18"/>
          <w:szCs w:val="18"/>
          <w:lang w:val="en-US"/>
        </w:rPr>
        <w:t>Increase insight into the impact of EU legislation to enhance effective implementation</w:t>
      </w:r>
      <w:r w:rsidRPr="009233B9" w:rsidR="000E023B">
        <w:rPr>
          <w:rFonts w:ascii="Verdana" w:hAnsi="Verdana"/>
          <w:b/>
          <w:bCs/>
          <w:sz w:val="18"/>
          <w:szCs w:val="18"/>
          <w:lang w:val="en-US"/>
        </w:rPr>
        <w:t xml:space="preserve"> and execution</w:t>
      </w:r>
    </w:p>
    <w:p w:rsidRPr="009233B9" w:rsidR="00B93851" w:rsidP="004F086C" w:rsidRDefault="00B93851" w14:paraId="0DA423C8" w14:textId="77777777">
      <w:p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>To ensure that EU legislation can be successfully implemented, we need to assess beforehand which impact it will have. In order to improve the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Commission’s</w:t>
      </w:r>
      <w:r w:rsidRPr="009233B9">
        <w:rPr>
          <w:rFonts w:ascii="Verdana" w:hAnsi="Verdana"/>
          <w:sz w:val="18"/>
          <w:szCs w:val="18"/>
          <w:lang w:val="en-US"/>
        </w:rPr>
        <w:t xml:space="preserve"> impact assessment</w:t>
      </w:r>
      <w:r w:rsidRPr="009233B9" w:rsidR="00784724">
        <w:rPr>
          <w:rFonts w:ascii="Verdana" w:hAnsi="Verdana"/>
          <w:sz w:val="18"/>
          <w:szCs w:val="18"/>
          <w:lang w:val="en-US"/>
        </w:rPr>
        <w:t>s,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</w:t>
      </w:r>
      <w:r w:rsidRPr="009233B9">
        <w:rPr>
          <w:rFonts w:ascii="Verdana" w:hAnsi="Verdana"/>
          <w:sz w:val="18"/>
          <w:szCs w:val="18"/>
          <w:lang w:val="en-US"/>
        </w:rPr>
        <w:t xml:space="preserve">we </w:t>
      </w:r>
      <w:r w:rsidRPr="009233B9" w:rsidR="003C1449">
        <w:rPr>
          <w:rFonts w:ascii="Verdana" w:hAnsi="Verdana"/>
          <w:sz w:val="18"/>
          <w:szCs w:val="18"/>
          <w:lang w:val="en-US"/>
        </w:rPr>
        <w:t>stress the need for the following</w:t>
      </w:r>
      <w:r w:rsidRPr="009233B9">
        <w:rPr>
          <w:rFonts w:ascii="Verdana" w:hAnsi="Verdana"/>
          <w:sz w:val="18"/>
          <w:szCs w:val="18"/>
          <w:lang w:val="en-US"/>
        </w:rPr>
        <w:t>:</w:t>
      </w:r>
    </w:p>
    <w:p w:rsidRPr="00F14EEE" w:rsidR="00D564BB" w:rsidP="00D311F2" w:rsidRDefault="00F352AA" w14:paraId="6CFD770F" w14:textId="287F20D1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-US"/>
        </w:rPr>
      </w:pPr>
      <w:r w:rsidRPr="00F14EEE">
        <w:rPr>
          <w:rFonts w:ascii="Verdana" w:hAnsi="Verdana"/>
          <w:sz w:val="18"/>
          <w:lang w:val="en-US"/>
        </w:rPr>
        <w:t>C</w:t>
      </w:r>
      <w:r w:rsidRPr="00F14EEE" w:rsidR="00B93851">
        <w:rPr>
          <w:rFonts w:ascii="Verdana" w:hAnsi="Verdana"/>
          <w:sz w:val="18"/>
          <w:lang w:val="en-US"/>
        </w:rPr>
        <w:t xml:space="preserve">onduct </w:t>
      </w:r>
      <w:r w:rsidRPr="00F14EEE" w:rsidR="00126272">
        <w:rPr>
          <w:rFonts w:ascii="Verdana" w:hAnsi="Verdana"/>
          <w:sz w:val="18"/>
          <w:szCs w:val="18"/>
          <w:lang w:val="en-US"/>
        </w:rPr>
        <w:t xml:space="preserve">ex ante cross-sectoral </w:t>
      </w:r>
      <w:r w:rsidRPr="00F14EEE" w:rsidR="00B93851">
        <w:rPr>
          <w:rFonts w:ascii="Verdana" w:hAnsi="Verdana"/>
          <w:b/>
          <w:bCs/>
          <w:sz w:val="18"/>
          <w:szCs w:val="18"/>
          <w:lang w:val="en-US"/>
        </w:rPr>
        <w:t>impact assessments</w:t>
      </w:r>
      <w:r w:rsidRPr="00051099" w:rsidR="00B93851">
        <w:rPr>
          <w:rFonts w:ascii="Verdana" w:hAnsi="Verdana"/>
          <w:sz w:val="18"/>
          <w:szCs w:val="18"/>
          <w:lang w:val="en-US"/>
        </w:rPr>
        <w:t xml:space="preserve"> </w:t>
      </w:r>
      <w:r w:rsidRPr="00051099" w:rsidR="003C1449">
        <w:rPr>
          <w:rFonts w:ascii="Verdana" w:hAnsi="Verdana"/>
          <w:sz w:val="18"/>
          <w:szCs w:val="18"/>
          <w:lang w:val="en-US"/>
        </w:rPr>
        <w:t xml:space="preserve">in a </w:t>
      </w:r>
      <w:r w:rsidRPr="00B02762" w:rsidR="003C1449">
        <w:rPr>
          <w:rFonts w:ascii="Verdana" w:hAnsi="Verdana"/>
          <w:b/>
          <w:bCs/>
          <w:sz w:val="18"/>
          <w:szCs w:val="18"/>
          <w:lang w:val="en-US"/>
        </w:rPr>
        <w:t>timely</w:t>
      </w:r>
      <w:r w:rsidRPr="00051099" w:rsidR="003C1449">
        <w:rPr>
          <w:rFonts w:ascii="Verdana" w:hAnsi="Verdana"/>
          <w:sz w:val="18"/>
          <w:szCs w:val="18"/>
          <w:lang w:val="en-US"/>
        </w:rPr>
        <w:t xml:space="preserve"> and </w:t>
      </w:r>
      <w:r w:rsidRPr="00B02762" w:rsidR="003C1449">
        <w:rPr>
          <w:rFonts w:ascii="Verdana" w:hAnsi="Verdana"/>
          <w:b/>
          <w:bCs/>
          <w:sz w:val="18"/>
          <w:szCs w:val="18"/>
          <w:lang w:val="en-US"/>
        </w:rPr>
        <w:t>consistent</w:t>
      </w:r>
      <w:r w:rsidRPr="00051099" w:rsidR="003C1449">
        <w:rPr>
          <w:rFonts w:ascii="Verdana" w:hAnsi="Verdana"/>
          <w:sz w:val="18"/>
          <w:szCs w:val="18"/>
          <w:lang w:val="en-US"/>
        </w:rPr>
        <w:t xml:space="preserve"> manner </w:t>
      </w:r>
      <w:r w:rsidRPr="00051099" w:rsidR="00B93851">
        <w:rPr>
          <w:rFonts w:ascii="Verdana" w:hAnsi="Verdana"/>
          <w:sz w:val="18"/>
          <w:szCs w:val="18"/>
          <w:lang w:val="en-US"/>
        </w:rPr>
        <w:t>for proposed</w:t>
      </w:r>
      <w:r w:rsidRPr="00051099" w:rsidR="003C1449">
        <w:rPr>
          <w:rFonts w:ascii="Verdana" w:hAnsi="Verdana"/>
          <w:sz w:val="18"/>
          <w:szCs w:val="18"/>
          <w:lang w:val="en-US"/>
        </w:rPr>
        <w:t xml:space="preserve"> EU</w:t>
      </w:r>
      <w:r w:rsidRPr="00051099" w:rsidR="00B93851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B93851">
        <w:rPr>
          <w:rFonts w:ascii="Verdana" w:hAnsi="Verdana"/>
          <w:sz w:val="18"/>
          <w:szCs w:val="18"/>
          <w:lang w:val="en-US"/>
        </w:rPr>
        <w:t>legislation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, including 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for 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non-legislative acts </w:t>
      </w:r>
      <w:r w:rsidRPr="00F14EEE" w:rsidR="00EC1658">
        <w:rPr>
          <w:rFonts w:ascii="Verdana" w:hAnsi="Verdana"/>
          <w:sz w:val="18"/>
          <w:szCs w:val="18"/>
          <w:lang w:val="en-US"/>
        </w:rPr>
        <w:t>where appropriate</w:t>
      </w:r>
      <w:r w:rsidRPr="00F14EEE" w:rsidR="002B3EC8">
        <w:rPr>
          <w:rFonts w:ascii="Verdana" w:hAnsi="Verdana"/>
          <w:sz w:val="18"/>
          <w:szCs w:val="18"/>
          <w:lang w:val="en-US"/>
        </w:rPr>
        <w:t>,</w:t>
      </w:r>
      <w:r w:rsidRPr="00F14EEE" w:rsidR="00784724">
        <w:rPr>
          <w:rFonts w:ascii="Verdana" w:hAnsi="Verdana"/>
          <w:sz w:val="18"/>
          <w:szCs w:val="18"/>
          <w:lang w:val="en-US"/>
        </w:rPr>
        <w:t xml:space="preserve"> and 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for </w:t>
      </w:r>
      <w:r w:rsidRPr="00F14EEE" w:rsidR="00784724">
        <w:rPr>
          <w:rFonts w:ascii="Verdana" w:hAnsi="Verdana"/>
          <w:sz w:val="18"/>
          <w:szCs w:val="18"/>
          <w:lang w:val="en-US"/>
        </w:rPr>
        <w:t>policy plans</w:t>
      </w:r>
      <w:r w:rsidRPr="00051099" w:rsidR="00D14F97">
        <w:rPr>
          <w:rFonts w:ascii="Verdana" w:hAnsi="Verdana"/>
          <w:sz w:val="18"/>
          <w:szCs w:val="18"/>
          <w:lang w:val="en-US"/>
        </w:rPr>
        <w:t xml:space="preserve"> with envisaged substantial or legislative consequences</w:t>
      </w:r>
      <w:r w:rsidRPr="00D311F2" w:rsidR="003C1449">
        <w:rPr>
          <w:rStyle w:val="CommentReference"/>
          <w:lang w:val="en-US"/>
        </w:rPr>
        <w:t>.</w:t>
      </w:r>
      <w:r w:rsidRPr="00051099" w:rsidR="00B93851">
        <w:rPr>
          <w:rFonts w:ascii="Verdana" w:hAnsi="Verdana"/>
          <w:sz w:val="18"/>
          <w:szCs w:val="18"/>
          <w:lang w:val="en-US"/>
        </w:rPr>
        <w:t xml:space="preserve"> </w:t>
      </w:r>
      <w:r w:rsidRPr="00051099" w:rsidR="00D966D2">
        <w:rPr>
          <w:rFonts w:ascii="Verdana" w:hAnsi="Verdana"/>
          <w:sz w:val="18"/>
          <w:szCs w:val="18"/>
          <w:lang w:val="en-US"/>
        </w:rPr>
        <w:t xml:space="preserve">Integral impact assessments are often lacking where </w:t>
      </w:r>
      <w:r w:rsidRPr="00051099" w:rsidR="006A66C2">
        <w:rPr>
          <w:rFonts w:ascii="Verdana" w:hAnsi="Verdana"/>
          <w:sz w:val="18"/>
          <w:szCs w:val="18"/>
          <w:lang w:val="en-US"/>
        </w:rPr>
        <w:t xml:space="preserve">they should have been conducted. </w:t>
      </w:r>
      <w:r w:rsidRPr="00051099" w:rsidR="00661A03">
        <w:rPr>
          <w:rFonts w:ascii="Verdana" w:hAnsi="Verdana"/>
          <w:sz w:val="18"/>
          <w:szCs w:val="18"/>
          <w:lang w:val="en-US"/>
        </w:rPr>
        <w:t xml:space="preserve">When crises require swift action, an impact should still be assessed to the best extent </w:t>
      </w:r>
      <w:r w:rsidRPr="00F14EEE" w:rsidR="00661A03">
        <w:rPr>
          <w:rFonts w:ascii="Verdana" w:hAnsi="Verdana"/>
          <w:sz w:val="18"/>
          <w:szCs w:val="18"/>
          <w:lang w:val="en-US"/>
        </w:rPr>
        <w:t xml:space="preserve">possible and a full 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ex post </w:t>
      </w:r>
      <w:r w:rsidRPr="00F14EEE" w:rsidR="00661A03">
        <w:rPr>
          <w:rFonts w:ascii="Verdana" w:hAnsi="Verdana"/>
          <w:sz w:val="18"/>
          <w:szCs w:val="18"/>
          <w:lang w:val="en-US"/>
        </w:rPr>
        <w:t>assessment</w:t>
      </w:r>
      <w:r w:rsidRPr="00051099" w:rsidR="00661A03">
        <w:rPr>
          <w:rFonts w:ascii="Verdana" w:hAnsi="Verdana"/>
          <w:sz w:val="18"/>
          <w:szCs w:val="18"/>
          <w:lang w:val="en-US"/>
        </w:rPr>
        <w:t xml:space="preserve"> should be </w:t>
      </w:r>
      <w:r w:rsidRPr="00F14EEE" w:rsidR="00661A03">
        <w:rPr>
          <w:rFonts w:ascii="Verdana" w:hAnsi="Verdana"/>
          <w:sz w:val="18"/>
          <w:szCs w:val="18"/>
          <w:lang w:val="en-US"/>
        </w:rPr>
        <w:t>undertaken as soon as possible.</w:t>
      </w:r>
    </w:p>
    <w:p w:rsidRPr="00F14EEE" w:rsidR="009F7639" w:rsidP="009F7639" w:rsidRDefault="0012360D" w14:paraId="52CD7E9F" w14:textId="1AC7BA6D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-US"/>
        </w:rPr>
      </w:pPr>
      <w:r w:rsidRPr="00F14EEE">
        <w:rPr>
          <w:rFonts w:ascii="Verdana" w:hAnsi="Verdana"/>
          <w:sz w:val="18"/>
          <w:szCs w:val="18"/>
          <w:lang w:val="en-US"/>
        </w:rPr>
        <w:t>Updat</w:t>
      </w:r>
      <w:r w:rsidRPr="00F14EEE" w:rsidR="00EF17F8">
        <w:rPr>
          <w:rFonts w:ascii="Verdana" w:hAnsi="Verdana"/>
          <w:sz w:val="18"/>
          <w:szCs w:val="18"/>
          <w:lang w:val="en-US"/>
        </w:rPr>
        <w:t>e</w:t>
      </w:r>
      <w:r w:rsidRPr="00F14EEE">
        <w:rPr>
          <w:rFonts w:ascii="Verdana" w:hAnsi="Verdana"/>
          <w:sz w:val="18"/>
          <w:szCs w:val="18"/>
          <w:lang w:val="en-US"/>
        </w:rPr>
        <w:t xml:space="preserve"> t</w:t>
      </w:r>
      <w:r w:rsidRPr="00F14EEE" w:rsidR="009F7639">
        <w:rPr>
          <w:rFonts w:ascii="Verdana" w:hAnsi="Verdana"/>
          <w:sz w:val="18"/>
          <w:szCs w:val="18"/>
          <w:lang w:val="en-US"/>
        </w:rPr>
        <w:t>he guidelines on Better Regulation</w:t>
      </w:r>
      <w:r w:rsidRPr="00F14EEE">
        <w:rPr>
          <w:rFonts w:ascii="Verdana" w:hAnsi="Verdana"/>
          <w:sz w:val="18"/>
          <w:szCs w:val="18"/>
          <w:lang w:val="en-US"/>
        </w:rPr>
        <w:t>,</w:t>
      </w:r>
      <w:r w:rsidRPr="00F14EEE" w:rsidR="009F7639">
        <w:rPr>
          <w:rFonts w:ascii="Verdana" w:hAnsi="Verdana"/>
          <w:sz w:val="18"/>
          <w:szCs w:val="18"/>
          <w:lang w:val="en-US"/>
        </w:rPr>
        <w:t xml:space="preserve"> requiring impact assessments to contain information on </w:t>
      </w:r>
      <w:r w:rsidRPr="00F14EEE" w:rsidR="009F7639">
        <w:rPr>
          <w:rFonts w:ascii="Verdana" w:hAnsi="Verdana"/>
          <w:b/>
          <w:sz w:val="18"/>
          <w:szCs w:val="18"/>
          <w:lang w:val="en-US"/>
        </w:rPr>
        <w:t>economic consequences at Member State level</w:t>
      </w:r>
      <w:r w:rsidRPr="00F14EEE" w:rsidR="009F7639">
        <w:rPr>
          <w:rFonts w:ascii="Verdana" w:hAnsi="Verdana"/>
          <w:sz w:val="18"/>
          <w:szCs w:val="18"/>
          <w:lang w:val="en-US"/>
        </w:rPr>
        <w:t>. This includes impacts on national budgets and businesses</w:t>
      </w:r>
      <w:r w:rsidRPr="00F14EEE">
        <w:rPr>
          <w:rFonts w:ascii="Verdana" w:hAnsi="Verdana"/>
          <w:sz w:val="18"/>
          <w:szCs w:val="18"/>
          <w:lang w:val="en-US"/>
        </w:rPr>
        <w:t>,</w:t>
      </w:r>
      <w:r w:rsidRPr="00F14EEE" w:rsidR="009F7639">
        <w:rPr>
          <w:rFonts w:ascii="Verdana" w:hAnsi="Verdana"/>
          <w:sz w:val="18"/>
          <w:szCs w:val="18"/>
          <w:lang w:val="en-US"/>
        </w:rPr>
        <w:t xml:space="preserve"> in order to address Member</w:t>
      </w:r>
      <w:r w:rsidRP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9F7639">
        <w:rPr>
          <w:rFonts w:ascii="Verdana" w:hAnsi="Verdana"/>
          <w:sz w:val="18"/>
          <w:szCs w:val="18"/>
          <w:lang w:val="en-US"/>
        </w:rPr>
        <w:t>State</w:t>
      </w:r>
      <w:r w:rsidRPr="00F14EEE">
        <w:rPr>
          <w:rFonts w:ascii="Verdana" w:hAnsi="Verdana"/>
          <w:sz w:val="18"/>
          <w:szCs w:val="18"/>
          <w:lang w:val="en-US"/>
        </w:rPr>
        <w:t>-</w:t>
      </w:r>
      <w:r w:rsidRPr="00F14EEE" w:rsidR="009F7639">
        <w:rPr>
          <w:rFonts w:ascii="Verdana" w:hAnsi="Verdana"/>
          <w:sz w:val="18"/>
          <w:szCs w:val="18"/>
          <w:lang w:val="en-US"/>
        </w:rPr>
        <w:t>specific challenges from the outset, reducing the likelihood of delays and cost overruns.</w:t>
      </w:r>
    </w:p>
    <w:p w:rsidRPr="00F14EEE" w:rsidR="002B3EC8" w:rsidP="009F7639" w:rsidRDefault="00EF17F8" w14:paraId="307F837D" w14:textId="2450F5D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-US"/>
        </w:rPr>
      </w:pPr>
      <w:r w:rsidRPr="00F14EEE">
        <w:rPr>
          <w:rFonts w:ascii="Verdana" w:hAnsi="Verdana"/>
          <w:sz w:val="18"/>
          <w:szCs w:val="18"/>
          <w:lang w:val="en-US"/>
        </w:rPr>
        <w:t xml:space="preserve">Present 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methodology behind the calculation of impact assessments to allow for </w:t>
      </w:r>
      <w:r w:rsidRPr="00F14EEE" w:rsidR="0012360D">
        <w:rPr>
          <w:rFonts w:ascii="Verdana" w:hAnsi="Verdana"/>
          <w:sz w:val="18"/>
          <w:szCs w:val="18"/>
          <w:lang w:val="en-US"/>
        </w:rPr>
        <w:t>M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ember </w:t>
      </w:r>
      <w:r w:rsidRPr="00F14EEE" w:rsidR="0012360D">
        <w:rPr>
          <w:rFonts w:ascii="Verdana" w:hAnsi="Verdana"/>
          <w:sz w:val="18"/>
          <w:szCs w:val="18"/>
          <w:lang w:val="en-US"/>
        </w:rPr>
        <w:t>S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tate verification and 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for 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national assessments.  </w:t>
      </w:r>
    </w:p>
    <w:p w:rsidRPr="00F14EEE" w:rsidR="00323E85" w:rsidP="00323E85" w:rsidRDefault="00323E85" w14:paraId="26E41134" w14:textId="1D27B85C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Verdana" w:hAnsi="Verdana"/>
          <w:sz w:val="18"/>
          <w:szCs w:val="18"/>
          <w:lang w:val="en-US"/>
        </w:rPr>
      </w:pPr>
      <w:r w:rsidRPr="00F14EEE">
        <w:rPr>
          <w:rFonts w:ascii="Verdana" w:hAnsi="Verdana"/>
          <w:sz w:val="18"/>
          <w:szCs w:val="18"/>
          <w:lang w:val="en-US"/>
        </w:rPr>
        <w:t xml:space="preserve">Look into </w:t>
      </w:r>
      <w:r w:rsidRPr="00F14EEE">
        <w:rPr>
          <w:rFonts w:ascii="Verdana" w:hAnsi="Verdana"/>
          <w:b/>
          <w:sz w:val="18"/>
          <w:szCs w:val="18"/>
          <w:lang w:val="en-US"/>
        </w:rPr>
        <w:t>dynamic impact assessment mechanisms</w:t>
      </w:r>
      <w:r w:rsidRP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274755">
        <w:rPr>
          <w:rFonts w:ascii="Verdana" w:hAnsi="Verdana"/>
          <w:sz w:val="18"/>
          <w:szCs w:val="18"/>
          <w:lang w:val="en-US"/>
        </w:rPr>
        <w:t xml:space="preserve">with the co-legislators </w:t>
      </w:r>
      <w:r w:rsidRPr="00F14EEE">
        <w:rPr>
          <w:rFonts w:ascii="Verdana" w:hAnsi="Verdana"/>
          <w:sz w:val="18"/>
          <w:szCs w:val="18"/>
          <w:lang w:val="en-US"/>
        </w:rPr>
        <w:t>so that impact assessments can be re-evaluated during the EU legislative process.</w:t>
      </w:r>
    </w:p>
    <w:p w:rsidRPr="00F14EEE" w:rsidR="00323E85" w:rsidP="004F086C" w:rsidRDefault="00323E85" w14:paraId="1674B39D" w14:textId="46BC24FB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Verdana" w:hAnsi="Verdana"/>
          <w:sz w:val="18"/>
          <w:szCs w:val="18"/>
          <w:lang w:val="en-US"/>
        </w:rPr>
      </w:pPr>
      <w:bookmarkStart w:name="_Hlk168558018" w:id="0"/>
      <w:r w:rsidRPr="00F14EEE">
        <w:rPr>
          <w:rFonts w:ascii="Verdana" w:hAnsi="Verdana"/>
          <w:sz w:val="18"/>
          <w:szCs w:val="18"/>
          <w:lang w:val="en-US"/>
        </w:rPr>
        <w:t>Ensur</w:t>
      </w:r>
      <w:r w:rsidRPr="00F14EEE" w:rsidR="00EF17F8">
        <w:rPr>
          <w:rFonts w:ascii="Verdana" w:hAnsi="Verdana"/>
          <w:sz w:val="18"/>
          <w:szCs w:val="18"/>
          <w:lang w:val="en-US"/>
        </w:rPr>
        <w:t>e</w:t>
      </w:r>
      <w:r w:rsidRPr="00F14EEE">
        <w:rPr>
          <w:rFonts w:ascii="Verdana" w:hAnsi="Verdana"/>
          <w:sz w:val="18"/>
          <w:szCs w:val="18"/>
          <w:lang w:val="en-US"/>
        </w:rPr>
        <w:t xml:space="preserve"> political ownership</w:t>
      </w:r>
      <w:r w:rsidRPr="00F14EEE" w:rsidR="00EC1658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12360D">
        <w:rPr>
          <w:rFonts w:ascii="Verdana" w:hAnsi="Verdana"/>
          <w:sz w:val="18"/>
          <w:szCs w:val="18"/>
          <w:lang w:val="en-US"/>
        </w:rPr>
        <w:t>by</w:t>
      </w:r>
      <w:r w:rsidRP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45087F">
        <w:rPr>
          <w:rFonts w:ascii="Verdana" w:hAnsi="Verdana"/>
          <w:sz w:val="18"/>
          <w:szCs w:val="18"/>
          <w:lang w:val="en-US"/>
        </w:rPr>
        <w:t>having</w:t>
      </w:r>
      <w:r w:rsidRPr="00F14EEE" w:rsidR="009F7639">
        <w:rPr>
          <w:rFonts w:ascii="Verdana" w:hAnsi="Verdana"/>
          <w:sz w:val="18"/>
          <w:szCs w:val="18"/>
          <w:lang w:val="en-US"/>
        </w:rPr>
        <w:t xml:space="preserve"> a</w:t>
      </w:r>
      <w:r w:rsidRPr="00F14EEE" w:rsidR="002B3EC8">
        <w:rPr>
          <w:rFonts w:ascii="Verdana" w:hAnsi="Verdana"/>
          <w:sz w:val="18"/>
          <w:szCs w:val="18"/>
          <w:lang w:val="en-US"/>
        </w:rPr>
        <w:t>n</w:t>
      </w:r>
      <w:r w:rsidRPr="00F14EEE" w:rsidR="009F7639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2B3EC8">
        <w:rPr>
          <w:rFonts w:ascii="Verdana" w:hAnsi="Verdana"/>
          <w:sz w:val="18"/>
          <w:szCs w:val="18"/>
          <w:lang w:val="en-US"/>
        </w:rPr>
        <w:t xml:space="preserve">Executive Vice-President </w:t>
      </w:r>
      <w:r w:rsidRPr="00F14EEE" w:rsidR="00EC1658">
        <w:rPr>
          <w:rFonts w:ascii="Verdana" w:hAnsi="Verdana"/>
          <w:sz w:val="18"/>
          <w:szCs w:val="18"/>
          <w:lang w:val="en-US"/>
        </w:rPr>
        <w:t xml:space="preserve">with the </w:t>
      </w:r>
      <w:r w:rsidRPr="00F14EEE" w:rsidR="00E5391F">
        <w:rPr>
          <w:rFonts w:ascii="Verdana" w:hAnsi="Verdana"/>
          <w:b/>
          <w:sz w:val="18"/>
          <w:szCs w:val="18"/>
          <w:lang w:val="en-US"/>
        </w:rPr>
        <w:t>Better Regulation</w:t>
      </w:r>
      <w:r w:rsidRPr="00F14EEE" w:rsidR="00EC1658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14EEE" w:rsidR="00EC1658">
        <w:rPr>
          <w:rFonts w:ascii="Verdana" w:hAnsi="Verdana"/>
          <w:bCs/>
          <w:sz w:val="18"/>
          <w:szCs w:val="18"/>
          <w:lang w:val="en-US"/>
        </w:rPr>
        <w:t xml:space="preserve">agenda as </w:t>
      </w:r>
      <w:r w:rsidRPr="00F14EEE" w:rsidR="0012360D">
        <w:rPr>
          <w:rFonts w:ascii="Verdana" w:hAnsi="Verdana"/>
          <w:bCs/>
          <w:sz w:val="18"/>
          <w:szCs w:val="18"/>
          <w:lang w:val="en-US"/>
        </w:rPr>
        <w:t xml:space="preserve">one of </w:t>
      </w:r>
      <w:r w:rsidRPr="00F14EEE" w:rsidR="00EC1658">
        <w:rPr>
          <w:rFonts w:ascii="Verdana" w:hAnsi="Verdana"/>
          <w:bCs/>
          <w:sz w:val="18"/>
          <w:szCs w:val="18"/>
          <w:lang w:val="en-US"/>
        </w:rPr>
        <w:t>its core task</w:t>
      </w:r>
      <w:r w:rsidRPr="00F14EEE" w:rsidR="0012360D">
        <w:rPr>
          <w:rFonts w:ascii="Verdana" w:hAnsi="Verdana"/>
          <w:bCs/>
          <w:sz w:val="18"/>
          <w:szCs w:val="18"/>
          <w:lang w:val="en-US"/>
        </w:rPr>
        <w:t>s</w:t>
      </w:r>
      <w:r w:rsidRPr="00F14EEE" w:rsidR="00E5391F">
        <w:rPr>
          <w:rFonts w:ascii="Verdana" w:hAnsi="Verdana"/>
          <w:b/>
          <w:sz w:val="18"/>
          <w:szCs w:val="18"/>
          <w:lang w:val="en-US"/>
        </w:rPr>
        <w:t xml:space="preserve">, </w:t>
      </w:r>
      <w:r w:rsidRPr="00F14EEE" w:rsidR="009E574A">
        <w:rPr>
          <w:rFonts w:ascii="Verdana" w:hAnsi="Verdana"/>
          <w:b/>
          <w:sz w:val="18"/>
          <w:szCs w:val="18"/>
          <w:lang w:val="en-US"/>
        </w:rPr>
        <w:t xml:space="preserve">including </w:t>
      </w:r>
      <w:r w:rsidRPr="00F14EEE" w:rsidR="009F7639">
        <w:rPr>
          <w:rFonts w:ascii="Verdana" w:hAnsi="Verdana"/>
          <w:b/>
          <w:sz w:val="18"/>
          <w:szCs w:val="18"/>
          <w:lang w:val="en-US"/>
        </w:rPr>
        <w:t>impact assessments and</w:t>
      </w:r>
      <w:r w:rsidRPr="00F14EEE">
        <w:rPr>
          <w:rFonts w:ascii="Verdana" w:hAnsi="Verdana"/>
          <w:b/>
          <w:sz w:val="18"/>
          <w:szCs w:val="18"/>
          <w:lang w:val="en-US"/>
        </w:rPr>
        <w:t xml:space="preserve"> the implementation</w:t>
      </w:r>
      <w:r w:rsidRPr="00F14EEE">
        <w:rPr>
          <w:rFonts w:ascii="Verdana" w:hAnsi="Verdana"/>
          <w:sz w:val="18"/>
          <w:szCs w:val="18"/>
          <w:lang w:val="en-US"/>
        </w:rPr>
        <w:t xml:space="preserve"> of EU legislation.</w:t>
      </w:r>
    </w:p>
    <w:bookmarkEnd w:id="0"/>
    <w:p w:rsidRPr="009233B9" w:rsidR="00F352AA" w:rsidP="004F086C" w:rsidRDefault="00661A03" w14:paraId="161B3899" w14:textId="5820584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>Use relevant instruments</w:t>
      </w:r>
      <w:r w:rsidRPr="009233B9" w:rsidR="00774357">
        <w:rPr>
          <w:rFonts w:ascii="Verdana" w:hAnsi="Verdana"/>
          <w:sz w:val="18"/>
          <w:szCs w:val="18"/>
          <w:lang w:val="en-US"/>
        </w:rPr>
        <w:t xml:space="preserve"> </w:t>
      </w:r>
      <w:r w:rsidRPr="009233B9">
        <w:rPr>
          <w:rFonts w:ascii="Verdana" w:hAnsi="Verdana"/>
          <w:sz w:val="18"/>
          <w:szCs w:val="18"/>
          <w:lang w:val="en-US"/>
        </w:rPr>
        <w:t xml:space="preserve">available in the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better regulation</w:t>
      </w:r>
      <w:r w:rsidRPr="009233B9">
        <w:rPr>
          <w:rFonts w:ascii="Verdana" w:hAnsi="Verdana"/>
          <w:sz w:val="18"/>
          <w:szCs w:val="18"/>
          <w:lang w:val="en-US"/>
        </w:rPr>
        <w:t xml:space="preserve">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toolbox</w:t>
      </w:r>
      <w:r w:rsidRPr="009233B9">
        <w:rPr>
          <w:rFonts w:ascii="Verdana" w:hAnsi="Verdana"/>
          <w:sz w:val="18"/>
          <w:szCs w:val="18"/>
          <w:lang w:val="en-US"/>
        </w:rPr>
        <w:t xml:space="preserve"> when conducting impact </w:t>
      </w:r>
      <w:r w:rsidRPr="00F14EEE">
        <w:rPr>
          <w:rFonts w:ascii="Verdana" w:hAnsi="Verdana"/>
          <w:sz w:val="18"/>
          <w:szCs w:val="18"/>
          <w:lang w:val="en-US"/>
        </w:rPr>
        <w:t>assessments</w:t>
      </w:r>
      <w:r w:rsidRPr="00F14EEE" w:rsidR="00211D6E">
        <w:rPr>
          <w:rFonts w:ascii="Verdana" w:hAnsi="Verdana"/>
          <w:sz w:val="18"/>
          <w:szCs w:val="18"/>
          <w:lang w:val="en-US"/>
        </w:rPr>
        <w:t>, and update the toolbox where needed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, </w:t>
      </w:r>
      <w:r w:rsidRPr="00F14EEE" w:rsidR="00126272">
        <w:rPr>
          <w:rFonts w:ascii="Verdana" w:hAnsi="Verdana"/>
          <w:sz w:val="18"/>
          <w:szCs w:val="18"/>
          <w:lang w:val="en-US"/>
        </w:rPr>
        <w:t>for example to take account of emerging technologies such as AI</w:t>
      </w:r>
      <w:r w:rsidRPr="00F14EEE">
        <w:rPr>
          <w:rFonts w:ascii="Verdana" w:hAnsi="Verdana"/>
          <w:sz w:val="18"/>
          <w:szCs w:val="18"/>
          <w:lang w:val="en-US"/>
        </w:rPr>
        <w:t xml:space="preserve">. Now, </w:t>
      </w:r>
      <w:r w:rsidRPr="00F14EEE" w:rsidR="00CD73AB">
        <w:rPr>
          <w:rFonts w:ascii="Verdana" w:hAnsi="Verdana"/>
          <w:sz w:val="18"/>
          <w:szCs w:val="18"/>
          <w:lang w:val="en-US"/>
        </w:rPr>
        <w:t xml:space="preserve">assessments do not always (sufficiently) address variations in national, regional and local impact, </w:t>
      </w:r>
      <w:r w:rsidRPr="00F14EEE" w:rsidR="000539A2">
        <w:rPr>
          <w:rFonts w:ascii="Verdana" w:hAnsi="Verdana"/>
          <w:sz w:val="18"/>
          <w:szCs w:val="18"/>
          <w:lang w:val="en-US"/>
        </w:rPr>
        <w:t>nor</w:t>
      </w:r>
      <w:r w:rsidRPr="009233B9" w:rsidR="00CD73AB">
        <w:rPr>
          <w:rFonts w:ascii="Verdana" w:hAnsi="Verdana"/>
          <w:sz w:val="18"/>
          <w:szCs w:val="18"/>
          <w:lang w:val="en-US"/>
        </w:rPr>
        <w:t xml:space="preserve"> take into account (sufficiently) implications for execution</w:t>
      </w:r>
      <w:r w:rsidRPr="009233B9" w:rsidR="00211D6E">
        <w:rPr>
          <w:rFonts w:ascii="Verdana" w:hAnsi="Verdana"/>
          <w:sz w:val="18"/>
          <w:szCs w:val="18"/>
          <w:lang w:val="en-US"/>
        </w:rPr>
        <w:t xml:space="preserve">, </w:t>
      </w:r>
      <w:r w:rsidRPr="009233B9" w:rsidR="00CD73AB">
        <w:rPr>
          <w:rFonts w:ascii="Verdana" w:hAnsi="Verdana"/>
          <w:sz w:val="18"/>
          <w:szCs w:val="18"/>
          <w:lang w:val="en-US"/>
        </w:rPr>
        <w:t>enforcement</w:t>
      </w:r>
      <w:r w:rsidRPr="009233B9" w:rsidR="00211D6E">
        <w:rPr>
          <w:rFonts w:ascii="Verdana" w:hAnsi="Verdana"/>
          <w:sz w:val="18"/>
          <w:szCs w:val="18"/>
          <w:lang w:val="en-US"/>
        </w:rPr>
        <w:t xml:space="preserve"> and </w:t>
      </w:r>
      <w:r w:rsidRPr="00F14EEE" w:rsidR="00211D6E">
        <w:rPr>
          <w:rFonts w:ascii="Verdana" w:hAnsi="Verdana"/>
          <w:sz w:val="18"/>
          <w:szCs w:val="18"/>
          <w:lang w:val="en-US"/>
        </w:rPr>
        <w:t>security</w:t>
      </w:r>
      <w:r w:rsidRPr="00F14EEE" w:rsidR="00FD218C">
        <w:rPr>
          <w:rFonts w:ascii="Verdana" w:hAnsi="Verdana"/>
          <w:sz w:val="18"/>
          <w:szCs w:val="18"/>
          <w:lang w:val="en-US"/>
        </w:rPr>
        <w:t>, and competitiveness</w:t>
      </w:r>
      <w:r w:rsidRPr="00F14EEE" w:rsidR="00CD73AB">
        <w:rPr>
          <w:rFonts w:ascii="Verdana" w:hAnsi="Verdana"/>
          <w:sz w:val="18"/>
          <w:szCs w:val="18"/>
          <w:lang w:val="en-US"/>
        </w:rPr>
        <w:t>. This is</w:t>
      </w:r>
      <w:r w:rsidRPr="009233B9" w:rsidR="00CD73AB">
        <w:rPr>
          <w:rFonts w:ascii="Verdana" w:hAnsi="Verdana"/>
          <w:sz w:val="18"/>
          <w:szCs w:val="18"/>
          <w:lang w:val="en-US"/>
        </w:rPr>
        <w:t xml:space="preserve"> why we suggest to: </w:t>
      </w:r>
    </w:p>
    <w:p w:rsidRPr="00D311F2" w:rsidR="00F352AA" w:rsidP="00240147" w:rsidRDefault="00F352AA" w14:paraId="2D56FFA7" w14:textId="1EFD2306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Verdana" w:hAnsi="Verdana"/>
          <w:sz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>C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arry out </w:t>
      </w:r>
      <w:r w:rsidRPr="009233B9" w:rsidR="00D966D2">
        <w:rPr>
          <w:rFonts w:ascii="Verdana" w:hAnsi="Verdana"/>
          <w:b/>
          <w:bCs/>
          <w:sz w:val="18"/>
          <w:szCs w:val="18"/>
          <w:lang w:val="en-US"/>
        </w:rPr>
        <w:t>territorial impact assessments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when drafting legislation that </w:t>
      </w:r>
      <w:r w:rsidRPr="009233B9" w:rsidR="0028301B">
        <w:rPr>
          <w:rFonts w:ascii="Verdana" w:hAnsi="Verdana"/>
          <w:sz w:val="18"/>
          <w:szCs w:val="18"/>
          <w:lang w:val="en-US"/>
        </w:rPr>
        <w:t>has a place-based impact and affects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spatial </w:t>
      </w:r>
      <w:r w:rsidRPr="00F14EEE" w:rsidR="00D966D2">
        <w:rPr>
          <w:rFonts w:ascii="Verdana" w:hAnsi="Verdana"/>
          <w:sz w:val="18"/>
          <w:szCs w:val="18"/>
          <w:lang w:val="en-US"/>
        </w:rPr>
        <w:t xml:space="preserve">planning, </w:t>
      </w:r>
      <w:r w:rsidRPr="00F14EEE" w:rsidR="00D311F2">
        <w:rPr>
          <w:rFonts w:ascii="Verdana" w:hAnsi="Verdana"/>
          <w:sz w:val="18"/>
          <w:szCs w:val="18"/>
          <w:lang w:val="en-US"/>
        </w:rPr>
        <w:t xml:space="preserve">especially when called upon by Member States, </w:t>
      </w:r>
      <w:r w:rsidRPr="00F14EEE" w:rsidR="00D966D2">
        <w:rPr>
          <w:rFonts w:ascii="Verdana" w:hAnsi="Verdana"/>
          <w:sz w:val="18"/>
          <w:szCs w:val="18"/>
          <w:lang w:val="en-US"/>
        </w:rPr>
        <w:t>to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ensure that effects on (local) governments, businesses and citizens are well </w:t>
      </w:r>
      <w:r w:rsidRPr="009233B9" w:rsidR="009A3D05">
        <w:rPr>
          <w:rFonts w:ascii="Verdana" w:hAnsi="Verdana"/>
          <w:sz w:val="18"/>
          <w:szCs w:val="18"/>
          <w:lang w:val="en-US"/>
        </w:rPr>
        <w:t>assessed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and to safeguard the feasibility of implementation.</w:t>
      </w:r>
      <w:r w:rsidRPr="009233B9" w:rsidR="00240147">
        <w:rPr>
          <w:rFonts w:ascii="Verdana" w:hAnsi="Verdana"/>
          <w:i/>
          <w:iCs/>
          <w:color w:val="1F497D"/>
          <w:sz w:val="18"/>
          <w:szCs w:val="18"/>
          <w:lang w:val="en-US"/>
        </w:rPr>
        <w:t xml:space="preserve"> </w:t>
      </w:r>
      <w:r w:rsidRPr="009233B9" w:rsidR="00240147">
        <w:rPr>
          <w:rFonts w:ascii="Verdana" w:hAnsi="Verdana"/>
          <w:sz w:val="18"/>
          <w:szCs w:val="18"/>
          <w:lang w:val="en-US"/>
        </w:rPr>
        <w:t>Spatial planning is a national competence; implementing EU legislation should allow for integral spatial decisions at the national and local level.</w:t>
      </w:r>
    </w:p>
    <w:p w:rsidRPr="00F14EEE" w:rsidR="002B3EC8" w:rsidP="002B3EC8" w:rsidRDefault="002B3EC8" w14:paraId="7D9A7ABD" w14:textId="712E5B4F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F14EEE">
        <w:rPr>
          <w:rFonts w:ascii="Verdana" w:hAnsi="Verdana"/>
          <w:sz w:val="18"/>
          <w:szCs w:val="18"/>
          <w:lang w:val="en-US"/>
        </w:rPr>
        <w:t xml:space="preserve">Update </w:t>
      </w:r>
      <w:r w:rsidRPr="00F14EEE" w:rsidR="00EF17F8">
        <w:rPr>
          <w:rFonts w:ascii="Verdana" w:hAnsi="Verdana"/>
          <w:sz w:val="18"/>
          <w:szCs w:val="18"/>
          <w:lang w:val="en-US"/>
        </w:rPr>
        <w:t xml:space="preserve">the </w:t>
      </w:r>
      <w:r w:rsidRPr="00F14EEE">
        <w:rPr>
          <w:rFonts w:ascii="Verdana" w:hAnsi="Verdana"/>
          <w:sz w:val="18"/>
          <w:szCs w:val="18"/>
          <w:lang w:val="en-US"/>
        </w:rPr>
        <w:t>“digital-ready policymaking”</w:t>
      </w:r>
      <w:r w:rsidRPr="00F14EEE" w:rsidR="00EF17F8">
        <w:rPr>
          <w:rFonts w:ascii="Verdana" w:hAnsi="Verdana"/>
          <w:sz w:val="18"/>
          <w:szCs w:val="18"/>
          <w:lang w:val="en-US"/>
        </w:rPr>
        <w:t xml:space="preserve"> tool in</w:t>
      </w:r>
      <w:r w:rsidRP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BB1411">
        <w:rPr>
          <w:rFonts w:ascii="Verdana" w:hAnsi="Verdana"/>
          <w:sz w:val="18"/>
          <w:szCs w:val="18"/>
          <w:lang w:val="en-US"/>
        </w:rPr>
        <w:t xml:space="preserve">the Better Regulation toolbox </w:t>
      </w:r>
      <w:r w:rsidRPr="00F14EEE">
        <w:rPr>
          <w:rFonts w:ascii="Verdana" w:hAnsi="Verdana"/>
          <w:sz w:val="18"/>
          <w:szCs w:val="18"/>
          <w:lang w:val="en-US"/>
        </w:rPr>
        <w:t xml:space="preserve">to ensure that new reporting requirements can be handled by digital and interoperable systems and that administrative processes for handling and sharing data can be automated. </w:t>
      </w:r>
    </w:p>
    <w:p w:rsidRPr="00F14EEE" w:rsidR="00126272" w:rsidP="00AB6293" w:rsidRDefault="00126272" w14:paraId="490C62D0" w14:textId="3501BC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F14EEE">
        <w:rPr>
          <w:rFonts w:ascii="Verdana" w:hAnsi="Verdana"/>
          <w:sz w:val="18"/>
          <w:szCs w:val="18"/>
          <w:lang w:val="en-US"/>
        </w:rPr>
        <w:t xml:space="preserve">Pay specific attention to environmental, social and intergenerational consequences of proposals, to ensure </w:t>
      </w:r>
      <w:r w:rsidRPr="00F14EEE" w:rsidR="00744FB7">
        <w:rPr>
          <w:rFonts w:ascii="Verdana" w:hAnsi="Verdana"/>
          <w:sz w:val="18"/>
          <w:szCs w:val="18"/>
          <w:lang w:val="en-US"/>
        </w:rPr>
        <w:t>long-term</w:t>
      </w:r>
      <w:r w:rsidRPr="00F14EEE">
        <w:rPr>
          <w:rFonts w:ascii="Verdana" w:hAnsi="Verdana"/>
          <w:sz w:val="18"/>
          <w:szCs w:val="18"/>
          <w:lang w:val="en-US"/>
        </w:rPr>
        <w:t xml:space="preserve"> sustainability.</w:t>
      </w:r>
    </w:p>
    <w:p w:rsidRPr="009233B9" w:rsidR="00661A03" w:rsidP="00AB6293" w:rsidRDefault="00211D6E" w14:paraId="7B379548" w14:textId="77777777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lastRenderedPageBreak/>
        <w:t>Scrutinize how and when</w:t>
      </w:r>
      <w:r w:rsidRPr="009233B9" w:rsidR="00D6553E">
        <w:rPr>
          <w:rFonts w:ascii="Verdana" w:hAnsi="Verdana"/>
          <w:sz w:val="18"/>
          <w:szCs w:val="18"/>
          <w:lang w:val="en-US"/>
        </w:rPr>
        <w:t xml:space="preserve">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security</w:t>
      </w:r>
      <w:r w:rsidRPr="009233B9" w:rsidR="00D14F97">
        <w:rPr>
          <w:rFonts w:ascii="Verdana" w:hAnsi="Verdana"/>
          <w:b/>
          <w:bCs/>
          <w:sz w:val="18"/>
          <w:szCs w:val="18"/>
          <w:lang w:val="en-US"/>
        </w:rPr>
        <w:t xml:space="preserve"> and defence</w:t>
      </w:r>
      <w:r w:rsidRPr="009233B9">
        <w:rPr>
          <w:rFonts w:ascii="Verdana" w:hAnsi="Verdana"/>
          <w:sz w:val="18"/>
          <w:szCs w:val="18"/>
          <w:lang w:val="en-US"/>
        </w:rPr>
        <w:t xml:space="preserve"> could be negatively impacted by new EU legislative proposals, including through potential spillover effects such as criminal abuse of legislation</w:t>
      </w:r>
      <w:r w:rsidRPr="009233B9" w:rsidR="00D14F97">
        <w:rPr>
          <w:rFonts w:ascii="Verdana" w:hAnsi="Verdana"/>
          <w:sz w:val="18"/>
          <w:szCs w:val="18"/>
          <w:lang w:val="en-US"/>
        </w:rPr>
        <w:t>, or legislation that can have a negative effect on the readiness of the armed forces.</w:t>
      </w:r>
    </w:p>
    <w:p w:rsidRPr="009233B9" w:rsidR="00661A03" w:rsidP="00AB6293" w:rsidRDefault="00661A03" w14:paraId="1E66F58D" w14:textId="77777777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 xml:space="preserve">Ensure a stronger focus on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execution and enforcement</w:t>
      </w:r>
      <w:r w:rsidRPr="009233B9">
        <w:rPr>
          <w:rFonts w:ascii="Verdana" w:hAnsi="Verdana"/>
          <w:sz w:val="18"/>
          <w:szCs w:val="18"/>
          <w:lang w:val="en-US"/>
        </w:rPr>
        <w:t xml:space="preserve"> aspects of EU legislation at an early stage when assessing impact</w:t>
      </w:r>
      <w:r w:rsidRPr="009233B9" w:rsidR="002C58F7">
        <w:rPr>
          <w:rFonts w:ascii="Verdana" w:hAnsi="Verdana"/>
          <w:sz w:val="18"/>
          <w:szCs w:val="18"/>
          <w:lang w:val="en-US"/>
        </w:rPr>
        <w:t>. This entails in particular an in-depth assessment of the administrative and financial capacities required to properly implement, execute and enforce EU-legislation</w:t>
      </w:r>
      <w:r w:rsidRPr="009233B9" w:rsidR="00AF465C">
        <w:rPr>
          <w:rFonts w:ascii="Verdana" w:hAnsi="Verdana"/>
          <w:sz w:val="18"/>
          <w:szCs w:val="18"/>
          <w:lang w:val="en-US"/>
        </w:rPr>
        <w:t>.</w:t>
      </w:r>
    </w:p>
    <w:p w:rsidRPr="00F14EEE" w:rsidR="00051099" w:rsidP="00AB6293" w:rsidRDefault="00C31593" w14:paraId="0A2DFFC4" w14:textId="0254A0CA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18"/>
          <w:szCs w:val="18"/>
          <w:lang w:val="en-US"/>
        </w:rPr>
      </w:pPr>
      <w:r w:rsidRPr="00D311F2">
        <w:rPr>
          <w:rFonts w:ascii="Verdana" w:hAnsi="Verdana"/>
          <w:b/>
          <w:sz w:val="18"/>
          <w:lang w:val="en-US"/>
        </w:rPr>
        <w:t>A</w:t>
      </w:r>
      <w:r w:rsidRPr="00B02762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F14EEE">
        <w:rPr>
          <w:rFonts w:ascii="Verdana" w:hAnsi="Verdana"/>
          <w:b/>
          <w:bCs/>
          <w:sz w:val="18"/>
          <w:szCs w:val="18"/>
          <w:lang w:val="en-US"/>
        </w:rPr>
        <w:t>strong</w:t>
      </w:r>
      <w:r w:rsidRPr="00B02762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B02762" w:rsidR="002B3EC8">
        <w:rPr>
          <w:rFonts w:ascii="Verdana" w:hAnsi="Verdana"/>
          <w:b/>
          <w:bCs/>
          <w:sz w:val="18"/>
          <w:szCs w:val="18"/>
          <w:lang w:val="en-US"/>
        </w:rPr>
        <w:t>Regulatory Scrutiny Board (RSB)</w:t>
      </w:r>
      <w:r w:rsidRPr="00B02762" w:rsidR="002B3EC8">
        <w:rPr>
          <w:rFonts w:ascii="Verdana" w:hAnsi="Verdana"/>
          <w:sz w:val="18"/>
          <w:szCs w:val="18"/>
          <w:lang w:val="en-US"/>
        </w:rPr>
        <w:t xml:space="preserve">. The RSB is very </w:t>
      </w:r>
      <w:r w:rsidRPr="00F14EEE" w:rsidR="002B3EC8">
        <w:rPr>
          <w:rFonts w:ascii="Verdana" w:hAnsi="Verdana"/>
          <w:sz w:val="18"/>
          <w:szCs w:val="18"/>
          <w:lang w:val="en-US"/>
        </w:rPr>
        <w:t>important and its role</w:t>
      </w:r>
      <w:r w:rsidRPr="00F14EEE" w:rsidR="00051099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2B3EC8">
        <w:rPr>
          <w:rFonts w:ascii="Verdana" w:hAnsi="Verdana"/>
          <w:sz w:val="18"/>
          <w:szCs w:val="18"/>
          <w:lang w:val="en-US"/>
        </w:rPr>
        <w:t>should</w:t>
      </w:r>
      <w:r w:rsidRPr="00B02762" w:rsidR="002B3EC8">
        <w:rPr>
          <w:rFonts w:ascii="Verdana" w:hAnsi="Verdana"/>
          <w:sz w:val="18"/>
          <w:szCs w:val="18"/>
          <w:lang w:val="en-US"/>
        </w:rPr>
        <w:t xml:space="preserve"> be </w:t>
      </w:r>
      <w:r w:rsidRPr="00F14EEE" w:rsidR="002B3EC8">
        <w:rPr>
          <w:rFonts w:ascii="Verdana" w:hAnsi="Verdana"/>
          <w:sz w:val="18"/>
          <w:szCs w:val="18"/>
          <w:lang w:val="en-US"/>
        </w:rPr>
        <w:t>further strengthened</w:t>
      </w:r>
      <w:r w:rsidRPr="00F14EEE" w:rsidR="00051099">
        <w:rPr>
          <w:rFonts w:ascii="Verdana" w:hAnsi="Verdana"/>
          <w:sz w:val="18"/>
          <w:szCs w:val="18"/>
          <w:lang w:val="en-US"/>
        </w:rPr>
        <w:t>.</w:t>
      </w:r>
    </w:p>
    <w:p w:rsidRPr="00F14EEE" w:rsidR="00661A03" w:rsidP="00AB6293" w:rsidRDefault="00661A03" w14:paraId="2B75651C" w14:textId="46144F23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18"/>
          <w:szCs w:val="18"/>
          <w:lang w:val="en-US"/>
        </w:rPr>
      </w:pPr>
      <w:r w:rsidRPr="00F14EEE">
        <w:rPr>
          <w:rFonts w:ascii="Verdana" w:hAnsi="Verdana"/>
          <w:b/>
          <w:bCs/>
          <w:sz w:val="18"/>
          <w:szCs w:val="18"/>
          <w:lang w:val="en-US"/>
        </w:rPr>
        <w:t xml:space="preserve">Extend the </w:t>
      </w:r>
      <w:r w:rsidRPr="00F14EEE" w:rsidR="00051099">
        <w:rPr>
          <w:rFonts w:ascii="Verdana" w:hAnsi="Verdana"/>
          <w:b/>
          <w:bCs/>
          <w:sz w:val="18"/>
          <w:szCs w:val="18"/>
          <w:lang w:val="en-US"/>
        </w:rPr>
        <w:t>B</w:t>
      </w:r>
      <w:r w:rsidRPr="00F14EEE">
        <w:rPr>
          <w:rFonts w:ascii="Verdana" w:hAnsi="Verdana"/>
          <w:b/>
          <w:bCs/>
          <w:sz w:val="18"/>
          <w:szCs w:val="18"/>
          <w:lang w:val="en-US"/>
        </w:rPr>
        <w:t>oard’s mandate</w:t>
      </w:r>
      <w:r w:rsidRPr="00F14EEE">
        <w:rPr>
          <w:rFonts w:ascii="Verdana" w:hAnsi="Verdana"/>
          <w:sz w:val="18"/>
          <w:szCs w:val="18"/>
          <w:lang w:val="en-US"/>
        </w:rPr>
        <w:t xml:space="preserve"> to </w:t>
      </w:r>
      <w:r w:rsidRPr="00F14EEE" w:rsidR="00FD484B">
        <w:rPr>
          <w:rFonts w:ascii="Verdana" w:hAnsi="Verdana"/>
          <w:sz w:val="18"/>
          <w:szCs w:val="18"/>
          <w:lang w:val="en-US"/>
        </w:rPr>
        <w:t xml:space="preserve">enable </w:t>
      </w:r>
      <w:r w:rsidRPr="00F14EEE" w:rsidR="00051099">
        <w:rPr>
          <w:rFonts w:ascii="Verdana" w:hAnsi="Verdana"/>
          <w:sz w:val="18"/>
          <w:szCs w:val="18"/>
          <w:lang w:val="en-US"/>
        </w:rPr>
        <w:t>it</w:t>
      </w:r>
      <w:r w:rsidRPr="00F14EEE" w:rsidR="00FD484B">
        <w:rPr>
          <w:rFonts w:ascii="Verdana" w:hAnsi="Verdana"/>
          <w:sz w:val="18"/>
          <w:szCs w:val="18"/>
          <w:lang w:val="en-US"/>
        </w:rPr>
        <w:t xml:space="preserve"> to </w:t>
      </w:r>
      <w:r w:rsidRPr="00F14EEE" w:rsidR="008C2DCE">
        <w:rPr>
          <w:rFonts w:ascii="Verdana" w:hAnsi="Verdana"/>
          <w:sz w:val="18"/>
          <w:szCs w:val="18"/>
          <w:lang w:val="en-US"/>
        </w:rPr>
        <w:t xml:space="preserve">give </w:t>
      </w:r>
      <w:r w:rsidRPr="00F14EEE" w:rsidR="00FD484B">
        <w:rPr>
          <w:rFonts w:ascii="Verdana" w:hAnsi="Verdana"/>
          <w:sz w:val="18"/>
          <w:szCs w:val="18"/>
          <w:lang w:val="en-US"/>
        </w:rPr>
        <w:t>an</w:t>
      </w:r>
      <w:r w:rsidRPr="00F14EEE" w:rsid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FD484B">
        <w:rPr>
          <w:rFonts w:ascii="Verdana" w:hAnsi="Verdana"/>
          <w:sz w:val="18"/>
          <w:szCs w:val="18"/>
          <w:lang w:val="en-US"/>
        </w:rPr>
        <w:t xml:space="preserve">opinion </w:t>
      </w:r>
      <w:r w:rsidRPr="00F14EEE">
        <w:rPr>
          <w:rFonts w:ascii="Verdana" w:hAnsi="Verdana"/>
          <w:sz w:val="18"/>
          <w:szCs w:val="18"/>
          <w:lang w:val="en-US"/>
        </w:rPr>
        <w:t>on cases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 </w:t>
      </w:r>
      <w:r w:rsidRPr="00F14EEE">
        <w:rPr>
          <w:rFonts w:ascii="Verdana" w:hAnsi="Verdana"/>
          <w:sz w:val="18"/>
          <w:szCs w:val="18"/>
          <w:lang w:val="en-US"/>
        </w:rPr>
        <w:t>where the Commission decided against making an impact assessment</w:t>
      </w:r>
      <w:r w:rsidRPr="00F14EEE" w:rsidR="0012360D">
        <w:rPr>
          <w:rFonts w:ascii="Verdana" w:hAnsi="Verdana"/>
          <w:sz w:val="18"/>
          <w:szCs w:val="18"/>
          <w:lang w:val="en-US"/>
        </w:rPr>
        <w:t>.</w:t>
      </w:r>
      <w:r w:rsidRPr="00F14EEE" w:rsidR="00687904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Now, the RSB can only give an opinion on the quality of impact assessments made by the Commission. Yet </w:t>
      </w:r>
      <w:r w:rsidRPr="00F14EEE" w:rsidR="00630C2F">
        <w:rPr>
          <w:rFonts w:ascii="Verdana" w:hAnsi="Verdana"/>
          <w:sz w:val="18"/>
          <w:szCs w:val="18"/>
          <w:lang w:val="en-US"/>
        </w:rPr>
        <w:t xml:space="preserve">it can have important consequences for the further legislative process 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when the </w:t>
      </w:r>
      <w:r w:rsidRPr="00F14EEE" w:rsidR="0058707D">
        <w:rPr>
          <w:rFonts w:ascii="Verdana" w:hAnsi="Verdana"/>
          <w:sz w:val="18"/>
          <w:szCs w:val="18"/>
          <w:lang w:val="en-US"/>
        </w:rPr>
        <w:t>Commission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 decides </w:t>
      </w:r>
      <w:r w:rsidRPr="00F14EEE" w:rsidR="001E06EF">
        <w:rPr>
          <w:rFonts w:ascii="Verdana" w:hAnsi="Verdana"/>
          <w:sz w:val="18"/>
          <w:lang w:val="en-US"/>
        </w:rPr>
        <w:t>not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58707D">
        <w:rPr>
          <w:rFonts w:ascii="Verdana" w:hAnsi="Verdana"/>
          <w:sz w:val="18"/>
          <w:szCs w:val="18"/>
          <w:lang w:val="en-US"/>
        </w:rPr>
        <w:t xml:space="preserve">to </w:t>
      </w:r>
      <w:r w:rsidRPr="00F14EEE" w:rsidR="001E06EF">
        <w:rPr>
          <w:rFonts w:ascii="Verdana" w:hAnsi="Verdana"/>
          <w:sz w:val="18"/>
          <w:szCs w:val="18"/>
          <w:lang w:val="en-US"/>
        </w:rPr>
        <w:t>make impact assessments.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1E06EF">
        <w:rPr>
          <w:rFonts w:ascii="Verdana" w:hAnsi="Verdana"/>
          <w:sz w:val="18"/>
          <w:szCs w:val="18"/>
          <w:lang w:val="en-US"/>
        </w:rPr>
        <w:t>The</w:t>
      </w:r>
      <w:r w:rsidRPr="00F14EEE" w:rsidR="008C2DCE">
        <w:rPr>
          <w:rFonts w:ascii="Verdana" w:hAnsi="Verdana"/>
          <w:sz w:val="18"/>
          <w:szCs w:val="18"/>
          <w:lang w:val="en-US"/>
        </w:rPr>
        <w:t xml:space="preserve"> Board’s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 mandate should be </w:t>
      </w:r>
      <w:r w:rsidRPr="00F14EEE" w:rsidR="0058707D">
        <w:rPr>
          <w:rFonts w:ascii="Verdana" w:hAnsi="Verdana"/>
          <w:sz w:val="18"/>
          <w:szCs w:val="18"/>
          <w:lang w:val="en-US"/>
        </w:rPr>
        <w:t>extended</w:t>
      </w:r>
      <w:r w:rsidRPr="00F14EEE" w:rsidR="001E06EF">
        <w:rPr>
          <w:rFonts w:ascii="Verdana" w:hAnsi="Verdana"/>
          <w:sz w:val="18"/>
          <w:szCs w:val="18"/>
          <w:lang w:val="en-US"/>
        </w:rPr>
        <w:t xml:space="preserve"> to allow the Board to issue opinions on the choice and the arguments put forward by the Commission to not make an impact assessment.</w:t>
      </w:r>
      <w:r w:rsidRPr="00F14EEE" w:rsidR="00802ED2">
        <w:rPr>
          <w:rFonts w:ascii="Verdana" w:hAnsi="Verdana"/>
          <w:sz w:val="18"/>
          <w:szCs w:val="18"/>
          <w:lang w:val="en-US"/>
        </w:rPr>
        <w:t xml:space="preserve"> Different possibilities for how a mandate extension could take shape can be discussed at upcoming meetings of the working party on better regulation.</w:t>
      </w:r>
    </w:p>
    <w:p w:rsidRPr="009233B9" w:rsidR="001E06EF" w:rsidP="00AB6293" w:rsidRDefault="001E06EF" w14:paraId="51B4BA03" w14:textId="58E820E9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b/>
          <w:bCs/>
          <w:sz w:val="18"/>
          <w:szCs w:val="18"/>
          <w:lang w:val="en-US"/>
        </w:rPr>
        <w:t xml:space="preserve">Change the </w:t>
      </w:r>
      <w:r w:rsidRPr="009233B9" w:rsidR="002B3EC8">
        <w:rPr>
          <w:rFonts w:ascii="Verdana" w:hAnsi="Verdana"/>
          <w:b/>
          <w:bCs/>
          <w:sz w:val="18"/>
          <w:szCs w:val="18"/>
          <w:lang w:val="en-US"/>
        </w:rPr>
        <w:t>B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oard’s composition</w:t>
      </w:r>
      <w:r w:rsidRPr="009233B9">
        <w:rPr>
          <w:rFonts w:ascii="Verdana" w:hAnsi="Verdana"/>
          <w:sz w:val="18"/>
          <w:szCs w:val="18"/>
          <w:lang w:val="en-US"/>
        </w:rPr>
        <w:t xml:space="preserve">. The RSB is currently chaired by a Commission Director-General. Four other members are Commission officials and the remaining four members are experts recruited from outside the Commission. We suggest </w:t>
      </w:r>
      <w:r w:rsidRPr="009233B9" w:rsidR="00FD73C4">
        <w:rPr>
          <w:rFonts w:ascii="Verdana" w:hAnsi="Verdana"/>
          <w:sz w:val="18"/>
          <w:szCs w:val="18"/>
          <w:lang w:val="en-US"/>
        </w:rPr>
        <w:t xml:space="preserve">that all members of the RSB will be external </w:t>
      </w:r>
      <w:r w:rsidRPr="009233B9">
        <w:rPr>
          <w:rFonts w:ascii="Verdana" w:hAnsi="Verdana"/>
          <w:sz w:val="18"/>
          <w:szCs w:val="18"/>
          <w:lang w:val="en-US"/>
        </w:rPr>
        <w:t xml:space="preserve">experts to ensure its independence. </w:t>
      </w:r>
    </w:p>
    <w:p w:rsidRPr="00AB6293" w:rsidR="002410FD" w:rsidP="00AB6293" w:rsidRDefault="001E06EF" w14:paraId="45849F9A" w14:textId="32501FA3">
      <w:pPr>
        <w:pStyle w:val="ListParagraph"/>
        <w:numPr>
          <w:ilvl w:val="1"/>
          <w:numId w:val="7"/>
        </w:numPr>
        <w:spacing w:line="240" w:lineRule="auto"/>
        <w:jc w:val="both"/>
        <w:rPr>
          <w:lang w:val="en-US"/>
        </w:rPr>
      </w:pPr>
      <w:r w:rsidRPr="009233B9">
        <w:rPr>
          <w:rFonts w:ascii="Verdana" w:hAnsi="Verdana"/>
          <w:b/>
          <w:bCs/>
          <w:sz w:val="18"/>
          <w:szCs w:val="18"/>
          <w:lang w:val="en-US"/>
        </w:rPr>
        <w:t>Guarantee</w:t>
      </w:r>
      <w:r w:rsidR="00E702AF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 xml:space="preserve">the </w:t>
      </w:r>
      <w:r w:rsidRPr="009233B9" w:rsidR="002B3EC8">
        <w:rPr>
          <w:rFonts w:ascii="Verdana" w:hAnsi="Verdana"/>
          <w:b/>
          <w:bCs/>
          <w:sz w:val="18"/>
          <w:szCs w:val="18"/>
          <w:lang w:val="en-US"/>
        </w:rPr>
        <w:t>B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oard’s independence</w:t>
      </w:r>
      <w:r w:rsidRPr="009233B9" w:rsidR="008C2DCE">
        <w:rPr>
          <w:rFonts w:ascii="Verdana" w:hAnsi="Verdana"/>
          <w:sz w:val="18"/>
          <w:szCs w:val="18"/>
          <w:lang w:val="en-US"/>
        </w:rPr>
        <w:t>.</w:t>
      </w:r>
      <w:r w:rsidRPr="009233B9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8C2DCE">
        <w:rPr>
          <w:rFonts w:ascii="Verdana" w:hAnsi="Verdana"/>
          <w:sz w:val="18"/>
          <w:szCs w:val="18"/>
          <w:lang w:val="en-US"/>
        </w:rPr>
        <w:t>T</w:t>
      </w:r>
      <w:r w:rsidRPr="009233B9">
        <w:rPr>
          <w:rFonts w:ascii="Verdana" w:hAnsi="Verdana"/>
          <w:sz w:val="18"/>
          <w:szCs w:val="18"/>
          <w:lang w:val="en-US"/>
        </w:rPr>
        <w:t>ransparency regarding members’ current and past professional and other relevant activities</w:t>
      </w:r>
      <w:r w:rsidRPr="009233B9" w:rsidR="008C2DCE">
        <w:rPr>
          <w:rFonts w:ascii="Verdana" w:hAnsi="Verdana"/>
          <w:sz w:val="18"/>
          <w:szCs w:val="18"/>
          <w:lang w:val="en-US"/>
        </w:rPr>
        <w:t xml:space="preserve"> is of key importance to avoid any appearance of conflicts of interest</w:t>
      </w:r>
      <w:r w:rsidRPr="00D311F2" w:rsidR="00F352AA">
        <w:rPr>
          <w:rStyle w:val="FootnoteReference"/>
          <w:rFonts w:ascii="Verdana" w:hAnsi="Verdana"/>
          <w:sz w:val="18"/>
          <w:lang w:val="en-US"/>
        </w:rPr>
        <w:footnoteReference w:id="2"/>
      </w:r>
      <w:r w:rsidRPr="009233B9" w:rsidR="00F352AA">
        <w:rPr>
          <w:rFonts w:ascii="Verdana" w:hAnsi="Verdana"/>
          <w:sz w:val="18"/>
          <w:szCs w:val="18"/>
          <w:lang w:val="en-US"/>
        </w:rPr>
        <w:t>.</w:t>
      </w:r>
      <w:r w:rsidRPr="009233B9" w:rsidR="00D966D2">
        <w:rPr>
          <w:rFonts w:ascii="Verdana" w:hAnsi="Verdana"/>
          <w:sz w:val="18"/>
          <w:szCs w:val="18"/>
          <w:lang w:val="en-US"/>
        </w:rPr>
        <w:t xml:space="preserve"> </w:t>
      </w:r>
    </w:p>
    <w:p w:rsidRPr="00AB6293" w:rsidR="00AB6293" w:rsidP="00AB6293" w:rsidRDefault="00AB6293" w14:paraId="45F54F07" w14:textId="77777777">
      <w:pPr>
        <w:pStyle w:val="ListParagraph"/>
        <w:spacing w:line="240" w:lineRule="auto"/>
        <w:ind w:left="1440"/>
        <w:jc w:val="both"/>
        <w:rPr>
          <w:lang w:val="en-US"/>
        </w:rPr>
      </w:pPr>
    </w:p>
    <w:p w:rsidRPr="009233B9" w:rsidR="002410FD" w:rsidP="004F086C" w:rsidRDefault="003F7269" w14:paraId="0BEBBC8D" w14:textId="7777777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b/>
          <w:bCs/>
          <w:sz w:val="18"/>
          <w:szCs w:val="18"/>
          <w:lang w:val="en-US"/>
        </w:rPr>
        <w:t>Reduce</w:t>
      </w:r>
      <w:r w:rsidRPr="009233B9" w:rsidR="002410FD">
        <w:rPr>
          <w:rFonts w:ascii="Verdana" w:hAnsi="Verdana"/>
          <w:b/>
          <w:bCs/>
          <w:sz w:val="18"/>
          <w:szCs w:val="18"/>
          <w:lang w:val="en-US"/>
        </w:rPr>
        <w:t xml:space="preserve"> the burden for </w:t>
      </w:r>
      <w:r w:rsidRPr="009233B9" w:rsidR="001E06EF">
        <w:rPr>
          <w:rFonts w:ascii="Verdana" w:hAnsi="Verdana"/>
          <w:b/>
          <w:bCs/>
          <w:sz w:val="18"/>
          <w:szCs w:val="18"/>
          <w:lang w:val="en-US"/>
        </w:rPr>
        <w:t>national authorities</w:t>
      </w:r>
      <w:r w:rsidRPr="009233B9" w:rsidR="002C58F7">
        <w:rPr>
          <w:rFonts w:ascii="Verdana" w:hAnsi="Verdana"/>
          <w:b/>
          <w:bCs/>
          <w:sz w:val="18"/>
          <w:szCs w:val="18"/>
          <w:lang w:val="en-US"/>
        </w:rPr>
        <w:t xml:space="preserve"> (executive agencies, inspectorates)</w:t>
      </w:r>
      <w:r w:rsidRPr="009233B9" w:rsidR="001E06EF">
        <w:rPr>
          <w:rFonts w:ascii="Verdana" w:hAnsi="Verdana"/>
          <w:b/>
          <w:bCs/>
          <w:sz w:val="18"/>
          <w:szCs w:val="18"/>
          <w:lang w:val="en-US"/>
        </w:rPr>
        <w:t>, local governments</w:t>
      </w:r>
      <w:r w:rsidRPr="009233B9" w:rsidR="002410FD">
        <w:rPr>
          <w:rFonts w:ascii="Verdana" w:hAnsi="Verdana"/>
          <w:b/>
          <w:bCs/>
          <w:sz w:val="18"/>
          <w:szCs w:val="18"/>
          <w:lang w:val="en-US"/>
        </w:rPr>
        <w:t xml:space="preserve"> and companies to safeguard the execution of EU legislation</w:t>
      </w:r>
    </w:p>
    <w:p w:rsidRPr="00D311F2" w:rsidR="001E06EF" w:rsidP="004F086C" w:rsidRDefault="008C2DCE" w14:paraId="6DAD2C62" w14:textId="77777777">
      <w:pPr>
        <w:spacing w:after="0"/>
        <w:jc w:val="both"/>
        <w:rPr>
          <w:rFonts w:ascii="Verdana" w:hAnsi="Verdana"/>
          <w:sz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 xml:space="preserve">To ensure that </w:t>
      </w:r>
      <w:r w:rsidRPr="009233B9" w:rsidR="009A3D05">
        <w:rPr>
          <w:rFonts w:ascii="Verdana" w:hAnsi="Verdana"/>
          <w:sz w:val="18"/>
          <w:szCs w:val="18"/>
          <w:lang w:val="en-US"/>
        </w:rPr>
        <w:t>member states and</w:t>
      </w:r>
      <w:r w:rsidRPr="009233B9">
        <w:rPr>
          <w:rFonts w:ascii="Verdana" w:hAnsi="Verdana"/>
          <w:sz w:val="18"/>
          <w:szCs w:val="18"/>
          <w:lang w:val="en-US"/>
        </w:rPr>
        <w:t xml:space="preserve"> stakeholders can keep carrying out the EU’s ambitious plans, they must be able to execute new and existing legislation effectively. </w:t>
      </w:r>
      <w:r w:rsidRPr="00D311F2">
        <w:rPr>
          <w:rFonts w:ascii="Verdana" w:hAnsi="Verdana"/>
          <w:sz w:val="18"/>
          <w:lang w:val="en-US"/>
        </w:rPr>
        <w:t>To ensure</w:t>
      </w:r>
      <w:r w:rsidRPr="00D311F2" w:rsidR="00610F0B">
        <w:rPr>
          <w:rFonts w:ascii="Verdana" w:hAnsi="Verdana"/>
          <w:sz w:val="18"/>
          <w:lang w:val="en-US"/>
        </w:rPr>
        <w:t xml:space="preserve"> this, </w:t>
      </w:r>
      <w:r w:rsidRPr="00D311F2">
        <w:rPr>
          <w:rFonts w:ascii="Verdana" w:hAnsi="Verdana"/>
          <w:sz w:val="18"/>
          <w:lang w:val="en-US"/>
        </w:rPr>
        <w:t>we encourage the Commission to:</w:t>
      </w:r>
    </w:p>
    <w:p w:rsidRPr="009233B9" w:rsidR="00661A03" w:rsidP="004F086C" w:rsidRDefault="001E06EF" w14:paraId="278CB087" w14:textId="77777777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>Scrutinize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 the </w:t>
      </w:r>
      <w:r w:rsidRPr="009233B9" w:rsidR="00610F0B">
        <w:rPr>
          <w:rFonts w:ascii="Verdana" w:hAnsi="Verdana"/>
          <w:b/>
          <w:bCs/>
          <w:sz w:val="18"/>
          <w:szCs w:val="18"/>
          <w:lang w:val="en-US"/>
        </w:rPr>
        <w:t>cumulative effects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 of legislation on (local</w:t>
      </w:r>
      <w:r w:rsidRPr="009233B9" w:rsidR="00366F14">
        <w:rPr>
          <w:rFonts w:ascii="Verdana" w:hAnsi="Verdana"/>
          <w:sz w:val="18"/>
          <w:szCs w:val="18"/>
          <w:lang w:val="en-US"/>
        </w:rPr>
        <w:t xml:space="preserve"> and regional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) governments, businesses and citizens, i.e. assess the impact of a specific legislative act </w:t>
      </w:r>
      <w:r w:rsidRPr="009233B9" w:rsidR="004F086C">
        <w:rPr>
          <w:rFonts w:ascii="Verdana" w:hAnsi="Verdana"/>
          <w:i/>
          <w:iCs/>
          <w:sz w:val="18"/>
          <w:szCs w:val="18"/>
          <w:lang w:val="en-US"/>
        </w:rPr>
        <w:t>in coherence with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 other applicable EU-legislation.</w:t>
      </w:r>
    </w:p>
    <w:p w:rsidRPr="009233B9" w:rsidR="00887190" w:rsidP="006337A1" w:rsidRDefault="008C2DCE" w14:paraId="5B5CE782" w14:textId="5A40E23A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en-US"/>
        </w:rPr>
      </w:pPr>
      <w:bookmarkStart w:name="_Hlk168558684" w:id="1"/>
      <w:r w:rsidRPr="009233B9">
        <w:rPr>
          <w:rFonts w:ascii="Verdana" w:hAnsi="Verdana" w:cstheme="minorHAnsi"/>
          <w:sz w:val="18"/>
          <w:szCs w:val="18"/>
          <w:lang w:val="en-US"/>
        </w:rPr>
        <w:t>C</w:t>
      </w:r>
      <w:r w:rsidRPr="009233B9" w:rsidR="00610F0B">
        <w:rPr>
          <w:rFonts w:ascii="Verdana" w:hAnsi="Verdana" w:cstheme="minorHAnsi"/>
          <w:sz w:val="18"/>
          <w:szCs w:val="18"/>
          <w:lang w:val="en-US"/>
        </w:rPr>
        <w:t xml:space="preserve">ontinue to prevent the accumulation of legislation through measures such as the </w:t>
      </w:r>
      <w:r w:rsidRPr="009233B9" w:rsidR="00610F0B">
        <w:rPr>
          <w:rFonts w:ascii="Verdana" w:hAnsi="Verdana" w:cstheme="minorHAnsi"/>
          <w:b/>
          <w:bCs/>
          <w:sz w:val="18"/>
          <w:szCs w:val="18"/>
          <w:lang w:val="en-US"/>
        </w:rPr>
        <w:t>One in One Out</w:t>
      </w:r>
      <w:r w:rsidRPr="009233B9" w:rsidR="00610F0B">
        <w:rPr>
          <w:rFonts w:ascii="Verdana" w:hAnsi="Verdana" w:cstheme="minorHAnsi"/>
          <w:sz w:val="18"/>
          <w:szCs w:val="18"/>
          <w:lang w:val="en-US"/>
        </w:rPr>
        <w:t xml:space="preserve"> principle </w:t>
      </w:r>
      <w:r w:rsidRPr="00F14EEE" w:rsidR="00610F0B">
        <w:rPr>
          <w:rFonts w:ascii="Verdana" w:hAnsi="Verdana" w:cstheme="minorHAnsi"/>
          <w:sz w:val="18"/>
          <w:szCs w:val="18"/>
          <w:lang w:val="en-US"/>
        </w:rPr>
        <w:t xml:space="preserve">and </w:t>
      </w:r>
      <w:r w:rsidRPr="00F14EEE" w:rsidR="00BB1411">
        <w:rPr>
          <w:rFonts w:ascii="Verdana" w:hAnsi="Verdana" w:cstheme="minorHAnsi"/>
          <w:sz w:val="18"/>
          <w:szCs w:val="18"/>
          <w:lang w:val="en-US"/>
        </w:rPr>
        <w:t xml:space="preserve">reducing the burden caused by </w:t>
      </w:r>
      <w:r w:rsidRPr="00F14EEE" w:rsidR="00610F0B">
        <w:rPr>
          <w:rFonts w:ascii="Verdana" w:hAnsi="Verdana" w:cstheme="minorHAnsi"/>
          <w:sz w:val="18"/>
          <w:szCs w:val="18"/>
          <w:lang w:val="en-US"/>
        </w:rPr>
        <w:t>reporting obligations</w:t>
      </w:r>
      <w:r w:rsidRPr="00F14EEE" w:rsidR="00BB1411">
        <w:rPr>
          <w:rFonts w:ascii="Verdana" w:hAnsi="Verdana" w:cstheme="minorHAnsi"/>
          <w:sz w:val="18"/>
          <w:szCs w:val="18"/>
          <w:lang w:val="en-US"/>
        </w:rPr>
        <w:t xml:space="preserve"> by at least 25%</w:t>
      </w:r>
      <w:r w:rsidRPr="00F14EEE" w:rsidR="00E40FCF">
        <w:rPr>
          <w:rFonts w:ascii="Verdana" w:hAnsi="Verdana" w:cstheme="minorHAnsi"/>
          <w:sz w:val="18"/>
          <w:szCs w:val="18"/>
          <w:lang w:val="en-US"/>
        </w:rPr>
        <w:t xml:space="preserve"> - a target which we encourage the Commission to move beyond in the future. This</w:t>
      </w:r>
      <w:r w:rsidRPr="00F14EEE" w:rsidR="007F6C1F">
        <w:rPr>
          <w:rFonts w:ascii="Verdana" w:hAnsi="Verdana" w:cstheme="minorHAnsi"/>
          <w:sz w:val="18"/>
          <w:szCs w:val="18"/>
          <w:lang w:val="en-US"/>
        </w:rPr>
        <w:t xml:space="preserve"> could be accompanied by </w:t>
      </w:r>
      <w:r w:rsidRPr="00F14EEE" w:rsidR="007F6C1F">
        <w:rPr>
          <w:rFonts w:ascii="Verdana" w:hAnsi="Verdana" w:cs="Times New Roman"/>
          <w:sz w:val="18"/>
          <w:szCs w:val="18"/>
          <w:lang w:val="en-US"/>
        </w:rPr>
        <w:t>a broad programme as part of REFIT, aimed at repealing unnecessary rules and simplifying, consolidating and codifying EU legislation.</w:t>
      </w:r>
      <w:r w:rsidRPr="00F14EEE" w:rsidR="007F6C1F">
        <w:rPr>
          <w:rFonts w:ascii="Verdana" w:hAnsi="Verdana" w:cs="Times New Roman"/>
          <w:color w:val="FF0000"/>
          <w:sz w:val="18"/>
          <w:szCs w:val="18"/>
          <w:lang w:val="en-US"/>
        </w:rPr>
        <w:t xml:space="preserve"> </w:t>
      </w:r>
      <w:r w:rsidRPr="00F14EEE" w:rsidR="007F6C1F">
        <w:rPr>
          <w:rFonts w:ascii="Verdana" w:hAnsi="Verdana" w:cstheme="minorHAnsi"/>
          <w:sz w:val="18"/>
          <w:szCs w:val="18"/>
          <w:lang w:val="en-US"/>
        </w:rPr>
        <w:t xml:space="preserve">The Commission should </w:t>
      </w:r>
      <w:r w:rsidRPr="00F14EEE" w:rsidR="006337A1">
        <w:rPr>
          <w:rFonts w:ascii="Verdana" w:hAnsi="Verdana" w:cstheme="minorHAnsi"/>
          <w:sz w:val="18"/>
          <w:szCs w:val="18"/>
          <w:lang w:val="en-US"/>
        </w:rPr>
        <w:t>continue supporting Member States in improving their administrative procedures and in smoothening the regulatory burden on companies.</w:t>
      </w:r>
      <w:r w:rsidRPr="009233B9" w:rsidR="006337A1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:rsidRPr="009233B9" w:rsidR="00887190" w:rsidP="004F086C" w:rsidRDefault="008C2DCE" w14:paraId="162A5679" w14:textId="7DC0C21B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en-US"/>
        </w:rPr>
      </w:pPr>
      <w:bookmarkStart w:name="_Hlk159423538" w:id="2"/>
      <w:bookmarkEnd w:id="1"/>
      <w:r w:rsidRPr="009233B9">
        <w:rPr>
          <w:rFonts w:ascii="Verdana" w:hAnsi="Verdana" w:cstheme="minorHAnsi"/>
          <w:sz w:val="18"/>
          <w:szCs w:val="18"/>
          <w:lang w:val="en-US"/>
        </w:rPr>
        <w:t xml:space="preserve">Involve </w:t>
      </w:r>
      <w:r w:rsidRPr="009233B9" w:rsidR="00610F0B">
        <w:rPr>
          <w:rFonts w:ascii="Verdana" w:hAnsi="Verdana" w:cstheme="minorHAnsi"/>
          <w:b/>
          <w:bCs/>
          <w:sz w:val="18"/>
          <w:szCs w:val="18"/>
          <w:lang w:val="en-US"/>
        </w:rPr>
        <w:t>experts and practitioners</w:t>
      </w:r>
      <w:r w:rsidRPr="009233B9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r w:rsidRPr="009233B9">
        <w:rPr>
          <w:rFonts w:ascii="Verdana" w:hAnsi="Verdana" w:cstheme="minorHAnsi"/>
          <w:sz w:val="18"/>
          <w:szCs w:val="18"/>
          <w:lang w:val="en-US"/>
        </w:rPr>
        <w:t>timely and consistently</w:t>
      </w:r>
      <w:r w:rsidRPr="009233B9" w:rsidR="00887190">
        <w:rPr>
          <w:rFonts w:ascii="Verdana" w:hAnsi="Verdana" w:cstheme="minorHAnsi"/>
          <w:sz w:val="18"/>
          <w:szCs w:val="18"/>
          <w:lang w:val="en-US"/>
        </w:rPr>
        <w:t>. Their</w:t>
      </w:r>
      <w:r w:rsidRPr="009233B9" w:rsidR="00610F0B">
        <w:rPr>
          <w:rFonts w:ascii="Verdana" w:hAnsi="Verdana" w:cstheme="minorHAnsi"/>
          <w:sz w:val="18"/>
          <w:szCs w:val="18"/>
          <w:lang w:val="en-US"/>
        </w:rPr>
        <w:t xml:space="preserve"> experiences </w:t>
      </w:r>
      <w:r w:rsidRPr="009233B9" w:rsidR="00887190">
        <w:rPr>
          <w:rFonts w:ascii="Verdana" w:hAnsi="Verdana" w:cstheme="minorHAnsi"/>
          <w:sz w:val="18"/>
          <w:szCs w:val="18"/>
          <w:lang w:val="en-US"/>
        </w:rPr>
        <w:t xml:space="preserve">should be taken into account </w:t>
      </w:r>
      <w:r w:rsidRPr="009233B9" w:rsidR="00610F0B">
        <w:rPr>
          <w:rFonts w:ascii="Verdana" w:hAnsi="Verdana" w:cstheme="minorHAnsi"/>
          <w:sz w:val="18"/>
          <w:szCs w:val="18"/>
          <w:lang w:val="en-US"/>
        </w:rPr>
        <w:t xml:space="preserve">when legislation is drafted and when </w:t>
      </w:r>
      <w:r w:rsidRPr="00F14EEE" w:rsidR="00610F0B">
        <w:rPr>
          <w:rFonts w:ascii="Verdana" w:hAnsi="Verdana" w:cstheme="minorHAnsi"/>
          <w:sz w:val="18"/>
          <w:szCs w:val="18"/>
          <w:lang w:val="en-US"/>
        </w:rPr>
        <w:t>its impact is assessed</w:t>
      </w:r>
      <w:r w:rsidRPr="00F14EEE" w:rsidR="00887190">
        <w:rPr>
          <w:rFonts w:ascii="Verdana" w:hAnsi="Verdana" w:cstheme="minorHAnsi"/>
          <w:sz w:val="18"/>
          <w:szCs w:val="18"/>
          <w:lang w:val="en-US"/>
        </w:rPr>
        <w:t>, for instance when it comes to setting realistic time frames for implementation</w:t>
      </w:r>
      <w:r w:rsidRPr="00F14EEE" w:rsidR="00E40FCF">
        <w:rPr>
          <w:rFonts w:ascii="Verdana" w:hAnsi="Verdana" w:cstheme="minorHAnsi"/>
          <w:sz w:val="18"/>
          <w:szCs w:val="18"/>
          <w:lang w:val="en-US"/>
        </w:rPr>
        <w:t>, but also to facilitate compliance, e.g. through digitalization of handling procedures</w:t>
      </w:r>
      <w:r w:rsidRPr="00F14EEE" w:rsidR="00887190">
        <w:rPr>
          <w:rFonts w:ascii="Verdana" w:hAnsi="Verdana" w:cstheme="minorHAnsi"/>
          <w:sz w:val="18"/>
          <w:szCs w:val="18"/>
          <w:lang w:val="en-US"/>
        </w:rPr>
        <w:t>.</w:t>
      </w:r>
    </w:p>
    <w:bookmarkEnd w:id="2"/>
    <w:p w:rsidRPr="009233B9" w:rsidR="00887190" w:rsidP="004F086C" w:rsidRDefault="00BB3AF8" w14:paraId="7144172D" w14:textId="77777777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b/>
          <w:bCs/>
          <w:sz w:val="18"/>
          <w:szCs w:val="18"/>
          <w:lang w:val="en-US"/>
        </w:rPr>
        <w:t>Guarantee r</w:t>
      </w:r>
      <w:r w:rsidRPr="009233B9" w:rsidR="00610F0B">
        <w:rPr>
          <w:rFonts w:ascii="Verdana" w:hAnsi="Verdana"/>
          <w:b/>
          <w:bCs/>
          <w:sz w:val="18"/>
          <w:szCs w:val="18"/>
          <w:lang w:val="en-US"/>
        </w:rPr>
        <w:t xml:space="preserve">isk-based criteria for </w:t>
      </w:r>
      <w:r w:rsidRPr="009233B9" w:rsidR="00887190">
        <w:rPr>
          <w:rFonts w:ascii="Verdana" w:hAnsi="Verdana"/>
          <w:b/>
          <w:bCs/>
          <w:sz w:val="18"/>
          <w:szCs w:val="18"/>
          <w:lang w:val="en-US"/>
        </w:rPr>
        <w:t>checks</w:t>
      </w:r>
      <w:r w:rsidRPr="009233B9" w:rsidR="00610F0B">
        <w:rPr>
          <w:rFonts w:ascii="Verdana" w:hAnsi="Verdana"/>
          <w:b/>
          <w:bCs/>
          <w:sz w:val="18"/>
          <w:szCs w:val="18"/>
          <w:lang w:val="en-US"/>
        </w:rPr>
        <w:t xml:space="preserve"> and inspection,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 focus</w:t>
      </w:r>
      <w:r w:rsidRPr="009233B9" w:rsidR="004313DC">
        <w:rPr>
          <w:rFonts w:ascii="Verdana" w:hAnsi="Verdana"/>
          <w:sz w:val="18"/>
          <w:szCs w:val="18"/>
          <w:lang w:val="en-US"/>
        </w:rPr>
        <w:t>ing</w:t>
      </w:r>
      <w:r w:rsidRPr="009233B9" w:rsidR="00610F0B">
        <w:rPr>
          <w:rFonts w:ascii="Verdana" w:hAnsi="Verdana"/>
          <w:sz w:val="18"/>
          <w:szCs w:val="18"/>
          <w:lang w:val="en-US"/>
        </w:rPr>
        <w:t xml:space="preserve"> on outcomes instead of setting minimal percentages for checks, which </w:t>
      </w:r>
      <w:r w:rsidRPr="009233B9" w:rsidR="00887190">
        <w:rPr>
          <w:rFonts w:ascii="Verdana" w:hAnsi="Verdana"/>
          <w:sz w:val="18"/>
          <w:szCs w:val="18"/>
          <w:lang w:val="en-US"/>
        </w:rPr>
        <w:t xml:space="preserve">can </w:t>
      </w:r>
      <w:r w:rsidRPr="009233B9" w:rsidR="00610F0B">
        <w:rPr>
          <w:rFonts w:ascii="Verdana" w:hAnsi="Verdana"/>
          <w:sz w:val="18"/>
          <w:szCs w:val="18"/>
          <w:lang w:val="en-US"/>
        </w:rPr>
        <w:t>overburden supervisory organizations.</w:t>
      </w:r>
    </w:p>
    <w:p w:rsidRPr="009233B9" w:rsidR="00B75CB9" w:rsidP="00D311F2" w:rsidRDefault="00001A94" w14:paraId="5C3A1487" w14:textId="4CD79A2A">
      <w:pPr>
        <w:jc w:val="both"/>
        <w:rPr>
          <w:rFonts w:ascii="Verdana" w:hAnsi="Verdana"/>
          <w:sz w:val="18"/>
          <w:szCs w:val="18"/>
          <w:lang w:val="en-US"/>
        </w:rPr>
      </w:pPr>
      <w:r w:rsidRPr="009233B9">
        <w:rPr>
          <w:rFonts w:ascii="Verdana" w:hAnsi="Verdana"/>
          <w:sz w:val="18"/>
          <w:szCs w:val="18"/>
          <w:lang w:val="en-US"/>
        </w:rPr>
        <w:t xml:space="preserve">Working on better regulation in times of transition is a </w:t>
      </w:r>
      <w:r w:rsidRPr="009233B9">
        <w:rPr>
          <w:rFonts w:ascii="Verdana" w:hAnsi="Verdana"/>
          <w:b/>
          <w:bCs/>
          <w:sz w:val="18"/>
          <w:szCs w:val="18"/>
          <w:lang w:val="en-US"/>
        </w:rPr>
        <w:t>shared responsibility of the institutions and member states</w:t>
      </w:r>
      <w:r w:rsidRPr="009233B9">
        <w:rPr>
          <w:rFonts w:ascii="Verdana" w:hAnsi="Verdana"/>
          <w:sz w:val="18"/>
          <w:szCs w:val="18"/>
          <w:lang w:val="en-US"/>
        </w:rPr>
        <w:t xml:space="preserve">. The Council and the European Parliament have a responsibility to carry out additional impact assessments when substantial amendments to Commission proposals are made, as set out in the Interinstitutional agreement on Better </w:t>
      </w:r>
      <w:r w:rsidRPr="00F14EEE">
        <w:rPr>
          <w:rFonts w:ascii="Verdana" w:hAnsi="Verdana"/>
          <w:sz w:val="18"/>
          <w:szCs w:val="18"/>
          <w:lang w:val="en-US"/>
        </w:rPr>
        <w:t xml:space="preserve">Law-Making. </w:t>
      </w:r>
      <w:r w:rsidRPr="00F14EEE" w:rsidR="00FD218C">
        <w:rPr>
          <w:rFonts w:ascii="Verdana" w:hAnsi="Verdana"/>
          <w:sz w:val="18"/>
          <w:szCs w:val="18"/>
          <w:lang w:val="en-US"/>
        </w:rPr>
        <w:t>We</w:t>
      </w:r>
      <w:r w:rsidRPr="00F14EEE">
        <w:rPr>
          <w:rFonts w:ascii="Verdana" w:hAnsi="Verdana"/>
          <w:sz w:val="18"/>
          <w:szCs w:val="18"/>
          <w:lang w:val="en-US"/>
        </w:rPr>
        <w:t xml:space="preserve"> acknowledge that</w:t>
      </w:r>
      <w:r w:rsidRPr="009233B9">
        <w:rPr>
          <w:rFonts w:ascii="Verdana" w:hAnsi="Verdana"/>
          <w:sz w:val="18"/>
          <w:szCs w:val="18"/>
          <w:lang w:val="en-US"/>
        </w:rPr>
        <w:t xml:space="preserve">, up until now, the Council did not follow through on this responsibility and will actively seize opportunities to </w:t>
      </w:r>
      <w:r w:rsidRPr="00F14EEE">
        <w:rPr>
          <w:rFonts w:ascii="Verdana" w:hAnsi="Verdana"/>
          <w:sz w:val="18"/>
          <w:szCs w:val="18"/>
          <w:lang w:val="en-US"/>
        </w:rPr>
        <w:t>address this</w:t>
      </w:r>
      <w:r w:rsidRPr="00F14EEE" w:rsidR="00E702AF">
        <w:rPr>
          <w:rFonts w:ascii="Verdana" w:hAnsi="Verdana"/>
          <w:sz w:val="18"/>
          <w:szCs w:val="18"/>
          <w:lang w:val="en-US"/>
        </w:rPr>
        <w:t>.</w:t>
      </w:r>
      <w:r w:rsid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076FB3">
        <w:rPr>
          <w:rFonts w:ascii="Verdana" w:hAnsi="Verdana"/>
          <w:sz w:val="18"/>
          <w:szCs w:val="18"/>
        </w:rPr>
        <w:t xml:space="preserve">We </w:t>
      </w:r>
      <w:r w:rsidRPr="00F14EEE" w:rsidR="00DE2016">
        <w:rPr>
          <w:rFonts w:ascii="Verdana" w:hAnsi="Verdana"/>
          <w:sz w:val="18"/>
          <w:szCs w:val="18"/>
          <w:lang w:val="en-US"/>
        </w:rPr>
        <w:t xml:space="preserve">also recognize that </w:t>
      </w:r>
      <w:r w:rsidRPr="00F14EEE" w:rsidR="00141AAD">
        <w:rPr>
          <w:rFonts w:ascii="Verdana" w:hAnsi="Verdana"/>
          <w:sz w:val="18"/>
          <w:szCs w:val="18"/>
          <w:lang w:val="en-US"/>
        </w:rPr>
        <w:t xml:space="preserve">national </w:t>
      </w:r>
      <w:r w:rsidRPr="00F14EEE" w:rsidR="007F6C1F">
        <w:rPr>
          <w:rFonts w:ascii="Verdana" w:hAnsi="Verdana"/>
          <w:sz w:val="18"/>
          <w:szCs w:val="18"/>
          <w:lang w:val="en-US"/>
        </w:rPr>
        <w:t xml:space="preserve">regulatory institutions could </w:t>
      </w:r>
      <w:r w:rsidRPr="00F14EEE" w:rsidR="005807E6">
        <w:rPr>
          <w:rFonts w:ascii="Verdana" w:hAnsi="Verdana"/>
          <w:sz w:val="18"/>
          <w:szCs w:val="18"/>
          <w:lang w:val="en-US"/>
        </w:rPr>
        <w:t xml:space="preserve">assess impacts of -certain elements- of </w:t>
      </w:r>
      <w:r w:rsidRPr="00F14EEE" w:rsidR="007F6C1F">
        <w:rPr>
          <w:rFonts w:ascii="Verdana" w:hAnsi="Verdana"/>
          <w:sz w:val="18"/>
          <w:szCs w:val="18"/>
          <w:lang w:val="en-US"/>
        </w:rPr>
        <w:t>proposals for EU legislation</w:t>
      </w:r>
      <w:r w:rsidRPr="00F14EEE" w:rsidR="00D311F2">
        <w:rPr>
          <w:rFonts w:ascii="Verdana" w:hAnsi="Verdana"/>
          <w:sz w:val="18"/>
          <w:szCs w:val="18"/>
          <w:lang w:val="en-US"/>
        </w:rPr>
        <w:t xml:space="preserve">, for example to contribute to </w:t>
      </w:r>
      <w:r w:rsidRPr="00F14EEE" w:rsidR="00E40FCF">
        <w:rPr>
          <w:rFonts w:ascii="Verdana" w:hAnsi="Verdana"/>
          <w:sz w:val="18"/>
          <w:szCs w:val="18"/>
          <w:lang w:val="en-US"/>
        </w:rPr>
        <w:t>t</w:t>
      </w:r>
      <w:r w:rsidRPr="00F14EEE" w:rsidR="00D311F2">
        <w:rPr>
          <w:rFonts w:ascii="Verdana" w:hAnsi="Verdana"/>
          <w:sz w:val="18"/>
          <w:szCs w:val="18"/>
          <w:lang w:val="en-US"/>
        </w:rPr>
        <w:t xml:space="preserve">erritorial </w:t>
      </w:r>
      <w:r w:rsidRPr="00F14EEE" w:rsidR="00E40FCF">
        <w:rPr>
          <w:rFonts w:ascii="Verdana" w:hAnsi="Verdana"/>
          <w:sz w:val="18"/>
          <w:szCs w:val="18"/>
          <w:lang w:val="en-US"/>
        </w:rPr>
        <w:t>i</w:t>
      </w:r>
      <w:r w:rsidRPr="00F14EEE" w:rsidR="00D311F2">
        <w:rPr>
          <w:rFonts w:ascii="Verdana" w:hAnsi="Verdana"/>
          <w:sz w:val="18"/>
          <w:szCs w:val="18"/>
          <w:lang w:val="en-US"/>
        </w:rPr>
        <w:t xml:space="preserve">mpact </w:t>
      </w:r>
      <w:r w:rsidRPr="00F14EEE" w:rsidR="00E40FCF">
        <w:rPr>
          <w:rFonts w:ascii="Verdana" w:hAnsi="Verdana"/>
          <w:sz w:val="18"/>
          <w:szCs w:val="18"/>
          <w:lang w:val="en-US"/>
        </w:rPr>
        <w:t>a</w:t>
      </w:r>
      <w:r w:rsidRPr="00F14EEE" w:rsidR="00D311F2">
        <w:rPr>
          <w:rFonts w:ascii="Verdana" w:hAnsi="Verdana"/>
          <w:sz w:val="18"/>
          <w:szCs w:val="18"/>
          <w:lang w:val="en-US"/>
        </w:rPr>
        <w:t>ssessments</w:t>
      </w:r>
      <w:r w:rsidRPr="00F14EEE" w:rsidR="007F6C1F">
        <w:rPr>
          <w:rFonts w:ascii="Verdana" w:hAnsi="Verdana"/>
          <w:sz w:val="18"/>
          <w:szCs w:val="18"/>
          <w:lang w:val="en-US"/>
        </w:rPr>
        <w:t>.</w:t>
      </w:r>
      <w:r w:rsidR="00F14EEE">
        <w:rPr>
          <w:rFonts w:ascii="Verdana" w:hAnsi="Verdana"/>
          <w:sz w:val="18"/>
          <w:szCs w:val="18"/>
          <w:lang w:val="en-US"/>
        </w:rPr>
        <w:t xml:space="preserve"> </w:t>
      </w:r>
      <w:r w:rsidRPr="00F14EEE" w:rsidR="0012360D">
        <w:rPr>
          <w:rFonts w:ascii="Verdana" w:hAnsi="Verdana"/>
          <w:sz w:val="18"/>
          <w:szCs w:val="18"/>
          <w:lang w:val="en-US"/>
        </w:rPr>
        <w:t xml:space="preserve">This would </w:t>
      </w:r>
      <w:r w:rsidRPr="00F14EEE" w:rsidR="004F086C">
        <w:rPr>
          <w:rFonts w:ascii="Verdana" w:hAnsi="Verdana"/>
          <w:sz w:val="18"/>
          <w:szCs w:val="18"/>
          <w:lang w:val="en-US"/>
        </w:rPr>
        <w:t>enhance</w:t>
      </w:r>
      <w:r w:rsidRPr="009233B9" w:rsidR="004F086C">
        <w:rPr>
          <w:rFonts w:ascii="Verdana" w:hAnsi="Verdana"/>
          <w:sz w:val="18"/>
          <w:szCs w:val="18"/>
          <w:lang w:val="en-US"/>
        </w:rPr>
        <w:t xml:space="preserve"> the integral consideration of better regulation principles in the</w:t>
      </w:r>
      <w:r w:rsidR="00C31593">
        <w:rPr>
          <w:rFonts w:ascii="Verdana" w:hAnsi="Verdana"/>
          <w:sz w:val="18"/>
          <w:szCs w:val="18"/>
          <w:lang w:val="en-US"/>
        </w:rPr>
        <w:t xml:space="preserve"> </w:t>
      </w:r>
      <w:r w:rsidRPr="009233B9" w:rsidR="004F086C">
        <w:rPr>
          <w:rFonts w:ascii="Verdana" w:hAnsi="Verdana"/>
          <w:sz w:val="18"/>
          <w:szCs w:val="18"/>
          <w:lang w:val="en-US"/>
        </w:rPr>
        <w:t xml:space="preserve">process of appraising </w:t>
      </w:r>
      <w:r w:rsidRPr="009233B9" w:rsidR="00D14F97">
        <w:rPr>
          <w:rFonts w:ascii="Verdana" w:hAnsi="Verdana"/>
          <w:sz w:val="18"/>
          <w:szCs w:val="18"/>
          <w:lang w:val="en-US"/>
        </w:rPr>
        <w:t xml:space="preserve">proposed </w:t>
      </w:r>
      <w:r w:rsidRPr="009233B9" w:rsidR="004F086C">
        <w:rPr>
          <w:rFonts w:ascii="Verdana" w:hAnsi="Verdana"/>
          <w:sz w:val="18"/>
          <w:szCs w:val="18"/>
          <w:lang w:val="en-US"/>
        </w:rPr>
        <w:t>EU legislation.</w:t>
      </w:r>
    </w:p>
    <w:sectPr w:rsidRPr="009233B9" w:rsidR="00B75CB9" w:rsidSect="00AB6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D758" w14:textId="77777777" w:rsidR="00711F29" w:rsidRDefault="00711F29" w:rsidP="00B93851">
      <w:pPr>
        <w:spacing w:after="0" w:line="240" w:lineRule="auto"/>
      </w:pPr>
      <w:r>
        <w:separator/>
      </w:r>
    </w:p>
  </w:endnote>
  <w:endnote w:type="continuationSeparator" w:id="0">
    <w:p w14:paraId="06D9AFCA" w14:textId="77777777" w:rsidR="00711F29" w:rsidRDefault="00711F29" w:rsidP="00B93851">
      <w:pPr>
        <w:spacing w:after="0" w:line="240" w:lineRule="auto"/>
      </w:pPr>
      <w:r>
        <w:continuationSeparator/>
      </w:r>
    </w:p>
  </w:endnote>
  <w:endnote w:type="continuationNotice" w:id="1">
    <w:p w14:paraId="031EC3F1" w14:textId="77777777" w:rsidR="00711F29" w:rsidRDefault="00711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FB6E" w14:textId="77777777" w:rsidR="00141AAD" w:rsidRDefault="00141AAD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FF631EF" wp14:editId="22E696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xt Box 2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9D092" w14:textId="77777777" w:rsidR="00141AAD" w:rsidRPr="00141AAD" w:rsidRDefault="00141AAD" w:rsidP="00141A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1A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63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 gebruik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7D9D092" w14:textId="77777777" w:rsidR="00141AAD" w:rsidRPr="00141AAD" w:rsidRDefault="00141AAD" w:rsidP="00141A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1A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7193"/>
      <w:docPartObj>
        <w:docPartGallery w:val="Page Numbers (Bottom of Page)"/>
        <w:docPartUnique/>
      </w:docPartObj>
    </w:sdtPr>
    <w:sdtEndPr/>
    <w:sdtContent>
      <w:p w14:paraId="2EEC01D7" w14:textId="7915A0AE" w:rsidR="005667A9" w:rsidRDefault="005667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A1521F4" w14:textId="593DB23F" w:rsidR="00141AAD" w:rsidRPr="00AB6293" w:rsidRDefault="00141AAD" w:rsidP="00AB6293">
    <w:pPr>
      <w:pStyle w:val="Footer"/>
      <w:jc w:val="right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47CF" w14:textId="77777777" w:rsidR="00141AAD" w:rsidRDefault="00141AAD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59F90A" wp14:editId="3DB3E28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xt Box 1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6BE0D" w14:textId="77777777" w:rsidR="00141AAD" w:rsidRPr="00141AAD" w:rsidRDefault="00141AAD" w:rsidP="00141AA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1A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9F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 gebruik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0C6BE0D" w14:textId="77777777" w:rsidR="00141AAD" w:rsidRPr="00141AAD" w:rsidRDefault="00141AAD" w:rsidP="00141AA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1A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D20A" w14:textId="77777777" w:rsidR="00711F29" w:rsidRDefault="00711F29" w:rsidP="00B93851">
      <w:pPr>
        <w:spacing w:after="0" w:line="240" w:lineRule="auto"/>
      </w:pPr>
      <w:r>
        <w:separator/>
      </w:r>
    </w:p>
  </w:footnote>
  <w:footnote w:type="continuationSeparator" w:id="0">
    <w:p w14:paraId="5EC7D064" w14:textId="77777777" w:rsidR="00711F29" w:rsidRDefault="00711F29" w:rsidP="00B93851">
      <w:pPr>
        <w:spacing w:after="0" w:line="240" w:lineRule="auto"/>
      </w:pPr>
      <w:r>
        <w:continuationSeparator/>
      </w:r>
    </w:p>
  </w:footnote>
  <w:footnote w:type="continuationNotice" w:id="1">
    <w:p w14:paraId="377179C2" w14:textId="77777777" w:rsidR="00711F29" w:rsidRDefault="00711F29">
      <w:pPr>
        <w:spacing w:after="0" w:line="240" w:lineRule="auto"/>
      </w:pPr>
    </w:p>
  </w:footnote>
  <w:footnote w:id="2">
    <w:p w14:paraId="3906CAF5" w14:textId="77777777" w:rsidR="00F352AA" w:rsidRPr="00630C2F" w:rsidRDefault="00F352AA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630C2F">
        <w:rPr>
          <w:rStyle w:val="FootnoteReference"/>
          <w:rFonts w:ascii="Verdana" w:hAnsi="Verdana"/>
          <w:sz w:val="16"/>
          <w:szCs w:val="16"/>
        </w:rPr>
        <w:footnoteRef/>
      </w:r>
      <w:r w:rsidRPr="00630C2F">
        <w:rPr>
          <w:rFonts w:ascii="Verdana" w:hAnsi="Verdana"/>
          <w:sz w:val="16"/>
          <w:szCs w:val="16"/>
          <w:lang w:val="en-US"/>
        </w:rPr>
        <w:t xml:space="preserve"> European Ombudsman decision 2 October 2023</w:t>
      </w:r>
      <w:r w:rsidR="00BF44CB" w:rsidRPr="00630C2F">
        <w:rPr>
          <w:rFonts w:ascii="Verdana" w:hAnsi="Verdana"/>
          <w:sz w:val="16"/>
          <w:szCs w:val="16"/>
          <w:lang w:val="en-US"/>
        </w:rPr>
        <w:t>,</w:t>
      </w:r>
      <w:r w:rsidR="002806A7" w:rsidRPr="00630C2F">
        <w:rPr>
          <w:rFonts w:ascii="Verdana" w:hAnsi="Verdana"/>
          <w:sz w:val="16"/>
          <w:szCs w:val="16"/>
          <w:lang w:val="en-US"/>
        </w:rPr>
        <w:t xml:space="preserve"> </w:t>
      </w:r>
      <w:r w:rsidR="00481D03">
        <w:fldChar w:fldCharType="begin"/>
      </w:r>
      <w:r w:rsidR="00481D03" w:rsidRPr="00FD73C4">
        <w:instrText>https://www.ombudsman.europa.eu/en/decision/en/175979"</w:instrText>
      </w:r>
      <w:r w:rsidR="00481D03">
        <w:fldChar w:fldCharType="separate"/>
      </w:r>
      <w:r w:rsidR="002806A7" w:rsidRPr="00630C2F">
        <w:rPr>
          <w:rStyle w:val="Hyperlink"/>
          <w:rFonts w:ascii="Verdana" w:hAnsi="Verdana"/>
          <w:sz w:val="16"/>
          <w:szCs w:val="16"/>
          <w:lang w:val="en-US"/>
        </w:rPr>
        <w:t>https://www.ombudsman.europa.eu/en/decision/en/175979</w:t>
      </w:r>
      <w:r w:rsidR="00481D03">
        <w:rPr>
          <w:rStyle w:val="Hyperlink"/>
          <w:rFonts w:ascii="Verdana" w:hAnsi="Verdana"/>
          <w:sz w:val="16"/>
          <w:szCs w:val="16"/>
          <w:lang w:val="en-U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3546" w14:textId="77777777" w:rsidR="005667A9" w:rsidRDefault="00566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5014" w14:textId="77777777" w:rsidR="005667A9" w:rsidRDefault="00566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AEE3" w14:textId="77777777" w:rsidR="005667A9" w:rsidRDefault="00566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AA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B5E2B"/>
    <w:multiLevelType w:val="hybridMultilevel"/>
    <w:tmpl w:val="CE202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535"/>
    <w:multiLevelType w:val="hybridMultilevel"/>
    <w:tmpl w:val="E21CC61A"/>
    <w:lvl w:ilvl="0" w:tplc="2AFC7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5FA"/>
    <w:multiLevelType w:val="hybridMultilevel"/>
    <w:tmpl w:val="9D24F9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033"/>
    <w:multiLevelType w:val="hybridMultilevel"/>
    <w:tmpl w:val="6730320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F12EF"/>
    <w:multiLevelType w:val="hybridMultilevel"/>
    <w:tmpl w:val="12361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0AC0"/>
    <w:multiLevelType w:val="hybridMultilevel"/>
    <w:tmpl w:val="741CC8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BC6888"/>
    <w:multiLevelType w:val="hybridMultilevel"/>
    <w:tmpl w:val="0DD05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316"/>
    <w:multiLevelType w:val="hybridMultilevel"/>
    <w:tmpl w:val="F7D8B5B4"/>
    <w:lvl w:ilvl="0" w:tplc="F17E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13E41"/>
    <w:multiLevelType w:val="hybridMultilevel"/>
    <w:tmpl w:val="0DC477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793596"/>
    <w:multiLevelType w:val="hybridMultilevel"/>
    <w:tmpl w:val="1390C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3697">
    <w:abstractNumId w:val="9"/>
  </w:num>
  <w:num w:numId="2" w16cid:durableId="1929924582">
    <w:abstractNumId w:val="3"/>
  </w:num>
  <w:num w:numId="3" w16cid:durableId="168326331">
    <w:abstractNumId w:val="7"/>
  </w:num>
  <w:num w:numId="4" w16cid:durableId="501817733">
    <w:abstractNumId w:val="2"/>
  </w:num>
  <w:num w:numId="5" w16cid:durableId="659580344">
    <w:abstractNumId w:val="8"/>
  </w:num>
  <w:num w:numId="6" w16cid:durableId="404374742">
    <w:abstractNumId w:val="7"/>
  </w:num>
  <w:num w:numId="7" w16cid:durableId="1500660078">
    <w:abstractNumId w:val="10"/>
  </w:num>
  <w:num w:numId="8" w16cid:durableId="1263873807">
    <w:abstractNumId w:val="1"/>
  </w:num>
  <w:num w:numId="9" w16cid:durableId="1095245874">
    <w:abstractNumId w:val="9"/>
  </w:num>
  <w:num w:numId="10" w16cid:durableId="235209551">
    <w:abstractNumId w:val="7"/>
  </w:num>
  <w:num w:numId="11" w16cid:durableId="649559325">
    <w:abstractNumId w:val="10"/>
  </w:num>
  <w:num w:numId="12" w16cid:durableId="718866319">
    <w:abstractNumId w:val="0"/>
  </w:num>
  <w:num w:numId="13" w16cid:durableId="1452555507">
    <w:abstractNumId w:val="6"/>
  </w:num>
  <w:num w:numId="14" w16cid:durableId="698973507">
    <w:abstractNumId w:val="4"/>
  </w:num>
  <w:num w:numId="15" w16cid:durableId="1944144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1D"/>
    <w:rsid w:val="00001A94"/>
    <w:rsid w:val="00007677"/>
    <w:rsid w:val="00033FC5"/>
    <w:rsid w:val="00051099"/>
    <w:rsid w:val="000539A2"/>
    <w:rsid w:val="00065FDC"/>
    <w:rsid w:val="00076A88"/>
    <w:rsid w:val="00076FB3"/>
    <w:rsid w:val="000B24C6"/>
    <w:rsid w:val="000E023B"/>
    <w:rsid w:val="000F3C7B"/>
    <w:rsid w:val="000F5F42"/>
    <w:rsid w:val="00114043"/>
    <w:rsid w:val="0012360D"/>
    <w:rsid w:val="00126272"/>
    <w:rsid w:val="001322A9"/>
    <w:rsid w:val="00141AAD"/>
    <w:rsid w:val="001458BD"/>
    <w:rsid w:val="00157C78"/>
    <w:rsid w:val="001922C2"/>
    <w:rsid w:val="001A533A"/>
    <w:rsid w:val="001C03CB"/>
    <w:rsid w:val="001C5AD3"/>
    <w:rsid w:val="001E06EF"/>
    <w:rsid w:val="001E4261"/>
    <w:rsid w:val="001F399E"/>
    <w:rsid w:val="001F647B"/>
    <w:rsid w:val="00211D6E"/>
    <w:rsid w:val="00235C8B"/>
    <w:rsid w:val="00240147"/>
    <w:rsid w:val="002410FD"/>
    <w:rsid w:val="002716A2"/>
    <w:rsid w:val="00274755"/>
    <w:rsid w:val="002806A7"/>
    <w:rsid w:val="0028301B"/>
    <w:rsid w:val="002A2786"/>
    <w:rsid w:val="002B3EC8"/>
    <w:rsid w:val="002C58F7"/>
    <w:rsid w:val="00314957"/>
    <w:rsid w:val="00323E85"/>
    <w:rsid w:val="00352B32"/>
    <w:rsid w:val="00366290"/>
    <w:rsid w:val="00366F14"/>
    <w:rsid w:val="0037160B"/>
    <w:rsid w:val="003A2C61"/>
    <w:rsid w:val="003C1449"/>
    <w:rsid w:val="003C56EC"/>
    <w:rsid w:val="003E2ED1"/>
    <w:rsid w:val="003F7269"/>
    <w:rsid w:val="00426021"/>
    <w:rsid w:val="004313DC"/>
    <w:rsid w:val="00446EB3"/>
    <w:rsid w:val="0045087F"/>
    <w:rsid w:val="00450975"/>
    <w:rsid w:val="00481D03"/>
    <w:rsid w:val="004826C9"/>
    <w:rsid w:val="00484067"/>
    <w:rsid w:val="0048717F"/>
    <w:rsid w:val="004A06EE"/>
    <w:rsid w:val="004A5015"/>
    <w:rsid w:val="004B08EF"/>
    <w:rsid w:val="004F086C"/>
    <w:rsid w:val="004F7C23"/>
    <w:rsid w:val="005123CA"/>
    <w:rsid w:val="00551F00"/>
    <w:rsid w:val="005561EF"/>
    <w:rsid w:val="005667A9"/>
    <w:rsid w:val="005807E6"/>
    <w:rsid w:val="0058707D"/>
    <w:rsid w:val="005872BB"/>
    <w:rsid w:val="00596DF0"/>
    <w:rsid w:val="005B334E"/>
    <w:rsid w:val="005E0BF9"/>
    <w:rsid w:val="005E1DE8"/>
    <w:rsid w:val="005F1189"/>
    <w:rsid w:val="006070A8"/>
    <w:rsid w:val="00610F0B"/>
    <w:rsid w:val="00617D6F"/>
    <w:rsid w:val="00630C2F"/>
    <w:rsid w:val="006337A1"/>
    <w:rsid w:val="0063477B"/>
    <w:rsid w:val="00661A03"/>
    <w:rsid w:val="0067578A"/>
    <w:rsid w:val="00687904"/>
    <w:rsid w:val="00690815"/>
    <w:rsid w:val="006A66C2"/>
    <w:rsid w:val="006C147C"/>
    <w:rsid w:val="006C61AE"/>
    <w:rsid w:val="00711F29"/>
    <w:rsid w:val="00744FB7"/>
    <w:rsid w:val="007458B4"/>
    <w:rsid w:val="00760C8F"/>
    <w:rsid w:val="00774357"/>
    <w:rsid w:val="00784724"/>
    <w:rsid w:val="007B56F4"/>
    <w:rsid w:val="007C0744"/>
    <w:rsid w:val="007C2F6C"/>
    <w:rsid w:val="007C482E"/>
    <w:rsid w:val="007D4889"/>
    <w:rsid w:val="007D7CFF"/>
    <w:rsid w:val="007F6C1F"/>
    <w:rsid w:val="00802ED2"/>
    <w:rsid w:val="00803D72"/>
    <w:rsid w:val="00822573"/>
    <w:rsid w:val="008503BD"/>
    <w:rsid w:val="0086184F"/>
    <w:rsid w:val="00864EAB"/>
    <w:rsid w:val="00887190"/>
    <w:rsid w:val="008A0505"/>
    <w:rsid w:val="008C2DCE"/>
    <w:rsid w:val="008F429A"/>
    <w:rsid w:val="00912620"/>
    <w:rsid w:val="00921B80"/>
    <w:rsid w:val="009233B9"/>
    <w:rsid w:val="00923968"/>
    <w:rsid w:val="00982083"/>
    <w:rsid w:val="00993D6B"/>
    <w:rsid w:val="009A3D05"/>
    <w:rsid w:val="009A57E8"/>
    <w:rsid w:val="009E52C9"/>
    <w:rsid w:val="009E574A"/>
    <w:rsid w:val="009F17DB"/>
    <w:rsid w:val="009F7639"/>
    <w:rsid w:val="00A04D9C"/>
    <w:rsid w:val="00A16D24"/>
    <w:rsid w:val="00A33BB2"/>
    <w:rsid w:val="00A54454"/>
    <w:rsid w:val="00A54A1D"/>
    <w:rsid w:val="00A75579"/>
    <w:rsid w:val="00A83EED"/>
    <w:rsid w:val="00A86498"/>
    <w:rsid w:val="00A92464"/>
    <w:rsid w:val="00AA33F4"/>
    <w:rsid w:val="00AB3A65"/>
    <w:rsid w:val="00AB6293"/>
    <w:rsid w:val="00AB7053"/>
    <w:rsid w:val="00AC6C34"/>
    <w:rsid w:val="00AE1B82"/>
    <w:rsid w:val="00AF465C"/>
    <w:rsid w:val="00B02762"/>
    <w:rsid w:val="00B60444"/>
    <w:rsid w:val="00B75CB9"/>
    <w:rsid w:val="00B90A21"/>
    <w:rsid w:val="00B93851"/>
    <w:rsid w:val="00BA4F1C"/>
    <w:rsid w:val="00BB1411"/>
    <w:rsid w:val="00BB3AF8"/>
    <w:rsid w:val="00BB507D"/>
    <w:rsid w:val="00BC0580"/>
    <w:rsid w:val="00BE34F3"/>
    <w:rsid w:val="00BF44CB"/>
    <w:rsid w:val="00C02A8E"/>
    <w:rsid w:val="00C105CC"/>
    <w:rsid w:val="00C12EF5"/>
    <w:rsid w:val="00C31593"/>
    <w:rsid w:val="00C600BD"/>
    <w:rsid w:val="00C622A5"/>
    <w:rsid w:val="00C70EB6"/>
    <w:rsid w:val="00C82AD4"/>
    <w:rsid w:val="00C92830"/>
    <w:rsid w:val="00C964D5"/>
    <w:rsid w:val="00CC25B6"/>
    <w:rsid w:val="00CD73AB"/>
    <w:rsid w:val="00CF024D"/>
    <w:rsid w:val="00CF5287"/>
    <w:rsid w:val="00D14F97"/>
    <w:rsid w:val="00D15A1A"/>
    <w:rsid w:val="00D22239"/>
    <w:rsid w:val="00D22989"/>
    <w:rsid w:val="00D311F2"/>
    <w:rsid w:val="00D41E2D"/>
    <w:rsid w:val="00D50499"/>
    <w:rsid w:val="00D564BB"/>
    <w:rsid w:val="00D6553E"/>
    <w:rsid w:val="00D966D2"/>
    <w:rsid w:val="00DA3D27"/>
    <w:rsid w:val="00DD306F"/>
    <w:rsid w:val="00DE2016"/>
    <w:rsid w:val="00DF0A94"/>
    <w:rsid w:val="00E211C8"/>
    <w:rsid w:val="00E24C48"/>
    <w:rsid w:val="00E2624E"/>
    <w:rsid w:val="00E40842"/>
    <w:rsid w:val="00E40FCF"/>
    <w:rsid w:val="00E50CA1"/>
    <w:rsid w:val="00E5391F"/>
    <w:rsid w:val="00E702AF"/>
    <w:rsid w:val="00E961E2"/>
    <w:rsid w:val="00EC1658"/>
    <w:rsid w:val="00ED0C98"/>
    <w:rsid w:val="00EF17F8"/>
    <w:rsid w:val="00F132DA"/>
    <w:rsid w:val="00F14EEE"/>
    <w:rsid w:val="00F352AA"/>
    <w:rsid w:val="00F37B4D"/>
    <w:rsid w:val="00FA286A"/>
    <w:rsid w:val="00FB492F"/>
    <w:rsid w:val="00FD218C"/>
    <w:rsid w:val="00FD2231"/>
    <w:rsid w:val="00FD484B"/>
    <w:rsid w:val="00FD7324"/>
    <w:rsid w:val="00FD73C4"/>
    <w:rsid w:val="00FF0D94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E681E"/>
  <w15:chartTrackingRefBased/>
  <w15:docId w15:val="{B98D7234-774C-4149-BD03-FE5142FE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1D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8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3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8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85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8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4"/>
  </w:style>
  <w:style w:type="paragraph" w:styleId="Footer">
    <w:name w:val="footer"/>
    <w:basedOn w:val="Normal"/>
    <w:link w:val="FooterChar"/>
    <w:uiPriority w:val="99"/>
    <w:unhideWhenUsed/>
    <w:rsid w:val="007B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F4"/>
  </w:style>
  <w:style w:type="paragraph" w:styleId="Revision">
    <w:name w:val="Revision"/>
    <w:hidden/>
    <w:uiPriority w:val="99"/>
    <w:semiHidden/>
    <w:rsid w:val="006070A8"/>
    <w:pPr>
      <w:spacing w:after="0" w:line="240" w:lineRule="auto"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80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9F7639"/>
    <w:pPr>
      <w:numPr>
        <w:numId w:val="1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81dcdd7-3e43-49fb-ac1e-2321f7e63421}" enabled="1" method="Standard" siteId="{1321633e-f6b9-44e2-a44f-59b9d264ecb7}" contentBits="2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1425</ap:Words>
  <ap:Characters>7842</ap:Characters>
  <ap:DocSecurity>0</ap:DocSecurity>
  <ap:Lines>65</ap:Lines>
  <ap:Paragraphs>18</ap:Paragraphs>
  <ap:ScaleCrop>false</ap:ScaleCrop>
  <ap:HeadingPairs>
    <vt:vector baseType="variant" size="6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3">
      <vt:lpstr>Betere regelgeving - NL inzet nieuwe CIE 24-29</vt:lpstr>
      <vt:lpstr>Betere regelgeving - NL inzet nieuwe CIE 24-29</vt:lpstr>
      <vt:lpstr>Betere regelgeving - NL inzet nieuwe CIE 24-29</vt:lpstr>
    </vt:vector>
  </ap:TitlesOfParts>
  <ap:LinksUpToDate>false</ap:LinksUpToDate>
  <ap:CharactersWithSpaces>9249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2024-06-14T16:17:00.0000000Z</dcterms:created>
  <dcterms:modified xsi:type="dcterms:W3CDTF">2024-06-14T16:17:00.0000000Z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_Country">
    <vt:lpwstr>10;#Not applicable|ec01d90b-9d0f-4785-8785-e1ea615196bf</vt:lpwstr>
  </property>
  <property fmtid="{D5CDD505-2E9C-101B-9397-08002B2CF9AE}" pid="4" name="BZ_Theme">
    <vt:lpwstr>80;#EU policy-making|62445f8a-7f88-4a05-90cb-30e854042045</vt:lpwstr>
  </property>
  <property fmtid="{D5CDD505-2E9C-101B-9397-08002B2CF9AE}" pid="5" name="BZ_Classification">
    <vt:lpwstr>5;#UNCLASSIFIED|d92c6340-bc14-4cb2-a9a6-6deda93c493b;#155;#NO MARKING|879e64ec-6597-483b-94db-f5f70afd7299</vt:lpwstr>
  </property>
  <property fmtid="{D5CDD505-2E9C-101B-9397-08002B2CF9AE}" pid="6" name="BZ_Forum">
    <vt:lpwstr>4;#EU|4d8f9873-61b3-4ee5-b6f7-0bb00c6df5e8</vt:lpwstr>
  </property>
  <property fmtid="{D5CDD505-2E9C-101B-9397-08002B2CF9AE}" pid="7" name="DepartementDirectie">
    <vt:lpwstr>2;#DIE|fce1e14c-e2a1-43db-990d-13104f9ad50b</vt:lpwstr>
  </property>
  <property fmtid="{D5CDD505-2E9C-101B-9397-08002B2CF9AE}" pid="8" name="_dlc_DocIdItemGuid">
    <vt:lpwstr>704c69d7-b11f-4203-a82b-1df1973630ba</vt:lpwstr>
  </property>
  <property fmtid="{D5CDD505-2E9C-101B-9397-08002B2CF9AE}" pid="9" name="_docset_NoMedatataSyncRequired">
    <vt:lpwstr>False</vt:lpwstr>
  </property>
  <property fmtid="{D5CDD505-2E9C-101B-9397-08002B2CF9AE}" pid="10" name="MSIP_Label_5097a60d-5525-435b-8989-8eb48ac0c8cd_Enabled">
    <vt:lpwstr>true</vt:lpwstr>
  </property>
  <property fmtid="{D5CDD505-2E9C-101B-9397-08002B2CF9AE}" pid="11" name="MSIP_Label_5097a60d-5525-435b-8989-8eb48ac0c8cd_SetDate">
    <vt:lpwstr>2024-04-22T12:18:30Z</vt:lpwstr>
  </property>
  <property fmtid="{D5CDD505-2E9C-101B-9397-08002B2CF9AE}" pid="12" name="MSIP_Label_5097a60d-5525-435b-8989-8eb48ac0c8cd_Method">
    <vt:lpwstr>Standard</vt:lpwstr>
  </property>
  <property fmtid="{D5CDD505-2E9C-101B-9397-08002B2CF9AE}" pid="13" name="MSIP_Label_5097a60d-5525-435b-8989-8eb48ac0c8cd_Name">
    <vt:lpwstr>defa4170-0d19-0005-0004-bc88714345d2</vt:lpwstr>
  </property>
  <property fmtid="{D5CDD505-2E9C-101B-9397-08002B2CF9AE}" pid="14" name="MSIP_Label_5097a60d-5525-435b-8989-8eb48ac0c8cd_SiteId">
    <vt:lpwstr>3e90938b-8b27-4762-b4e8-006a8127a119</vt:lpwstr>
  </property>
  <property fmtid="{D5CDD505-2E9C-101B-9397-08002B2CF9AE}" pid="15" name="MSIP_Label_5097a60d-5525-435b-8989-8eb48ac0c8cd_ActionId">
    <vt:lpwstr>fde00d4d-c301-4aaa-8831-da62120e7f25</vt:lpwstr>
  </property>
  <property fmtid="{D5CDD505-2E9C-101B-9397-08002B2CF9AE}" pid="16" name="MSIP_Label_5097a60d-5525-435b-8989-8eb48ac0c8cd_ContentBits">
    <vt:lpwstr>0</vt:lpwstr>
  </property>
  <property fmtid="{D5CDD505-2E9C-101B-9397-08002B2CF9AE}" pid="17" name="MediaServiceImageTags">
    <vt:lpwstr/>
  </property>
  <property fmtid="{D5CDD505-2E9C-101B-9397-08002B2CF9AE}" pid="18" name="ClassificationContentMarkingFooterShapeIds">
    <vt:lpwstr>1,2,3</vt:lpwstr>
  </property>
  <property fmtid="{D5CDD505-2E9C-101B-9397-08002B2CF9AE}" pid="19" name="ClassificationContentMarkingFooterFontProps">
    <vt:lpwstr>#000000,10,Calibri</vt:lpwstr>
  </property>
  <property fmtid="{D5CDD505-2E9C-101B-9397-08002B2CF9AE}" pid="20" name="ClassificationContentMarkingFooterText">
    <vt:lpwstr>Intern gebruik</vt:lpwstr>
  </property>
  <property fmtid="{D5CDD505-2E9C-101B-9397-08002B2CF9AE}" pid="21" name="ContentRemapped">
    <vt:lpwstr>true</vt:lpwstr>
  </property>
  <property fmtid="{D5CDD505-2E9C-101B-9397-08002B2CF9AE}" pid="22" name="SD_DocumentLanguage">
    <vt:lpwstr>da-DK</vt:lpwstr>
  </property>
  <property fmtid="{D5CDD505-2E9C-101B-9397-08002B2CF9AE}" pid="23" name="BZForumOrganisation">
    <vt:lpwstr>2;#Not applicable|0049e722-bfb1-4a3f-9d08-af7366a9af40</vt:lpwstr>
  </property>
  <property fmtid="{D5CDD505-2E9C-101B-9397-08002B2CF9AE}" pid="24" name="BZTheme">
    <vt:lpwstr>1;#Not applicable|ec01d90b-9d0f-4785-8785-e1ea615196bf</vt:lpwstr>
  </property>
  <property fmtid="{D5CDD505-2E9C-101B-9397-08002B2CF9AE}" pid="25" name="BZCountryState">
    <vt:lpwstr>3;#Not applicable|ec01d90b-9d0f-4785-8785-e1ea615196bf</vt:lpwstr>
  </property>
  <property fmtid="{D5CDD505-2E9C-101B-9397-08002B2CF9AE}" pid="26" name="BZMarking">
    <vt:lpwstr>5;#NO MARKING|0a4eb9ae-69eb-4d9e-b573-43ab99ef8592</vt:lpwstr>
  </property>
  <property fmtid="{D5CDD505-2E9C-101B-9397-08002B2CF9AE}" pid="27" name="BZClassification">
    <vt:lpwstr>4;#UNCLASSIFIED (U)|284e6a62-15ab-4017-be27-a1e965f4e940</vt:lpwstr>
  </property>
</Properties>
</file>