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6478" w:rsidR="00185599" w:rsidP="00663541" w:rsidRDefault="00CB4193" w14:paraId="59D14B69" w14:textId="00864934">
      <w:pPr>
        <w:spacing w:after="0" w:line="240" w:lineRule="auto"/>
        <w:rPr>
          <w:rFonts w:ascii="Calibri" w:hAnsi="Calibri" w:cs="Calibri"/>
          <w:b/>
          <w:bCs/>
        </w:rPr>
      </w:pPr>
      <w:r w:rsidRPr="005C6478">
        <w:rPr>
          <w:rFonts w:ascii="Calibri" w:hAnsi="Calibri" w:cs="Calibri"/>
          <w:b/>
          <w:bCs/>
        </w:rPr>
        <w:t>Notitie Wet internationalisering in balans</w:t>
      </w:r>
    </w:p>
    <w:p w:rsidRPr="005C6478" w:rsidR="00CB4193" w:rsidP="00663541" w:rsidRDefault="00CB4193" w14:paraId="1B9ACA4E" w14:textId="14B521F7">
      <w:pPr>
        <w:spacing w:after="0" w:line="240" w:lineRule="auto"/>
        <w:rPr>
          <w:rFonts w:ascii="Calibri" w:hAnsi="Calibri" w:cs="Calibri"/>
          <w:b/>
          <w:bCs/>
        </w:rPr>
      </w:pPr>
      <w:r w:rsidRPr="005C6478">
        <w:rPr>
          <w:rFonts w:ascii="Calibri" w:hAnsi="Calibri" w:cs="Calibri"/>
          <w:b/>
          <w:bCs/>
        </w:rPr>
        <w:t>8 juni 2024</w:t>
      </w:r>
    </w:p>
    <w:p w:rsidRPr="005C6478" w:rsidR="00CB4193" w:rsidP="00663541" w:rsidRDefault="00CB4193" w14:paraId="793B1767" w14:textId="4282FFE1">
      <w:pPr>
        <w:spacing w:after="0" w:line="240" w:lineRule="auto"/>
        <w:rPr>
          <w:rFonts w:ascii="Calibri" w:hAnsi="Calibri" w:cs="Calibri"/>
          <w:b/>
          <w:bCs/>
        </w:rPr>
      </w:pPr>
      <w:r w:rsidRPr="005C6478">
        <w:rPr>
          <w:rFonts w:ascii="Calibri" w:hAnsi="Calibri" w:cs="Calibri"/>
          <w:b/>
          <w:bCs/>
        </w:rPr>
        <w:t>Prof. dr. Lotte Jensen</w:t>
      </w:r>
      <w:r w:rsidRPr="005C6478" w:rsidR="00663541">
        <w:rPr>
          <w:rFonts w:ascii="Calibri" w:hAnsi="Calibri" w:cs="Calibri"/>
          <w:b/>
          <w:bCs/>
        </w:rPr>
        <w:t xml:space="preserve">, </w:t>
      </w:r>
      <w:r w:rsidRPr="005C6478">
        <w:rPr>
          <w:rFonts w:ascii="Calibri" w:hAnsi="Calibri" w:cs="Calibri"/>
          <w:b/>
          <w:bCs/>
        </w:rPr>
        <w:t>Radboud Universiteit Nijmegen</w:t>
      </w:r>
    </w:p>
    <w:p w:rsidRPr="005C6478" w:rsidR="005C6478" w:rsidRDefault="005C6478" w14:paraId="15B9CB30" w14:textId="77777777">
      <w:pPr>
        <w:rPr>
          <w:rFonts w:ascii="Calibri" w:hAnsi="Calibri" w:cs="Calibri"/>
        </w:rPr>
      </w:pPr>
    </w:p>
    <w:p w:rsidRPr="005C6478" w:rsidR="00375CD9" w:rsidRDefault="00CB4193" w14:paraId="446C9D95" w14:textId="18BCD05C">
      <w:pPr>
        <w:rPr>
          <w:rFonts w:ascii="Calibri" w:hAnsi="Calibri" w:cs="Calibri"/>
        </w:rPr>
      </w:pPr>
      <w:r w:rsidRPr="005C6478">
        <w:rPr>
          <w:rFonts w:ascii="Calibri" w:hAnsi="Calibri" w:cs="Calibri"/>
        </w:rPr>
        <w:t xml:space="preserve">Dank voor de gelegenheid om te mogen reageren om het wetsvoorstel internationalisering in balans. De wet beoogt </w:t>
      </w:r>
      <w:r w:rsidR="005C6478">
        <w:rPr>
          <w:rFonts w:ascii="Calibri" w:hAnsi="Calibri" w:cs="Calibri"/>
        </w:rPr>
        <w:t>instellingen in het hoger onderwijs</w:t>
      </w:r>
      <w:r w:rsidRPr="005C6478">
        <w:rPr>
          <w:rFonts w:ascii="Calibri" w:hAnsi="Calibri" w:cs="Calibri"/>
        </w:rPr>
        <w:t xml:space="preserve"> instrumenten in handen te geven zodat ze beter kunnen sturen op de instroom van </w:t>
      </w:r>
      <w:r w:rsidRPr="005C6478" w:rsidR="00D35596">
        <w:rPr>
          <w:rFonts w:ascii="Calibri" w:hAnsi="Calibri" w:cs="Calibri"/>
        </w:rPr>
        <w:t>internationale</w:t>
      </w:r>
      <w:r w:rsidRPr="005C6478">
        <w:rPr>
          <w:rFonts w:ascii="Calibri" w:hAnsi="Calibri" w:cs="Calibri"/>
        </w:rPr>
        <w:t xml:space="preserve"> studenten. </w:t>
      </w:r>
      <w:r w:rsidRPr="005C6478" w:rsidR="00161ED5">
        <w:rPr>
          <w:rFonts w:ascii="Calibri" w:hAnsi="Calibri" w:cs="Calibri"/>
        </w:rPr>
        <w:t xml:space="preserve">Een van de meest effectieve voorstellen om die instroom te reguleren betreft de mogelijkheid om het maximaal aantal in te schrijven </w:t>
      </w:r>
      <w:r w:rsidRPr="005C6478" w:rsidR="00B847B5">
        <w:rPr>
          <w:rFonts w:ascii="Calibri" w:hAnsi="Calibri" w:cs="Calibri"/>
        </w:rPr>
        <w:t xml:space="preserve">internationale </w:t>
      </w:r>
      <w:r w:rsidRPr="005C6478" w:rsidR="00161ED5">
        <w:rPr>
          <w:rFonts w:ascii="Calibri" w:hAnsi="Calibri" w:cs="Calibri"/>
        </w:rPr>
        <w:t xml:space="preserve">studenten in de propedeutische fase </w:t>
      </w:r>
      <w:r w:rsidR="005A595B">
        <w:rPr>
          <w:rFonts w:ascii="Calibri" w:hAnsi="Calibri" w:cs="Calibri"/>
        </w:rPr>
        <w:t xml:space="preserve">met instemming van de minister </w:t>
      </w:r>
      <w:r w:rsidRPr="005C6478" w:rsidR="00161ED5">
        <w:rPr>
          <w:rFonts w:ascii="Calibri" w:hAnsi="Calibri" w:cs="Calibri"/>
        </w:rPr>
        <w:t>te kunnen beperken (Artikel 6.3, vierde lid</w:t>
      </w:r>
      <w:r w:rsidRPr="005C6478" w:rsidR="00B847B5">
        <w:rPr>
          <w:rFonts w:ascii="Calibri" w:hAnsi="Calibri" w:cs="Calibri"/>
        </w:rPr>
        <w:t>; artikel 7.54c).</w:t>
      </w:r>
      <w:r w:rsidR="005C6478">
        <w:rPr>
          <w:rFonts w:ascii="Calibri" w:hAnsi="Calibri" w:cs="Calibri"/>
        </w:rPr>
        <w:t xml:space="preserve"> </w:t>
      </w:r>
      <w:r w:rsidRPr="005C6478" w:rsidR="00B847B5">
        <w:rPr>
          <w:rFonts w:ascii="Calibri" w:hAnsi="Calibri" w:cs="Calibri"/>
        </w:rPr>
        <w:t xml:space="preserve">Daarnaast moet deze wet er voor zorgen dat er een betere balans komt tussen het aantal Engelstalige en Nederlands- </w:t>
      </w:r>
      <w:r w:rsidR="005A595B">
        <w:rPr>
          <w:rFonts w:ascii="Calibri" w:hAnsi="Calibri" w:cs="Calibri"/>
        </w:rPr>
        <w:t>of</w:t>
      </w:r>
      <w:r w:rsidRPr="005C6478" w:rsidR="00B847B5">
        <w:rPr>
          <w:rFonts w:ascii="Calibri" w:hAnsi="Calibri" w:cs="Calibri"/>
        </w:rPr>
        <w:t xml:space="preserve"> anderstalige opleidingen. Of die doelstelling </w:t>
      </w:r>
      <w:r w:rsidR="005C6478">
        <w:rPr>
          <w:rFonts w:ascii="Calibri" w:hAnsi="Calibri" w:cs="Calibri"/>
        </w:rPr>
        <w:t xml:space="preserve">met dit wetsvoorstel </w:t>
      </w:r>
      <w:r w:rsidRPr="005C6478" w:rsidR="00B847B5">
        <w:rPr>
          <w:rFonts w:ascii="Calibri" w:hAnsi="Calibri" w:cs="Calibri"/>
        </w:rPr>
        <w:t>wordt bereikt</w:t>
      </w:r>
      <w:r w:rsidR="005C6478">
        <w:rPr>
          <w:rFonts w:ascii="Calibri" w:hAnsi="Calibri" w:cs="Calibri"/>
        </w:rPr>
        <w:t>, betwijfel ik</w:t>
      </w:r>
      <w:r w:rsidRPr="005C6478" w:rsidR="00B847B5">
        <w:rPr>
          <w:rFonts w:ascii="Calibri" w:hAnsi="Calibri" w:cs="Calibri"/>
        </w:rPr>
        <w:t xml:space="preserve">. </w:t>
      </w:r>
      <w:r w:rsidRPr="005C6478" w:rsidR="00375CD9">
        <w:rPr>
          <w:rFonts w:ascii="Calibri" w:hAnsi="Calibri" w:cs="Calibri"/>
        </w:rPr>
        <w:t>Dat deze wet er komt is goed en noodzakelijk,</w:t>
      </w:r>
      <w:r w:rsidRPr="005C6478" w:rsidR="00BB6756">
        <w:rPr>
          <w:rFonts w:ascii="Calibri" w:hAnsi="Calibri" w:cs="Calibri"/>
        </w:rPr>
        <w:t xml:space="preserve"> maar ik</w:t>
      </w:r>
      <w:r w:rsidRPr="005C6478" w:rsidR="00375CD9">
        <w:rPr>
          <w:rFonts w:ascii="Calibri" w:hAnsi="Calibri" w:cs="Calibri"/>
        </w:rPr>
        <w:t xml:space="preserve"> benoem </w:t>
      </w:r>
      <w:r w:rsidRPr="005C6478" w:rsidR="00650F13">
        <w:rPr>
          <w:rFonts w:ascii="Calibri" w:hAnsi="Calibri" w:cs="Calibri"/>
        </w:rPr>
        <w:t>twee</w:t>
      </w:r>
      <w:r w:rsidRPr="005C6478" w:rsidR="00375CD9">
        <w:rPr>
          <w:rFonts w:ascii="Calibri" w:hAnsi="Calibri" w:cs="Calibri"/>
        </w:rPr>
        <w:t xml:space="preserve"> punten van zorg</w:t>
      </w:r>
      <w:r w:rsidRPr="005C6478" w:rsidR="00B847B5">
        <w:rPr>
          <w:rFonts w:ascii="Calibri" w:hAnsi="Calibri" w:cs="Calibri"/>
        </w:rPr>
        <w:t xml:space="preserve">. </w:t>
      </w:r>
    </w:p>
    <w:p w:rsidRPr="005C6478" w:rsidR="00853F5C" w:rsidP="00853F5C" w:rsidRDefault="00BB6756" w14:paraId="67F4FD74" w14:textId="47F72AC3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5C6478">
        <w:rPr>
          <w:rFonts w:ascii="Calibri" w:hAnsi="Calibri" w:cs="Calibri"/>
          <w:u w:val="single"/>
        </w:rPr>
        <w:t>De uitzonderingsregels zijn zo ruim geformuleerd dat het risico bestaat dat er niets verandert</w:t>
      </w:r>
      <w:r w:rsidRPr="005C6478" w:rsidR="00161ED5">
        <w:rPr>
          <w:rFonts w:ascii="Calibri" w:hAnsi="Calibri" w:cs="Calibri"/>
          <w:u w:val="single"/>
        </w:rPr>
        <w:t xml:space="preserve"> of dat het aantal Engelstalige bacheloropleidingen groeit</w:t>
      </w:r>
      <w:r w:rsidRPr="005C6478">
        <w:rPr>
          <w:rFonts w:ascii="Calibri" w:hAnsi="Calibri" w:cs="Calibri"/>
        </w:rPr>
        <w:t>. Ook in dit gewijzigde wetsvoorstel moeten</w:t>
      </w:r>
      <w:r w:rsidRPr="005C6478" w:rsidR="00375CD9">
        <w:rPr>
          <w:rFonts w:ascii="Calibri" w:hAnsi="Calibri" w:cs="Calibri"/>
        </w:rPr>
        <w:t xml:space="preserve"> bacheloropleidingen die meer dan een derde van de vakken in het Engels willen doceren</w:t>
      </w:r>
      <w:r w:rsidRPr="005C6478">
        <w:rPr>
          <w:rFonts w:ascii="Calibri" w:hAnsi="Calibri" w:cs="Calibri"/>
        </w:rPr>
        <w:t>,</w:t>
      </w:r>
      <w:r w:rsidRPr="005C6478" w:rsidR="00375CD9">
        <w:rPr>
          <w:rFonts w:ascii="Calibri" w:hAnsi="Calibri" w:cs="Calibri"/>
        </w:rPr>
        <w:t xml:space="preserve"> eerst de doelmatigheidstoets anderstalig onderwijs doorlopen</w:t>
      </w:r>
      <w:r w:rsidRPr="005C6478">
        <w:rPr>
          <w:rFonts w:ascii="Calibri" w:hAnsi="Calibri" w:cs="Calibri"/>
        </w:rPr>
        <w:t xml:space="preserve">. </w:t>
      </w:r>
      <w:r w:rsidRPr="005C6478" w:rsidR="00853F5C">
        <w:rPr>
          <w:rFonts w:ascii="Calibri" w:hAnsi="Calibri" w:cs="Calibri"/>
        </w:rPr>
        <w:t>Om te voldoen aan de eisen van de doelmatigheidstoets anderstalig onderwijs zal een opleiding aan één van deze vier uitzonderingsgronden moeten voldoen:</w:t>
      </w:r>
    </w:p>
    <w:p w:rsidRPr="005C6478" w:rsidR="00853F5C" w:rsidP="00853F5C" w:rsidRDefault="00853F5C" w14:paraId="44CB4BD0" w14:textId="77777777">
      <w:pPr>
        <w:pStyle w:val="Lijstalinea"/>
        <w:rPr>
          <w:rFonts w:ascii="Calibri" w:hAnsi="Calibri" w:cs="Calibri"/>
        </w:rPr>
      </w:pPr>
    </w:p>
    <w:p w:rsidRPr="005C6478" w:rsidR="00853F5C" w:rsidP="00853F5C" w:rsidRDefault="00853F5C" w14:paraId="2FE04EBD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5C6478">
        <w:rPr>
          <w:rFonts w:ascii="Calibri" w:hAnsi="Calibri" w:cs="Calibri"/>
        </w:rPr>
        <w:t>Regionale arbeidsomstandigheden</w:t>
      </w:r>
    </w:p>
    <w:p w:rsidRPr="005C6478" w:rsidR="00853F5C" w:rsidP="00853F5C" w:rsidRDefault="00853F5C" w14:paraId="37801CC6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5C6478">
        <w:rPr>
          <w:rFonts w:ascii="Calibri" w:hAnsi="Calibri" w:cs="Calibri"/>
        </w:rPr>
        <w:t>Arbeidsmarkt</w:t>
      </w:r>
    </w:p>
    <w:p w:rsidRPr="005C6478" w:rsidR="00853F5C" w:rsidP="00853F5C" w:rsidRDefault="00853F5C" w14:paraId="5BC4D413" w14:textId="4EF58195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5C6478">
        <w:rPr>
          <w:rFonts w:ascii="Calibri" w:hAnsi="Calibri" w:cs="Calibri"/>
        </w:rPr>
        <w:t>Internationale uniciteit</w:t>
      </w:r>
    </w:p>
    <w:p w:rsidRPr="005C6478" w:rsidR="00375CD9" w:rsidP="00853F5C" w:rsidRDefault="00853F5C" w14:paraId="7683E13E" w14:textId="121F7830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5C6478">
        <w:rPr>
          <w:rFonts w:ascii="Calibri" w:hAnsi="Calibri" w:cs="Calibri"/>
        </w:rPr>
        <w:t xml:space="preserve">Internationale positionering </w:t>
      </w:r>
    </w:p>
    <w:p w:rsidRPr="005C6478" w:rsidR="00853F5C" w:rsidP="00853F5C" w:rsidRDefault="00853F5C" w14:paraId="21F5D421" w14:textId="2DF84C8F">
      <w:pPr>
        <w:ind w:left="708"/>
        <w:rPr>
          <w:rFonts w:ascii="Calibri" w:hAnsi="Calibri" w:cs="Calibri"/>
        </w:rPr>
      </w:pPr>
      <w:r w:rsidRPr="005C6478">
        <w:rPr>
          <w:rFonts w:ascii="Calibri" w:hAnsi="Calibri" w:cs="Calibri"/>
        </w:rPr>
        <w:t>Het risico bestaat dat iedere opleiding die nu Engelstalig is o</w:t>
      </w:r>
      <w:r w:rsidRPr="005C6478" w:rsidR="00AD450B">
        <w:rPr>
          <w:rFonts w:ascii="Calibri" w:hAnsi="Calibri" w:cs="Calibri"/>
        </w:rPr>
        <w:t>f</w:t>
      </w:r>
      <w:r w:rsidRPr="005C6478">
        <w:rPr>
          <w:rFonts w:ascii="Calibri" w:hAnsi="Calibri" w:cs="Calibri"/>
        </w:rPr>
        <w:t xml:space="preserve"> dat wil worden, op één van die vier ui</w:t>
      </w:r>
      <w:r w:rsidRPr="005C6478" w:rsidR="00AD450B">
        <w:rPr>
          <w:rFonts w:ascii="Calibri" w:hAnsi="Calibri" w:cs="Calibri"/>
        </w:rPr>
        <w:t>t</w:t>
      </w:r>
      <w:r w:rsidRPr="005C6478">
        <w:rPr>
          <w:rFonts w:ascii="Calibri" w:hAnsi="Calibri" w:cs="Calibri"/>
        </w:rPr>
        <w:t>z</w:t>
      </w:r>
      <w:r w:rsidRPr="005C6478" w:rsidR="00AD450B">
        <w:rPr>
          <w:rFonts w:ascii="Calibri" w:hAnsi="Calibri" w:cs="Calibri"/>
        </w:rPr>
        <w:t>o</w:t>
      </w:r>
      <w:r w:rsidRPr="005C6478">
        <w:rPr>
          <w:rFonts w:ascii="Calibri" w:hAnsi="Calibri" w:cs="Calibri"/>
        </w:rPr>
        <w:t xml:space="preserve">nderingsgronden een beroep zal gaan doen. De criteria zijn </w:t>
      </w:r>
      <w:hyperlink w:history="1" r:id="rId5">
        <w:r w:rsidRPr="005C6478">
          <w:rPr>
            <w:rStyle w:val="Hyperlink"/>
            <w:rFonts w:ascii="Calibri" w:hAnsi="Calibri" w:cs="Calibri"/>
          </w:rPr>
          <w:t xml:space="preserve">zo </w:t>
        </w:r>
        <w:r w:rsidRPr="005C6478" w:rsidR="00AD450B">
          <w:rPr>
            <w:rStyle w:val="Hyperlink"/>
            <w:rFonts w:ascii="Calibri" w:hAnsi="Calibri" w:cs="Calibri"/>
          </w:rPr>
          <w:t xml:space="preserve">ruim en onduidelijk </w:t>
        </w:r>
        <w:r w:rsidRPr="005C6478">
          <w:rPr>
            <w:rStyle w:val="Hyperlink"/>
            <w:rFonts w:ascii="Calibri" w:hAnsi="Calibri" w:cs="Calibri"/>
          </w:rPr>
          <w:t>geformuleerd</w:t>
        </w:r>
      </w:hyperlink>
      <w:r w:rsidRPr="005C6478">
        <w:rPr>
          <w:rFonts w:ascii="Calibri" w:hAnsi="Calibri" w:cs="Calibri"/>
        </w:rPr>
        <w:t xml:space="preserve"> dat er alle ruimte ontstaat voor </w:t>
      </w:r>
      <w:r w:rsidRPr="005C6478" w:rsidR="00AD450B">
        <w:rPr>
          <w:rFonts w:ascii="Calibri" w:hAnsi="Calibri" w:cs="Calibri"/>
        </w:rPr>
        <w:t>marchanderen. Gevolg: er verandert niets ten opzichte van de huidige situatie.</w:t>
      </w:r>
    </w:p>
    <w:p w:rsidRPr="005C6478" w:rsidR="00161ED5" w:rsidP="00161ED5" w:rsidRDefault="00650F13" w14:paraId="18DCD97E" w14:textId="77777777">
      <w:pPr>
        <w:ind w:left="708"/>
        <w:rPr>
          <w:rFonts w:ascii="Calibri" w:hAnsi="Calibri" w:cs="Calibri"/>
        </w:rPr>
      </w:pPr>
      <w:r w:rsidRPr="005C6478">
        <w:rPr>
          <w:rFonts w:ascii="Calibri" w:hAnsi="Calibri" w:cs="Calibri"/>
        </w:rPr>
        <w:t>M</w:t>
      </w:r>
      <w:r w:rsidRPr="005C6478" w:rsidR="00AD450B">
        <w:rPr>
          <w:rFonts w:ascii="Calibri" w:hAnsi="Calibri" w:cs="Calibri"/>
        </w:rPr>
        <w:t xml:space="preserve">ocht de politiek uitzonderingsgronden willen formuleren, dan dienen die precies en begrijpelijk geformuleerd te moeten worden, zodat het voor iedere burger begrijpelijk is wanneer een opleiding daaraan voldoet. </w:t>
      </w:r>
    </w:p>
    <w:p w:rsidRPr="005C6478" w:rsidR="005C6478" w:rsidP="001E1356" w:rsidRDefault="00650F13" w14:paraId="2A1840B6" w14:textId="790DE764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005C6478">
        <w:rPr>
          <w:rFonts w:ascii="Calibri" w:hAnsi="Calibri" w:cs="Calibri"/>
          <w:u w:val="single"/>
        </w:rPr>
        <w:t>De masteropleidingen blijven ten onrechte buiten beschouwing</w:t>
      </w:r>
      <w:r w:rsidRPr="005C6478">
        <w:rPr>
          <w:rFonts w:ascii="Calibri" w:hAnsi="Calibri" w:cs="Calibri"/>
        </w:rPr>
        <w:t>.</w:t>
      </w:r>
      <w:r w:rsidRPr="005C6478" w:rsidR="00A90001">
        <w:rPr>
          <w:rFonts w:ascii="Calibri" w:hAnsi="Calibri" w:cs="Calibri"/>
        </w:rPr>
        <w:t xml:space="preserve"> </w:t>
      </w:r>
      <w:r w:rsidRPr="005C6478" w:rsidR="00AD450B">
        <w:rPr>
          <w:rFonts w:ascii="Calibri" w:hAnsi="Calibri" w:cs="Calibri"/>
        </w:rPr>
        <w:t xml:space="preserve">Het is begrijpelijk dat een groot deel van het masteronderwijs in het Engels wordt verzorgd, maar </w:t>
      </w:r>
      <w:r w:rsidRPr="005C6478">
        <w:rPr>
          <w:rFonts w:ascii="Calibri" w:hAnsi="Calibri" w:cs="Calibri"/>
        </w:rPr>
        <w:t>ook in deze opleidingsfase moet</w:t>
      </w:r>
      <w:r w:rsidRPr="005C6478" w:rsidR="00B847B5">
        <w:rPr>
          <w:rFonts w:ascii="Calibri" w:hAnsi="Calibri" w:cs="Calibri"/>
        </w:rPr>
        <w:t xml:space="preserve"> een </w:t>
      </w:r>
      <w:r w:rsidRPr="005C6478">
        <w:rPr>
          <w:rFonts w:ascii="Calibri" w:hAnsi="Calibri" w:cs="Calibri"/>
        </w:rPr>
        <w:t>voldoende aantal Nederlands</w:t>
      </w:r>
      <w:r w:rsidR="005C6478">
        <w:rPr>
          <w:rFonts w:ascii="Calibri" w:hAnsi="Calibri" w:cs="Calibri"/>
        </w:rPr>
        <w:t>-</w:t>
      </w:r>
      <w:r w:rsidRPr="005C6478">
        <w:rPr>
          <w:rFonts w:ascii="Calibri" w:hAnsi="Calibri" w:cs="Calibri"/>
        </w:rPr>
        <w:t xml:space="preserve"> </w:t>
      </w:r>
      <w:r w:rsidRPr="005C6478" w:rsidR="00663541">
        <w:rPr>
          <w:rFonts w:ascii="Calibri" w:hAnsi="Calibri" w:cs="Calibri"/>
        </w:rPr>
        <w:t xml:space="preserve">of </w:t>
      </w:r>
      <w:r w:rsidR="005C6478">
        <w:rPr>
          <w:rFonts w:ascii="Calibri" w:hAnsi="Calibri" w:cs="Calibri"/>
        </w:rPr>
        <w:t>anders</w:t>
      </w:r>
      <w:r w:rsidRPr="005C6478" w:rsidR="00663541">
        <w:rPr>
          <w:rFonts w:ascii="Calibri" w:hAnsi="Calibri" w:cs="Calibri"/>
        </w:rPr>
        <w:t xml:space="preserve">talige </w:t>
      </w:r>
      <w:r w:rsidRPr="005C6478">
        <w:rPr>
          <w:rFonts w:ascii="Calibri" w:hAnsi="Calibri" w:cs="Calibri"/>
        </w:rPr>
        <w:t xml:space="preserve">opleidingen </w:t>
      </w:r>
      <w:r w:rsidRPr="005C6478" w:rsidR="005C6478">
        <w:rPr>
          <w:rFonts w:ascii="Calibri" w:hAnsi="Calibri" w:cs="Calibri"/>
        </w:rPr>
        <w:t>gewaarborgd zijn</w:t>
      </w:r>
      <w:r w:rsidRPr="005C6478" w:rsidR="00663541">
        <w:rPr>
          <w:rFonts w:ascii="Calibri" w:hAnsi="Calibri" w:cs="Calibri"/>
        </w:rPr>
        <w:t xml:space="preserve"> (</w:t>
      </w:r>
      <w:hyperlink w:history="1" r:id="rId6">
        <w:r w:rsidRPr="005C6478" w:rsidR="00663541">
          <w:rPr>
            <w:rStyle w:val="Hyperlink"/>
            <w:rFonts w:ascii="Calibri" w:hAnsi="Calibri" w:cs="Calibri"/>
          </w:rPr>
          <w:t>76 % is uitsluitend Engelstalig, tegenover 14 % Nederlandstalig</w:t>
        </w:r>
      </w:hyperlink>
      <w:r w:rsidRPr="005C6478" w:rsidR="00663541">
        <w:rPr>
          <w:rFonts w:ascii="Calibri" w:hAnsi="Calibri" w:cs="Calibri"/>
        </w:rPr>
        <w:t xml:space="preserve">). </w:t>
      </w:r>
    </w:p>
    <w:p w:rsidR="005C6478" w:rsidP="005C6478" w:rsidRDefault="005C6478" w14:paraId="77DC4157" w14:textId="77777777">
      <w:pPr>
        <w:spacing w:after="0" w:line="240" w:lineRule="auto"/>
        <w:ind w:left="360"/>
        <w:rPr>
          <w:rFonts w:ascii="Calibri" w:hAnsi="Calibri" w:cs="Calibri"/>
        </w:rPr>
      </w:pPr>
    </w:p>
    <w:p w:rsidRPr="005C6478" w:rsidR="00CB4193" w:rsidP="005C6478" w:rsidRDefault="00650F13" w14:paraId="56DAF224" w14:textId="2DB4DD7B">
      <w:pPr>
        <w:spacing w:after="0" w:line="240" w:lineRule="auto"/>
        <w:ind w:left="360"/>
        <w:rPr>
          <w:rFonts w:ascii="Calibri" w:hAnsi="Calibri" w:cs="Calibri"/>
          <w:b/>
          <w:bCs/>
        </w:rPr>
      </w:pPr>
      <w:r w:rsidRPr="005C6478">
        <w:rPr>
          <w:rFonts w:ascii="Calibri" w:hAnsi="Calibri" w:cs="Calibri"/>
        </w:rPr>
        <w:t>Tot slot merk ik graag op dat de universiteit</w:t>
      </w:r>
      <w:r w:rsidRPr="005C6478" w:rsidR="00161ED5">
        <w:rPr>
          <w:rFonts w:ascii="Calibri" w:hAnsi="Calibri" w:cs="Calibri"/>
        </w:rPr>
        <w:t>sbestuurders</w:t>
      </w:r>
      <w:r w:rsidRPr="005C6478">
        <w:rPr>
          <w:rFonts w:ascii="Calibri" w:hAnsi="Calibri" w:cs="Calibri"/>
        </w:rPr>
        <w:t xml:space="preserve"> zelf </w:t>
      </w:r>
      <w:hyperlink w:history="1" r:id="rId7">
        <w:r w:rsidRPr="005C6478">
          <w:rPr>
            <w:rStyle w:val="Hyperlink"/>
            <w:rFonts w:ascii="Calibri" w:hAnsi="Calibri" w:cs="Calibri"/>
          </w:rPr>
          <w:t>hun verantwoordelijkheid</w:t>
        </w:r>
      </w:hyperlink>
      <w:r w:rsidRPr="005C6478">
        <w:rPr>
          <w:rFonts w:ascii="Calibri" w:hAnsi="Calibri" w:cs="Calibri"/>
        </w:rPr>
        <w:t xml:space="preserve"> dienen te nemen </w:t>
      </w:r>
      <w:r w:rsidR="005C6478">
        <w:rPr>
          <w:rFonts w:ascii="Calibri" w:hAnsi="Calibri" w:cs="Calibri"/>
        </w:rPr>
        <w:t xml:space="preserve">in </w:t>
      </w:r>
      <w:r w:rsidRPr="005C6478">
        <w:rPr>
          <w:rFonts w:ascii="Calibri" w:hAnsi="Calibri" w:cs="Calibri"/>
        </w:rPr>
        <w:t>dit dossier.</w:t>
      </w:r>
      <w:r w:rsidRPr="005C6478" w:rsidR="00663541">
        <w:rPr>
          <w:rFonts w:ascii="Calibri" w:hAnsi="Calibri" w:cs="Calibri"/>
        </w:rPr>
        <w:t xml:space="preserve"> </w:t>
      </w:r>
      <w:r w:rsidRPr="005C6478" w:rsidR="00161ED5">
        <w:rPr>
          <w:rFonts w:ascii="Calibri" w:hAnsi="Calibri" w:cs="Calibri"/>
        </w:rPr>
        <w:t xml:space="preserve">Zij zouden de maatschappelijke verantwoordelijkheid moeten voelen om opleidingen en studentenhuisvesting voor Nederlandse studenten toegankelijk te houden. </w:t>
      </w:r>
      <w:r w:rsidR="00271359">
        <w:rPr>
          <w:rFonts w:ascii="Calibri" w:hAnsi="Calibri" w:cs="Calibri"/>
        </w:rPr>
        <w:t>Tot dusver hebben ze onvoldoende laten zien die verantwoordelijkheid serieus te nemen. Laat daarom niet te veel ruimte open voor uitzonderingsgronden (punt 1)</w:t>
      </w:r>
      <w:r w:rsidR="005A595B">
        <w:rPr>
          <w:rFonts w:ascii="Calibri" w:hAnsi="Calibri" w:cs="Calibri"/>
        </w:rPr>
        <w:t>, maar formuleer heldere criteria. Stel duidelijke</w:t>
      </w:r>
      <w:r w:rsidR="00271359">
        <w:rPr>
          <w:rFonts w:ascii="Calibri" w:hAnsi="Calibri" w:cs="Calibri"/>
        </w:rPr>
        <w:t xml:space="preserve"> grenzen.</w:t>
      </w:r>
    </w:p>
    <w:sectPr w:rsidRPr="005C6478" w:rsidR="00CB41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DA0"/>
    <w:multiLevelType w:val="hybridMultilevel"/>
    <w:tmpl w:val="82AA49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73E"/>
    <w:multiLevelType w:val="hybridMultilevel"/>
    <w:tmpl w:val="2B54BE04"/>
    <w:lvl w:ilvl="0" w:tplc="A8FC7CB2">
      <w:start w:val="1"/>
      <w:numFmt w:val="lowerLetter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08A25D4"/>
    <w:multiLevelType w:val="hybridMultilevel"/>
    <w:tmpl w:val="10B42CD2"/>
    <w:lvl w:ilvl="0" w:tplc="BEC4186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61159237">
    <w:abstractNumId w:val="0"/>
  </w:num>
  <w:num w:numId="2" w16cid:durableId="622426148">
    <w:abstractNumId w:val="1"/>
  </w:num>
  <w:num w:numId="3" w16cid:durableId="155204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3"/>
    <w:rsid w:val="00012C43"/>
    <w:rsid w:val="00161ED5"/>
    <w:rsid w:val="00185599"/>
    <w:rsid w:val="00271359"/>
    <w:rsid w:val="002D27AA"/>
    <w:rsid w:val="00375CD9"/>
    <w:rsid w:val="003C544A"/>
    <w:rsid w:val="005A595B"/>
    <w:rsid w:val="005C6478"/>
    <w:rsid w:val="00650F13"/>
    <w:rsid w:val="00663541"/>
    <w:rsid w:val="00853F5C"/>
    <w:rsid w:val="00A90001"/>
    <w:rsid w:val="00AD450B"/>
    <w:rsid w:val="00B847B5"/>
    <w:rsid w:val="00BB6756"/>
    <w:rsid w:val="00C214C1"/>
    <w:rsid w:val="00CB4193"/>
    <w:rsid w:val="00D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9054"/>
  <w15:chartTrackingRefBased/>
  <w15:docId w15:val="{B09613B6-DA27-43C2-BE6F-4348EEE0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4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4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4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4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4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4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4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4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4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4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4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41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41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41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41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41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41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4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4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4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41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41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41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4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41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41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D450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rc.nl/nieuws/2023/12/17/universiteiten-neem-het-debat-over-internationalisering-nu-eens-serieus-a4184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ffic.nl/sites/default/files/2023-05/factsheet-internationale-studenten-2023.pdf" TargetMode="External"/><Relationship Id="rId5" Type="http://schemas.openxmlformats.org/officeDocument/2006/relationships/hyperlink" Target="https://www.internetconsultatie.nl/toetsanderstaligonderwijs/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494</ap:Words>
  <ap:Characters>2722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2024-06-08T09:48:00.0000000Z</lastPrinted>
  <dcterms:created xsi:type="dcterms:W3CDTF">2024-06-08T06:35:00.0000000Z</dcterms:created>
  <dcterms:modified xsi:type="dcterms:W3CDTF">2024-06-08T09:55:00.0000000Z</dcterms:modified>
  <version/>
  <category/>
</coreProperties>
</file>