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B5" w:rsidP="000D1132" w:rsidRDefault="00B14338">
      <w:pPr>
        <w:ind w:left="2124" w:hanging="2124"/>
        <w:rPr>
          <w:rFonts w:eastAsia="Calibri"/>
          <w:b/>
          <w:lang w:eastAsia="en-US"/>
        </w:rPr>
      </w:pPr>
      <w:hyperlink w:history="1" r:id="rId13">
        <w:r w:rsidRPr="00B14338">
          <w:rPr>
            <w:rFonts w:eastAsia="Calibri"/>
            <w:b/>
            <w:lang w:eastAsia="en-US"/>
          </w:rPr>
          <w:t>36</w:t>
        </w:r>
        <w:r w:rsidR="002A28C1">
          <w:rPr>
            <w:rFonts w:eastAsia="Calibri"/>
            <w:b/>
            <w:lang w:eastAsia="en-US"/>
          </w:rPr>
          <w:t xml:space="preserve"> </w:t>
        </w:r>
        <w:r w:rsidRPr="00B14338">
          <w:rPr>
            <w:rFonts w:eastAsia="Calibri"/>
            <w:b/>
            <w:lang w:eastAsia="en-US"/>
          </w:rPr>
          <w:t>386</w:t>
        </w:r>
      </w:hyperlink>
      <w:r w:rsidRPr="002C6912" w:rsidR="00904DD0">
        <w:rPr>
          <w:rFonts w:eastAsia="Calibri"/>
          <w:b/>
          <w:lang w:eastAsia="en-US"/>
        </w:rPr>
        <w:tab/>
      </w:r>
      <w:hyperlink w:history="1" r:id="rId14">
        <w:r w:rsidRPr="00B14338">
          <w:rPr>
            <w:rFonts w:eastAsia="Calibri"/>
            <w:b/>
            <w:lang w:eastAsia="en-US"/>
          </w:rPr>
          <w:t>Voorstel van het Presidium tot vaststelling van de Regeling financiële ondersteuning fracties en groepen Tweede Kamer 2023</w:t>
        </w:r>
      </w:hyperlink>
    </w:p>
    <w:p w:rsidRPr="002C6912" w:rsidR="000D1132" w:rsidP="000D1132" w:rsidRDefault="000D1132">
      <w:pPr>
        <w:ind w:left="2124" w:hanging="2124"/>
        <w:rPr>
          <w:rFonts w:eastAsia="Calibri"/>
          <w:lang w:eastAsia="en-US"/>
        </w:rPr>
      </w:pPr>
    </w:p>
    <w:p w:rsidRPr="002C6912" w:rsidR="00C5636F" w:rsidP="002C6912" w:rsidRDefault="00C5636F">
      <w:pPr>
        <w:autoSpaceDE w:val="0"/>
        <w:autoSpaceDN w:val="0"/>
        <w:adjustRightInd w:val="0"/>
        <w:ind w:left="-284" w:firstLine="284"/>
        <w:rPr>
          <w:b/>
          <w:bCs/>
        </w:rPr>
      </w:pPr>
      <w:r w:rsidRPr="002C6912">
        <w:rPr>
          <w:b/>
          <w:bCs/>
        </w:rPr>
        <w:t>Nr.</w:t>
      </w:r>
      <w:r w:rsidR="002A28C1">
        <w:rPr>
          <w:b/>
          <w:bCs/>
        </w:rPr>
        <w:t xml:space="preserve"> 5</w:t>
      </w:r>
      <w:r w:rsidR="002A28C1">
        <w:rPr>
          <w:b/>
          <w:bCs/>
        </w:rPr>
        <w:tab/>
      </w:r>
      <w:r w:rsidRPr="002C6912" w:rsidR="00D01B91">
        <w:rPr>
          <w:b/>
          <w:bCs/>
        </w:rPr>
        <w:tab/>
      </w:r>
      <w:r w:rsidR="00034A2C">
        <w:rPr>
          <w:b/>
          <w:bCs/>
        </w:rPr>
        <w:tab/>
      </w:r>
      <w:r w:rsidR="002A28C1">
        <w:rPr>
          <w:b/>
          <w:bCs/>
        </w:rPr>
        <w:t xml:space="preserve">NOTA NAAR AANLEIDNG VAN HET </w:t>
      </w:r>
      <w:r w:rsidRPr="002C6912" w:rsidR="00D01B91">
        <w:rPr>
          <w:b/>
          <w:bCs/>
        </w:rPr>
        <w:t>VERSLAG</w:t>
      </w:r>
    </w:p>
    <w:p w:rsidRPr="002C6912" w:rsidR="00D01B91" w:rsidP="00034A2C" w:rsidRDefault="002A28C1">
      <w:pPr>
        <w:autoSpaceDE w:val="0"/>
        <w:autoSpaceDN w:val="0"/>
        <w:adjustRightInd w:val="0"/>
        <w:ind w:left="1416" w:firstLine="708"/>
        <w:rPr>
          <w:b/>
          <w:bCs/>
        </w:rPr>
      </w:pPr>
      <w:r>
        <w:rPr>
          <w:bCs/>
        </w:rPr>
        <w:t>Ontvangen 29 mei 2024</w:t>
      </w:r>
    </w:p>
    <w:p w:rsidRPr="002C6912" w:rsidR="00D01B91" w:rsidP="002C6912" w:rsidRDefault="00D01B91">
      <w:pPr>
        <w:autoSpaceDE w:val="0"/>
        <w:autoSpaceDN w:val="0"/>
        <w:adjustRightInd w:val="0"/>
        <w:ind w:left="-284" w:firstLine="284"/>
        <w:rPr>
          <w:b/>
          <w:bCs/>
        </w:rPr>
      </w:pPr>
    </w:p>
    <w:p w:rsidR="00034A2C" w:rsidP="002C6912" w:rsidRDefault="002A28C1">
      <w:pPr>
        <w:tabs>
          <w:tab w:val="left" w:pos="-720"/>
        </w:tabs>
        <w:suppressAutoHyphens/>
      </w:pPr>
      <w:r w:rsidRPr="002A28C1">
        <w:t xml:space="preserve">Het Presidium dankt de commissie voor de Werkwijze voor de schriftelijke inbreng bij het voorstel </w:t>
      </w:r>
      <w:r w:rsidRPr="00920866" w:rsidR="00920866">
        <w:t>tot vaststelling van de Regeling</w:t>
      </w:r>
      <w:r w:rsidRPr="002A28C1">
        <w:t>. Het Presidium is de commissie erkentelijk voor de gestelde vragen en de gemaakte opmerkingen en zal daarop reager</w:t>
      </w:r>
      <w:bookmarkStart w:name="_GoBack" w:id="0"/>
      <w:bookmarkEnd w:id="0"/>
      <w:r w:rsidRPr="002A28C1">
        <w:t>en in de hiernavolgende tekst. Om de leesbaarheid te bevorderen en herhalingen in de beantwoording te voorkomen, zijn de vragen van de verschillende fracties in voorkomende gevallen geclusterd beantwoord</w:t>
      </w:r>
      <w:r>
        <w:t>.</w:t>
      </w:r>
    </w:p>
    <w:p w:rsidR="002A28C1" w:rsidP="002C6912" w:rsidRDefault="002A28C1">
      <w:pPr>
        <w:tabs>
          <w:tab w:val="left" w:pos="-720"/>
        </w:tabs>
        <w:suppressAutoHyphens/>
      </w:pPr>
    </w:p>
    <w:p w:rsidRPr="00CF55B4" w:rsidR="006B346C" w:rsidP="006B346C" w:rsidRDefault="006B346C">
      <w:pPr>
        <w:tabs>
          <w:tab w:val="left" w:pos="-720"/>
        </w:tabs>
        <w:suppressAutoHyphens/>
        <w:rPr>
          <w:b/>
        </w:rPr>
      </w:pPr>
      <w:r w:rsidRPr="00CF55B4">
        <w:rPr>
          <w:b/>
        </w:rPr>
        <w:t xml:space="preserve">Inbreng </w:t>
      </w:r>
      <w:r>
        <w:rPr>
          <w:b/>
        </w:rPr>
        <w:t xml:space="preserve">van de </w:t>
      </w:r>
      <w:r w:rsidRPr="00CF55B4">
        <w:rPr>
          <w:b/>
        </w:rPr>
        <w:t xml:space="preserve">leden van de </w:t>
      </w:r>
      <w:r>
        <w:rPr>
          <w:b/>
        </w:rPr>
        <w:t>fractie van de VVD</w:t>
      </w:r>
    </w:p>
    <w:p w:rsidR="006B346C" w:rsidP="006B346C" w:rsidRDefault="006B346C">
      <w:pPr>
        <w:tabs>
          <w:tab w:val="left" w:pos="-720"/>
        </w:tabs>
        <w:suppressAutoHyphens/>
      </w:pPr>
      <w:r>
        <w:t>De leden van de VVD-fractie hebben met interesse kennisgenomen van het v</w:t>
      </w:r>
      <w:r w:rsidRPr="00080889">
        <w:t>oorstel van het Presidium tot vaststelling van de Regeling financiële ondersteuning fracties en groepen</w:t>
      </w:r>
      <w:r>
        <w:t xml:space="preserve"> en danken het Presidium hiervoor. De leden van de VVD-fractie steunen de aanpassing van de Regeling. Zij vinden dat de actualisatie en modernisering van de Regeling de transparantie hiervan ten goede</w:t>
      </w:r>
      <w:r w:rsidRPr="00080889">
        <w:t xml:space="preserve"> </w:t>
      </w:r>
      <w:r>
        <w:t>komt. Zij hebben nog enkele opmerkingen dan wel vragen hierover.</w:t>
      </w:r>
    </w:p>
    <w:p w:rsidR="006B346C" w:rsidP="006B346C" w:rsidRDefault="006B346C">
      <w:pPr>
        <w:tabs>
          <w:tab w:val="left" w:pos="-720"/>
        </w:tabs>
        <w:suppressAutoHyphens/>
      </w:pPr>
    </w:p>
    <w:p w:rsidRPr="00FB41BF" w:rsidR="006B346C" w:rsidP="006B346C" w:rsidRDefault="006B346C">
      <w:pPr>
        <w:tabs>
          <w:tab w:val="left" w:pos="-720"/>
        </w:tabs>
        <w:suppressAutoHyphens/>
        <w:rPr>
          <w:b/>
        </w:rPr>
      </w:pPr>
      <w:r>
        <w:t xml:space="preserve">Het voorstel van het Presidium is om in de Regeling vast te leggen dat het zetelbedrag niet lager uit kan vallen dan in voorgaande jaren. Dit jaar is dat wel het geval “als gevolg van de systematiek van de Handleiding Overheidstarieven die de fractiekostenregeling volgt”. </w:t>
      </w:r>
      <w:r w:rsidRPr="00FB41BF">
        <w:rPr>
          <w:b/>
        </w:rPr>
        <w:t>De leden van de VVD-fractie vragen hierop een uitgebreide, nadere toelichting. Kunnen er andere redenen zijn waardoor het zetelbedrag lager kan uitvallen dan in voorgaande jaren? Zo ja, welke redenen zijn daarvoor denkbaar dan wel voorstelbaar?</w:t>
      </w:r>
    </w:p>
    <w:p w:rsidR="00673CF9" w:rsidP="006B346C" w:rsidRDefault="00673CF9">
      <w:pPr>
        <w:tabs>
          <w:tab w:val="left" w:pos="-720"/>
        </w:tabs>
        <w:suppressAutoHyphens/>
      </w:pPr>
    </w:p>
    <w:p w:rsidRPr="002C6912" w:rsidR="00673CF9" w:rsidP="00673CF9" w:rsidRDefault="00FE30C7">
      <w:pPr>
        <w:numPr>
          <w:ilvl w:val="0"/>
          <w:numId w:val="30"/>
        </w:numPr>
      </w:pPr>
      <w:r>
        <w:rPr>
          <w:b/>
        </w:rPr>
        <w:t xml:space="preserve">Antwoord </w:t>
      </w:r>
    </w:p>
    <w:p w:rsidR="003C71F4" w:rsidP="006B346C" w:rsidRDefault="008335A9">
      <w:pPr>
        <w:tabs>
          <w:tab w:val="left" w:pos="-720"/>
        </w:tabs>
        <w:suppressAutoHyphens/>
      </w:pPr>
      <w:r>
        <w:t xml:space="preserve">De Handleiding Overheidstarieven gaat uit van een gemiddelde aan salariskosten per loonschaal vermeerderd met eventuele loonstijgingen. Op een schaal 10 is </w:t>
      </w:r>
      <w:r w:rsidR="003C71F4">
        <w:t>in 2023 Rijksbreed een grotere uitstroom geweest op de hoogste treden van die schaal, waardoor de gemiddelde kosten in verhouding tot deze schaal met 1.000 euro afnam</w:t>
      </w:r>
      <w:r w:rsidR="0092123B">
        <w:t>en</w:t>
      </w:r>
      <w:r w:rsidR="003C71F4">
        <w:t xml:space="preserve">. In de handleiding Overheidstarieven 2024 was </w:t>
      </w:r>
      <w:r w:rsidR="0070653D">
        <w:t xml:space="preserve">overigens </w:t>
      </w:r>
      <w:r w:rsidR="003C71F4">
        <w:t xml:space="preserve">ook nog geen rekening gehouden met de loonstijgingen uit een nieuw cao-akkoord. </w:t>
      </w:r>
    </w:p>
    <w:p w:rsidR="003C71F4" w:rsidP="006B346C" w:rsidRDefault="003C71F4">
      <w:pPr>
        <w:tabs>
          <w:tab w:val="left" w:pos="-720"/>
        </w:tabs>
        <w:suppressAutoHyphens/>
      </w:pPr>
    </w:p>
    <w:p w:rsidR="003C71F4" w:rsidP="006B346C" w:rsidRDefault="003C71F4">
      <w:pPr>
        <w:tabs>
          <w:tab w:val="left" w:pos="-720"/>
        </w:tabs>
        <w:suppressAutoHyphens/>
      </w:pPr>
      <w:r>
        <w:t>Het is denkbaar dat op de berekende schalen 10 en 13 in enig jaar veel uitstroom kan plaatsvinden op de hogere treden van die schalen. De gemiddelde loon</w:t>
      </w:r>
      <w:r w:rsidR="0070653D">
        <w:t>kosten (en daarmee de tarieven</w:t>
      </w:r>
      <w:r>
        <w:t>) kunnen dan omlaaggaan. Andere reden die di</w:t>
      </w:r>
      <w:r w:rsidR="002C3D90">
        <w:t>t tarief omlaag kunne</w:t>
      </w:r>
      <w:r>
        <w:t>n brengen zijn</w:t>
      </w:r>
      <w:r w:rsidR="002C3D90">
        <w:t xml:space="preserve"> er niet. </w:t>
      </w:r>
      <w:r>
        <w:t>Evengoed</w:t>
      </w:r>
      <w:r w:rsidR="002C3D90">
        <w:t xml:space="preserve"> mocht het zich nog een keer voordoen dan zal</w:t>
      </w:r>
      <w:r>
        <w:t xml:space="preserve"> m</w:t>
      </w:r>
      <w:r w:rsidR="002C3D90">
        <w:t>et de voorgestelde wijziging</w:t>
      </w:r>
      <w:r>
        <w:t xml:space="preserve"> het zetelbedrag nu niet meer omlaaggaan ten opzichte</w:t>
      </w:r>
      <w:r w:rsidR="00DB61B7">
        <w:t xml:space="preserve"> van het</w:t>
      </w:r>
      <w:r>
        <w:t xml:space="preserve"> zetelbedrag uit het vorige jaar. </w:t>
      </w:r>
    </w:p>
    <w:p w:rsidR="002C3D90" w:rsidP="006B346C" w:rsidRDefault="002C3D90">
      <w:pPr>
        <w:tabs>
          <w:tab w:val="left" w:pos="-720"/>
        </w:tabs>
        <w:suppressAutoHyphens/>
      </w:pPr>
    </w:p>
    <w:p w:rsidR="003C71F4" w:rsidP="006B346C" w:rsidRDefault="002C3D90">
      <w:pPr>
        <w:tabs>
          <w:tab w:val="left" w:pos="-720"/>
        </w:tabs>
        <w:suppressAutoHyphens/>
      </w:pPr>
      <w:r>
        <w:t>Een verlaging qua overheidstarief is ook wel redelijk uniek in</w:t>
      </w:r>
      <w:r w:rsidR="00BA16DE">
        <w:t xml:space="preserve"> het</w:t>
      </w:r>
      <w:r>
        <w:t xml:space="preserve"> licht dat normaliter de overheidstarieven over de jaren heen alleen maar zijn toegenomen.  </w:t>
      </w:r>
    </w:p>
    <w:p w:rsidR="00673CF9" w:rsidP="006B346C" w:rsidRDefault="003C71F4">
      <w:pPr>
        <w:tabs>
          <w:tab w:val="left" w:pos="-720"/>
        </w:tabs>
        <w:suppressAutoHyphens/>
      </w:pPr>
      <w:r>
        <w:t xml:space="preserve"> </w:t>
      </w:r>
    </w:p>
    <w:p w:rsidRPr="00FB41BF" w:rsidR="006B346C" w:rsidP="006B346C" w:rsidRDefault="006B346C">
      <w:pPr>
        <w:tabs>
          <w:tab w:val="left" w:pos="-720"/>
        </w:tabs>
        <w:suppressAutoHyphens/>
        <w:rPr>
          <w:b/>
        </w:rPr>
      </w:pPr>
      <w:r>
        <w:t>De leden van de VVD-fractie zien dat de Regeling de mogelijkheid van een egalisatiereserve expliciteert en dat deze hiervoor een maximum van € 5 miljoen</w:t>
      </w:r>
      <w:r w:rsidRPr="00453181">
        <w:t xml:space="preserve"> </w:t>
      </w:r>
      <w:r w:rsidR="0092123B">
        <w:t>in</w:t>
      </w:r>
      <w:r>
        <w:t xml:space="preserve">stelt. </w:t>
      </w:r>
      <w:r w:rsidRPr="00FB41BF">
        <w:rPr>
          <w:b/>
        </w:rPr>
        <w:t xml:space="preserve">De leden vragen wat de ontwikkeling van de egalisatiereserve in de afgelopen tien jaar is. Is door het Presidium </w:t>
      </w:r>
      <w:r w:rsidRPr="00FB41BF">
        <w:rPr>
          <w:b/>
        </w:rPr>
        <w:lastRenderedPageBreak/>
        <w:t xml:space="preserve">overwogen om de egalisatiereserve mee te laten stijgen met de stijging van de loonkosten? Is voorts overwogen om de jaarlijkse loon- en prijsbijstelling zoals gehanteerd door het Rijk van toepassing te verklaren op de egalisatiereserve? Zo nee, waarom niet? </w:t>
      </w:r>
    </w:p>
    <w:p w:rsidR="002C3D90" w:rsidP="006B346C" w:rsidRDefault="002C3D90">
      <w:pPr>
        <w:tabs>
          <w:tab w:val="left" w:pos="-720"/>
        </w:tabs>
        <w:suppressAutoHyphens/>
      </w:pPr>
    </w:p>
    <w:p w:rsidRPr="002C6912" w:rsidR="002C3D90" w:rsidP="002C3D90" w:rsidRDefault="002C3D90">
      <w:pPr>
        <w:numPr>
          <w:ilvl w:val="0"/>
          <w:numId w:val="30"/>
        </w:numPr>
      </w:pPr>
      <w:r w:rsidRPr="002C6912">
        <w:rPr>
          <w:b/>
        </w:rPr>
        <w:t xml:space="preserve">Antwoord </w:t>
      </w:r>
    </w:p>
    <w:p w:rsidR="003468AA" w:rsidP="006B346C" w:rsidRDefault="00F71258">
      <w:pPr>
        <w:tabs>
          <w:tab w:val="left" w:pos="-720"/>
        </w:tabs>
        <w:suppressAutoHyphens/>
      </w:pPr>
      <w:r>
        <w:t>Het merendeel van de fracties heeft in de afgelopen 10 jaar geen reservepositie van 5 miljoen euro opgebouwd. Ook werd bij het maximeren in 2014 van een reservepositie tot 5 miljoen euro</w:t>
      </w:r>
      <w:r w:rsidR="003468AA">
        <w:t xml:space="preserve"> </w:t>
      </w:r>
      <w:r>
        <w:t>ruimha</w:t>
      </w:r>
      <w:r w:rsidR="003468AA">
        <w:t>rtig opgetreden om geen limiet in te stellen op de reserve in verhouding tot de jaarlijkse bijdrage. Met de</w:t>
      </w:r>
      <w:r w:rsidRPr="003468AA" w:rsidR="003468AA">
        <w:t xml:space="preserve"> gedachte</w:t>
      </w:r>
      <w:r w:rsidR="003468AA">
        <w:t xml:space="preserve"> </w:t>
      </w:r>
      <w:r w:rsidRPr="003468AA" w:rsidR="003468AA">
        <w:t>dat</w:t>
      </w:r>
      <w:r w:rsidR="003468AA">
        <w:t xml:space="preserve"> 5 miljoen euro ruim</w:t>
      </w:r>
      <w:r w:rsidRPr="003468AA" w:rsidR="003468AA">
        <w:t xml:space="preserve"> voldoende moet zijn voor fracties om juist </w:t>
      </w:r>
      <w:r w:rsidR="004E3633">
        <w:t xml:space="preserve">bij een grote wisseling in zetels </w:t>
      </w:r>
      <w:r w:rsidRPr="003468AA" w:rsidR="003468AA">
        <w:t xml:space="preserve">de personele gevolgen daarvan op te </w:t>
      </w:r>
      <w:r w:rsidR="004E3633">
        <w:t xml:space="preserve">kunnen </w:t>
      </w:r>
      <w:r w:rsidRPr="003468AA" w:rsidR="003468AA">
        <w:t>vangen.</w:t>
      </w:r>
    </w:p>
    <w:p w:rsidR="003468AA" w:rsidP="006B346C" w:rsidRDefault="003468AA">
      <w:pPr>
        <w:tabs>
          <w:tab w:val="left" w:pos="-720"/>
        </w:tabs>
        <w:suppressAutoHyphens/>
      </w:pPr>
    </w:p>
    <w:p w:rsidR="003468AA" w:rsidP="006B346C" w:rsidRDefault="003468AA">
      <w:pPr>
        <w:tabs>
          <w:tab w:val="left" w:pos="-720"/>
        </w:tabs>
        <w:suppressAutoHyphens/>
      </w:pPr>
      <w:r>
        <w:t>Verder hebben verschillende fracties ook nog de mogelijkheid om gebruik te maken van hun trekkingsrechten in het geval ze tegen een verlies aanlopen in hun jaarrekening. Eind 2023 is er nog een bedrag openstaand van 5</w:t>
      </w:r>
      <w:r w:rsidR="0092123B">
        <w:t>,</w:t>
      </w:r>
      <w:r>
        <w:t xml:space="preserve">6 miljoen euro aan trekkingsrechten voor verschillende fracties. </w:t>
      </w:r>
    </w:p>
    <w:p w:rsidR="003468AA" w:rsidP="006B346C" w:rsidRDefault="003468AA">
      <w:pPr>
        <w:tabs>
          <w:tab w:val="left" w:pos="-720"/>
        </w:tabs>
        <w:suppressAutoHyphens/>
      </w:pPr>
    </w:p>
    <w:p w:rsidR="00F71258" w:rsidP="006B346C" w:rsidRDefault="003468AA">
      <w:pPr>
        <w:tabs>
          <w:tab w:val="left" w:pos="-720"/>
        </w:tabs>
        <w:suppressAutoHyphens/>
      </w:pPr>
      <w:r>
        <w:t xml:space="preserve">Vooralsnog heeft het Presidium geen aanleiding om het maximum van € 5 miljoen euro aan egalisatiereserve te wijzigen.  </w:t>
      </w:r>
    </w:p>
    <w:p w:rsidR="00F71258" w:rsidP="006B346C" w:rsidRDefault="00F71258">
      <w:pPr>
        <w:tabs>
          <w:tab w:val="left" w:pos="-720"/>
        </w:tabs>
        <w:suppressAutoHyphens/>
      </w:pPr>
    </w:p>
    <w:p w:rsidR="00F71258" w:rsidP="006B346C" w:rsidRDefault="004E3633">
      <w:pPr>
        <w:tabs>
          <w:tab w:val="left" w:pos="-720"/>
        </w:tabs>
        <w:suppressAutoHyphens/>
      </w:pPr>
      <w:r>
        <w:t>------</w:t>
      </w:r>
    </w:p>
    <w:p w:rsidR="006B346C" w:rsidP="006B346C" w:rsidRDefault="006B346C">
      <w:pPr>
        <w:tabs>
          <w:tab w:val="left" w:pos="-720"/>
        </w:tabs>
        <w:suppressAutoHyphens/>
      </w:pPr>
    </w:p>
    <w:p w:rsidR="006B346C" w:rsidP="006B346C" w:rsidRDefault="006B346C">
      <w:pPr>
        <w:tabs>
          <w:tab w:val="left" w:pos="-720"/>
        </w:tabs>
        <w:suppressAutoHyphens/>
      </w:pPr>
      <w:r w:rsidRPr="008A473A">
        <w:t xml:space="preserve">De leden van de VVD-fractie constateren dat met deze Nota van Wijziging Kamerleden die van hun fractie afsplitsen meer financiële ondersteuning krijgen. Het budget hiervoor komt van de fractie waar het afgesplitste Kamerlid afscheid van heeft genomen. Met respect voor de Kieswet hechten de leden van de VVD-fractie zeer aan een krachtig parlement die haar taak in volle omvang, op een goede wijze, uit kan voeren. Wat deze leden betreft is het de opdracht aan eenieder, en daarmee ook aan de verschillende fracties, om tijdens de zittingsperiode de opdracht van de kiezer naar eer en geweten uit te voeren. </w:t>
      </w:r>
      <w:r w:rsidRPr="0070653D">
        <w:rPr>
          <w:b/>
        </w:rPr>
        <w:t>De leden van de VVD-fractie vragen hoe het voorstel binnen de daartoe ingestelde werkgroep Bisschop tot stand gekomen is. Wat waren de overwegingen van de werkgroep? Is het de verwachting dat de vraag naar (extra) ondersteuning na deze verhoging weg is? De financiering van de extra ondersteuning aan afsplitsers is budgetneutraal, zo lezen de leden van de VVD-fractie. Is budgetneutraliteit als uitgangspunt meegegeven aan de werkgroep? Wat waren de overwegingen van de werkgroep voor de voorgestelde wijze van financiering, te weten uit het budget van de fractie waar de afsplitser ten tijde van de verkiezingen op de kandidatenlijst stond. Zijn er andere bronnen onderzocht waaruit de gevraagde bijdrage had kunnen worden gefinancierd?</w:t>
      </w:r>
      <w:r>
        <w:t xml:space="preserve"> </w:t>
      </w:r>
    </w:p>
    <w:p w:rsidR="008A473A" w:rsidP="008A473A" w:rsidRDefault="008A473A"/>
    <w:p w:rsidR="008A473A" w:rsidP="008A473A" w:rsidRDefault="008A473A">
      <w:pPr>
        <w:ind w:left="1080"/>
      </w:pPr>
    </w:p>
    <w:p w:rsidR="00AD231F" w:rsidP="008A473A" w:rsidRDefault="00AD231F">
      <w:pPr>
        <w:ind w:left="1080"/>
      </w:pPr>
    </w:p>
    <w:p w:rsidR="00AD231F" w:rsidP="008A473A" w:rsidRDefault="00AD231F">
      <w:pPr>
        <w:ind w:left="1080"/>
      </w:pPr>
    </w:p>
    <w:p w:rsidRPr="008A473A" w:rsidR="00AD231F" w:rsidP="008A473A" w:rsidRDefault="00AD231F">
      <w:pPr>
        <w:ind w:left="1080"/>
      </w:pPr>
    </w:p>
    <w:p w:rsidRPr="008A473A" w:rsidR="001975DE" w:rsidP="001975DE" w:rsidRDefault="00FE30C7">
      <w:pPr>
        <w:numPr>
          <w:ilvl w:val="0"/>
          <w:numId w:val="30"/>
        </w:numPr>
      </w:pPr>
      <w:r>
        <w:rPr>
          <w:b/>
        </w:rPr>
        <w:t>Antwoord</w:t>
      </w:r>
    </w:p>
    <w:p w:rsidR="008A473A" w:rsidP="008A473A" w:rsidRDefault="008A473A">
      <w:pPr>
        <w:rPr>
          <w:b/>
        </w:rPr>
      </w:pPr>
    </w:p>
    <w:p w:rsidRPr="002C6912" w:rsidR="008A473A" w:rsidP="008A473A" w:rsidRDefault="008A473A"/>
    <w:p w:rsidRPr="009A448C" w:rsidR="008A473A" w:rsidP="008A473A" w:rsidRDefault="008A473A">
      <w:pPr>
        <w:tabs>
          <w:tab w:val="left" w:pos="-720"/>
        </w:tabs>
        <w:suppressAutoHyphens/>
        <w:rPr>
          <w:b/>
        </w:rPr>
      </w:pPr>
      <w:r w:rsidRPr="009A448C">
        <w:rPr>
          <w:b/>
        </w:rPr>
        <w:t>Wat waren de overwegingen van de werkgroep?</w:t>
      </w:r>
    </w:p>
    <w:p w:rsidR="008A473A" w:rsidP="008A473A" w:rsidRDefault="008A473A">
      <w:pPr>
        <w:tabs>
          <w:tab w:val="left" w:pos="-720"/>
        </w:tabs>
        <w:suppressAutoHyphens/>
      </w:pPr>
    </w:p>
    <w:p w:rsidR="008A473A" w:rsidP="008A473A" w:rsidRDefault="008A473A">
      <w:pPr>
        <w:tabs>
          <w:tab w:val="left" w:pos="-720"/>
        </w:tabs>
        <w:suppressAutoHyphens/>
      </w:pPr>
      <w:r>
        <w:t xml:space="preserve">De werkgroep merkt hierover in zijn verslag het volgende op: </w:t>
      </w:r>
    </w:p>
    <w:p w:rsidR="008A473A" w:rsidP="008A473A" w:rsidRDefault="008A473A">
      <w:pPr>
        <w:tabs>
          <w:tab w:val="left" w:pos="-720"/>
        </w:tabs>
        <w:suppressAutoHyphens/>
      </w:pPr>
      <w:r>
        <w:t>Voor de werkgroep Fractievorming in 2016 was het ontmoedigen van afsplitsingen een reden om een verschil in zetelbedrag tussen fracties en groepen voor te stellen. Gebleken is echter dat dit verschil de afgelopen jaren niet heeft geleid tot minder afsplitsingen. Daarnaast constateert de werkgroep dat een verhoging van het zetelbedrag voor afgesplitste Kamerleden nodig is voor hen om het Kamerwerk goed te kunnen doen. Met deze verhoging beoogt de werkgroep afsplitsingen evenwel niet aan te moedigen. Daarom wordt niet voorgesteld afgesplitste leden ook een kleinefractiebijdrage toe te kennen. Dat is in de huidige situatie ook niet het geval*. Ook krijgen groepen – net als op dit moment – geen fractievoorzitterstoelage**. Dat is in lijn met het uitgangspunt dat een samenwerkingsverband in de Kamer pas erkend wordt als fractie (en de daarbij behorende toelages krijgt) als deze tijdens de Tweede Kamerverkiezingen ook in het verband van een lijst bij de kiezer bekend was. Dat is niet het geval bij afgesplitste groepen.</w:t>
      </w:r>
    </w:p>
    <w:p w:rsidR="008A473A" w:rsidP="008A473A" w:rsidRDefault="008A473A">
      <w:pPr>
        <w:tabs>
          <w:tab w:val="left" w:pos="-720"/>
        </w:tabs>
        <w:suppressAutoHyphens/>
      </w:pPr>
    </w:p>
    <w:p w:rsidRPr="009A448C" w:rsidR="008A473A" w:rsidP="008A473A" w:rsidRDefault="008A473A">
      <w:pPr>
        <w:tabs>
          <w:tab w:val="left" w:pos="-720"/>
        </w:tabs>
        <w:suppressAutoHyphens/>
        <w:rPr>
          <w:sz w:val="18"/>
          <w:szCs w:val="18"/>
        </w:rPr>
      </w:pPr>
      <w:r w:rsidRPr="009A448C">
        <w:rPr>
          <w:sz w:val="18"/>
          <w:szCs w:val="18"/>
        </w:rPr>
        <w:t>*   Artikel 2, vierde en vijfde lid, Regeling financiële ondersteuning fracties Tweede Kamer 2014.</w:t>
      </w:r>
    </w:p>
    <w:p w:rsidRPr="009A448C" w:rsidR="008A473A" w:rsidP="008A473A" w:rsidRDefault="008A473A">
      <w:pPr>
        <w:tabs>
          <w:tab w:val="left" w:pos="-720"/>
        </w:tabs>
        <w:suppressAutoHyphens/>
        <w:rPr>
          <w:sz w:val="18"/>
          <w:szCs w:val="18"/>
        </w:rPr>
      </w:pPr>
      <w:r w:rsidRPr="009A448C">
        <w:rPr>
          <w:sz w:val="18"/>
          <w:szCs w:val="18"/>
        </w:rPr>
        <w:t>** Artikel 12 Wet schadeloosstelling leden Tweede Kamer.</w:t>
      </w:r>
    </w:p>
    <w:p w:rsidR="008A473A" w:rsidP="008A473A" w:rsidRDefault="008A473A">
      <w:pPr>
        <w:tabs>
          <w:tab w:val="left" w:pos="-720"/>
        </w:tabs>
        <w:suppressAutoHyphens/>
      </w:pPr>
    </w:p>
    <w:p w:rsidR="008A473A" w:rsidP="008A473A" w:rsidRDefault="008A473A">
      <w:pPr>
        <w:tabs>
          <w:tab w:val="left" w:pos="-720"/>
        </w:tabs>
        <w:suppressAutoHyphens/>
      </w:pPr>
      <w:r>
        <w:t>Kortgezegd: met dit voorstel koos de werkgroep een middenweg tussen de huidige situatie en het volledig gelijktrekken van groepen en fracties.</w:t>
      </w:r>
    </w:p>
    <w:p w:rsidRPr="009A448C" w:rsidR="008A473A" w:rsidP="008A473A" w:rsidRDefault="008A473A">
      <w:pPr>
        <w:tabs>
          <w:tab w:val="left" w:pos="-720"/>
        </w:tabs>
        <w:suppressAutoHyphens/>
        <w:rPr>
          <w:b/>
        </w:rPr>
      </w:pPr>
    </w:p>
    <w:p w:rsidRPr="009A448C" w:rsidR="008A473A" w:rsidP="008A473A" w:rsidRDefault="008A473A">
      <w:pPr>
        <w:tabs>
          <w:tab w:val="left" w:pos="-720"/>
        </w:tabs>
        <w:suppressAutoHyphens/>
        <w:rPr>
          <w:b/>
        </w:rPr>
      </w:pPr>
      <w:r w:rsidRPr="009A448C">
        <w:rPr>
          <w:b/>
        </w:rPr>
        <w:t>Is het de verwachting dat de vraag naar (extra) ondersteuning na deze verhoging weg is?</w:t>
      </w:r>
    </w:p>
    <w:p w:rsidR="008A473A" w:rsidP="008A473A" w:rsidRDefault="008A473A">
      <w:pPr>
        <w:tabs>
          <w:tab w:val="left" w:pos="-720"/>
        </w:tabs>
        <w:suppressAutoHyphens/>
      </w:pPr>
    </w:p>
    <w:p w:rsidR="008A473A" w:rsidP="008A473A" w:rsidRDefault="009A448C">
      <w:pPr>
        <w:tabs>
          <w:tab w:val="left" w:pos="-720"/>
        </w:tabs>
        <w:suppressAutoHyphens/>
      </w:pPr>
      <w:r>
        <w:t>De werkgroep</w:t>
      </w:r>
      <w:r w:rsidR="008A473A">
        <w:t xml:space="preserve"> is</w:t>
      </w:r>
      <w:r>
        <w:t xml:space="preserve"> er</w:t>
      </w:r>
      <w:r w:rsidR="008A473A">
        <w:t xml:space="preserve"> gekomen op initiatief van een afgespl</w:t>
      </w:r>
      <w:r>
        <w:t xml:space="preserve">itst Kamerlid (het lid Omtzigt). </w:t>
      </w:r>
      <w:r w:rsidR="008A473A">
        <w:t xml:space="preserve">Het lid Omtzigt heeft mede namens de toenmalige afgesplitste leden Van Haga, Gündoğan, Ephraim en Smolders voorstellen gedaan over de positie van afgesplitste Kamerleden bij de besluitvorming in commissies, waaronder voor fractieondersteuning. Deze voorstellen vormden de basis voor het </w:t>
      </w:r>
      <w:r>
        <w:t>de uiteindelijke</w:t>
      </w:r>
      <w:r w:rsidR="008A473A">
        <w:t xml:space="preserve"> voorstel</w:t>
      </w:r>
      <w:r>
        <w:t>len</w:t>
      </w:r>
      <w:r w:rsidR="008A473A">
        <w:t xml:space="preserve"> van de werkgroep (zie ook p. 7 van het verslag van de werkgroep).</w:t>
      </w:r>
    </w:p>
    <w:p w:rsidR="008A473A" w:rsidP="008A473A" w:rsidRDefault="008A473A">
      <w:pPr>
        <w:tabs>
          <w:tab w:val="left" w:pos="-720"/>
        </w:tabs>
        <w:suppressAutoHyphens/>
      </w:pPr>
    </w:p>
    <w:p w:rsidRPr="009A448C" w:rsidR="008A473A" w:rsidP="008A473A" w:rsidRDefault="008A473A">
      <w:pPr>
        <w:tabs>
          <w:tab w:val="left" w:pos="-720"/>
        </w:tabs>
        <w:suppressAutoHyphens/>
        <w:rPr>
          <w:b/>
        </w:rPr>
      </w:pPr>
      <w:r w:rsidRPr="009A448C">
        <w:rPr>
          <w:b/>
        </w:rPr>
        <w:t>Is budgetneutraliteit als uitgangspunt meegegeven aan de werkgroep? Wat waren de overwegingen van de werkgroep voor de voorgestelde wijze van financiering, te weten uit het budget van de fractie waar de afsplitser ten tijde van de verkiezingen op de kandidatenlijst stond. Zijn er andere bronnen onderzocht waaruit de gevraagde bijdrage had kunnen worden gefinancierd?</w:t>
      </w:r>
    </w:p>
    <w:p w:rsidR="008A473A" w:rsidP="008A473A" w:rsidRDefault="008A473A">
      <w:pPr>
        <w:tabs>
          <w:tab w:val="left" w:pos="-720"/>
        </w:tabs>
        <w:suppressAutoHyphens/>
      </w:pPr>
    </w:p>
    <w:p w:rsidR="008A473A" w:rsidP="008A473A" w:rsidRDefault="008A473A">
      <w:pPr>
        <w:tabs>
          <w:tab w:val="left" w:pos="-720"/>
        </w:tabs>
        <w:suppressAutoHyphens/>
      </w:pPr>
      <w:r>
        <w:t>Budgetneutraliteit is niet vooraf als uitgangspunt meegegeven aan de werkgroep. De werkgroep heeft er evenwel voor gekozen om niets te veranderen aan het reeds binnen de Regeling financiële ondersteuning fracties Tweede Kamer 2014 gehanteerde principe van budgetneutraliteit voor wat betreft de financiering van afsplitsers. Er zijn geen alternatieve financieringswijzen onderzocht.</w:t>
      </w:r>
    </w:p>
    <w:p w:rsidR="004E3633" w:rsidP="006B346C" w:rsidRDefault="004E3633">
      <w:pPr>
        <w:tabs>
          <w:tab w:val="left" w:pos="-720"/>
        </w:tabs>
        <w:suppressAutoHyphens/>
      </w:pPr>
    </w:p>
    <w:p w:rsidR="004E3633" w:rsidP="006B346C" w:rsidRDefault="004E3633">
      <w:pPr>
        <w:tabs>
          <w:tab w:val="left" w:pos="-720"/>
        </w:tabs>
        <w:suppressAutoHyphens/>
      </w:pPr>
    </w:p>
    <w:p w:rsidR="004E3633" w:rsidP="006B346C" w:rsidRDefault="004E3633">
      <w:pPr>
        <w:tabs>
          <w:tab w:val="left" w:pos="-720"/>
        </w:tabs>
        <w:suppressAutoHyphens/>
      </w:pPr>
    </w:p>
    <w:p w:rsidRPr="00CF55B4" w:rsidR="00CF55B4" w:rsidP="001C0ECF" w:rsidRDefault="00CF55B4">
      <w:pPr>
        <w:tabs>
          <w:tab w:val="left" w:pos="-720"/>
        </w:tabs>
        <w:suppressAutoHyphens/>
        <w:rPr>
          <w:b/>
        </w:rPr>
      </w:pPr>
      <w:r w:rsidRPr="00CF55B4">
        <w:rPr>
          <w:b/>
        </w:rPr>
        <w:t xml:space="preserve">Inbreng </w:t>
      </w:r>
      <w:r w:rsidR="006B346C">
        <w:rPr>
          <w:b/>
        </w:rPr>
        <w:t xml:space="preserve">van de </w:t>
      </w:r>
      <w:r w:rsidRPr="00CF55B4">
        <w:rPr>
          <w:b/>
        </w:rPr>
        <w:t xml:space="preserve">leden van de </w:t>
      </w:r>
      <w:r w:rsidR="006B346C">
        <w:rPr>
          <w:b/>
        </w:rPr>
        <w:t xml:space="preserve">fractie van </w:t>
      </w:r>
      <w:r w:rsidRPr="00CF55B4">
        <w:rPr>
          <w:b/>
        </w:rPr>
        <w:t>NSC</w:t>
      </w:r>
    </w:p>
    <w:p w:rsidRPr="00CF55B4" w:rsidR="00CF55B4" w:rsidP="001C0ECF" w:rsidRDefault="00CF55B4">
      <w:pPr>
        <w:tabs>
          <w:tab w:val="left" w:pos="-720"/>
        </w:tabs>
        <w:suppressAutoHyphens/>
      </w:pPr>
      <w:r w:rsidRPr="00CF55B4">
        <w:t xml:space="preserve">De </w:t>
      </w:r>
      <w:r w:rsidR="00A13EF2">
        <w:t xml:space="preserve">leden van de </w:t>
      </w:r>
      <w:r w:rsidRPr="00CF55B4">
        <w:t>NSC-fractie he</w:t>
      </w:r>
      <w:r w:rsidR="00A13EF2">
        <w:t xml:space="preserve">bben </w:t>
      </w:r>
      <w:r w:rsidRPr="00CF55B4">
        <w:t xml:space="preserve">met belangstelling </w:t>
      </w:r>
      <w:r w:rsidR="00AB3259">
        <w:t xml:space="preserve">en instemming </w:t>
      </w:r>
      <w:r w:rsidRPr="00CF55B4">
        <w:t xml:space="preserve">kennisgenomen van de vaststelling Regeling financiële ondersteuning fracties en groepen Tweede Kamer 2023 en de Nota van Wijziging. De </w:t>
      </w:r>
      <w:r w:rsidR="00A13EF2">
        <w:t xml:space="preserve">leden van de </w:t>
      </w:r>
      <w:r w:rsidRPr="00CF55B4">
        <w:t xml:space="preserve">NSC-fractie </w:t>
      </w:r>
      <w:r w:rsidR="00A13EF2">
        <w:t>zijn</w:t>
      </w:r>
      <w:r w:rsidR="00AB3259">
        <w:t xml:space="preserve"> positief over het voorstel. De</w:t>
      </w:r>
      <w:r w:rsidR="00A13EF2">
        <w:t>ze leden</w:t>
      </w:r>
      <w:r w:rsidR="00AB3259">
        <w:t xml:space="preserve"> </w:t>
      </w:r>
      <w:r w:rsidR="00AB3259">
        <w:lastRenderedPageBreak/>
        <w:t>steun</w:t>
      </w:r>
      <w:r w:rsidR="00A13EF2">
        <w:t>en</w:t>
      </w:r>
      <w:r w:rsidR="00AB3259">
        <w:t xml:space="preserve"> het voorstel dat bijdraagt aan meer financiële ruimte voor Kamerleden die zich afsplitsen. De NSC-fra</w:t>
      </w:r>
      <w:r w:rsidR="00A13EF2">
        <w:t>c</w:t>
      </w:r>
      <w:r w:rsidR="00AB3259">
        <w:t>tieleden zien om die reden</w:t>
      </w:r>
      <w:r w:rsidRPr="00CF55B4">
        <w:t xml:space="preserve"> geen aanleiding tot het stellen van verdere vragen of het maken van opmerkingen</w:t>
      </w:r>
      <w:r>
        <w:t>.</w:t>
      </w:r>
    </w:p>
    <w:p w:rsidR="00CF55B4" w:rsidP="001C0ECF" w:rsidRDefault="00CF55B4">
      <w:pPr>
        <w:tabs>
          <w:tab w:val="left" w:pos="-720"/>
        </w:tabs>
        <w:suppressAutoHyphens/>
        <w:rPr>
          <w:b/>
        </w:rPr>
      </w:pPr>
    </w:p>
    <w:p w:rsidRPr="00CF55B4" w:rsidR="006B346C" w:rsidP="006B346C" w:rsidRDefault="006B346C">
      <w:pPr>
        <w:tabs>
          <w:tab w:val="left" w:pos="-720"/>
        </w:tabs>
        <w:suppressAutoHyphens/>
        <w:rPr>
          <w:b/>
        </w:rPr>
      </w:pPr>
      <w:r w:rsidRPr="00CF55B4">
        <w:rPr>
          <w:b/>
        </w:rPr>
        <w:t>Inbreng</w:t>
      </w:r>
      <w:r>
        <w:rPr>
          <w:b/>
        </w:rPr>
        <w:t xml:space="preserve"> van de</w:t>
      </w:r>
      <w:r w:rsidRPr="00CF55B4">
        <w:rPr>
          <w:b/>
        </w:rPr>
        <w:t xml:space="preserve"> leden van de</w:t>
      </w:r>
      <w:r>
        <w:rPr>
          <w:b/>
        </w:rPr>
        <w:t xml:space="preserve"> fractie van D66</w:t>
      </w:r>
    </w:p>
    <w:p w:rsidR="006B346C" w:rsidP="001C0ECF" w:rsidRDefault="006B346C">
      <w:pPr>
        <w:tabs>
          <w:tab w:val="left" w:pos="-720"/>
        </w:tabs>
        <w:suppressAutoHyphens/>
      </w:pPr>
      <w:r>
        <w:t>De leden van de fractie van D66 hebben met interesse kennisgenomen van het voorstel. Zij hebben reeds bij de inbreng over de raming 2025 een aantal vragen gesteld over de Regeling financiële ondersteuning fracties en groepen Tweede Kamer 2023. Zij zien uit naar de beantwoording daarvan.</w:t>
      </w:r>
    </w:p>
    <w:p w:rsidR="00934CC4" w:rsidP="001C0ECF" w:rsidRDefault="00934CC4">
      <w:pPr>
        <w:tabs>
          <w:tab w:val="left" w:pos="-720"/>
        </w:tabs>
        <w:suppressAutoHyphens/>
      </w:pPr>
    </w:p>
    <w:p w:rsidRPr="00934CC4" w:rsidR="00934CC4" w:rsidP="001C0ECF" w:rsidRDefault="00934CC4">
      <w:pPr>
        <w:tabs>
          <w:tab w:val="left" w:pos="-720"/>
        </w:tabs>
        <w:suppressAutoHyphens/>
        <w:rPr>
          <w:i/>
        </w:rPr>
      </w:pPr>
      <w:r w:rsidRPr="00934CC4">
        <w:rPr>
          <w:i/>
        </w:rPr>
        <w:t xml:space="preserve">Volledigheidshalve zijn de vragen van de D66-fractie over de fractiekostenregeling, gesteld ten behoeve van het notaoverleg over de raming 2025, </w:t>
      </w:r>
      <w:r>
        <w:rPr>
          <w:i/>
        </w:rPr>
        <w:t xml:space="preserve">ook </w:t>
      </w:r>
      <w:r w:rsidRPr="00934CC4">
        <w:rPr>
          <w:i/>
        </w:rPr>
        <w:t xml:space="preserve">in dit verslag </w:t>
      </w:r>
      <w:r>
        <w:rPr>
          <w:i/>
        </w:rPr>
        <w:t>opgenomen</w:t>
      </w:r>
      <w:r w:rsidRPr="00934CC4">
        <w:rPr>
          <w:i/>
        </w:rPr>
        <w:t>.</w:t>
      </w:r>
    </w:p>
    <w:p w:rsidR="00934CC4" w:rsidP="001C0ECF" w:rsidRDefault="00934CC4">
      <w:pPr>
        <w:tabs>
          <w:tab w:val="left" w:pos="-720"/>
        </w:tabs>
        <w:suppressAutoHyphens/>
      </w:pPr>
    </w:p>
    <w:p w:rsidR="00934CC4" w:rsidP="00934CC4" w:rsidRDefault="00934CC4">
      <w:r>
        <w:t xml:space="preserve">De leden van de D66-fractie hebben met interesse kennisgenomen van het voorstel voor de wijziging van de Regeling financiële ondersteuning fracties en groepen Tweede Kamer 2023. Deze leden merken op dat de bijdrage voor 2,5 fte geen vergoeding voor overheadkosten bevat. Dit wordt ook expliciet benoemd in de Regeling, artikel 3.1. Dit terwijl iedere fractie redelijkerwijs wel zulke kosten maakt. De overheadkosten voor één fte worden in de </w:t>
      </w:r>
      <w:r w:rsidRPr="00AC51E0">
        <w:t>Handleiding Overheidstarieven 2024</w:t>
      </w:r>
      <w:r>
        <w:t xml:space="preserve"> geraamd op €26.000. Deze leden onderkennen dat een deel hiervan wordt gedragen door de Kamerorganisatie, zoals huisvestingskosten en een deel van de kantoorautomatisering. Toch valt ook een aanzienlijk deel van de overheadkosten hierbuiten. Dit zijn onder andere opleidingskosten, reiskosten, telecomkosten en een deel van de HR- en administratie personeelskosten. Dit zijn kosten die fracties onvermijdelijk maken om aan hun verplichtingen als goed werkgever te voldoen. Die kosten worden momenteel gedekt uit de financiële regeling voor ondersteuning en gaan dus ten koste van feitelijke inhuur van ondersteunend personeel.</w:t>
      </w:r>
    </w:p>
    <w:p w:rsidR="0076136E" w:rsidP="00934CC4" w:rsidRDefault="0076136E"/>
    <w:p w:rsidR="00934CC4" w:rsidP="00934CC4" w:rsidRDefault="00934CC4">
      <w:pPr>
        <w:rPr>
          <w:b/>
        </w:rPr>
      </w:pPr>
      <w:r w:rsidRPr="00934CC4">
        <w:rPr>
          <w:b/>
        </w:rPr>
        <w:t xml:space="preserve">Kan het Presidium aangeven wat de totale waarde (X) is van de overheadkosten die door de kamerorganisatie per fte worden gedragen? Klopt het dat de overheadkosten die thans door de fracties wordt gedragen bestaat uit €26.000-X? Zo nee, op welke waarde schat het Presidium dan het door de fracties gedragen deel van de overheadkosten? </w:t>
      </w:r>
    </w:p>
    <w:p w:rsidR="00AD231F" w:rsidP="0051436E" w:rsidRDefault="0051436E">
      <w:r>
        <w:t xml:space="preserve">De leden van de D66-fractie beoordelen deze situatie als onwenselijk. De 2,5 fte per Kamerlid is hard nodig en bestemd voor het functioneren van de fractie of groep. </w:t>
      </w:r>
    </w:p>
    <w:p w:rsidR="00AD231F" w:rsidP="0051436E" w:rsidRDefault="00AD231F"/>
    <w:p w:rsidRPr="0051436E" w:rsidR="0051436E" w:rsidP="0051436E" w:rsidRDefault="0051436E">
      <w:pPr>
        <w:rPr>
          <w:b/>
        </w:rPr>
      </w:pPr>
      <w:r w:rsidRPr="0051436E">
        <w:rPr>
          <w:b/>
        </w:rPr>
        <w:t xml:space="preserve">Kan het Presidium bevestigen dat de regeling financiële ondersteuning fracties en groepen Tweede Kamer daarvoor bedoeld is? </w:t>
      </w:r>
    </w:p>
    <w:p w:rsidRPr="0051436E" w:rsidR="0051436E" w:rsidP="0051436E" w:rsidRDefault="0051436E">
      <w:pPr>
        <w:rPr>
          <w:b/>
        </w:rPr>
      </w:pPr>
      <w:r w:rsidRPr="0051436E">
        <w:rPr>
          <w:b/>
        </w:rPr>
        <w:t>Deze leden vragen op basis van de bovenstaande gevraagde berekening een voorstel te doen om fracties tegemoet te komen in de kosten die zij redelijkerwijs maken aan overhead, maar niet gedekt worden door de Kamerorganisatie.</w:t>
      </w:r>
    </w:p>
    <w:p w:rsidR="00934CC4" w:rsidP="001C0ECF" w:rsidRDefault="00934CC4">
      <w:pPr>
        <w:tabs>
          <w:tab w:val="left" w:pos="-720"/>
        </w:tabs>
        <w:suppressAutoHyphens/>
      </w:pPr>
    </w:p>
    <w:p w:rsidR="00AD231F" w:rsidP="001C0ECF" w:rsidRDefault="00AD231F">
      <w:pPr>
        <w:tabs>
          <w:tab w:val="left" w:pos="-720"/>
        </w:tabs>
        <w:suppressAutoHyphens/>
      </w:pPr>
    </w:p>
    <w:p w:rsidR="00AD231F" w:rsidP="001C0ECF" w:rsidRDefault="00AD231F">
      <w:pPr>
        <w:tabs>
          <w:tab w:val="left" w:pos="-720"/>
        </w:tabs>
        <w:suppressAutoHyphens/>
      </w:pPr>
    </w:p>
    <w:p w:rsidR="00AD231F" w:rsidP="001C0ECF" w:rsidRDefault="00AD231F">
      <w:pPr>
        <w:tabs>
          <w:tab w:val="left" w:pos="-720"/>
        </w:tabs>
        <w:suppressAutoHyphens/>
      </w:pPr>
    </w:p>
    <w:p w:rsidRPr="002C6912" w:rsidR="00934CC4" w:rsidP="00934CC4" w:rsidRDefault="00934CC4">
      <w:pPr>
        <w:numPr>
          <w:ilvl w:val="0"/>
          <w:numId w:val="30"/>
        </w:numPr>
      </w:pPr>
      <w:r w:rsidRPr="002C6912">
        <w:rPr>
          <w:b/>
        </w:rPr>
        <w:t xml:space="preserve">Antwoord </w:t>
      </w:r>
    </w:p>
    <w:p w:rsidR="00934CC4" w:rsidP="001C0ECF" w:rsidRDefault="00934CC4">
      <w:pPr>
        <w:tabs>
          <w:tab w:val="left" w:pos="-720"/>
        </w:tabs>
        <w:suppressAutoHyphens/>
        <w:rPr>
          <w:b/>
        </w:rPr>
      </w:pPr>
    </w:p>
    <w:p w:rsidRPr="00151C1F" w:rsidR="00934CC4" w:rsidP="00934CC4" w:rsidRDefault="00934CC4">
      <w:r w:rsidRPr="00151C1F">
        <w:lastRenderedPageBreak/>
        <w:t xml:space="preserve">Tot en met 2015 werd het zetelbedrag bepaald met inbegrip van overhead. Zie hieronder de wijze van berekenen uit de Regeling, geldend vanaf 2014 t/m 2015. </w:t>
      </w:r>
    </w:p>
    <w:p w:rsidRPr="00151C1F" w:rsidR="00934CC4" w:rsidP="00934CC4" w:rsidRDefault="00934CC4"/>
    <w:p w:rsidRPr="00151C1F" w:rsidR="00934CC4" w:rsidP="00934CC4" w:rsidRDefault="00934CC4">
      <w:pPr>
        <w:pStyle w:val="Kop4"/>
        <w:spacing w:before="0" w:after="0"/>
        <w:rPr>
          <w:rFonts w:ascii="Times New Roman" w:hAnsi="Times New Roman"/>
          <w:color w:val="333333"/>
        </w:rPr>
      </w:pPr>
      <w:r w:rsidRPr="00151C1F">
        <w:rPr>
          <w:rFonts w:ascii="Times New Roman" w:hAnsi="Times New Roman"/>
          <w:color w:val="333333"/>
        </w:rPr>
        <w:t>Artikel 2. Berekening bijdrage en hoogte zetelbedrag (Regeling geldend 2014/15)</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151C1F" w:rsidR="00934CC4" w:rsidTr="00B85B0D">
        <w:tc>
          <w:tcPr>
            <w:tcW w:w="9062" w:type="dxa"/>
            <w:shd w:val="clear" w:color="auto" w:fill="auto"/>
          </w:tcPr>
          <w:p w:rsidRPr="00B85B0D" w:rsidR="00934CC4" w:rsidP="00B85B0D" w:rsidRDefault="00934CC4">
            <w:pPr>
              <w:rPr>
                <w:rFonts w:ascii="Calibri" w:hAnsi="Calibri" w:eastAsia="Calibri"/>
                <w:sz w:val="22"/>
                <w:szCs w:val="22"/>
              </w:rPr>
            </w:pPr>
            <w:r w:rsidRPr="00B85B0D">
              <w:rPr>
                <w:rFonts w:ascii="Calibri" w:hAnsi="Calibri" w:eastAsia="Calibri"/>
                <w:color w:val="333333"/>
                <w:sz w:val="22"/>
                <w:szCs w:val="22"/>
                <w:shd w:val="clear" w:color="auto" w:fill="FFFFFF"/>
              </w:rPr>
              <w:t xml:space="preserve">Elke fractie is jaarlijks gerechtigd tot een bijdrage. Deze bijdrage bestaat uit een bedrag per zetel (zetelbedrag) vermenigvuldigd met het aantal zetels (zeteltal) van de bijbehorende fractie. Het zetelbedrag wordt gesteld op </w:t>
            </w:r>
            <w:r w:rsidRPr="00B85B0D">
              <w:rPr>
                <w:rFonts w:ascii="Calibri" w:hAnsi="Calibri" w:eastAsia="Calibri"/>
                <w:b/>
                <w:color w:val="333333"/>
                <w:sz w:val="22"/>
                <w:szCs w:val="22"/>
                <w:shd w:val="clear" w:color="auto" w:fill="FFFFFF"/>
              </w:rPr>
              <w:t>eenmaal loonschaal 6</w:t>
            </w:r>
            <w:r w:rsidRPr="00B85B0D">
              <w:rPr>
                <w:rFonts w:ascii="Calibri" w:hAnsi="Calibri" w:eastAsia="Calibri"/>
                <w:color w:val="333333"/>
                <w:sz w:val="22"/>
                <w:szCs w:val="22"/>
                <w:shd w:val="clear" w:color="auto" w:fill="FFFFFF"/>
              </w:rPr>
              <w:t xml:space="preserve"> (</w:t>
            </w:r>
            <w:hyperlink w:history="1" r:id="rId15">
              <w:r w:rsidRPr="00B85B0D">
                <w:rPr>
                  <w:rStyle w:val="Hyperlink"/>
                  <w:rFonts w:ascii="Calibri" w:hAnsi="Calibri" w:eastAsia="Calibri"/>
                  <w:color w:val="154273"/>
                  <w:sz w:val="22"/>
                  <w:szCs w:val="22"/>
                  <w:shd w:val="clear" w:color="auto" w:fill="FFFFFF"/>
                </w:rPr>
                <w:t>Bezoldigingsbesluit Burgerlijke Rijksambtenaren</w:t>
              </w:r>
            </w:hyperlink>
            <w:r w:rsidRPr="00B85B0D">
              <w:rPr>
                <w:rFonts w:ascii="Calibri" w:hAnsi="Calibri" w:eastAsia="Calibri"/>
                <w:color w:val="333333"/>
                <w:sz w:val="22"/>
                <w:szCs w:val="22"/>
                <w:shd w:val="clear" w:color="auto" w:fill="FFFFFF"/>
              </w:rPr>
              <w:t xml:space="preserve">) </w:t>
            </w:r>
            <w:r w:rsidRPr="00B85B0D">
              <w:rPr>
                <w:rFonts w:ascii="Calibri" w:hAnsi="Calibri" w:eastAsia="Calibri"/>
                <w:b/>
                <w:color w:val="333333"/>
                <w:sz w:val="22"/>
                <w:szCs w:val="22"/>
                <w:shd w:val="clear" w:color="auto" w:fill="FFFFFF"/>
              </w:rPr>
              <w:t>inclusief overhead en eenmaal loonschaal 10</w:t>
            </w:r>
            <w:r w:rsidRPr="00B85B0D">
              <w:rPr>
                <w:rFonts w:ascii="Calibri" w:hAnsi="Calibri" w:eastAsia="Calibri"/>
                <w:color w:val="333333"/>
                <w:sz w:val="22"/>
                <w:szCs w:val="22"/>
                <w:shd w:val="clear" w:color="auto" w:fill="FFFFFF"/>
              </w:rPr>
              <w:t xml:space="preserve"> (Bezoldigingsbesluit Burgerlijke Rijksambtenaren)</w:t>
            </w:r>
            <w:r w:rsidRPr="00B85B0D">
              <w:rPr>
                <w:rFonts w:ascii="Calibri" w:hAnsi="Calibri" w:eastAsia="Calibri"/>
                <w:b/>
                <w:color w:val="333333"/>
                <w:sz w:val="22"/>
                <w:szCs w:val="22"/>
                <w:shd w:val="clear" w:color="auto" w:fill="FFFFFF"/>
              </w:rPr>
              <w:t xml:space="preserve"> inclusief overhead </w:t>
            </w:r>
            <w:r w:rsidRPr="00B85B0D">
              <w:rPr>
                <w:rFonts w:ascii="Calibri" w:hAnsi="Calibri" w:eastAsia="Calibri"/>
                <w:color w:val="333333"/>
                <w:sz w:val="22"/>
                <w:szCs w:val="22"/>
                <w:shd w:val="clear" w:color="auto" w:fill="FFFFFF"/>
              </w:rPr>
              <w:t>overeenkomstig de tarieven opgenomen in de Handleiding Overheidstarieven die jaarlijks wordt vastgesteld.</w:t>
            </w:r>
          </w:p>
        </w:tc>
      </w:tr>
    </w:tbl>
    <w:p w:rsidRPr="00151C1F" w:rsidR="00934CC4" w:rsidP="00934CC4" w:rsidRDefault="00934CC4"/>
    <w:p w:rsidRPr="00151C1F" w:rsidR="00934CC4" w:rsidP="00934CC4" w:rsidRDefault="00934CC4">
      <w:r w:rsidRPr="00151C1F">
        <w:t xml:space="preserve">In de tussentijd zijn er verschillende wijzigingen (versoepelingen) doorgevoerd op deze Regeling*, zoals het aanzienlijk verhogen van de loonschalen van 6 naar 10 en van 10 naar 13 en het uitbreiden met 0,5 aan fte op schaal 13 ter compensatie van de overheadkosten. In de tariefstelling van het Rijk (Handleiding Overheidstarieven) was het idee om het normbedrag aan overhead aanzienlijk te verlagen, dit ten nadele van de fracties. Vandaar dat is gekozen voor een berekening op uitsluitend salarisschalen exclusief een bedrag van overhead. De vergoeding of definitie van overhead is daarmee niet komen te vervallen, maar slechts de wijze van berekenen is aangepast, waar een hogere compensatie uit volgt voor overhead. </w:t>
      </w:r>
    </w:p>
    <w:p w:rsidRPr="00151C1F" w:rsidR="00934CC4" w:rsidP="00934CC4" w:rsidRDefault="00934CC4"/>
    <w:p w:rsidRPr="00151C1F" w:rsidR="00934CC4" w:rsidP="00934CC4" w:rsidRDefault="00934CC4">
      <w:pPr>
        <w:pStyle w:val="Kop4"/>
        <w:spacing w:before="0" w:after="0"/>
        <w:rPr>
          <w:rFonts w:ascii="Times New Roman" w:hAnsi="Times New Roman"/>
          <w:color w:val="333333"/>
        </w:rPr>
      </w:pPr>
      <w:r w:rsidRPr="00151C1F">
        <w:rPr>
          <w:rFonts w:ascii="Times New Roman" w:hAnsi="Times New Roman"/>
          <w:color w:val="333333"/>
        </w:rPr>
        <w:t>Artikel 2. Berekening bijdrage en hoogte zetelbedrag (Regeling geldend 2024)</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151C1F" w:rsidR="00934CC4" w:rsidTr="00B85B0D">
        <w:tc>
          <w:tcPr>
            <w:tcW w:w="9062" w:type="dxa"/>
            <w:shd w:val="clear" w:color="auto" w:fill="auto"/>
          </w:tcPr>
          <w:p w:rsidRPr="00B85B0D" w:rsidR="00934CC4" w:rsidP="00B85B0D" w:rsidRDefault="00934CC4">
            <w:pPr>
              <w:rPr>
                <w:rFonts w:ascii="Calibri" w:hAnsi="Calibri" w:eastAsia="Calibri"/>
                <w:sz w:val="22"/>
                <w:szCs w:val="22"/>
              </w:rPr>
            </w:pPr>
            <w:r w:rsidRPr="00B85B0D">
              <w:rPr>
                <w:rFonts w:ascii="Calibri" w:hAnsi="Calibri" w:eastAsia="Calibri"/>
                <w:sz w:val="22"/>
                <w:szCs w:val="22"/>
              </w:rPr>
              <w:t xml:space="preserve">Elke fractie of groep is jaarlijks gerechtigd tot een bijdrage. Deze bijdrage bestaat uit een bedrag per zetel (zetelbedrag) vermenigvuldigd met het aantal zetels (zeteltal) van de bijbehorende fractie of groep. Het zetelbedrag wordt voor fracties gesteld op eenmaal loonschaal 10 (cao Rijk) en </w:t>
            </w:r>
            <w:r w:rsidRPr="00B85B0D">
              <w:rPr>
                <w:rFonts w:ascii="Calibri" w:hAnsi="Calibri" w:eastAsia="Calibri"/>
                <w:b/>
                <w:sz w:val="22"/>
                <w:szCs w:val="22"/>
              </w:rPr>
              <w:t>anderhalf loonschaal 13</w:t>
            </w:r>
            <w:r w:rsidRPr="00B85B0D">
              <w:rPr>
                <w:rFonts w:ascii="Calibri" w:hAnsi="Calibri" w:eastAsia="Calibri"/>
                <w:sz w:val="22"/>
                <w:szCs w:val="22"/>
              </w:rPr>
              <w:t xml:space="preserve"> (cao Rijk) </w:t>
            </w:r>
            <w:r w:rsidRPr="00B85B0D">
              <w:rPr>
                <w:rFonts w:ascii="Calibri" w:hAnsi="Calibri" w:eastAsia="Calibri"/>
                <w:b/>
                <w:sz w:val="22"/>
                <w:szCs w:val="22"/>
              </w:rPr>
              <w:t xml:space="preserve">exclusief overhead </w:t>
            </w:r>
            <w:r w:rsidRPr="00B85B0D">
              <w:rPr>
                <w:rFonts w:ascii="Calibri" w:hAnsi="Calibri" w:eastAsia="Calibri"/>
                <w:sz w:val="22"/>
                <w:szCs w:val="22"/>
              </w:rPr>
              <w:t xml:space="preserve">overeenkomstig de tarieven opgenomen in de Handleiding Overheidstarieven die jaarlijks wordt vastgesteld. Het zetelbedrag wordt voor groepen gesteld op </w:t>
            </w:r>
            <w:r w:rsidRPr="00B85B0D">
              <w:rPr>
                <w:rFonts w:ascii="Calibri" w:hAnsi="Calibri" w:eastAsia="Calibri"/>
                <w:b/>
                <w:sz w:val="22"/>
                <w:szCs w:val="22"/>
              </w:rPr>
              <w:t>eenmaal loonschaal 10</w:t>
            </w:r>
            <w:r w:rsidRPr="00B85B0D">
              <w:rPr>
                <w:rFonts w:ascii="Calibri" w:hAnsi="Calibri" w:eastAsia="Calibri"/>
                <w:sz w:val="22"/>
                <w:szCs w:val="22"/>
              </w:rPr>
              <w:t xml:space="preserve"> (cao Rijk) en een half loonschaal 13 (cao Rijk) </w:t>
            </w:r>
            <w:r w:rsidRPr="00B85B0D">
              <w:rPr>
                <w:rFonts w:ascii="Calibri" w:hAnsi="Calibri" w:eastAsia="Calibri"/>
                <w:b/>
                <w:sz w:val="22"/>
                <w:szCs w:val="22"/>
              </w:rPr>
              <w:t>exclusief overhead</w:t>
            </w:r>
            <w:r w:rsidRPr="00B85B0D">
              <w:rPr>
                <w:rFonts w:ascii="Calibri" w:hAnsi="Calibri" w:eastAsia="Calibri"/>
                <w:sz w:val="22"/>
                <w:szCs w:val="22"/>
              </w:rPr>
              <w:t xml:space="preserve"> overeenkomst de tarieven opgenomen in de Handleiding Overheidstarieven die jaarlijks wordt vastgesteld.</w:t>
            </w:r>
          </w:p>
        </w:tc>
      </w:tr>
    </w:tbl>
    <w:p w:rsidRPr="00151C1F" w:rsidR="00934CC4" w:rsidP="00934CC4" w:rsidRDefault="00934CC4"/>
    <w:p w:rsidRPr="00151C1F" w:rsidR="00934CC4" w:rsidP="00934CC4" w:rsidRDefault="00934CC4">
      <w:r w:rsidRPr="00151C1F">
        <w:t>Om deze compensatie aan overhead te illustreren:</w:t>
      </w:r>
    </w:p>
    <w:p w:rsidRPr="00151C1F" w:rsidR="00934CC4" w:rsidP="00934CC4" w:rsidRDefault="00934CC4"/>
    <w:p w:rsidRPr="00151C1F" w:rsidR="00934CC4" w:rsidP="00934CC4" w:rsidRDefault="00934CC4">
      <w:r w:rsidRPr="00151C1F">
        <w:t xml:space="preserve">Het zetelbedrag voor dit jaar (2024) ligt op € 263.000, terwijl een berekening van het zetelbedrag op basis van de Regeling - geldend voor 2014 en met inbegrip van overhead –  uit zou komen op € 186.000 (tegen HOT-tarief 2024). Ofwel in het zetelbedrag is nooit budgettaire ruimte weggehaald voor overheadkosten maar het is eerder verruimd. De verruiming (77.000 euro) van het zetelbedrag overstijgt ruimschoots het huidige normbedrag voor overhead (26.000 euro). Daarbij komt dat een groot deel van de overheadkosten door de TK gedragen wordt. </w:t>
      </w:r>
    </w:p>
    <w:p w:rsidR="00AD231F" w:rsidP="00AD231F" w:rsidRDefault="00AD231F">
      <w:pPr>
        <w:rPr>
          <w:b/>
        </w:rPr>
      </w:pPr>
    </w:p>
    <w:p w:rsidRPr="00934CC4" w:rsidR="00AD231F" w:rsidP="00AD231F" w:rsidRDefault="00AD231F">
      <w:pPr>
        <w:ind w:left="142" w:hanging="142"/>
        <w:rPr>
          <w:rFonts w:cs="Calibri"/>
          <w:sz w:val="16"/>
          <w:szCs w:val="16"/>
        </w:rPr>
      </w:pPr>
      <w:r w:rsidRPr="00934CC4">
        <w:rPr>
          <w:rFonts w:cs="Calibri"/>
          <w:sz w:val="20"/>
          <w:szCs w:val="20"/>
        </w:rPr>
        <w:t xml:space="preserve">* </w:t>
      </w:r>
      <w:r w:rsidRPr="00934CC4">
        <w:rPr>
          <w:rFonts w:cs="Calibri"/>
          <w:sz w:val="16"/>
          <w:szCs w:val="16"/>
        </w:rPr>
        <w:t>23686, nr. 23 (3 november 2015) art. 1 en 8 | 34567 (13 december 2016) art. 1, 2, 3, 5, 6, 7, 7a, 9, bijlage | 35379 (28 januari 2020) art. 2 | 35911 (9 december 2021) art. 1, 4, 5, 7, 8, 9, 11, 13, bijlage</w:t>
      </w:r>
    </w:p>
    <w:p w:rsidR="00AD231F" w:rsidP="00AD231F" w:rsidRDefault="00AD231F">
      <w:pPr>
        <w:rPr>
          <w:b/>
        </w:rPr>
      </w:pPr>
    </w:p>
    <w:p w:rsidR="00AD231F" w:rsidP="00AD231F" w:rsidRDefault="00AD231F">
      <w:pPr>
        <w:rPr>
          <w:b/>
        </w:rPr>
      </w:pPr>
    </w:p>
    <w:p w:rsidRPr="0051436E" w:rsidR="00AD231F" w:rsidP="00AD231F" w:rsidRDefault="00AD231F">
      <w:pPr>
        <w:rPr>
          <w:b/>
        </w:rPr>
      </w:pPr>
      <w:r w:rsidRPr="0051436E">
        <w:rPr>
          <w:b/>
        </w:rPr>
        <w:lastRenderedPageBreak/>
        <w:t>Deze leden vragen op basis van de bovenstaande gevraagde berekening een voorstel te doen om fracties tegemoet te komen in de kosten die zij redelijkerwijs maken aan overhead, maar niet gedekt worden door de Kamerorganisatie.</w:t>
      </w:r>
    </w:p>
    <w:p w:rsidR="00AD231F" w:rsidP="00934CC4" w:rsidRDefault="00AD231F">
      <w:pPr>
        <w:rPr>
          <w:rFonts w:cs="Calibri"/>
        </w:rPr>
      </w:pPr>
    </w:p>
    <w:p w:rsidRPr="00934CC4" w:rsidR="0051436E" w:rsidP="00934CC4" w:rsidRDefault="0051436E">
      <w:pPr>
        <w:rPr>
          <w:rFonts w:cs="Calibri"/>
          <w:sz w:val="20"/>
          <w:szCs w:val="20"/>
        </w:rPr>
      </w:pPr>
      <w:r w:rsidRPr="0051436E">
        <w:rPr>
          <w:rFonts w:cs="Calibri"/>
        </w:rPr>
        <w:t xml:space="preserve">Het Presidium heeft in de afgelopen jaren meerdere wijzigingen (versoepelingen) voorgesteld op het zetelbedrag. Ook om meer budgettaire ruimte te hebben voor o.a. overheadkosten. Een verdere berekening voor een tegemoetkoming aan overhead is in de ogen van het Presidium dan ook niet zinvol.  </w:t>
      </w:r>
    </w:p>
    <w:p w:rsidR="00934CC4" w:rsidP="001C0ECF" w:rsidRDefault="00934CC4">
      <w:pPr>
        <w:tabs>
          <w:tab w:val="left" w:pos="-720"/>
        </w:tabs>
        <w:suppressAutoHyphens/>
        <w:rPr>
          <w:b/>
        </w:rPr>
      </w:pPr>
    </w:p>
    <w:p w:rsidR="001C0ECF" w:rsidP="001C0ECF" w:rsidRDefault="0086471D">
      <w:pPr>
        <w:tabs>
          <w:tab w:val="left" w:pos="-720"/>
        </w:tabs>
        <w:suppressAutoHyphens/>
        <w:rPr>
          <w:b/>
        </w:rPr>
      </w:pPr>
      <w:r>
        <w:rPr>
          <w:b/>
        </w:rPr>
        <w:t xml:space="preserve">Inbreng leden van de </w:t>
      </w:r>
      <w:r w:rsidR="00B14338">
        <w:rPr>
          <w:b/>
        </w:rPr>
        <w:t>Ch</w:t>
      </w:r>
      <w:r w:rsidR="00CF55B4">
        <w:rPr>
          <w:b/>
        </w:rPr>
        <w:t>r</w:t>
      </w:r>
      <w:r w:rsidR="00B14338">
        <w:rPr>
          <w:b/>
        </w:rPr>
        <w:t>istenUnie</w:t>
      </w:r>
      <w:r w:rsidRPr="00892591" w:rsidR="001C0ECF">
        <w:rPr>
          <w:b/>
        </w:rPr>
        <w:t xml:space="preserve">-fractie </w:t>
      </w:r>
    </w:p>
    <w:p w:rsidR="00B14338" w:rsidP="00B14338" w:rsidRDefault="00B14338">
      <w:pPr>
        <w:tabs>
          <w:tab w:val="left" w:pos="-720"/>
        </w:tabs>
        <w:suppressAutoHyphens/>
      </w:pPr>
      <w:r>
        <w:t xml:space="preserve">De leden van de fractie van de ChristenUnie hebben met interesse kennisgenomen van het voorstel van het Presidium tot vaststelling van de Regeling financiële ondersteuning fracties en groepen Tweede Kamer 2023 en de Nota van Wijziging die beoogt dit voorstel op enkele punten te wijzigen. </w:t>
      </w:r>
    </w:p>
    <w:p w:rsidR="00B14338" w:rsidP="00B14338" w:rsidRDefault="00B14338">
      <w:pPr>
        <w:tabs>
          <w:tab w:val="left" w:pos="-720"/>
        </w:tabs>
        <w:suppressAutoHyphens/>
      </w:pPr>
      <w:r>
        <w:t xml:space="preserve">De leden van de fractie van de ChristenUnie hebben op een enkel punt nog behoefte aan een toelichting. Deze leden constateren dat het </w:t>
      </w:r>
      <w:r w:rsidRPr="00EE43A0">
        <w:t>zetelbedrag voor een stichting behorende bij een fractie</w:t>
      </w:r>
      <w:r>
        <w:t xml:space="preserve"> wordt</w:t>
      </w:r>
      <w:r w:rsidRPr="00EE43A0">
        <w:t xml:space="preserve"> gesteld op eenmaal loonschaal 10 (CAO Rijk) en anderhalf loonschaal 13 (CAO Rijk) exclusief overheadkosten overeenkomstig de tarieven opgenomen in de Handleiding Overheidstarieven.</w:t>
      </w:r>
      <w:r>
        <w:t xml:space="preserve"> Doordat bij het berekenen van het zetelbedrag, conform de Handleiding Overheidstarieven wordt uitgegaan van de gemiddelde uurtarieven per salarisschaal, kan het zetelbedrag fluctueren. De leden van de fractie van de ChristenUnie vinden dat niet wenselijk vanwege de onvoorspelbaarheid van de vergoeding die dat tot gevolg heeft. Deze leden hebben dan ook met instemming </w:t>
      </w:r>
      <w:r w:rsidR="006B346C">
        <w:t>kennisgenomen</w:t>
      </w:r>
      <w:r>
        <w:t xml:space="preserve"> van de nota van wijziging die regelt dat het zetelbedrag niet </w:t>
      </w:r>
      <w:r w:rsidRPr="007D630E">
        <w:t>kan verlagen ten opzichte</w:t>
      </w:r>
      <w:r>
        <w:t xml:space="preserve"> </w:t>
      </w:r>
      <w:r w:rsidRPr="007D630E">
        <w:t>van voorafgaande jaren.</w:t>
      </w:r>
      <w:r>
        <w:t xml:space="preserve"> Dit vergroot de voorspelbaarheid van de financiering en geeft een solide basis om meerjarig op te begroten. Is ook overwogen om niet het gemiddelde van de schaal te nemen, maar een vaste trede in de loonschaal te kiezen, bijvoorbeeld de eindtrede of de trede middenin de schaal, zo vragen deze leden. Waarom is voor de voorgestelde oplossing gekozen?</w:t>
      </w:r>
    </w:p>
    <w:p w:rsidR="00673CF9" w:rsidP="00B14338" w:rsidRDefault="00673CF9">
      <w:pPr>
        <w:tabs>
          <w:tab w:val="left" w:pos="-720"/>
        </w:tabs>
        <w:suppressAutoHyphens/>
      </w:pPr>
    </w:p>
    <w:p w:rsidRPr="002C6912" w:rsidR="00673CF9" w:rsidP="00934CC4" w:rsidRDefault="0076136E">
      <w:pPr>
        <w:numPr>
          <w:ilvl w:val="0"/>
          <w:numId w:val="30"/>
        </w:numPr>
      </w:pPr>
      <w:r>
        <w:rPr>
          <w:b/>
        </w:rPr>
        <w:t xml:space="preserve">Antwoord </w:t>
      </w:r>
    </w:p>
    <w:p w:rsidR="00673CF9" w:rsidP="00673CF9" w:rsidRDefault="00673CF9"/>
    <w:p w:rsidR="00673CF9" w:rsidP="00673CF9" w:rsidRDefault="00673CF9">
      <w:r>
        <w:t>Die overwegingen zijn er wel geweest in het berekenen van het zetelbedrag. Stel je zou uitgaan van een vaste trede of van een trede middenin de schaal dan dien je als organisatie zelf aannames te doen over loongroei, wijzigingen in</w:t>
      </w:r>
      <w:r w:rsidRPr="004F75B9">
        <w:t xml:space="preserve"> volks- en werknemer</w:t>
      </w:r>
      <w:r>
        <w:t>sp</w:t>
      </w:r>
      <w:r w:rsidRPr="004F75B9">
        <w:t>remies</w:t>
      </w:r>
      <w:r>
        <w:t>*, inzet en wijziging van het individueel Keuzebudget (IKB) en of andere looncomponenten. Voorheen werd dit ook door overheden zelf gedaan, maar het berekende tarief was dan niet altijd even eerlijk dan wel volledig. In dat licht is er een Handleiding Overheidstarieven vanuit de Rijksoverheid gekomen, zodat er een uni</w:t>
      </w:r>
      <w:r w:rsidR="00FB41BF">
        <w:t>forme richtlijn is voor tariev</w:t>
      </w:r>
      <w:r w:rsidR="00C82187">
        <w:t>en</w:t>
      </w:r>
      <w:r>
        <w:t xml:space="preserve"> binnen overheden. </w:t>
      </w:r>
    </w:p>
    <w:p w:rsidR="00673CF9" w:rsidP="00673CF9" w:rsidRDefault="00673CF9"/>
    <w:p w:rsidR="00673CF9" w:rsidP="00673CF9" w:rsidRDefault="00673CF9">
      <w:r>
        <w:t xml:space="preserve">Normaliter nemen deze tarieven uit de Handleiding toe, alleen in dit jaar was er sprake van een bijzonderheid dat de gemiddelde loonkosten van een salarisschaal omlaagging vanwege een niet ingecalculeerde hoge uitstroom. Met deze wijziging in de Regeling kan het zetelbedrag ook niet </w:t>
      </w:r>
      <w:r w:rsidR="00134388">
        <w:t>omlaaggaan</w:t>
      </w:r>
      <w:r>
        <w:t xml:space="preserve"> ten opzichte van het vorige zetelbedrag en sluiten wij wel aan op de gebruikelijke systematiek qua tariefbepalingen bij overheden. </w:t>
      </w:r>
    </w:p>
    <w:p w:rsidR="00673CF9" w:rsidP="00673CF9" w:rsidRDefault="00673CF9"/>
    <w:p w:rsidR="00673CF9" w:rsidP="00673CF9" w:rsidRDefault="00673CF9">
      <w:r>
        <w:lastRenderedPageBreak/>
        <w:t xml:space="preserve">De verwachting is dat de tarieven in de Handleiding Overheidstarieven 2025 ook aanzienlijk zullen toenemen door het nieuwe cao-akkoord. </w:t>
      </w:r>
    </w:p>
    <w:p w:rsidR="00673CF9" w:rsidP="00673CF9" w:rsidRDefault="00673CF9"/>
    <w:p w:rsidRPr="007E4199" w:rsidR="00673CF9" w:rsidP="00673CF9" w:rsidRDefault="00673CF9">
      <w:r>
        <w:t xml:space="preserve">* </w:t>
      </w:r>
      <w:r w:rsidRPr="00386AB3">
        <w:rPr>
          <w:sz w:val="18"/>
          <w:szCs w:val="18"/>
        </w:rPr>
        <w:t>ouderdoms- en nabestaandenpensioen, inkoop voorwaardelijk pensioen, arbeidsongeschiktheidspensioen, WIA/WAO, UFO, en de bijdrage Zorgverzekeringswet,</w:t>
      </w:r>
    </w:p>
    <w:p w:rsidRPr="002B5226" w:rsidR="00673CF9" w:rsidP="00B14338" w:rsidRDefault="00673CF9">
      <w:pPr>
        <w:tabs>
          <w:tab w:val="left" w:pos="-720"/>
        </w:tabs>
        <w:suppressAutoHyphens/>
      </w:pPr>
    </w:p>
    <w:p w:rsidRPr="002C6912" w:rsidR="00034A2C" w:rsidP="00034A2C" w:rsidRDefault="00892591">
      <w:pPr>
        <w:tabs>
          <w:tab w:val="left" w:pos="-720"/>
        </w:tabs>
        <w:suppressAutoHyphens/>
      </w:pPr>
      <w:r>
        <w:br/>
      </w:r>
      <w:r w:rsidR="002A28C1">
        <w:t>D</w:t>
      </w:r>
      <w:r w:rsidRPr="00CA1499" w:rsidR="002A28C1">
        <w:t xml:space="preserve">e Voorzitter van </w:t>
      </w:r>
      <w:r w:rsidR="002A28C1">
        <w:t>het Presidium</w:t>
      </w:r>
      <w:r w:rsidRPr="002C6912" w:rsidR="00034A2C">
        <w:t>,</w:t>
      </w:r>
    </w:p>
    <w:p w:rsidR="00034A2C" w:rsidP="00034A2C" w:rsidRDefault="002A28C1">
      <w:pPr>
        <w:tabs>
          <w:tab w:val="left" w:pos="-720"/>
        </w:tabs>
        <w:suppressAutoHyphens/>
      </w:pPr>
      <w:r>
        <w:t xml:space="preserve">Martin </w:t>
      </w:r>
      <w:r w:rsidR="00034A2C">
        <w:t>Bosma</w:t>
      </w:r>
    </w:p>
    <w:p w:rsidRPr="002C6912" w:rsidR="00034A2C" w:rsidP="00034A2C" w:rsidRDefault="00034A2C">
      <w:pPr>
        <w:tabs>
          <w:tab w:val="left" w:pos="-720"/>
        </w:tabs>
        <w:suppressAutoHyphens/>
      </w:pPr>
    </w:p>
    <w:sectPr w:rsidRPr="002C6912" w:rsidR="00034A2C" w:rsidSect="00FC6343">
      <w:pgSz w:w="12240" w:h="15840" w:code="1"/>
      <w:pgMar w:top="1440" w:right="1440" w:bottom="1559"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83" w:rsidRDefault="00770783" w:rsidP="00441AE3">
      <w:r>
        <w:separator/>
      </w:r>
    </w:p>
  </w:endnote>
  <w:endnote w:type="continuationSeparator" w:id="0">
    <w:p w:rsidR="00770783" w:rsidRDefault="00770783" w:rsidP="004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83" w:rsidRDefault="00770783" w:rsidP="00441AE3">
      <w:r>
        <w:separator/>
      </w:r>
    </w:p>
  </w:footnote>
  <w:footnote w:type="continuationSeparator" w:id="0">
    <w:p w:rsidR="00770783" w:rsidRDefault="00770783" w:rsidP="004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B5"/>
    <w:multiLevelType w:val="hybridMultilevel"/>
    <w:tmpl w:val="F228AFDE"/>
    <w:lvl w:ilvl="0" w:tplc="6A6E86C6">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74BD3"/>
    <w:multiLevelType w:val="hybridMultilevel"/>
    <w:tmpl w:val="40CC3E4E"/>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16715"/>
    <w:multiLevelType w:val="hybridMultilevel"/>
    <w:tmpl w:val="56D48E7A"/>
    <w:lvl w:ilvl="0" w:tplc="6A6E86C6">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E6B7D"/>
    <w:multiLevelType w:val="hybridMultilevel"/>
    <w:tmpl w:val="BF862600"/>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A5621"/>
    <w:multiLevelType w:val="hybridMultilevel"/>
    <w:tmpl w:val="66ECFDD4"/>
    <w:lvl w:ilvl="0" w:tplc="D89C63D6">
      <w:start w:val="3"/>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F0DF7"/>
    <w:multiLevelType w:val="hybridMultilevel"/>
    <w:tmpl w:val="1BBC485C"/>
    <w:lvl w:ilvl="0" w:tplc="E722AD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E51DAB"/>
    <w:multiLevelType w:val="hybridMultilevel"/>
    <w:tmpl w:val="9D38E770"/>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240B8"/>
    <w:multiLevelType w:val="hybridMultilevel"/>
    <w:tmpl w:val="02361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D9572A"/>
    <w:multiLevelType w:val="hybridMultilevel"/>
    <w:tmpl w:val="2752BE86"/>
    <w:lvl w:ilvl="0" w:tplc="5AE4746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5342BE"/>
    <w:multiLevelType w:val="hybridMultilevel"/>
    <w:tmpl w:val="88941972"/>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0019D"/>
    <w:multiLevelType w:val="hybridMultilevel"/>
    <w:tmpl w:val="3C4A2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7325B3"/>
    <w:multiLevelType w:val="hybridMultilevel"/>
    <w:tmpl w:val="9B20A774"/>
    <w:lvl w:ilvl="0" w:tplc="6A6E86C6">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305921"/>
    <w:multiLevelType w:val="hybridMultilevel"/>
    <w:tmpl w:val="FB7C8334"/>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B7DB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6E67D7"/>
    <w:multiLevelType w:val="hybridMultilevel"/>
    <w:tmpl w:val="02C21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EB2363"/>
    <w:multiLevelType w:val="hybridMultilevel"/>
    <w:tmpl w:val="588ED2A2"/>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D75BC"/>
    <w:multiLevelType w:val="hybridMultilevel"/>
    <w:tmpl w:val="4B60119C"/>
    <w:lvl w:ilvl="0" w:tplc="5C3275C4">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EA543C"/>
    <w:multiLevelType w:val="hybridMultilevel"/>
    <w:tmpl w:val="15967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A21FBD"/>
    <w:multiLevelType w:val="hybridMultilevel"/>
    <w:tmpl w:val="A9FA4B92"/>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9" w15:restartNumberingAfterBreak="0">
    <w:nsid w:val="38567816"/>
    <w:multiLevelType w:val="hybridMultilevel"/>
    <w:tmpl w:val="53707ABC"/>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54CD2"/>
    <w:multiLevelType w:val="hybridMultilevel"/>
    <w:tmpl w:val="C52CA876"/>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616D6"/>
    <w:multiLevelType w:val="hybridMultilevel"/>
    <w:tmpl w:val="64D0E090"/>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07254"/>
    <w:multiLevelType w:val="hybridMultilevel"/>
    <w:tmpl w:val="1F2A063A"/>
    <w:lvl w:ilvl="0" w:tplc="C2526BEE">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683800"/>
    <w:multiLevelType w:val="hybridMultilevel"/>
    <w:tmpl w:val="0160311C"/>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458BD"/>
    <w:multiLevelType w:val="hybridMultilevel"/>
    <w:tmpl w:val="07AEF52E"/>
    <w:lvl w:ilvl="0" w:tplc="1CD0D480">
      <w:start w:val="1"/>
      <w:numFmt w:val="bullet"/>
      <w:lvlText w:val=""/>
      <w:lvlJc w:val="left"/>
      <w:pPr>
        <w:tabs>
          <w:tab w:val="num" w:pos="360"/>
        </w:tabs>
        <w:ind w:left="360" w:hanging="360"/>
      </w:pPr>
      <w:rPr>
        <w:rFonts w:ascii="Symbol" w:hAnsi="Symbol" w:hint="default"/>
        <w:color w:val="auto"/>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BE792A"/>
    <w:multiLevelType w:val="hybridMultilevel"/>
    <w:tmpl w:val="062E77FC"/>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3C5F"/>
    <w:multiLevelType w:val="hybridMultilevel"/>
    <w:tmpl w:val="5C22D616"/>
    <w:lvl w:ilvl="0" w:tplc="D1D0D2A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2D4879"/>
    <w:multiLevelType w:val="hybridMultilevel"/>
    <w:tmpl w:val="159661F8"/>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D7BFB"/>
    <w:multiLevelType w:val="hybridMultilevel"/>
    <w:tmpl w:val="5E041E48"/>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077716"/>
    <w:multiLevelType w:val="hybridMultilevel"/>
    <w:tmpl w:val="8D880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0A067A"/>
    <w:multiLevelType w:val="hybridMultilevel"/>
    <w:tmpl w:val="4D4CAB4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C5140D"/>
    <w:multiLevelType w:val="hybridMultilevel"/>
    <w:tmpl w:val="50B0D4E4"/>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A64DF"/>
    <w:multiLevelType w:val="hybridMultilevel"/>
    <w:tmpl w:val="34C24084"/>
    <w:lvl w:ilvl="0" w:tplc="5C3275C4">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8C6345"/>
    <w:multiLevelType w:val="hybridMultilevel"/>
    <w:tmpl w:val="47D62E5C"/>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47B0E"/>
    <w:multiLevelType w:val="hybridMultilevel"/>
    <w:tmpl w:val="508E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1754F0"/>
    <w:multiLevelType w:val="hybridMultilevel"/>
    <w:tmpl w:val="8742840A"/>
    <w:lvl w:ilvl="0" w:tplc="BCB052A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460CBD"/>
    <w:multiLevelType w:val="hybridMultilevel"/>
    <w:tmpl w:val="CD8E50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7ED23C5"/>
    <w:multiLevelType w:val="hybridMultilevel"/>
    <w:tmpl w:val="EDE05CC6"/>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6E5963"/>
    <w:multiLevelType w:val="hybridMultilevel"/>
    <w:tmpl w:val="E7C4C8AA"/>
    <w:lvl w:ilvl="0" w:tplc="6A6E86C6">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BE3F2F"/>
    <w:multiLevelType w:val="hybridMultilevel"/>
    <w:tmpl w:val="6B18177C"/>
    <w:lvl w:ilvl="0" w:tplc="1CD0D480">
      <w:start w:val="1"/>
      <w:numFmt w:val="bullet"/>
      <w:lvlText w:val=""/>
      <w:lvlJc w:val="left"/>
      <w:pPr>
        <w:tabs>
          <w:tab w:val="num" w:pos="360"/>
        </w:tabs>
        <w:ind w:left="360" w:hanging="360"/>
      </w:pPr>
      <w:rPr>
        <w:rFonts w:ascii="Symbol" w:hAnsi="Symbol" w:hint="default"/>
        <w:color w:val="auto"/>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20"/>
  </w:num>
  <w:num w:numId="4">
    <w:abstractNumId w:val="1"/>
  </w:num>
  <w:num w:numId="5">
    <w:abstractNumId w:val="27"/>
  </w:num>
  <w:num w:numId="6">
    <w:abstractNumId w:val="33"/>
  </w:num>
  <w:num w:numId="7">
    <w:abstractNumId w:val="25"/>
  </w:num>
  <w:num w:numId="8">
    <w:abstractNumId w:val="3"/>
  </w:num>
  <w:num w:numId="9">
    <w:abstractNumId w:val="9"/>
  </w:num>
  <w:num w:numId="10">
    <w:abstractNumId w:val="28"/>
  </w:num>
  <w:num w:numId="11">
    <w:abstractNumId w:val="15"/>
  </w:num>
  <w:num w:numId="12">
    <w:abstractNumId w:val="19"/>
  </w:num>
  <w:num w:numId="13">
    <w:abstractNumId w:val="6"/>
  </w:num>
  <w:num w:numId="14">
    <w:abstractNumId w:val="39"/>
  </w:num>
  <w:num w:numId="15">
    <w:abstractNumId w:val="12"/>
  </w:num>
  <w:num w:numId="16">
    <w:abstractNumId w:val="31"/>
  </w:num>
  <w:num w:numId="17">
    <w:abstractNumId w:val="23"/>
  </w:num>
  <w:num w:numId="18">
    <w:abstractNumId w:val="24"/>
  </w:num>
  <w:num w:numId="19">
    <w:abstractNumId w:val="14"/>
  </w:num>
  <w:num w:numId="20">
    <w:abstractNumId w:val="13"/>
  </w:num>
  <w:num w:numId="21">
    <w:abstractNumId w:val="36"/>
  </w:num>
  <w:num w:numId="22">
    <w:abstractNumId w:val="29"/>
  </w:num>
  <w:num w:numId="23">
    <w:abstractNumId w:val="10"/>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8"/>
  </w:num>
  <w:num w:numId="28">
    <w:abstractNumId w:val="4"/>
  </w:num>
  <w:num w:numId="29">
    <w:abstractNumId w:val="26"/>
  </w:num>
  <w:num w:numId="30">
    <w:abstractNumId w:val="38"/>
  </w:num>
  <w:num w:numId="31">
    <w:abstractNumId w:val="7"/>
  </w:num>
  <w:num w:numId="32">
    <w:abstractNumId w:val="30"/>
  </w:num>
  <w:num w:numId="33">
    <w:abstractNumId w:val="34"/>
  </w:num>
  <w:num w:numId="34">
    <w:abstractNumId w:val="16"/>
  </w:num>
  <w:num w:numId="35">
    <w:abstractNumId w:val="32"/>
  </w:num>
  <w:num w:numId="36">
    <w:abstractNumId w:val="35"/>
  </w:num>
  <w:num w:numId="37">
    <w:abstractNumId w:val="5"/>
  </w:num>
  <w:num w:numId="38">
    <w:abstractNumId w:val="17"/>
  </w:num>
  <w:num w:numId="39">
    <w:abstractNumId w:val="2"/>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E3"/>
    <w:rsid w:val="00000477"/>
    <w:rsid w:val="00006105"/>
    <w:rsid w:val="00010C9E"/>
    <w:rsid w:val="000118EE"/>
    <w:rsid w:val="000226A6"/>
    <w:rsid w:val="00025145"/>
    <w:rsid w:val="00027DE7"/>
    <w:rsid w:val="00030DF0"/>
    <w:rsid w:val="00033297"/>
    <w:rsid w:val="00034A2C"/>
    <w:rsid w:val="00037927"/>
    <w:rsid w:val="00044FBA"/>
    <w:rsid w:val="00053F27"/>
    <w:rsid w:val="00057EA9"/>
    <w:rsid w:val="00063902"/>
    <w:rsid w:val="00063D0D"/>
    <w:rsid w:val="0006400A"/>
    <w:rsid w:val="00081947"/>
    <w:rsid w:val="00086469"/>
    <w:rsid w:val="000947AF"/>
    <w:rsid w:val="000A0F98"/>
    <w:rsid w:val="000A13EA"/>
    <w:rsid w:val="000A2763"/>
    <w:rsid w:val="000A6750"/>
    <w:rsid w:val="000B06D3"/>
    <w:rsid w:val="000B1A52"/>
    <w:rsid w:val="000B237D"/>
    <w:rsid w:val="000B4C93"/>
    <w:rsid w:val="000C6F2C"/>
    <w:rsid w:val="000D1132"/>
    <w:rsid w:val="000D2657"/>
    <w:rsid w:val="000D26DE"/>
    <w:rsid w:val="000D7FA7"/>
    <w:rsid w:val="000F1EAE"/>
    <w:rsid w:val="000F7012"/>
    <w:rsid w:val="0010299E"/>
    <w:rsid w:val="00114CC2"/>
    <w:rsid w:val="001203BB"/>
    <w:rsid w:val="001204AD"/>
    <w:rsid w:val="00134388"/>
    <w:rsid w:val="001371A6"/>
    <w:rsid w:val="00141C46"/>
    <w:rsid w:val="00147038"/>
    <w:rsid w:val="0014781D"/>
    <w:rsid w:val="00153E94"/>
    <w:rsid w:val="001544E4"/>
    <w:rsid w:val="001567B1"/>
    <w:rsid w:val="00164459"/>
    <w:rsid w:val="001679EA"/>
    <w:rsid w:val="00186798"/>
    <w:rsid w:val="00195D4A"/>
    <w:rsid w:val="001975DE"/>
    <w:rsid w:val="00197AA3"/>
    <w:rsid w:val="001A4A82"/>
    <w:rsid w:val="001A6EB7"/>
    <w:rsid w:val="001B1848"/>
    <w:rsid w:val="001B4F6D"/>
    <w:rsid w:val="001B5E69"/>
    <w:rsid w:val="001C0ECF"/>
    <w:rsid w:val="001D04F1"/>
    <w:rsid w:val="001D4349"/>
    <w:rsid w:val="001D6287"/>
    <w:rsid w:val="001E3AE1"/>
    <w:rsid w:val="001E4CB5"/>
    <w:rsid w:val="001F06F3"/>
    <w:rsid w:val="001F08B7"/>
    <w:rsid w:val="00201E1A"/>
    <w:rsid w:val="0021005B"/>
    <w:rsid w:val="002166E6"/>
    <w:rsid w:val="00223DFB"/>
    <w:rsid w:val="00226A74"/>
    <w:rsid w:val="00226C11"/>
    <w:rsid w:val="002271F1"/>
    <w:rsid w:val="0023053C"/>
    <w:rsid w:val="0023720F"/>
    <w:rsid w:val="002522A4"/>
    <w:rsid w:val="0026122F"/>
    <w:rsid w:val="00261E15"/>
    <w:rsid w:val="00272C7B"/>
    <w:rsid w:val="002847AC"/>
    <w:rsid w:val="00287FF9"/>
    <w:rsid w:val="0029522E"/>
    <w:rsid w:val="002979A6"/>
    <w:rsid w:val="002A28C1"/>
    <w:rsid w:val="002A6E36"/>
    <w:rsid w:val="002B2BC7"/>
    <w:rsid w:val="002B3F2D"/>
    <w:rsid w:val="002B5226"/>
    <w:rsid w:val="002C1CCB"/>
    <w:rsid w:val="002C3D90"/>
    <w:rsid w:val="002C6912"/>
    <w:rsid w:val="002D4C8F"/>
    <w:rsid w:val="002E2DE0"/>
    <w:rsid w:val="002E71AD"/>
    <w:rsid w:val="002F0DB3"/>
    <w:rsid w:val="003002B9"/>
    <w:rsid w:val="00301A4E"/>
    <w:rsid w:val="0030226D"/>
    <w:rsid w:val="003029E3"/>
    <w:rsid w:val="00303CFD"/>
    <w:rsid w:val="00304E0B"/>
    <w:rsid w:val="0030556F"/>
    <w:rsid w:val="00311D6D"/>
    <w:rsid w:val="003161F7"/>
    <w:rsid w:val="00326B06"/>
    <w:rsid w:val="003320C4"/>
    <w:rsid w:val="00333BC2"/>
    <w:rsid w:val="00343540"/>
    <w:rsid w:val="00343DBD"/>
    <w:rsid w:val="003468AA"/>
    <w:rsid w:val="00354925"/>
    <w:rsid w:val="00356C65"/>
    <w:rsid w:val="00362C65"/>
    <w:rsid w:val="00363CFA"/>
    <w:rsid w:val="00364929"/>
    <w:rsid w:val="00376B15"/>
    <w:rsid w:val="00381E2E"/>
    <w:rsid w:val="00384D77"/>
    <w:rsid w:val="00387C01"/>
    <w:rsid w:val="00391FA2"/>
    <w:rsid w:val="00395E53"/>
    <w:rsid w:val="003A46CB"/>
    <w:rsid w:val="003A4A1C"/>
    <w:rsid w:val="003A4FE6"/>
    <w:rsid w:val="003B3B5F"/>
    <w:rsid w:val="003B4D38"/>
    <w:rsid w:val="003C4275"/>
    <w:rsid w:val="003C6012"/>
    <w:rsid w:val="003C62F3"/>
    <w:rsid w:val="003C71F4"/>
    <w:rsid w:val="003D00D3"/>
    <w:rsid w:val="003D5F60"/>
    <w:rsid w:val="003F4FC1"/>
    <w:rsid w:val="003F6701"/>
    <w:rsid w:val="0040235A"/>
    <w:rsid w:val="0040240F"/>
    <w:rsid w:val="00402ADC"/>
    <w:rsid w:val="00405B13"/>
    <w:rsid w:val="0040732D"/>
    <w:rsid w:val="0041012A"/>
    <w:rsid w:val="004148A0"/>
    <w:rsid w:val="004166A1"/>
    <w:rsid w:val="00420432"/>
    <w:rsid w:val="004210E3"/>
    <w:rsid w:val="004254D2"/>
    <w:rsid w:val="004341F2"/>
    <w:rsid w:val="00435EFB"/>
    <w:rsid w:val="00440450"/>
    <w:rsid w:val="00441AE3"/>
    <w:rsid w:val="0045010F"/>
    <w:rsid w:val="004508C0"/>
    <w:rsid w:val="00457453"/>
    <w:rsid w:val="00465D14"/>
    <w:rsid w:val="004677D6"/>
    <w:rsid w:val="004704A0"/>
    <w:rsid w:val="004709A8"/>
    <w:rsid w:val="00474865"/>
    <w:rsid w:val="00486928"/>
    <w:rsid w:val="00486B16"/>
    <w:rsid w:val="00490AFE"/>
    <w:rsid w:val="004930FF"/>
    <w:rsid w:val="00493A6C"/>
    <w:rsid w:val="004961FC"/>
    <w:rsid w:val="004B6F3D"/>
    <w:rsid w:val="004B7DF4"/>
    <w:rsid w:val="004C13BA"/>
    <w:rsid w:val="004C4F69"/>
    <w:rsid w:val="004C7595"/>
    <w:rsid w:val="004D4DA9"/>
    <w:rsid w:val="004D559F"/>
    <w:rsid w:val="004E3633"/>
    <w:rsid w:val="004E4CDB"/>
    <w:rsid w:val="004E5498"/>
    <w:rsid w:val="004F1718"/>
    <w:rsid w:val="005000D4"/>
    <w:rsid w:val="005101B3"/>
    <w:rsid w:val="0051436E"/>
    <w:rsid w:val="00514456"/>
    <w:rsid w:val="0053206A"/>
    <w:rsid w:val="00535ABD"/>
    <w:rsid w:val="00536C20"/>
    <w:rsid w:val="00542CA0"/>
    <w:rsid w:val="005472D5"/>
    <w:rsid w:val="00547C76"/>
    <w:rsid w:val="00550F3D"/>
    <w:rsid w:val="005518DE"/>
    <w:rsid w:val="0055395F"/>
    <w:rsid w:val="0055569B"/>
    <w:rsid w:val="00556103"/>
    <w:rsid w:val="00563CC6"/>
    <w:rsid w:val="0057720F"/>
    <w:rsid w:val="00585B18"/>
    <w:rsid w:val="00593812"/>
    <w:rsid w:val="00593973"/>
    <w:rsid w:val="00594EB4"/>
    <w:rsid w:val="005A21DD"/>
    <w:rsid w:val="005A4C74"/>
    <w:rsid w:val="005A6373"/>
    <w:rsid w:val="005A7EB5"/>
    <w:rsid w:val="005B66DD"/>
    <w:rsid w:val="005C0DF9"/>
    <w:rsid w:val="005C0E9C"/>
    <w:rsid w:val="005C516E"/>
    <w:rsid w:val="005C7D11"/>
    <w:rsid w:val="005D0AFA"/>
    <w:rsid w:val="005D18C9"/>
    <w:rsid w:val="005D4761"/>
    <w:rsid w:val="005E2A0F"/>
    <w:rsid w:val="005E35FF"/>
    <w:rsid w:val="005F66E6"/>
    <w:rsid w:val="006019B9"/>
    <w:rsid w:val="00604F1A"/>
    <w:rsid w:val="006072B1"/>
    <w:rsid w:val="006073CB"/>
    <w:rsid w:val="00614C05"/>
    <w:rsid w:val="00621052"/>
    <w:rsid w:val="006219E2"/>
    <w:rsid w:val="00623591"/>
    <w:rsid w:val="0062468C"/>
    <w:rsid w:val="00635CDB"/>
    <w:rsid w:val="00637174"/>
    <w:rsid w:val="00637818"/>
    <w:rsid w:val="00640D6D"/>
    <w:rsid w:val="00644476"/>
    <w:rsid w:val="00645EF9"/>
    <w:rsid w:val="00660F04"/>
    <w:rsid w:val="00671429"/>
    <w:rsid w:val="006739F5"/>
    <w:rsid w:val="00673CF9"/>
    <w:rsid w:val="0068112D"/>
    <w:rsid w:val="00681DE2"/>
    <w:rsid w:val="00681F31"/>
    <w:rsid w:val="00686762"/>
    <w:rsid w:val="006921A9"/>
    <w:rsid w:val="006924C0"/>
    <w:rsid w:val="00693772"/>
    <w:rsid w:val="0069659E"/>
    <w:rsid w:val="006A1674"/>
    <w:rsid w:val="006A51F4"/>
    <w:rsid w:val="006B346C"/>
    <w:rsid w:val="006B4390"/>
    <w:rsid w:val="006B46C9"/>
    <w:rsid w:val="006C1FBC"/>
    <w:rsid w:val="006C3A89"/>
    <w:rsid w:val="006D2EBC"/>
    <w:rsid w:val="006D7B6E"/>
    <w:rsid w:val="006E2058"/>
    <w:rsid w:val="006E5A70"/>
    <w:rsid w:val="00700C99"/>
    <w:rsid w:val="0070653D"/>
    <w:rsid w:val="00706F65"/>
    <w:rsid w:val="007071AF"/>
    <w:rsid w:val="007203C9"/>
    <w:rsid w:val="0072718C"/>
    <w:rsid w:val="007338E1"/>
    <w:rsid w:val="0074275A"/>
    <w:rsid w:val="00744701"/>
    <w:rsid w:val="00745847"/>
    <w:rsid w:val="00747AD6"/>
    <w:rsid w:val="007551C0"/>
    <w:rsid w:val="00756303"/>
    <w:rsid w:val="0076136E"/>
    <w:rsid w:val="0076326F"/>
    <w:rsid w:val="00765534"/>
    <w:rsid w:val="007664E5"/>
    <w:rsid w:val="00770783"/>
    <w:rsid w:val="00791D22"/>
    <w:rsid w:val="007976C2"/>
    <w:rsid w:val="007A21CE"/>
    <w:rsid w:val="007A27CF"/>
    <w:rsid w:val="007A31FD"/>
    <w:rsid w:val="007A385E"/>
    <w:rsid w:val="007D014C"/>
    <w:rsid w:val="007D27D8"/>
    <w:rsid w:val="007D3629"/>
    <w:rsid w:val="007D422C"/>
    <w:rsid w:val="007D7693"/>
    <w:rsid w:val="007D7BA8"/>
    <w:rsid w:val="007E0BFE"/>
    <w:rsid w:val="007E4199"/>
    <w:rsid w:val="007E44F5"/>
    <w:rsid w:val="007F687C"/>
    <w:rsid w:val="008011CF"/>
    <w:rsid w:val="00805481"/>
    <w:rsid w:val="00807DD9"/>
    <w:rsid w:val="008133C5"/>
    <w:rsid w:val="00814EAA"/>
    <w:rsid w:val="00821F74"/>
    <w:rsid w:val="00825373"/>
    <w:rsid w:val="00826BE7"/>
    <w:rsid w:val="00826F84"/>
    <w:rsid w:val="008325D4"/>
    <w:rsid w:val="008335A9"/>
    <w:rsid w:val="00845CA5"/>
    <w:rsid w:val="00847230"/>
    <w:rsid w:val="00852169"/>
    <w:rsid w:val="00856576"/>
    <w:rsid w:val="00862711"/>
    <w:rsid w:val="0086471D"/>
    <w:rsid w:val="008662D9"/>
    <w:rsid w:val="0086693B"/>
    <w:rsid w:val="00866A6D"/>
    <w:rsid w:val="0086759F"/>
    <w:rsid w:val="008826ED"/>
    <w:rsid w:val="00885F53"/>
    <w:rsid w:val="00892591"/>
    <w:rsid w:val="00892BD3"/>
    <w:rsid w:val="00892BDF"/>
    <w:rsid w:val="00894116"/>
    <w:rsid w:val="00896B3C"/>
    <w:rsid w:val="008A473A"/>
    <w:rsid w:val="008B7B9C"/>
    <w:rsid w:val="008C2AED"/>
    <w:rsid w:val="008C4AAA"/>
    <w:rsid w:val="008C7B6E"/>
    <w:rsid w:val="008D0266"/>
    <w:rsid w:val="008D747C"/>
    <w:rsid w:val="008D7584"/>
    <w:rsid w:val="008E09AD"/>
    <w:rsid w:val="008E0D4B"/>
    <w:rsid w:val="008E1072"/>
    <w:rsid w:val="008F2348"/>
    <w:rsid w:val="008F2C16"/>
    <w:rsid w:val="008F2F80"/>
    <w:rsid w:val="00904DD0"/>
    <w:rsid w:val="00914329"/>
    <w:rsid w:val="00916BC8"/>
    <w:rsid w:val="00916F96"/>
    <w:rsid w:val="00920866"/>
    <w:rsid w:val="0092123B"/>
    <w:rsid w:val="00924EC6"/>
    <w:rsid w:val="0092633C"/>
    <w:rsid w:val="00926F86"/>
    <w:rsid w:val="00927E4F"/>
    <w:rsid w:val="00932E9A"/>
    <w:rsid w:val="00934CC4"/>
    <w:rsid w:val="00935B41"/>
    <w:rsid w:val="00943737"/>
    <w:rsid w:val="009533B6"/>
    <w:rsid w:val="00960FAF"/>
    <w:rsid w:val="00971144"/>
    <w:rsid w:val="00975C13"/>
    <w:rsid w:val="00981DDA"/>
    <w:rsid w:val="00983ADD"/>
    <w:rsid w:val="009909C7"/>
    <w:rsid w:val="009A448C"/>
    <w:rsid w:val="009B7DE6"/>
    <w:rsid w:val="009D151E"/>
    <w:rsid w:val="009D3369"/>
    <w:rsid w:val="009D4C33"/>
    <w:rsid w:val="009F103F"/>
    <w:rsid w:val="009F37CB"/>
    <w:rsid w:val="00A00493"/>
    <w:rsid w:val="00A02D62"/>
    <w:rsid w:val="00A02EB8"/>
    <w:rsid w:val="00A05D67"/>
    <w:rsid w:val="00A06ADA"/>
    <w:rsid w:val="00A1052C"/>
    <w:rsid w:val="00A10B4B"/>
    <w:rsid w:val="00A13372"/>
    <w:rsid w:val="00A13EF2"/>
    <w:rsid w:val="00A1549B"/>
    <w:rsid w:val="00A2778C"/>
    <w:rsid w:val="00A36EA3"/>
    <w:rsid w:val="00A40AA1"/>
    <w:rsid w:val="00A432F0"/>
    <w:rsid w:val="00A43D10"/>
    <w:rsid w:val="00A43ED9"/>
    <w:rsid w:val="00A458F9"/>
    <w:rsid w:val="00A56B8F"/>
    <w:rsid w:val="00A57F33"/>
    <w:rsid w:val="00A61EBC"/>
    <w:rsid w:val="00A640C5"/>
    <w:rsid w:val="00A71B44"/>
    <w:rsid w:val="00A728BE"/>
    <w:rsid w:val="00A7496B"/>
    <w:rsid w:val="00A77037"/>
    <w:rsid w:val="00A8310A"/>
    <w:rsid w:val="00A83F34"/>
    <w:rsid w:val="00A85873"/>
    <w:rsid w:val="00A87C77"/>
    <w:rsid w:val="00A9295E"/>
    <w:rsid w:val="00AA4AD1"/>
    <w:rsid w:val="00AA572F"/>
    <w:rsid w:val="00AB20EF"/>
    <w:rsid w:val="00AB3259"/>
    <w:rsid w:val="00AB4992"/>
    <w:rsid w:val="00AC1A99"/>
    <w:rsid w:val="00AC3C3A"/>
    <w:rsid w:val="00AC7690"/>
    <w:rsid w:val="00AD07A6"/>
    <w:rsid w:val="00AD16E8"/>
    <w:rsid w:val="00AD231F"/>
    <w:rsid w:val="00AE1794"/>
    <w:rsid w:val="00AE3C34"/>
    <w:rsid w:val="00AE3E1C"/>
    <w:rsid w:val="00AE67A9"/>
    <w:rsid w:val="00AF33B2"/>
    <w:rsid w:val="00AF49A1"/>
    <w:rsid w:val="00B14338"/>
    <w:rsid w:val="00B14E2F"/>
    <w:rsid w:val="00B17183"/>
    <w:rsid w:val="00B1773D"/>
    <w:rsid w:val="00B20CCF"/>
    <w:rsid w:val="00B221BF"/>
    <w:rsid w:val="00B25EE8"/>
    <w:rsid w:val="00B33E14"/>
    <w:rsid w:val="00B36704"/>
    <w:rsid w:val="00B440E9"/>
    <w:rsid w:val="00B44256"/>
    <w:rsid w:val="00B47948"/>
    <w:rsid w:val="00B55631"/>
    <w:rsid w:val="00B57D7F"/>
    <w:rsid w:val="00B663D9"/>
    <w:rsid w:val="00B7488F"/>
    <w:rsid w:val="00B76080"/>
    <w:rsid w:val="00B85B0D"/>
    <w:rsid w:val="00B96235"/>
    <w:rsid w:val="00BA16DE"/>
    <w:rsid w:val="00BA526B"/>
    <w:rsid w:val="00BA716B"/>
    <w:rsid w:val="00BB59FA"/>
    <w:rsid w:val="00BC060D"/>
    <w:rsid w:val="00BC0F72"/>
    <w:rsid w:val="00BC419E"/>
    <w:rsid w:val="00BC5C97"/>
    <w:rsid w:val="00BD2448"/>
    <w:rsid w:val="00BD25B0"/>
    <w:rsid w:val="00BF1927"/>
    <w:rsid w:val="00C00047"/>
    <w:rsid w:val="00C03AFC"/>
    <w:rsid w:val="00C11AC7"/>
    <w:rsid w:val="00C1556A"/>
    <w:rsid w:val="00C16549"/>
    <w:rsid w:val="00C20058"/>
    <w:rsid w:val="00C203DE"/>
    <w:rsid w:val="00C23752"/>
    <w:rsid w:val="00C2542B"/>
    <w:rsid w:val="00C25A79"/>
    <w:rsid w:val="00C4632C"/>
    <w:rsid w:val="00C4643F"/>
    <w:rsid w:val="00C47F89"/>
    <w:rsid w:val="00C47FF7"/>
    <w:rsid w:val="00C533EB"/>
    <w:rsid w:val="00C54E0D"/>
    <w:rsid w:val="00C5636F"/>
    <w:rsid w:val="00C579B7"/>
    <w:rsid w:val="00C62F94"/>
    <w:rsid w:val="00C6425A"/>
    <w:rsid w:val="00C65EE4"/>
    <w:rsid w:val="00C65FBC"/>
    <w:rsid w:val="00C753A0"/>
    <w:rsid w:val="00C82187"/>
    <w:rsid w:val="00C82E58"/>
    <w:rsid w:val="00C91D8E"/>
    <w:rsid w:val="00C94059"/>
    <w:rsid w:val="00CA5061"/>
    <w:rsid w:val="00CA5EA3"/>
    <w:rsid w:val="00CA7E63"/>
    <w:rsid w:val="00CB0C4C"/>
    <w:rsid w:val="00CB127D"/>
    <w:rsid w:val="00CB297D"/>
    <w:rsid w:val="00CC45D0"/>
    <w:rsid w:val="00CC48FE"/>
    <w:rsid w:val="00CC7852"/>
    <w:rsid w:val="00CD0AED"/>
    <w:rsid w:val="00CD13F7"/>
    <w:rsid w:val="00CD32BE"/>
    <w:rsid w:val="00CD7FCB"/>
    <w:rsid w:val="00CE62E9"/>
    <w:rsid w:val="00CE6A0C"/>
    <w:rsid w:val="00CF0E3F"/>
    <w:rsid w:val="00CF55B4"/>
    <w:rsid w:val="00CF6C7F"/>
    <w:rsid w:val="00D01B91"/>
    <w:rsid w:val="00D03675"/>
    <w:rsid w:val="00D11FDC"/>
    <w:rsid w:val="00D13FE9"/>
    <w:rsid w:val="00D15E60"/>
    <w:rsid w:val="00D3485E"/>
    <w:rsid w:val="00D350E7"/>
    <w:rsid w:val="00D35A19"/>
    <w:rsid w:val="00D4078F"/>
    <w:rsid w:val="00D5222D"/>
    <w:rsid w:val="00D6653D"/>
    <w:rsid w:val="00D66807"/>
    <w:rsid w:val="00D735F2"/>
    <w:rsid w:val="00D73CDA"/>
    <w:rsid w:val="00D75ABC"/>
    <w:rsid w:val="00D81649"/>
    <w:rsid w:val="00D826EF"/>
    <w:rsid w:val="00D86754"/>
    <w:rsid w:val="00DA213F"/>
    <w:rsid w:val="00DA4496"/>
    <w:rsid w:val="00DA5D5D"/>
    <w:rsid w:val="00DA6284"/>
    <w:rsid w:val="00DB46F2"/>
    <w:rsid w:val="00DB61B7"/>
    <w:rsid w:val="00DB6DEF"/>
    <w:rsid w:val="00DC0F76"/>
    <w:rsid w:val="00DC712A"/>
    <w:rsid w:val="00DC781B"/>
    <w:rsid w:val="00DD193E"/>
    <w:rsid w:val="00DD1D4D"/>
    <w:rsid w:val="00DD2F77"/>
    <w:rsid w:val="00DE3197"/>
    <w:rsid w:val="00DE485A"/>
    <w:rsid w:val="00DE5AAB"/>
    <w:rsid w:val="00E016E6"/>
    <w:rsid w:val="00E07AD1"/>
    <w:rsid w:val="00E16482"/>
    <w:rsid w:val="00E22309"/>
    <w:rsid w:val="00E26AF8"/>
    <w:rsid w:val="00E30D71"/>
    <w:rsid w:val="00E310B9"/>
    <w:rsid w:val="00E378D8"/>
    <w:rsid w:val="00E40A0B"/>
    <w:rsid w:val="00E478BA"/>
    <w:rsid w:val="00E603E0"/>
    <w:rsid w:val="00E66B02"/>
    <w:rsid w:val="00E77028"/>
    <w:rsid w:val="00EB49B1"/>
    <w:rsid w:val="00EB67CE"/>
    <w:rsid w:val="00EC2FE5"/>
    <w:rsid w:val="00EC45C9"/>
    <w:rsid w:val="00EC640F"/>
    <w:rsid w:val="00EC6C59"/>
    <w:rsid w:val="00ED1C46"/>
    <w:rsid w:val="00ED3CF7"/>
    <w:rsid w:val="00ED4F98"/>
    <w:rsid w:val="00EE2725"/>
    <w:rsid w:val="00EF1D10"/>
    <w:rsid w:val="00EF2394"/>
    <w:rsid w:val="00EF4A5C"/>
    <w:rsid w:val="00EF683E"/>
    <w:rsid w:val="00F001E1"/>
    <w:rsid w:val="00F05E96"/>
    <w:rsid w:val="00F15828"/>
    <w:rsid w:val="00F239F9"/>
    <w:rsid w:val="00F24D14"/>
    <w:rsid w:val="00F3175D"/>
    <w:rsid w:val="00F31C88"/>
    <w:rsid w:val="00F32046"/>
    <w:rsid w:val="00F340D1"/>
    <w:rsid w:val="00F35718"/>
    <w:rsid w:val="00F374F2"/>
    <w:rsid w:val="00F3762D"/>
    <w:rsid w:val="00F4470D"/>
    <w:rsid w:val="00F46318"/>
    <w:rsid w:val="00F51ECD"/>
    <w:rsid w:val="00F53611"/>
    <w:rsid w:val="00F55344"/>
    <w:rsid w:val="00F55BAF"/>
    <w:rsid w:val="00F707D6"/>
    <w:rsid w:val="00F71258"/>
    <w:rsid w:val="00F739BF"/>
    <w:rsid w:val="00F75208"/>
    <w:rsid w:val="00F76F44"/>
    <w:rsid w:val="00F918C9"/>
    <w:rsid w:val="00FA2D28"/>
    <w:rsid w:val="00FB2DD4"/>
    <w:rsid w:val="00FB41BF"/>
    <w:rsid w:val="00FB4FCD"/>
    <w:rsid w:val="00FC11FC"/>
    <w:rsid w:val="00FC4C88"/>
    <w:rsid w:val="00FC60E4"/>
    <w:rsid w:val="00FC6343"/>
    <w:rsid w:val="00FC68BC"/>
    <w:rsid w:val="00FE30C7"/>
    <w:rsid w:val="00FF4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132830-D80F-4F81-B29A-3090EC7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75DE"/>
    <w:rPr>
      <w:sz w:val="24"/>
      <w:szCs w:val="24"/>
    </w:rPr>
  </w:style>
  <w:style w:type="paragraph" w:styleId="Kop1">
    <w:name w:val="heading 1"/>
    <w:basedOn w:val="Standaard"/>
    <w:next w:val="Standaard"/>
    <w:link w:val="Kop1Char"/>
    <w:qFormat/>
    <w:rsid w:val="003D00D3"/>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441AE3"/>
    <w:pPr>
      <w:keepNext/>
      <w:spacing w:before="240" w:after="60" w:line="240" w:lineRule="atLeast"/>
      <w:outlineLvl w:val="2"/>
    </w:pPr>
    <w:rPr>
      <w:rFonts w:ascii="Verdana" w:hAnsi="Verdana" w:cs="Arial"/>
      <w:b/>
      <w:bCs/>
      <w:sz w:val="26"/>
      <w:szCs w:val="26"/>
    </w:rPr>
  </w:style>
  <w:style w:type="paragraph" w:styleId="Kop4">
    <w:name w:val="heading 4"/>
    <w:basedOn w:val="Standaard"/>
    <w:next w:val="Standaard"/>
    <w:link w:val="Kop4Char"/>
    <w:semiHidden/>
    <w:unhideWhenUsed/>
    <w:qFormat/>
    <w:rsid w:val="00934CC4"/>
    <w:pPr>
      <w:keepNext/>
      <w:spacing w:before="240" w:after="60"/>
      <w:outlineLvl w:val="3"/>
    </w:pPr>
    <w:rPr>
      <w:rFonts w:ascii="Calibri" w:hAnsi="Calibri"/>
      <w:b/>
      <w:b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441AE3"/>
    <w:rPr>
      <w:rFonts w:ascii="Verdana" w:hAnsi="Verdana" w:cs="Arial"/>
      <w:b/>
      <w:bCs/>
      <w:sz w:val="26"/>
      <w:szCs w:val="26"/>
    </w:rPr>
  </w:style>
  <w:style w:type="character" w:styleId="Hyperlink">
    <w:name w:val="Hyperlink"/>
    <w:uiPriority w:val="99"/>
    <w:rsid w:val="00441AE3"/>
    <w:rPr>
      <w:color w:val="0000FF"/>
      <w:u w:val="single"/>
    </w:rPr>
  </w:style>
  <w:style w:type="paragraph" w:customStyle="1" w:styleId="Default">
    <w:name w:val="Default"/>
    <w:rsid w:val="00441AE3"/>
    <w:pPr>
      <w:autoSpaceDE w:val="0"/>
      <w:autoSpaceDN w:val="0"/>
      <w:adjustRightInd w:val="0"/>
    </w:pPr>
    <w:rPr>
      <w:rFonts w:ascii="Arial" w:hAnsi="Arial" w:cs="Arial"/>
      <w:color w:val="000000"/>
      <w:sz w:val="24"/>
      <w:szCs w:val="24"/>
    </w:rPr>
  </w:style>
  <w:style w:type="character" w:customStyle="1" w:styleId="shorttext">
    <w:name w:val="short_text"/>
    <w:rsid w:val="00441AE3"/>
  </w:style>
  <w:style w:type="character" w:customStyle="1" w:styleId="hps">
    <w:name w:val="hps"/>
    <w:rsid w:val="00441AE3"/>
  </w:style>
  <w:style w:type="character" w:customStyle="1" w:styleId="hpsatn">
    <w:name w:val="hps atn"/>
    <w:rsid w:val="00441AE3"/>
  </w:style>
  <w:style w:type="character" w:customStyle="1" w:styleId="atn">
    <w:name w:val="atn"/>
    <w:rsid w:val="00441AE3"/>
  </w:style>
  <w:style w:type="paragraph" w:styleId="Lijstalinea">
    <w:name w:val="List Paragraph"/>
    <w:basedOn w:val="Standaard"/>
    <w:uiPriority w:val="34"/>
    <w:qFormat/>
    <w:rsid w:val="00441AE3"/>
    <w:pPr>
      <w:spacing w:line="240" w:lineRule="atLeast"/>
      <w:ind w:left="720"/>
      <w:contextualSpacing/>
    </w:pPr>
    <w:rPr>
      <w:rFonts w:ascii="Calibri" w:eastAsia="Calibri" w:hAnsi="Calibri"/>
      <w:sz w:val="22"/>
      <w:szCs w:val="22"/>
      <w:lang w:eastAsia="en-US"/>
    </w:rPr>
  </w:style>
  <w:style w:type="paragraph" w:styleId="Koptekst">
    <w:name w:val="header"/>
    <w:basedOn w:val="Standaard"/>
    <w:link w:val="KoptekstChar"/>
    <w:uiPriority w:val="99"/>
    <w:unhideWhenUsed/>
    <w:rsid w:val="00441AE3"/>
    <w:pPr>
      <w:tabs>
        <w:tab w:val="center" w:pos="4536"/>
        <w:tab w:val="right" w:pos="9072"/>
      </w:tabs>
    </w:pPr>
    <w:rPr>
      <w:rFonts w:ascii="Calibri" w:eastAsia="Calibri" w:hAnsi="Calibri"/>
      <w:sz w:val="22"/>
      <w:szCs w:val="22"/>
      <w:lang w:eastAsia="en-US"/>
    </w:rPr>
  </w:style>
  <w:style w:type="character" w:customStyle="1" w:styleId="KoptekstChar">
    <w:name w:val="Koptekst Char"/>
    <w:link w:val="Koptekst"/>
    <w:uiPriority w:val="99"/>
    <w:rsid w:val="00441AE3"/>
    <w:rPr>
      <w:rFonts w:ascii="Calibri" w:eastAsia="Calibri" w:hAnsi="Calibri" w:cs="Times New Roman"/>
      <w:sz w:val="22"/>
      <w:szCs w:val="22"/>
      <w:lang w:eastAsia="en-US"/>
    </w:rPr>
  </w:style>
  <w:style w:type="paragraph" w:styleId="Voettekst">
    <w:name w:val="footer"/>
    <w:basedOn w:val="Standaard"/>
    <w:link w:val="VoettekstChar"/>
    <w:uiPriority w:val="99"/>
    <w:unhideWhenUsed/>
    <w:rsid w:val="00441AE3"/>
    <w:pPr>
      <w:tabs>
        <w:tab w:val="center" w:pos="4536"/>
        <w:tab w:val="right" w:pos="9072"/>
      </w:tabs>
    </w:pPr>
    <w:rPr>
      <w:rFonts w:ascii="Verdana" w:eastAsia="Calibri" w:hAnsi="Verdana"/>
      <w:sz w:val="16"/>
      <w:szCs w:val="22"/>
      <w:lang w:eastAsia="en-US"/>
    </w:rPr>
  </w:style>
  <w:style w:type="character" w:customStyle="1" w:styleId="VoettekstChar">
    <w:name w:val="Voettekst Char"/>
    <w:link w:val="Voettekst"/>
    <w:uiPriority w:val="99"/>
    <w:rsid w:val="00441AE3"/>
    <w:rPr>
      <w:rFonts w:ascii="Verdana" w:eastAsia="Calibri" w:hAnsi="Verdana" w:cs="Times New Roman"/>
      <w:sz w:val="16"/>
      <w:szCs w:val="22"/>
      <w:lang w:eastAsia="en-US"/>
    </w:rPr>
  </w:style>
  <w:style w:type="character" w:styleId="Verwijzingopmerking">
    <w:name w:val="annotation reference"/>
    <w:uiPriority w:val="99"/>
    <w:unhideWhenUsed/>
    <w:rsid w:val="00441AE3"/>
    <w:rPr>
      <w:sz w:val="16"/>
      <w:szCs w:val="16"/>
    </w:rPr>
  </w:style>
  <w:style w:type="paragraph" w:styleId="Tekstopmerking">
    <w:name w:val="annotation text"/>
    <w:basedOn w:val="Standaard"/>
    <w:link w:val="TekstopmerkingChar"/>
    <w:uiPriority w:val="99"/>
    <w:unhideWhenUsed/>
    <w:rsid w:val="00441AE3"/>
    <w:rPr>
      <w:rFonts w:ascii="Calibri" w:eastAsia="Calibri" w:hAnsi="Calibri"/>
      <w:sz w:val="20"/>
      <w:szCs w:val="20"/>
      <w:lang w:eastAsia="en-US"/>
    </w:rPr>
  </w:style>
  <w:style w:type="character" w:customStyle="1" w:styleId="TekstopmerkingChar">
    <w:name w:val="Tekst opmerking Char"/>
    <w:link w:val="Tekstopmerking"/>
    <w:uiPriority w:val="99"/>
    <w:rsid w:val="00441AE3"/>
    <w:rPr>
      <w:rFonts w:ascii="Calibri" w:eastAsia="Calibri" w:hAnsi="Calibri" w:cs="Times New Roman"/>
      <w:lang w:eastAsia="en-US"/>
    </w:rPr>
  </w:style>
  <w:style w:type="paragraph" w:styleId="Onderwerpvanopmerking">
    <w:name w:val="annotation subject"/>
    <w:basedOn w:val="Tekstopmerking"/>
    <w:next w:val="Tekstopmerking"/>
    <w:link w:val="OnderwerpvanopmerkingChar"/>
    <w:uiPriority w:val="99"/>
    <w:unhideWhenUsed/>
    <w:rsid w:val="00441AE3"/>
    <w:rPr>
      <w:b/>
      <w:bCs/>
    </w:rPr>
  </w:style>
  <w:style w:type="character" w:customStyle="1" w:styleId="OnderwerpvanopmerkingChar">
    <w:name w:val="Onderwerp van opmerking Char"/>
    <w:link w:val="Onderwerpvanopmerking"/>
    <w:uiPriority w:val="99"/>
    <w:rsid w:val="00441AE3"/>
    <w:rPr>
      <w:rFonts w:ascii="Calibri" w:eastAsia="Calibri" w:hAnsi="Calibri" w:cs="Times New Roman"/>
      <w:b/>
      <w:bCs/>
      <w:lang w:eastAsia="en-US"/>
    </w:rPr>
  </w:style>
  <w:style w:type="paragraph" w:styleId="Ballontekst">
    <w:name w:val="Balloon Text"/>
    <w:basedOn w:val="Standaard"/>
    <w:link w:val="BallontekstChar"/>
    <w:uiPriority w:val="99"/>
    <w:unhideWhenUsed/>
    <w:rsid w:val="00441AE3"/>
    <w:rPr>
      <w:rFonts w:ascii="Tahoma" w:eastAsia="Calibri" w:hAnsi="Tahoma" w:cs="Tahoma"/>
      <w:sz w:val="16"/>
      <w:szCs w:val="16"/>
      <w:lang w:eastAsia="en-US"/>
    </w:rPr>
  </w:style>
  <w:style w:type="character" w:customStyle="1" w:styleId="BallontekstChar">
    <w:name w:val="Ballontekst Char"/>
    <w:link w:val="Ballontekst"/>
    <w:uiPriority w:val="99"/>
    <w:rsid w:val="00441AE3"/>
    <w:rPr>
      <w:rFonts w:ascii="Tahoma" w:eastAsia="Calibri" w:hAnsi="Tahoma" w:cs="Tahoma"/>
      <w:sz w:val="16"/>
      <w:szCs w:val="16"/>
      <w:lang w:eastAsia="en-US"/>
    </w:rPr>
  </w:style>
  <w:style w:type="paragraph" w:styleId="Voetnoottekst">
    <w:name w:val="footnote text"/>
    <w:basedOn w:val="Standaard"/>
    <w:link w:val="VoetnoottekstChar"/>
    <w:uiPriority w:val="99"/>
    <w:unhideWhenUsed/>
    <w:rsid w:val="00441AE3"/>
    <w:rPr>
      <w:rFonts w:ascii="Calibri" w:eastAsia="Calibri" w:hAnsi="Calibri"/>
      <w:sz w:val="20"/>
      <w:szCs w:val="20"/>
      <w:lang w:eastAsia="en-US"/>
    </w:rPr>
  </w:style>
  <w:style w:type="character" w:customStyle="1" w:styleId="VoetnoottekstChar">
    <w:name w:val="Voetnoottekst Char"/>
    <w:link w:val="Voetnoottekst"/>
    <w:uiPriority w:val="99"/>
    <w:rsid w:val="00441AE3"/>
    <w:rPr>
      <w:rFonts w:ascii="Calibri" w:eastAsia="Calibri" w:hAnsi="Calibri" w:cs="Times New Roman"/>
      <w:lang w:eastAsia="en-US"/>
    </w:rPr>
  </w:style>
  <w:style w:type="character" w:styleId="Voetnootmarkering">
    <w:name w:val="footnote reference"/>
    <w:uiPriority w:val="99"/>
    <w:unhideWhenUsed/>
    <w:rsid w:val="00441AE3"/>
    <w:rPr>
      <w:vertAlign w:val="superscript"/>
    </w:rPr>
  </w:style>
  <w:style w:type="paragraph" w:customStyle="1" w:styleId="H3">
    <w:name w:val="H3"/>
    <w:basedOn w:val="Standaard"/>
    <w:next w:val="Standaard"/>
    <w:uiPriority w:val="99"/>
    <w:rsid w:val="00441AE3"/>
    <w:pPr>
      <w:keepNext/>
      <w:autoSpaceDE w:val="0"/>
      <w:autoSpaceDN w:val="0"/>
      <w:adjustRightInd w:val="0"/>
      <w:spacing w:before="100" w:after="100"/>
      <w:outlineLvl w:val="3"/>
    </w:pPr>
    <w:rPr>
      <w:rFonts w:eastAsia="Calibri"/>
      <w:b/>
      <w:bCs/>
      <w:sz w:val="28"/>
      <w:szCs w:val="28"/>
      <w:lang w:eastAsia="en-US"/>
    </w:rPr>
  </w:style>
  <w:style w:type="paragraph" w:customStyle="1" w:styleId="H4">
    <w:name w:val="H4"/>
    <w:basedOn w:val="Standaard"/>
    <w:next w:val="Standaard"/>
    <w:uiPriority w:val="99"/>
    <w:rsid w:val="00441AE3"/>
    <w:pPr>
      <w:keepNext/>
      <w:autoSpaceDE w:val="0"/>
      <w:autoSpaceDN w:val="0"/>
      <w:adjustRightInd w:val="0"/>
      <w:spacing w:before="100" w:after="100"/>
      <w:outlineLvl w:val="4"/>
    </w:pPr>
    <w:rPr>
      <w:rFonts w:eastAsia="Calibri"/>
      <w:b/>
      <w:bCs/>
      <w:lang w:eastAsia="en-US"/>
    </w:rPr>
  </w:style>
  <w:style w:type="character" w:styleId="Nadruk">
    <w:name w:val="Emphasis"/>
    <w:uiPriority w:val="99"/>
    <w:qFormat/>
    <w:rsid w:val="00441AE3"/>
    <w:rPr>
      <w:i/>
      <w:iCs/>
    </w:rPr>
  </w:style>
  <w:style w:type="character" w:styleId="Zwaar">
    <w:name w:val="Strong"/>
    <w:uiPriority w:val="22"/>
    <w:qFormat/>
    <w:rsid w:val="00441AE3"/>
    <w:rPr>
      <w:b/>
      <w:bCs/>
    </w:rPr>
  </w:style>
  <w:style w:type="character" w:styleId="GevolgdeHyperlink">
    <w:name w:val="FollowedHyperlink"/>
    <w:uiPriority w:val="99"/>
    <w:unhideWhenUsed/>
    <w:rsid w:val="00441AE3"/>
    <w:rPr>
      <w:color w:val="800080"/>
      <w:u w:val="single"/>
    </w:rPr>
  </w:style>
  <w:style w:type="paragraph" w:styleId="Revisie">
    <w:name w:val="Revision"/>
    <w:hidden/>
    <w:uiPriority w:val="99"/>
    <w:semiHidden/>
    <w:rsid w:val="00441AE3"/>
    <w:rPr>
      <w:rFonts w:ascii="Calibri" w:eastAsia="Calibri" w:hAnsi="Calibri"/>
      <w:sz w:val="22"/>
      <w:szCs w:val="22"/>
      <w:lang w:val="en-US" w:eastAsia="en-US"/>
    </w:rPr>
  </w:style>
  <w:style w:type="character" w:customStyle="1" w:styleId="preformatted">
    <w:name w:val="preformatted"/>
    <w:rsid w:val="00441AE3"/>
  </w:style>
  <w:style w:type="paragraph" w:styleId="Tekstzonderopmaak">
    <w:name w:val="Plain Text"/>
    <w:basedOn w:val="Standaard"/>
    <w:link w:val="TekstzonderopmaakChar"/>
    <w:uiPriority w:val="99"/>
    <w:unhideWhenUsed/>
    <w:rsid w:val="00304E0B"/>
    <w:rPr>
      <w:rFonts w:ascii="Calibri" w:eastAsia="Calibri" w:hAnsi="Calibri"/>
      <w:sz w:val="22"/>
      <w:szCs w:val="21"/>
      <w:lang w:eastAsia="en-US"/>
    </w:rPr>
  </w:style>
  <w:style w:type="character" w:customStyle="1" w:styleId="TekstzonderopmaakChar">
    <w:name w:val="Tekst zonder opmaak Char"/>
    <w:link w:val="Tekstzonderopmaak"/>
    <w:uiPriority w:val="99"/>
    <w:rsid w:val="00304E0B"/>
    <w:rPr>
      <w:rFonts w:ascii="Calibri" w:eastAsia="Calibri" w:hAnsi="Calibri"/>
      <w:sz w:val="22"/>
      <w:szCs w:val="21"/>
      <w:lang w:eastAsia="en-US"/>
    </w:rPr>
  </w:style>
  <w:style w:type="character" w:customStyle="1" w:styleId="st1">
    <w:name w:val="st1"/>
    <w:rsid w:val="00852169"/>
  </w:style>
  <w:style w:type="character" w:customStyle="1" w:styleId="Kop1Char">
    <w:name w:val="Kop 1 Char"/>
    <w:link w:val="Kop1"/>
    <w:rsid w:val="003D00D3"/>
    <w:rPr>
      <w:rFonts w:ascii="Cambria" w:eastAsia="Times New Roman" w:hAnsi="Cambria" w:cs="Times New Roman"/>
      <w:b/>
      <w:bCs/>
      <w:kern w:val="32"/>
      <w:sz w:val="32"/>
      <w:szCs w:val="32"/>
    </w:rPr>
  </w:style>
  <w:style w:type="paragraph" w:styleId="Geenafstand">
    <w:name w:val="No Spacing"/>
    <w:uiPriority w:val="1"/>
    <w:qFormat/>
    <w:rsid w:val="00057EA9"/>
    <w:rPr>
      <w:rFonts w:ascii="Calibri" w:eastAsia="Calibri" w:hAnsi="Calibri"/>
      <w:sz w:val="22"/>
      <w:szCs w:val="22"/>
      <w:lang w:eastAsia="en-US"/>
    </w:rPr>
  </w:style>
  <w:style w:type="paragraph" w:customStyle="1" w:styleId="Hoofdtekst">
    <w:name w:val="Hoofdtekst"/>
    <w:rsid w:val="00B1773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styleId="Plattetekst">
    <w:name w:val="Body Text"/>
    <w:basedOn w:val="Standaard"/>
    <w:link w:val="PlattetekstChar"/>
    <w:uiPriority w:val="1"/>
    <w:qFormat/>
    <w:rsid w:val="001C0ECF"/>
    <w:pPr>
      <w:widowControl w:val="0"/>
      <w:autoSpaceDE w:val="0"/>
      <w:autoSpaceDN w:val="0"/>
    </w:pPr>
    <w:rPr>
      <w:rFonts w:ascii="Verdana" w:eastAsia="Verdana" w:hAnsi="Verdana" w:cs="Verdana"/>
      <w:sz w:val="18"/>
      <w:szCs w:val="18"/>
      <w:lang w:val="en-US" w:eastAsia="en-US"/>
    </w:rPr>
  </w:style>
  <w:style w:type="character" w:customStyle="1" w:styleId="PlattetekstChar">
    <w:name w:val="Platte tekst Char"/>
    <w:link w:val="Plattetekst"/>
    <w:uiPriority w:val="1"/>
    <w:rsid w:val="001C0ECF"/>
    <w:rPr>
      <w:rFonts w:ascii="Verdana" w:eastAsia="Verdana" w:hAnsi="Verdana" w:cs="Verdana"/>
      <w:sz w:val="18"/>
      <w:szCs w:val="18"/>
      <w:lang w:val="en-US" w:eastAsia="en-US"/>
    </w:rPr>
  </w:style>
  <w:style w:type="paragraph" w:customStyle="1" w:styleId="xmsonormal">
    <w:name w:val="x_msonormal"/>
    <w:basedOn w:val="Standaard"/>
    <w:rsid w:val="006B346C"/>
    <w:rPr>
      <w:rFonts w:ascii="Calibri" w:eastAsia="Calibri" w:hAnsi="Calibri" w:cs="Calibri"/>
      <w:sz w:val="22"/>
      <w:szCs w:val="22"/>
    </w:rPr>
  </w:style>
  <w:style w:type="character" w:customStyle="1" w:styleId="Kop4Char">
    <w:name w:val="Kop 4 Char"/>
    <w:link w:val="Kop4"/>
    <w:semiHidden/>
    <w:rsid w:val="00934CC4"/>
    <w:rPr>
      <w:rFonts w:ascii="Calibri" w:eastAsia="Times New Roman" w:hAnsi="Calibri" w:cs="Times New Roman"/>
      <w:b/>
      <w:bCs/>
      <w:sz w:val="28"/>
      <w:szCs w:val="28"/>
      <w:lang w:val="nl-NL" w:eastAsia="nl-NL"/>
    </w:rPr>
  </w:style>
  <w:style w:type="table" w:styleId="Tabelraster">
    <w:name w:val="Table Grid"/>
    <w:basedOn w:val="Standaardtabel"/>
    <w:uiPriority w:val="39"/>
    <w:rsid w:val="00934C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155">
      <w:bodyDiv w:val="1"/>
      <w:marLeft w:val="0"/>
      <w:marRight w:val="0"/>
      <w:marTop w:val="0"/>
      <w:marBottom w:val="0"/>
      <w:divBdr>
        <w:top w:val="none" w:sz="0" w:space="0" w:color="auto"/>
        <w:left w:val="none" w:sz="0" w:space="0" w:color="auto"/>
        <w:bottom w:val="none" w:sz="0" w:space="0" w:color="auto"/>
        <w:right w:val="none" w:sz="0" w:space="0" w:color="auto"/>
      </w:divBdr>
    </w:div>
    <w:div w:id="19211150">
      <w:bodyDiv w:val="1"/>
      <w:marLeft w:val="0"/>
      <w:marRight w:val="0"/>
      <w:marTop w:val="0"/>
      <w:marBottom w:val="0"/>
      <w:divBdr>
        <w:top w:val="none" w:sz="0" w:space="0" w:color="auto"/>
        <w:left w:val="none" w:sz="0" w:space="0" w:color="auto"/>
        <w:bottom w:val="none" w:sz="0" w:space="0" w:color="auto"/>
        <w:right w:val="none" w:sz="0" w:space="0" w:color="auto"/>
      </w:divBdr>
    </w:div>
    <w:div w:id="58867409">
      <w:bodyDiv w:val="1"/>
      <w:marLeft w:val="0"/>
      <w:marRight w:val="0"/>
      <w:marTop w:val="0"/>
      <w:marBottom w:val="0"/>
      <w:divBdr>
        <w:top w:val="none" w:sz="0" w:space="0" w:color="auto"/>
        <w:left w:val="none" w:sz="0" w:space="0" w:color="auto"/>
        <w:bottom w:val="none" w:sz="0" w:space="0" w:color="auto"/>
        <w:right w:val="none" w:sz="0" w:space="0" w:color="auto"/>
      </w:divBdr>
    </w:div>
    <w:div w:id="67465362">
      <w:bodyDiv w:val="1"/>
      <w:marLeft w:val="0"/>
      <w:marRight w:val="0"/>
      <w:marTop w:val="0"/>
      <w:marBottom w:val="0"/>
      <w:divBdr>
        <w:top w:val="none" w:sz="0" w:space="0" w:color="auto"/>
        <w:left w:val="none" w:sz="0" w:space="0" w:color="auto"/>
        <w:bottom w:val="none" w:sz="0" w:space="0" w:color="auto"/>
        <w:right w:val="none" w:sz="0" w:space="0" w:color="auto"/>
      </w:divBdr>
    </w:div>
    <w:div w:id="172694288">
      <w:bodyDiv w:val="1"/>
      <w:marLeft w:val="0"/>
      <w:marRight w:val="0"/>
      <w:marTop w:val="0"/>
      <w:marBottom w:val="0"/>
      <w:divBdr>
        <w:top w:val="none" w:sz="0" w:space="0" w:color="auto"/>
        <w:left w:val="none" w:sz="0" w:space="0" w:color="auto"/>
        <w:bottom w:val="none" w:sz="0" w:space="0" w:color="auto"/>
        <w:right w:val="none" w:sz="0" w:space="0" w:color="auto"/>
      </w:divBdr>
    </w:div>
    <w:div w:id="186066254">
      <w:bodyDiv w:val="1"/>
      <w:marLeft w:val="0"/>
      <w:marRight w:val="0"/>
      <w:marTop w:val="0"/>
      <w:marBottom w:val="0"/>
      <w:divBdr>
        <w:top w:val="none" w:sz="0" w:space="0" w:color="auto"/>
        <w:left w:val="none" w:sz="0" w:space="0" w:color="auto"/>
        <w:bottom w:val="none" w:sz="0" w:space="0" w:color="auto"/>
        <w:right w:val="none" w:sz="0" w:space="0" w:color="auto"/>
      </w:divBdr>
    </w:div>
    <w:div w:id="236130416">
      <w:bodyDiv w:val="1"/>
      <w:marLeft w:val="0"/>
      <w:marRight w:val="0"/>
      <w:marTop w:val="0"/>
      <w:marBottom w:val="0"/>
      <w:divBdr>
        <w:top w:val="none" w:sz="0" w:space="0" w:color="auto"/>
        <w:left w:val="none" w:sz="0" w:space="0" w:color="auto"/>
        <w:bottom w:val="none" w:sz="0" w:space="0" w:color="auto"/>
        <w:right w:val="none" w:sz="0" w:space="0" w:color="auto"/>
      </w:divBdr>
    </w:div>
    <w:div w:id="283655291">
      <w:bodyDiv w:val="1"/>
      <w:marLeft w:val="0"/>
      <w:marRight w:val="0"/>
      <w:marTop w:val="0"/>
      <w:marBottom w:val="0"/>
      <w:divBdr>
        <w:top w:val="none" w:sz="0" w:space="0" w:color="auto"/>
        <w:left w:val="none" w:sz="0" w:space="0" w:color="auto"/>
        <w:bottom w:val="none" w:sz="0" w:space="0" w:color="auto"/>
        <w:right w:val="none" w:sz="0" w:space="0" w:color="auto"/>
      </w:divBdr>
    </w:div>
    <w:div w:id="293102272">
      <w:bodyDiv w:val="1"/>
      <w:marLeft w:val="0"/>
      <w:marRight w:val="0"/>
      <w:marTop w:val="0"/>
      <w:marBottom w:val="0"/>
      <w:divBdr>
        <w:top w:val="none" w:sz="0" w:space="0" w:color="auto"/>
        <w:left w:val="none" w:sz="0" w:space="0" w:color="auto"/>
        <w:bottom w:val="none" w:sz="0" w:space="0" w:color="auto"/>
        <w:right w:val="none" w:sz="0" w:space="0" w:color="auto"/>
      </w:divBdr>
    </w:div>
    <w:div w:id="485901082">
      <w:bodyDiv w:val="1"/>
      <w:marLeft w:val="0"/>
      <w:marRight w:val="0"/>
      <w:marTop w:val="0"/>
      <w:marBottom w:val="0"/>
      <w:divBdr>
        <w:top w:val="none" w:sz="0" w:space="0" w:color="auto"/>
        <w:left w:val="none" w:sz="0" w:space="0" w:color="auto"/>
        <w:bottom w:val="none" w:sz="0" w:space="0" w:color="auto"/>
        <w:right w:val="none" w:sz="0" w:space="0" w:color="auto"/>
      </w:divBdr>
      <w:divsChild>
        <w:div w:id="977418448">
          <w:marLeft w:val="0"/>
          <w:marRight w:val="0"/>
          <w:marTop w:val="0"/>
          <w:marBottom w:val="0"/>
          <w:divBdr>
            <w:top w:val="none" w:sz="0" w:space="0" w:color="auto"/>
            <w:left w:val="none" w:sz="0" w:space="0" w:color="auto"/>
            <w:bottom w:val="single" w:sz="6" w:space="0" w:color="BDBDBD"/>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sChild>
                <w:div w:id="487287784">
                  <w:marLeft w:val="0"/>
                  <w:marRight w:val="0"/>
                  <w:marTop w:val="0"/>
                  <w:marBottom w:val="0"/>
                  <w:divBdr>
                    <w:top w:val="none" w:sz="0" w:space="0" w:color="auto"/>
                    <w:left w:val="none" w:sz="0" w:space="0" w:color="auto"/>
                    <w:bottom w:val="none" w:sz="0" w:space="0" w:color="auto"/>
                    <w:right w:val="none" w:sz="0" w:space="0" w:color="auto"/>
                  </w:divBdr>
                  <w:divsChild>
                    <w:div w:id="599223438">
                      <w:marLeft w:val="0"/>
                      <w:marRight w:val="0"/>
                      <w:marTop w:val="0"/>
                      <w:marBottom w:val="0"/>
                      <w:divBdr>
                        <w:top w:val="none" w:sz="0" w:space="0" w:color="auto"/>
                        <w:left w:val="none" w:sz="0" w:space="0" w:color="auto"/>
                        <w:bottom w:val="none" w:sz="0" w:space="0" w:color="auto"/>
                        <w:right w:val="none" w:sz="0" w:space="0" w:color="auto"/>
                      </w:divBdr>
                      <w:divsChild>
                        <w:div w:id="1385982886">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sChild>
                                <w:div w:id="183834152">
                                  <w:marLeft w:val="0"/>
                                  <w:marRight w:val="0"/>
                                  <w:marTop w:val="0"/>
                                  <w:marBottom w:val="0"/>
                                  <w:divBdr>
                                    <w:top w:val="none" w:sz="0" w:space="0" w:color="auto"/>
                                    <w:left w:val="none" w:sz="0" w:space="0" w:color="auto"/>
                                    <w:bottom w:val="none" w:sz="0" w:space="0" w:color="auto"/>
                                    <w:right w:val="none" w:sz="0" w:space="0" w:color="auto"/>
                                  </w:divBdr>
                                </w:div>
                                <w:div w:id="1203983216">
                                  <w:marLeft w:val="0"/>
                                  <w:marRight w:val="0"/>
                                  <w:marTop w:val="0"/>
                                  <w:marBottom w:val="0"/>
                                  <w:divBdr>
                                    <w:top w:val="none" w:sz="0" w:space="0" w:color="auto"/>
                                    <w:left w:val="none" w:sz="0" w:space="0" w:color="auto"/>
                                    <w:bottom w:val="none" w:sz="0" w:space="0" w:color="auto"/>
                                    <w:right w:val="none" w:sz="0" w:space="0" w:color="auto"/>
                                  </w:divBdr>
                                </w:div>
                                <w:div w:id="1550916137">
                                  <w:marLeft w:val="0"/>
                                  <w:marRight w:val="0"/>
                                  <w:marTop w:val="0"/>
                                  <w:marBottom w:val="0"/>
                                  <w:divBdr>
                                    <w:top w:val="none" w:sz="0" w:space="0" w:color="auto"/>
                                    <w:left w:val="none" w:sz="0" w:space="0" w:color="auto"/>
                                    <w:bottom w:val="none" w:sz="0" w:space="0" w:color="auto"/>
                                    <w:right w:val="none" w:sz="0" w:space="0" w:color="auto"/>
                                  </w:divBdr>
                                  <w:divsChild>
                                    <w:div w:id="345986703">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043216165">
                              <w:marLeft w:val="0"/>
                              <w:marRight w:val="0"/>
                              <w:marTop w:val="0"/>
                              <w:marBottom w:val="0"/>
                              <w:divBdr>
                                <w:top w:val="none" w:sz="0" w:space="0" w:color="auto"/>
                                <w:left w:val="none" w:sz="0" w:space="0" w:color="auto"/>
                                <w:bottom w:val="none" w:sz="0" w:space="0" w:color="auto"/>
                                <w:right w:val="none" w:sz="0" w:space="0" w:color="auto"/>
                              </w:divBdr>
                              <w:divsChild>
                                <w:div w:id="663749326">
                                  <w:marLeft w:val="0"/>
                                  <w:marRight w:val="0"/>
                                  <w:marTop w:val="0"/>
                                  <w:marBottom w:val="0"/>
                                  <w:divBdr>
                                    <w:top w:val="none" w:sz="0" w:space="0" w:color="auto"/>
                                    <w:left w:val="none" w:sz="0" w:space="0" w:color="auto"/>
                                    <w:bottom w:val="none" w:sz="0" w:space="0" w:color="auto"/>
                                    <w:right w:val="none" w:sz="0" w:space="0" w:color="auto"/>
                                  </w:divBdr>
                                  <w:divsChild>
                                    <w:div w:id="343631310">
                                      <w:marLeft w:val="0"/>
                                      <w:marRight w:val="0"/>
                                      <w:marTop w:val="0"/>
                                      <w:marBottom w:val="0"/>
                                      <w:divBdr>
                                        <w:top w:val="single" w:sz="6" w:space="2" w:color="000000"/>
                                        <w:left w:val="single" w:sz="6" w:space="8" w:color="000000"/>
                                        <w:bottom w:val="single" w:sz="6" w:space="2" w:color="000000"/>
                                        <w:right w:val="single" w:sz="6" w:space="8" w:color="000000"/>
                                      </w:divBdr>
                                    </w:div>
                                  </w:divsChild>
                                </w:div>
                                <w:div w:id="1303969865">
                                  <w:marLeft w:val="0"/>
                                  <w:marRight w:val="0"/>
                                  <w:marTop w:val="0"/>
                                  <w:marBottom w:val="0"/>
                                  <w:divBdr>
                                    <w:top w:val="none" w:sz="0" w:space="0" w:color="auto"/>
                                    <w:left w:val="none" w:sz="0" w:space="0" w:color="auto"/>
                                    <w:bottom w:val="none" w:sz="0" w:space="0" w:color="auto"/>
                                    <w:right w:val="none" w:sz="0" w:space="0" w:color="auto"/>
                                  </w:divBdr>
                                </w:div>
                                <w:div w:id="1828595718">
                                  <w:marLeft w:val="0"/>
                                  <w:marRight w:val="0"/>
                                  <w:marTop w:val="0"/>
                                  <w:marBottom w:val="0"/>
                                  <w:divBdr>
                                    <w:top w:val="none" w:sz="0" w:space="0" w:color="auto"/>
                                    <w:left w:val="none" w:sz="0" w:space="0" w:color="auto"/>
                                    <w:bottom w:val="none" w:sz="0" w:space="0" w:color="auto"/>
                                    <w:right w:val="none" w:sz="0" w:space="0" w:color="auto"/>
                                  </w:divBdr>
                                </w:div>
                              </w:divsChild>
                            </w:div>
                            <w:div w:id="2081176231">
                              <w:marLeft w:val="0"/>
                              <w:marRight w:val="0"/>
                              <w:marTop w:val="0"/>
                              <w:marBottom w:val="0"/>
                              <w:divBdr>
                                <w:top w:val="none" w:sz="0" w:space="0" w:color="auto"/>
                                <w:left w:val="none" w:sz="0" w:space="0" w:color="auto"/>
                                <w:bottom w:val="none" w:sz="0" w:space="0" w:color="auto"/>
                                <w:right w:val="none" w:sz="0" w:space="0" w:color="auto"/>
                              </w:divBdr>
                              <w:divsChild>
                                <w:div w:id="201331507">
                                  <w:marLeft w:val="0"/>
                                  <w:marRight w:val="0"/>
                                  <w:marTop w:val="0"/>
                                  <w:marBottom w:val="0"/>
                                  <w:divBdr>
                                    <w:top w:val="none" w:sz="0" w:space="0" w:color="auto"/>
                                    <w:left w:val="none" w:sz="0" w:space="0" w:color="auto"/>
                                    <w:bottom w:val="none" w:sz="0" w:space="0" w:color="auto"/>
                                    <w:right w:val="none" w:sz="0" w:space="0" w:color="auto"/>
                                  </w:divBdr>
                                  <w:divsChild>
                                    <w:div w:id="1558202540">
                                      <w:marLeft w:val="0"/>
                                      <w:marRight w:val="0"/>
                                      <w:marTop w:val="0"/>
                                      <w:marBottom w:val="0"/>
                                      <w:divBdr>
                                        <w:top w:val="single" w:sz="6" w:space="2" w:color="000000"/>
                                        <w:left w:val="single" w:sz="6" w:space="8" w:color="000000"/>
                                        <w:bottom w:val="single" w:sz="6" w:space="2" w:color="000000"/>
                                        <w:right w:val="single" w:sz="6" w:space="8" w:color="000000"/>
                                      </w:divBdr>
                                    </w:div>
                                  </w:divsChild>
                                </w:div>
                                <w:div w:id="265235040">
                                  <w:marLeft w:val="0"/>
                                  <w:marRight w:val="0"/>
                                  <w:marTop w:val="0"/>
                                  <w:marBottom w:val="0"/>
                                  <w:divBdr>
                                    <w:top w:val="none" w:sz="0" w:space="0" w:color="auto"/>
                                    <w:left w:val="none" w:sz="0" w:space="0" w:color="auto"/>
                                    <w:bottom w:val="none" w:sz="0" w:space="0" w:color="auto"/>
                                    <w:right w:val="none" w:sz="0" w:space="0" w:color="auto"/>
                                  </w:divBdr>
                                </w:div>
                                <w:div w:id="78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45583">
      <w:bodyDiv w:val="1"/>
      <w:marLeft w:val="0"/>
      <w:marRight w:val="0"/>
      <w:marTop w:val="0"/>
      <w:marBottom w:val="0"/>
      <w:divBdr>
        <w:top w:val="none" w:sz="0" w:space="0" w:color="auto"/>
        <w:left w:val="none" w:sz="0" w:space="0" w:color="auto"/>
        <w:bottom w:val="none" w:sz="0" w:space="0" w:color="auto"/>
        <w:right w:val="none" w:sz="0" w:space="0" w:color="auto"/>
      </w:divBdr>
    </w:div>
    <w:div w:id="650982377">
      <w:bodyDiv w:val="1"/>
      <w:marLeft w:val="0"/>
      <w:marRight w:val="0"/>
      <w:marTop w:val="0"/>
      <w:marBottom w:val="0"/>
      <w:divBdr>
        <w:top w:val="none" w:sz="0" w:space="0" w:color="auto"/>
        <w:left w:val="none" w:sz="0" w:space="0" w:color="auto"/>
        <w:bottom w:val="none" w:sz="0" w:space="0" w:color="auto"/>
        <w:right w:val="none" w:sz="0" w:space="0" w:color="auto"/>
      </w:divBdr>
    </w:div>
    <w:div w:id="690108853">
      <w:bodyDiv w:val="1"/>
      <w:marLeft w:val="0"/>
      <w:marRight w:val="0"/>
      <w:marTop w:val="0"/>
      <w:marBottom w:val="0"/>
      <w:divBdr>
        <w:top w:val="none" w:sz="0" w:space="0" w:color="auto"/>
        <w:left w:val="none" w:sz="0" w:space="0" w:color="auto"/>
        <w:bottom w:val="none" w:sz="0" w:space="0" w:color="auto"/>
        <w:right w:val="none" w:sz="0" w:space="0" w:color="auto"/>
      </w:divBdr>
    </w:div>
    <w:div w:id="784353149">
      <w:bodyDiv w:val="1"/>
      <w:marLeft w:val="0"/>
      <w:marRight w:val="0"/>
      <w:marTop w:val="0"/>
      <w:marBottom w:val="0"/>
      <w:divBdr>
        <w:top w:val="none" w:sz="0" w:space="0" w:color="auto"/>
        <w:left w:val="none" w:sz="0" w:space="0" w:color="auto"/>
        <w:bottom w:val="none" w:sz="0" w:space="0" w:color="auto"/>
        <w:right w:val="none" w:sz="0" w:space="0" w:color="auto"/>
      </w:divBdr>
      <w:divsChild>
        <w:div w:id="1746025060">
          <w:marLeft w:val="0"/>
          <w:marRight w:val="0"/>
          <w:marTop w:val="0"/>
          <w:marBottom w:val="0"/>
          <w:divBdr>
            <w:top w:val="none" w:sz="0" w:space="0" w:color="auto"/>
            <w:left w:val="none" w:sz="0" w:space="0" w:color="auto"/>
            <w:bottom w:val="single" w:sz="6" w:space="0" w:color="BDBDBD"/>
            <w:right w:val="none" w:sz="0" w:space="0" w:color="auto"/>
          </w:divBdr>
          <w:divsChild>
            <w:div w:id="673193318">
              <w:marLeft w:val="0"/>
              <w:marRight w:val="0"/>
              <w:marTop w:val="0"/>
              <w:marBottom w:val="0"/>
              <w:divBdr>
                <w:top w:val="none" w:sz="0" w:space="0" w:color="auto"/>
                <w:left w:val="none" w:sz="0" w:space="0" w:color="auto"/>
                <w:bottom w:val="none" w:sz="0" w:space="0" w:color="auto"/>
                <w:right w:val="none" w:sz="0" w:space="0" w:color="auto"/>
              </w:divBdr>
              <w:divsChild>
                <w:div w:id="607851397">
                  <w:marLeft w:val="0"/>
                  <w:marRight w:val="0"/>
                  <w:marTop w:val="0"/>
                  <w:marBottom w:val="0"/>
                  <w:divBdr>
                    <w:top w:val="none" w:sz="0" w:space="0" w:color="auto"/>
                    <w:left w:val="none" w:sz="0" w:space="0" w:color="auto"/>
                    <w:bottom w:val="none" w:sz="0" w:space="0" w:color="auto"/>
                    <w:right w:val="none" w:sz="0" w:space="0" w:color="auto"/>
                  </w:divBdr>
                  <w:divsChild>
                    <w:div w:id="1103451783">
                      <w:marLeft w:val="0"/>
                      <w:marRight w:val="0"/>
                      <w:marTop w:val="0"/>
                      <w:marBottom w:val="0"/>
                      <w:divBdr>
                        <w:top w:val="none" w:sz="0" w:space="0" w:color="auto"/>
                        <w:left w:val="none" w:sz="0" w:space="0" w:color="auto"/>
                        <w:bottom w:val="none" w:sz="0" w:space="0" w:color="auto"/>
                        <w:right w:val="none" w:sz="0" w:space="0" w:color="auto"/>
                      </w:divBdr>
                      <w:divsChild>
                        <w:div w:id="292370318">
                          <w:marLeft w:val="0"/>
                          <w:marRight w:val="0"/>
                          <w:marTop w:val="0"/>
                          <w:marBottom w:val="0"/>
                          <w:divBdr>
                            <w:top w:val="none" w:sz="0" w:space="0" w:color="auto"/>
                            <w:left w:val="none" w:sz="0" w:space="0" w:color="auto"/>
                            <w:bottom w:val="none" w:sz="0" w:space="0" w:color="auto"/>
                            <w:right w:val="none" w:sz="0" w:space="0" w:color="auto"/>
                          </w:divBdr>
                          <w:divsChild>
                            <w:div w:id="156771360">
                              <w:marLeft w:val="0"/>
                              <w:marRight w:val="0"/>
                              <w:marTop w:val="0"/>
                              <w:marBottom w:val="0"/>
                              <w:divBdr>
                                <w:top w:val="none" w:sz="0" w:space="0" w:color="auto"/>
                                <w:left w:val="none" w:sz="0" w:space="0" w:color="auto"/>
                                <w:bottom w:val="none" w:sz="0" w:space="0" w:color="auto"/>
                                <w:right w:val="none" w:sz="0" w:space="0" w:color="auto"/>
                              </w:divBdr>
                            </w:div>
                            <w:div w:id="3088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4507">
      <w:bodyDiv w:val="1"/>
      <w:marLeft w:val="0"/>
      <w:marRight w:val="0"/>
      <w:marTop w:val="0"/>
      <w:marBottom w:val="0"/>
      <w:divBdr>
        <w:top w:val="none" w:sz="0" w:space="0" w:color="auto"/>
        <w:left w:val="none" w:sz="0" w:space="0" w:color="auto"/>
        <w:bottom w:val="none" w:sz="0" w:space="0" w:color="auto"/>
        <w:right w:val="none" w:sz="0" w:space="0" w:color="auto"/>
      </w:divBdr>
    </w:div>
    <w:div w:id="922035209">
      <w:bodyDiv w:val="1"/>
      <w:marLeft w:val="0"/>
      <w:marRight w:val="0"/>
      <w:marTop w:val="0"/>
      <w:marBottom w:val="0"/>
      <w:divBdr>
        <w:top w:val="none" w:sz="0" w:space="0" w:color="auto"/>
        <w:left w:val="none" w:sz="0" w:space="0" w:color="auto"/>
        <w:bottom w:val="none" w:sz="0" w:space="0" w:color="auto"/>
        <w:right w:val="none" w:sz="0" w:space="0" w:color="auto"/>
      </w:divBdr>
    </w:div>
    <w:div w:id="933628794">
      <w:bodyDiv w:val="1"/>
      <w:marLeft w:val="0"/>
      <w:marRight w:val="0"/>
      <w:marTop w:val="0"/>
      <w:marBottom w:val="0"/>
      <w:divBdr>
        <w:top w:val="none" w:sz="0" w:space="0" w:color="auto"/>
        <w:left w:val="none" w:sz="0" w:space="0" w:color="auto"/>
        <w:bottom w:val="none" w:sz="0" w:space="0" w:color="auto"/>
        <w:right w:val="none" w:sz="0" w:space="0" w:color="auto"/>
      </w:divBdr>
      <w:divsChild>
        <w:div w:id="19136874">
          <w:marLeft w:val="0"/>
          <w:marRight w:val="0"/>
          <w:marTop w:val="0"/>
          <w:marBottom w:val="0"/>
          <w:divBdr>
            <w:top w:val="none" w:sz="0" w:space="0" w:color="auto"/>
            <w:left w:val="none" w:sz="0" w:space="0" w:color="auto"/>
            <w:bottom w:val="none" w:sz="0" w:space="0" w:color="auto"/>
            <w:right w:val="none" w:sz="0" w:space="0" w:color="auto"/>
          </w:divBdr>
        </w:div>
      </w:divsChild>
    </w:div>
    <w:div w:id="985739873">
      <w:bodyDiv w:val="1"/>
      <w:marLeft w:val="0"/>
      <w:marRight w:val="0"/>
      <w:marTop w:val="0"/>
      <w:marBottom w:val="0"/>
      <w:divBdr>
        <w:top w:val="none" w:sz="0" w:space="0" w:color="auto"/>
        <w:left w:val="none" w:sz="0" w:space="0" w:color="auto"/>
        <w:bottom w:val="none" w:sz="0" w:space="0" w:color="auto"/>
        <w:right w:val="none" w:sz="0" w:space="0" w:color="auto"/>
      </w:divBdr>
    </w:div>
    <w:div w:id="1051228826">
      <w:bodyDiv w:val="1"/>
      <w:marLeft w:val="0"/>
      <w:marRight w:val="0"/>
      <w:marTop w:val="0"/>
      <w:marBottom w:val="0"/>
      <w:divBdr>
        <w:top w:val="none" w:sz="0" w:space="0" w:color="auto"/>
        <w:left w:val="none" w:sz="0" w:space="0" w:color="auto"/>
        <w:bottom w:val="none" w:sz="0" w:space="0" w:color="auto"/>
        <w:right w:val="none" w:sz="0" w:space="0" w:color="auto"/>
      </w:divBdr>
    </w:div>
    <w:div w:id="1054158382">
      <w:bodyDiv w:val="1"/>
      <w:marLeft w:val="0"/>
      <w:marRight w:val="0"/>
      <w:marTop w:val="0"/>
      <w:marBottom w:val="0"/>
      <w:divBdr>
        <w:top w:val="none" w:sz="0" w:space="0" w:color="auto"/>
        <w:left w:val="none" w:sz="0" w:space="0" w:color="auto"/>
        <w:bottom w:val="none" w:sz="0" w:space="0" w:color="auto"/>
        <w:right w:val="none" w:sz="0" w:space="0" w:color="auto"/>
      </w:divBdr>
      <w:divsChild>
        <w:div w:id="125005749">
          <w:marLeft w:val="0"/>
          <w:marRight w:val="0"/>
          <w:marTop w:val="0"/>
          <w:marBottom w:val="0"/>
          <w:divBdr>
            <w:top w:val="none" w:sz="0" w:space="0" w:color="auto"/>
            <w:left w:val="none" w:sz="0" w:space="0" w:color="auto"/>
            <w:bottom w:val="none" w:sz="0" w:space="0" w:color="auto"/>
            <w:right w:val="none" w:sz="0" w:space="0" w:color="auto"/>
          </w:divBdr>
        </w:div>
        <w:div w:id="299312134">
          <w:marLeft w:val="0"/>
          <w:marRight w:val="0"/>
          <w:marTop w:val="0"/>
          <w:marBottom w:val="0"/>
          <w:divBdr>
            <w:top w:val="none" w:sz="0" w:space="0" w:color="auto"/>
            <w:left w:val="none" w:sz="0" w:space="0" w:color="auto"/>
            <w:bottom w:val="none" w:sz="0" w:space="0" w:color="auto"/>
            <w:right w:val="none" w:sz="0" w:space="0" w:color="auto"/>
          </w:divBdr>
        </w:div>
        <w:div w:id="454061821">
          <w:marLeft w:val="0"/>
          <w:marRight w:val="0"/>
          <w:marTop w:val="45"/>
          <w:marBottom w:val="0"/>
          <w:divBdr>
            <w:top w:val="none" w:sz="0" w:space="0" w:color="auto"/>
            <w:left w:val="none" w:sz="0" w:space="0" w:color="auto"/>
            <w:bottom w:val="none" w:sz="0" w:space="0" w:color="auto"/>
            <w:right w:val="none" w:sz="0" w:space="0" w:color="auto"/>
          </w:divBdr>
        </w:div>
        <w:div w:id="485783151">
          <w:marLeft w:val="0"/>
          <w:marRight w:val="0"/>
          <w:marTop w:val="0"/>
          <w:marBottom w:val="0"/>
          <w:divBdr>
            <w:top w:val="none" w:sz="0" w:space="0" w:color="auto"/>
            <w:left w:val="none" w:sz="0" w:space="0" w:color="auto"/>
            <w:bottom w:val="none" w:sz="0" w:space="0" w:color="auto"/>
            <w:right w:val="none" w:sz="0" w:space="0" w:color="auto"/>
          </w:divBdr>
        </w:div>
        <w:div w:id="498153350">
          <w:marLeft w:val="0"/>
          <w:marRight w:val="0"/>
          <w:marTop w:val="0"/>
          <w:marBottom w:val="0"/>
          <w:divBdr>
            <w:top w:val="none" w:sz="0" w:space="0" w:color="auto"/>
            <w:left w:val="none" w:sz="0" w:space="0" w:color="auto"/>
            <w:bottom w:val="none" w:sz="0" w:space="0" w:color="auto"/>
            <w:right w:val="none" w:sz="0" w:space="0" w:color="auto"/>
          </w:divBdr>
        </w:div>
        <w:div w:id="760679265">
          <w:marLeft w:val="0"/>
          <w:marRight w:val="0"/>
          <w:marTop w:val="0"/>
          <w:marBottom w:val="0"/>
          <w:divBdr>
            <w:top w:val="none" w:sz="0" w:space="0" w:color="auto"/>
            <w:left w:val="none" w:sz="0" w:space="0" w:color="auto"/>
            <w:bottom w:val="none" w:sz="0" w:space="0" w:color="auto"/>
            <w:right w:val="none" w:sz="0" w:space="0" w:color="auto"/>
          </w:divBdr>
        </w:div>
        <w:div w:id="823005595">
          <w:marLeft w:val="0"/>
          <w:marRight w:val="0"/>
          <w:marTop w:val="45"/>
          <w:marBottom w:val="0"/>
          <w:divBdr>
            <w:top w:val="none" w:sz="0" w:space="0" w:color="auto"/>
            <w:left w:val="none" w:sz="0" w:space="0" w:color="auto"/>
            <w:bottom w:val="none" w:sz="0" w:space="0" w:color="auto"/>
            <w:right w:val="none" w:sz="0" w:space="0" w:color="auto"/>
          </w:divBdr>
        </w:div>
        <w:div w:id="1265266701">
          <w:marLeft w:val="0"/>
          <w:marRight w:val="0"/>
          <w:marTop w:val="0"/>
          <w:marBottom w:val="0"/>
          <w:divBdr>
            <w:top w:val="none" w:sz="0" w:space="0" w:color="auto"/>
            <w:left w:val="none" w:sz="0" w:space="0" w:color="auto"/>
            <w:bottom w:val="none" w:sz="0" w:space="0" w:color="auto"/>
            <w:right w:val="none" w:sz="0" w:space="0" w:color="auto"/>
          </w:divBdr>
        </w:div>
        <w:div w:id="1488210198">
          <w:marLeft w:val="0"/>
          <w:marRight w:val="0"/>
          <w:marTop w:val="0"/>
          <w:marBottom w:val="0"/>
          <w:divBdr>
            <w:top w:val="none" w:sz="0" w:space="0" w:color="auto"/>
            <w:left w:val="none" w:sz="0" w:space="0" w:color="auto"/>
            <w:bottom w:val="none" w:sz="0" w:space="0" w:color="auto"/>
            <w:right w:val="none" w:sz="0" w:space="0" w:color="auto"/>
          </w:divBdr>
        </w:div>
        <w:div w:id="2007126135">
          <w:marLeft w:val="0"/>
          <w:marRight w:val="0"/>
          <w:marTop w:val="0"/>
          <w:marBottom w:val="0"/>
          <w:divBdr>
            <w:top w:val="none" w:sz="0" w:space="0" w:color="auto"/>
            <w:left w:val="none" w:sz="0" w:space="0" w:color="auto"/>
            <w:bottom w:val="none" w:sz="0" w:space="0" w:color="auto"/>
            <w:right w:val="none" w:sz="0" w:space="0" w:color="auto"/>
          </w:divBdr>
        </w:div>
        <w:div w:id="2117603222">
          <w:marLeft w:val="0"/>
          <w:marRight w:val="0"/>
          <w:marTop w:val="45"/>
          <w:marBottom w:val="0"/>
          <w:divBdr>
            <w:top w:val="none" w:sz="0" w:space="0" w:color="auto"/>
            <w:left w:val="none" w:sz="0" w:space="0" w:color="auto"/>
            <w:bottom w:val="none" w:sz="0" w:space="0" w:color="auto"/>
            <w:right w:val="none" w:sz="0" w:space="0" w:color="auto"/>
          </w:divBdr>
        </w:div>
      </w:divsChild>
    </w:div>
    <w:div w:id="1162701762">
      <w:bodyDiv w:val="1"/>
      <w:marLeft w:val="0"/>
      <w:marRight w:val="0"/>
      <w:marTop w:val="0"/>
      <w:marBottom w:val="0"/>
      <w:divBdr>
        <w:top w:val="none" w:sz="0" w:space="0" w:color="auto"/>
        <w:left w:val="none" w:sz="0" w:space="0" w:color="auto"/>
        <w:bottom w:val="none" w:sz="0" w:space="0" w:color="auto"/>
        <w:right w:val="none" w:sz="0" w:space="0" w:color="auto"/>
      </w:divBdr>
      <w:divsChild>
        <w:div w:id="575364167">
          <w:marLeft w:val="0"/>
          <w:marRight w:val="0"/>
          <w:marTop w:val="0"/>
          <w:marBottom w:val="0"/>
          <w:divBdr>
            <w:top w:val="none" w:sz="0" w:space="0" w:color="auto"/>
            <w:left w:val="none" w:sz="0" w:space="0" w:color="auto"/>
            <w:bottom w:val="single" w:sz="6" w:space="0" w:color="BDBDBD"/>
            <w:right w:val="none" w:sz="0" w:space="0" w:color="auto"/>
          </w:divBdr>
          <w:divsChild>
            <w:div w:id="1982297767">
              <w:marLeft w:val="0"/>
              <w:marRight w:val="0"/>
              <w:marTop w:val="0"/>
              <w:marBottom w:val="0"/>
              <w:divBdr>
                <w:top w:val="none" w:sz="0" w:space="0" w:color="auto"/>
                <w:left w:val="none" w:sz="0" w:space="0" w:color="auto"/>
                <w:bottom w:val="none" w:sz="0" w:space="0" w:color="auto"/>
                <w:right w:val="none" w:sz="0" w:space="0" w:color="auto"/>
              </w:divBdr>
              <w:divsChild>
                <w:div w:id="1877235411">
                  <w:marLeft w:val="0"/>
                  <w:marRight w:val="0"/>
                  <w:marTop w:val="0"/>
                  <w:marBottom w:val="0"/>
                  <w:divBdr>
                    <w:top w:val="none" w:sz="0" w:space="0" w:color="auto"/>
                    <w:left w:val="none" w:sz="0" w:space="0" w:color="auto"/>
                    <w:bottom w:val="none" w:sz="0" w:space="0" w:color="auto"/>
                    <w:right w:val="none" w:sz="0" w:space="0" w:color="auto"/>
                  </w:divBdr>
                  <w:divsChild>
                    <w:div w:id="251474774">
                      <w:marLeft w:val="0"/>
                      <w:marRight w:val="0"/>
                      <w:marTop w:val="0"/>
                      <w:marBottom w:val="0"/>
                      <w:divBdr>
                        <w:top w:val="none" w:sz="0" w:space="0" w:color="auto"/>
                        <w:left w:val="none" w:sz="0" w:space="0" w:color="auto"/>
                        <w:bottom w:val="none" w:sz="0" w:space="0" w:color="auto"/>
                        <w:right w:val="none" w:sz="0" w:space="0" w:color="auto"/>
                      </w:divBdr>
                      <w:divsChild>
                        <w:div w:id="1195074473">
                          <w:marLeft w:val="0"/>
                          <w:marRight w:val="0"/>
                          <w:marTop w:val="0"/>
                          <w:marBottom w:val="0"/>
                          <w:divBdr>
                            <w:top w:val="none" w:sz="0" w:space="0" w:color="auto"/>
                            <w:left w:val="none" w:sz="0" w:space="0" w:color="auto"/>
                            <w:bottom w:val="none" w:sz="0" w:space="0" w:color="auto"/>
                            <w:right w:val="none" w:sz="0" w:space="0" w:color="auto"/>
                          </w:divBdr>
                          <w:divsChild>
                            <w:div w:id="2061634215">
                              <w:marLeft w:val="0"/>
                              <w:marRight w:val="0"/>
                              <w:marTop w:val="0"/>
                              <w:marBottom w:val="0"/>
                              <w:divBdr>
                                <w:top w:val="none" w:sz="0" w:space="0" w:color="auto"/>
                                <w:left w:val="none" w:sz="0" w:space="0" w:color="auto"/>
                                <w:bottom w:val="none" w:sz="0" w:space="0" w:color="auto"/>
                                <w:right w:val="none" w:sz="0" w:space="0" w:color="auto"/>
                              </w:divBdr>
                              <w:divsChild>
                                <w:div w:id="429667729">
                                  <w:marLeft w:val="0"/>
                                  <w:marRight w:val="0"/>
                                  <w:marTop w:val="0"/>
                                  <w:marBottom w:val="0"/>
                                  <w:divBdr>
                                    <w:top w:val="none" w:sz="0" w:space="0" w:color="auto"/>
                                    <w:left w:val="none" w:sz="0" w:space="0" w:color="auto"/>
                                    <w:bottom w:val="none" w:sz="0" w:space="0" w:color="auto"/>
                                    <w:right w:val="none" w:sz="0" w:space="0" w:color="auto"/>
                                  </w:divBdr>
                                </w:div>
                                <w:div w:id="4409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448532">
      <w:bodyDiv w:val="1"/>
      <w:marLeft w:val="0"/>
      <w:marRight w:val="0"/>
      <w:marTop w:val="0"/>
      <w:marBottom w:val="0"/>
      <w:divBdr>
        <w:top w:val="none" w:sz="0" w:space="0" w:color="auto"/>
        <w:left w:val="none" w:sz="0" w:space="0" w:color="auto"/>
        <w:bottom w:val="none" w:sz="0" w:space="0" w:color="auto"/>
        <w:right w:val="none" w:sz="0" w:space="0" w:color="auto"/>
      </w:divBdr>
    </w:div>
    <w:div w:id="1345748636">
      <w:bodyDiv w:val="1"/>
      <w:marLeft w:val="0"/>
      <w:marRight w:val="0"/>
      <w:marTop w:val="0"/>
      <w:marBottom w:val="0"/>
      <w:divBdr>
        <w:top w:val="none" w:sz="0" w:space="0" w:color="auto"/>
        <w:left w:val="none" w:sz="0" w:space="0" w:color="auto"/>
        <w:bottom w:val="none" w:sz="0" w:space="0" w:color="auto"/>
        <w:right w:val="none" w:sz="0" w:space="0" w:color="auto"/>
      </w:divBdr>
    </w:div>
    <w:div w:id="1352296267">
      <w:bodyDiv w:val="1"/>
      <w:marLeft w:val="0"/>
      <w:marRight w:val="0"/>
      <w:marTop w:val="0"/>
      <w:marBottom w:val="0"/>
      <w:divBdr>
        <w:top w:val="none" w:sz="0" w:space="0" w:color="auto"/>
        <w:left w:val="none" w:sz="0" w:space="0" w:color="auto"/>
        <w:bottom w:val="none" w:sz="0" w:space="0" w:color="auto"/>
        <w:right w:val="none" w:sz="0" w:space="0" w:color="auto"/>
      </w:divBdr>
      <w:divsChild>
        <w:div w:id="419373561">
          <w:marLeft w:val="0"/>
          <w:marRight w:val="0"/>
          <w:marTop w:val="0"/>
          <w:marBottom w:val="0"/>
          <w:divBdr>
            <w:top w:val="none" w:sz="0" w:space="0" w:color="auto"/>
            <w:left w:val="none" w:sz="0" w:space="0" w:color="auto"/>
            <w:bottom w:val="single" w:sz="6" w:space="0" w:color="BDBDBD"/>
            <w:right w:val="none" w:sz="0" w:space="0" w:color="auto"/>
          </w:divBdr>
          <w:divsChild>
            <w:div w:id="1226843219">
              <w:marLeft w:val="0"/>
              <w:marRight w:val="0"/>
              <w:marTop w:val="0"/>
              <w:marBottom w:val="0"/>
              <w:divBdr>
                <w:top w:val="none" w:sz="0" w:space="0" w:color="auto"/>
                <w:left w:val="none" w:sz="0" w:space="0" w:color="auto"/>
                <w:bottom w:val="none" w:sz="0" w:space="0" w:color="auto"/>
                <w:right w:val="none" w:sz="0" w:space="0" w:color="auto"/>
              </w:divBdr>
              <w:divsChild>
                <w:div w:id="1934361178">
                  <w:marLeft w:val="0"/>
                  <w:marRight w:val="0"/>
                  <w:marTop w:val="0"/>
                  <w:marBottom w:val="0"/>
                  <w:divBdr>
                    <w:top w:val="none" w:sz="0" w:space="0" w:color="auto"/>
                    <w:left w:val="none" w:sz="0" w:space="0" w:color="auto"/>
                    <w:bottom w:val="none" w:sz="0" w:space="0" w:color="auto"/>
                    <w:right w:val="none" w:sz="0" w:space="0" w:color="auto"/>
                  </w:divBdr>
                  <w:divsChild>
                    <w:div w:id="163934849">
                      <w:marLeft w:val="0"/>
                      <w:marRight w:val="0"/>
                      <w:marTop w:val="0"/>
                      <w:marBottom w:val="0"/>
                      <w:divBdr>
                        <w:top w:val="none" w:sz="0" w:space="0" w:color="auto"/>
                        <w:left w:val="none" w:sz="0" w:space="0" w:color="auto"/>
                        <w:bottom w:val="none" w:sz="0" w:space="0" w:color="auto"/>
                        <w:right w:val="none" w:sz="0" w:space="0" w:color="auto"/>
                      </w:divBdr>
                      <w:divsChild>
                        <w:div w:id="895315202">
                          <w:marLeft w:val="0"/>
                          <w:marRight w:val="0"/>
                          <w:marTop w:val="0"/>
                          <w:marBottom w:val="0"/>
                          <w:divBdr>
                            <w:top w:val="none" w:sz="0" w:space="0" w:color="auto"/>
                            <w:left w:val="none" w:sz="0" w:space="0" w:color="auto"/>
                            <w:bottom w:val="none" w:sz="0" w:space="0" w:color="auto"/>
                            <w:right w:val="none" w:sz="0" w:space="0" w:color="auto"/>
                          </w:divBdr>
                          <w:divsChild>
                            <w:div w:id="2081365598">
                              <w:marLeft w:val="0"/>
                              <w:marRight w:val="0"/>
                              <w:marTop w:val="0"/>
                              <w:marBottom w:val="0"/>
                              <w:divBdr>
                                <w:top w:val="none" w:sz="0" w:space="0" w:color="auto"/>
                                <w:left w:val="none" w:sz="0" w:space="0" w:color="auto"/>
                                <w:bottom w:val="none" w:sz="0" w:space="0" w:color="auto"/>
                                <w:right w:val="none" w:sz="0" w:space="0" w:color="auto"/>
                              </w:divBdr>
                              <w:divsChild>
                                <w:div w:id="432627030">
                                  <w:marLeft w:val="0"/>
                                  <w:marRight w:val="0"/>
                                  <w:marTop w:val="0"/>
                                  <w:marBottom w:val="0"/>
                                  <w:divBdr>
                                    <w:top w:val="none" w:sz="0" w:space="0" w:color="auto"/>
                                    <w:left w:val="none" w:sz="0" w:space="0" w:color="auto"/>
                                    <w:bottom w:val="none" w:sz="0" w:space="0" w:color="auto"/>
                                    <w:right w:val="none" w:sz="0" w:space="0" w:color="auto"/>
                                  </w:divBdr>
                                </w:div>
                                <w:div w:id="1132020232">
                                  <w:marLeft w:val="0"/>
                                  <w:marRight w:val="0"/>
                                  <w:marTop w:val="0"/>
                                  <w:marBottom w:val="0"/>
                                  <w:divBdr>
                                    <w:top w:val="none" w:sz="0" w:space="0" w:color="auto"/>
                                    <w:left w:val="none" w:sz="0" w:space="0" w:color="auto"/>
                                    <w:bottom w:val="none" w:sz="0" w:space="0" w:color="auto"/>
                                    <w:right w:val="none" w:sz="0" w:space="0" w:color="auto"/>
                                  </w:divBdr>
                                </w:div>
                                <w:div w:id="2078091559">
                                  <w:marLeft w:val="0"/>
                                  <w:marRight w:val="0"/>
                                  <w:marTop w:val="0"/>
                                  <w:marBottom w:val="0"/>
                                  <w:divBdr>
                                    <w:top w:val="none" w:sz="0" w:space="0" w:color="auto"/>
                                    <w:left w:val="none" w:sz="0" w:space="0" w:color="auto"/>
                                    <w:bottom w:val="none" w:sz="0" w:space="0" w:color="auto"/>
                                    <w:right w:val="none" w:sz="0" w:space="0" w:color="auto"/>
                                  </w:divBdr>
                                  <w:divsChild>
                                    <w:div w:id="1168987115">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Child>
    </w:div>
    <w:div w:id="1382706735">
      <w:bodyDiv w:val="1"/>
      <w:marLeft w:val="0"/>
      <w:marRight w:val="0"/>
      <w:marTop w:val="0"/>
      <w:marBottom w:val="0"/>
      <w:divBdr>
        <w:top w:val="none" w:sz="0" w:space="0" w:color="auto"/>
        <w:left w:val="none" w:sz="0" w:space="0" w:color="auto"/>
        <w:bottom w:val="none" w:sz="0" w:space="0" w:color="auto"/>
        <w:right w:val="none" w:sz="0" w:space="0" w:color="auto"/>
      </w:divBdr>
    </w:div>
    <w:div w:id="1438910066">
      <w:bodyDiv w:val="1"/>
      <w:marLeft w:val="0"/>
      <w:marRight w:val="0"/>
      <w:marTop w:val="0"/>
      <w:marBottom w:val="0"/>
      <w:divBdr>
        <w:top w:val="none" w:sz="0" w:space="0" w:color="auto"/>
        <w:left w:val="none" w:sz="0" w:space="0" w:color="auto"/>
        <w:bottom w:val="none" w:sz="0" w:space="0" w:color="auto"/>
        <w:right w:val="none" w:sz="0" w:space="0" w:color="auto"/>
      </w:divBdr>
    </w:div>
    <w:div w:id="1569729833">
      <w:bodyDiv w:val="1"/>
      <w:marLeft w:val="0"/>
      <w:marRight w:val="0"/>
      <w:marTop w:val="0"/>
      <w:marBottom w:val="0"/>
      <w:divBdr>
        <w:top w:val="none" w:sz="0" w:space="0" w:color="auto"/>
        <w:left w:val="none" w:sz="0" w:space="0" w:color="auto"/>
        <w:bottom w:val="none" w:sz="0" w:space="0" w:color="auto"/>
        <w:right w:val="none" w:sz="0" w:space="0" w:color="auto"/>
      </w:divBdr>
    </w:div>
    <w:div w:id="1619293170">
      <w:bodyDiv w:val="1"/>
      <w:marLeft w:val="0"/>
      <w:marRight w:val="0"/>
      <w:marTop w:val="0"/>
      <w:marBottom w:val="0"/>
      <w:divBdr>
        <w:top w:val="none" w:sz="0" w:space="0" w:color="auto"/>
        <w:left w:val="none" w:sz="0" w:space="0" w:color="auto"/>
        <w:bottom w:val="none" w:sz="0" w:space="0" w:color="auto"/>
        <w:right w:val="none" w:sz="0" w:space="0" w:color="auto"/>
      </w:divBdr>
    </w:div>
    <w:div w:id="1815440358">
      <w:bodyDiv w:val="1"/>
      <w:marLeft w:val="0"/>
      <w:marRight w:val="0"/>
      <w:marTop w:val="0"/>
      <w:marBottom w:val="0"/>
      <w:divBdr>
        <w:top w:val="none" w:sz="0" w:space="0" w:color="auto"/>
        <w:left w:val="none" w:sz="0" w:space="0" w:color="auto"/>
        <w:bottom w:val="none" w:sz="0" w:space="0" w:color="auto"/>
        <w:right w:val="none" w:sz="0" w:space="0" w:color="auto"/>
      </w:divBdr>
    </w:div>
    <w:div w:id="1924021227">
      <w:bodyDiv w:val="1"/>
      <w:marLeft w:val="0"/>
      <w:marRight w:val="0"/>
      <w:marTop w:val="0"/>
      <w:marBottom w:val="0"/>
      <w:divBdr>
        <w:top w:val="none" w:sz="0" w:space="0" w:color="auto"/>
        <w:left w:val="none" w:sz="0" w:space="0" w:color="auto"/>
        <w:bottom w:val="none" w:sz="0" w:space="0" w:color="auto"/>
        <w:right w:val="none" w:sz="0" w:space="0" w:color="auto"/>
      </w:divBdr>
      <w:divsChild>
        <w:div w:id="1482118713">
          <w:marLeft w:val="0"/>
          <w:marRight w:val="0"/>
          <w:marTop w:val="0"/>
          <w:marBottom w:val="0"/>
          <w:divBdr>
            <w:top w:val="none" w:sz="0" w:space="0" w:color="auto"/>
            <w:left w:val="none" w:sz="0" w:space="0" w:color="auto"/>
            <w:bottom w:val="none" w:sz="0" w:space="0" w:color="auto"/>
            <w:right w:val="none" w:sz="0" w:space="0" w:color="auto"/>
          </w:divBdr>
        </w:div>
        <w:div w:id="1795522214">
          <w:marLeft w:val="0"/>
          <w:marRight w:val="0"/>
          <w:marTop w:val="0"/>
          <w:marBottom w:val="0"/>
          <w:divBdr>
            <w:top w:val="none" w:sz="0" w:space="0" w:color="auto"/>
            <w:left w:val="none" w:sz="0" w:space="0" w:color="auto"/>
            <w:bottom w:val="none" w:sz="0" w:space="0" w:color="auto"/>
            <w:right w:val="none" w:sz="0" w:space="0" w:color="auto"/>
          </w:divBdr>
        </w:div>
      </w:divsChild>
    </w:div>
    <w:div w:id="2005358371">
      <w:bodyDiv w:val="1"/>
      <w:marLeft w:val="0"/>
      <w:marRight w:val="0"/>
      <w:marTop w:val="0"/>
      <w:marBottom w:val="0"/>
      <w:divBdr>
        <w:top w:val="none" w:sz="0" w:space="0" w:color="auto"/>
        <w:left w:val="none" w:sz="0" w:space="0" w:color="auto"/>
        <w:bottom w:val="none" w:sz="0" w:space="0" w:color="auto"/>
        <w:right w:val="none" w:sz="0" w:space="0" w:color="auto"/>
      </w:divBdr>
      <w:divsChild>
        <w:div w:id="122889739">
          <w:marLeft w:val="0"/>
          <w:marRight w:val="0"/>
          <w:marTop w:val="0"/>
          <w:marBottom w:val="0"/>
          <w:divBdr>
            <w:top w:val="none" w:sz="0" w:space="0" w:color="auto"/>
            <w:left w:val="none" w:sz="0" w:space="0" w:color="auto"/>
            <w:bottom w:val="none" w:sz="0" w:space="0" w:color="auto"/>
            <w:right w:val="none" w:sz="0" w:space="0" w:color="auto"/>
          </w:divBdr>
        </w:div>
        <w:div w:id="161242678">
          <w:marLeft w:val="0"/>
          <w:marRight w:val="0"/>
          <w:marTop w:val="0"/>
          <w:marBottom w:val="0"/>
          <w:divBdr>
            <w:top w:val="none" w:sz="0" w:space="0" w:color="auto"/>
            <w:left w:val="none" w:sz="0" w:space="0" w:color="auto"/>
            <w:bottom w:val="none" w:sz="0" w:space="0" w:color="auto"/>
            <w:right w:val="none" w:sz="0" w:space="0" w:color="auto"/>
          </w:divBdr>
        </w:div>
        <w:div w:id="298614456">
          <w:marLeft w:val="0"/>
          <w:marRight w:val="0"/>
          <w:marTop w:val="45"/>
          <w:marBottom w:val="0"/>
          <w:divBdr>
            <w:top w:val="none" w:sz="0" w:space="0" w:color="auto"/>
            <w:left w:val="none" w:sz="0" w:space="0" w:color="auto"/>
            <w:bottom w:val="none" w:sz="0" w:space="0" w:color="auto"/>
            <w:right w:val="none" w:sz="0" w:space="0" w:color="auto"/>
          </w:divBdr>
        </w:div>
        <w:div w:id="370150144">
          <w:marLeft w:val="0"/>
          <w:marRight w:val="0"/>
          <w:marTop w:val="0"/>
          <w:marBottom w:val="0"/>
          <w:divBdr>
            <w:top w:val="none" w:sz="0" w:space="0" w:color="auto"/>
            <w:left w:val="none" w:sz="0" w:space="0" w:color="auto"/>
            <w:bottom w:val="none" w:sz="0" w:space="0" w:color="auto"/>
            <w:right w:val="none" w:sz="0" w:space="0" w:color="auto"/>
          </w:divBdr>
        </w:div>
        <w:div w:id="429201882">
          <w:marLeft w:val="0"/>
          <w:marRight w:val="0"/>
          <w:marTop w:val="0"/>
          <w:marBottom w:val="0"/>
          <w:divBdr>
            <w:top w:val="none" w:sz="0" w:space="0" w:color="auto"/>
            <w:left w:val="none" w:sz="0" w:space="0" w:color="auto"/>
            <w:bottom w:val="none" w:sz="0" w:space="0" w:color="auto"/>
            <w:right w:val="none" w:sz="0" w:space="0" w:color="auto"/>
          </w:divBdr>
        </w:div>
        <w:div w:id="556625113">
          <w:marLeft w:val="0"/>
          <w:marRight w:val="0"/>
          <w:marTop w:val="0"/>
          <w:marBottom w:val="0"/>
          <w:divBdr>
            <w:top w:val="none" w:sz="0" w:space="0" w:color="auto"/>
            <w:left w:val="none" w:sz="0" w:space="0" w:color="auto"/>
            <w:bottom w:val="none" w:sz="0" w:space="0" w:color="auto"/>
            <w:right w:val="none" w:sz="0" w:space="0" w:color="auto"/>
          </w:divBdr>
        </w:div>
        <w:div w:id="936450199">
          <w:marLeft w:val="0"/>
          <w:marRight w:val="0"/>
          <w:marTop w:val="45"/>
          <w:marBottom w:val="0"/>
          <w:divBdr>
            <w:top w:val="none" w:sz="0" w:space="0" w:color="auto"/>
            <w:left w:val="none" w:sz="0" w:space="0" w:color="auto"/>
            <w:bottom w:val="none" w:sz="0" w:space="0" w:color="auto"/>
            <w:right w:val="none" w:sz="0" w:space="0" w:color="auto"/>
          </w:divBdr>
        </w:div>
        <w:div w:id="1069884303">
          <w:marLeft w:val="0"/>
          <w:marRight w:val="0"/>
          <w:marTop w:val="0"/>
          <w:marBottom w:val="0"/>
          <w:divBdr>
            <w:top w:val="none" w:sz="0" w:space="0" w:color="auto"/>
            <w:left w:val="none" w:sz="0" w:space="0" w:color="auto"/>
            <w:bottom w:val="none" w:sz="0" w:space="0" w:color="auto"/>
            <w:right w:val="none" w:sz="0" w:space="0" w:color="auto"/>
          </w:divBdr>
        </w:div>
        <w:div w:id="1078476102">
          <w:marLeft w:val="0"/>
          <w:marRight w:val="0"/>
          <w:marTop w:val="0"/>
          <w:marBottom w:val="0"/>
          <w:divBdr>
            <w:top w:val="none" w:sz="0" w:space="0" w:color="auto"/>
            <w:left w:val="none" w:sz="0" w:space="0" w:color="auto"/>
            <w:bottom w:val="none" w:sz="0" w:space="0" w:color="auto"/>
            <w:right w:val="none" w:sz="0" w:space="0" w:color="auto"/>
          </w:divBdr>
        </w:div>
        <w:div w:id="1187257549">
          <w:marLeft w:val="0"/>
          <w:marRight w:val="0"/>
          <w:marTop w:val="45"/>
          <w:marBottom w:val="0"/>
          <w:divBdr>
            <w:top w:val="none" w:sz="0" w:space="0" w:color="auto"/>
            <w:left w:val="none" w:sz="0" w:space="0" w:color="auto"/>
            <w:bottom w:val="none" w:sz="0" w:space="0" w:color="auto"/>
            <w:right w:val="none" w:sz="0" w:space="0" w:color="auto"/>
          </w:divBdr>
        </w:div>
        <w:div w:id="1366907605">
          <w:marLeft w:val="0"/>
          <w:marRight w:val="0"/>
          <w:marTop w:val="0"/>
          <w:marBottom w:val="0"/>
          <w:divBdr>
            <w:top w:val="none" w:sz="0" w:space="0" w:color="auto"/>
            <w:left w:val="none" w:sz="0" w:space="0" w:color="auto"/>
            <w:bottom w:val="none" w:sz="0" w:space="0" w:color="auto"/>
            <w:right w:val="none" w:sz="0" w:space="0" w:color="auto"/>
          </w:divBdr>
        </w:div>
        <w:div w:id="1396927401">
          <w:marLeft w:val="0"/>
          <w:marRight w:val="0"/>
          <w:marTop w:val="45"/>
          <w:marBottom w:val="0"/>
          <w:divBdr>
            <w:top w:val="none" w:sz="0" w:space="0" w:color="auto"/>
            <w:left w:val="none" w:sz="0" w:space="0" w:color="auto"/>
            <w:bottom w:val="none" w:sz="0" w:space="0" w:color="auto"/>
            <w:right w:val="none" w:sz="0" w:space="0" w:color="auto"/>
          </w:divBdr>
        </w:div>
        <w:div w:id="1751610807">
          <w:marLeft w:val="0"/>
          <w:marRight w:val="0"/>
          <w:marTop w:val="0"/>
          <w:marBottom w:val="0"/>
          <w:divBdr>
            <w:top w:val="none" w:sz="0" w:space="0" w:color="auto"/>
            <w:left w:val="none" w:sz="0" w:space="0" w:color="auto"/>
            <w:bottom w:val="none" w:sz="0" w:space="0" w:color="auto"/>
            <w:right w:val="none" w:sz="0" w:space="0" w:color="auto"/>
          </w:divBdr>
        </w:div>
        <w:div w:id="2079395322">
          <w:marLeft w:val="0"/>
          <w:marRight w:val="0"/>
          <w:marTop w:val="0"/>
          <w:marBottom w:val="0"/>
          <w:divBdr>
            <w:top w:val="none" w:sz="0" w:space="0" w:color="auto"/>
            <w:left w:val="none" w:sz="0" w:space="0" w:color="auto"/>
            <w:bottom w:val="none" w:sz="0" w:space="0" w:color="auto"/>
            <w:right w:val="none" w:sz="0" w:space="0" w:color="auto"/>
          </w:divBdr>
        </w:div>
      </w:divsChild>
    </w:div>
    <w:div w:id="2120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parlisweb/parlis/zaak.aspx?id=89d8ce5c-bcbe-4971-b2da-9d43486c51ab" TargetMode="External" Id="rId1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footnotes" Target="footnotes.xml" Id="rId11" /><Relationship Type="http://schemas.openxmlformats.org/officeDocument/2006/relationships/hyperlink" Target="https://wetten.overheid.nl/jci1.3:c:BWBR0003630&amp;g=2014-01-01&amp;z=2024-04-12" TargetMode="Externa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yperlink" Target="https://parlisweb/parlis/agendapunt.aspx?id=d6113032-15ff-4431-9740-11d4308c3508"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2788</ap:Words>
  <ap:Characters>15339</ap:Characters>
  <ap:DocSecurity>0</ap:DocSecurity>
  <ap:Lines>127</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2019-11-20T09:45:00.0000000Z</lastPrinted>
  <dcterms:created xsi:type="dcterms:W3CDTF">2024-05-29T15:29:00.0000000Z</dcterms:created>
  <dcterms:modified xsi:type="dcterms:W3CDTF">2024-05-29T15:29:00.0000000Z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y fmtid="{D5CDD505-2E9C-101B-9397-08002B2CF9AE}" pid="3" name="_dlc_DocId">
    <vt:lpwstr>X77R3DQHTY3J-1078881334-1036</vt:lpwstr>
  </property>
  <property fmtid="{D5CDD505-2E9C-101B-9397-08002B2CF9AE}" pid="4" name="_dlc_DocIdItemGuid">
    <vt:lpwstr>ff6f9d81-3c4c-4dd5-8b1a-031d921ab7be</vt:lpwstr>
  </property>
  <property fmtid="{D5CDD505-2E9C-101B-9397-08002B2CF9AE}" pid="5" name="_dlc_DocIdUrl">
    <vt:lpwstr>https://teamsites/dienst/Stafbureau Voorzitter en Griffier/_layouts/15/DocIdRedir.aspx?ID=X77R3DQHTY3J-1078881334-1036, X77R3DQHTY3J-1078881334-1036</vt:lpwstr>
  </property>
  <property fmtid="{D5CDD505-2E9C-101B-9397-08002B2CF9AE}" pid="6" name="display_urn:schemas-microsoft-com:office:office#Editor">
    <vt:lpwstr>Meijers, E.</vt:lpwstr>
  </property>
  <property fmtid="{D5CDD505-2E9C-101B-9397-08002B2CF9AE}" pid="7" name="display_urn:schemas-microsoft-com:office:office#Author">
    <vt:lpwstr>Meijers, E.</vt:lpwstr>
  </property>
</Properties>
</file>