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A9F" w:rsidP="007C4A9F" w:rsidRDefault="007C4A9F" w14:paraId="33C9B6E5" w14:textId="77777777">
      <w:pPr>
        <w:rPr>
          <w:b/>
        </w:rPr>
      </w:pPr>
      <w:r>
        <w:rPr>
          <w:b/>
        </w:rPr>
        <w:t>Verslag houdende een lijst van vragen</w:t>
      </w:r>
    </w:p>
    <w:p w:rsidR="007C4A9F" w:rsidP="007C4A9F" w:rsidRDefault="007C4A9F" w14:paraId="56C1E494" w14:textId="785B6AA3">
      <w:r>
        <w:t>De vaste commissie voor Binnenlandse Zaken belast met het voorbereidend onderzoek van het wetsvoorstel inzake</w:t>
      </w:r>
      <w:r w:rsidRPr="007A0170">
        <w:t xml:space="preserve"> Wijziging van de begrotingsstaat van het gemeentefonds voor het jaar 2024 (wijziging samenhangende met de Voorjaarsnota)</w:t>
      </w:r>
      <w:r>
        <w:t xml:space="preserve"> heeft de eer als volgt verslag uit te brengen van haar bevindingen in de vorm van een lijst van vragen.</w:t>
      </w:r>
    </w:p>
    <w:p w:rsidR="007C4A9F" w:rsidP="007C4A9F" w:rsidRDefault="007C4A9F" w14:paraId="6564F1E7" w14:textId="77777777">
      <w:pPr>
        <w:spacing w:after="0"/>
      </w:pPr>
      <w:r>
        <w:t xml:space="preserve">De fungerend voorzitter van de commissie, </w:t>
      </w:r>
    </w:p>
    <w:p w:rsidR="007C4A9F" w:rsidP="007C4A9F" w:rsidRDefault="007C4A9F" w14:paraId="6CA11623" w14:textId="564E987A">
      <w:pPr>
        <w:spacing w:after="0"/>
      </w:pPr>
      <w:r>
        <w:t>Peter de Groot</w:t>
      </w:r>
    </w:p>
    <w:p w:rsidR="007C4A9F" w:rsidP="007C4A9F" w:rsidRDefault="007C4A9F" w14:paraId="7ADB3A24" w14:textId="77777777">
      <w:pPr>
        <w:spacing w:after="0"/>
      </w:pPr>
      <w:r>
        <w:tab/>
      </w:r>
      <w:r>
        <w:tab/>
      </w:r>
    </w:p>
    <w:p w:rsidR="007C4A9F" w:rsidP="007C4A9F" w:rsidRDefault="007C4A9F" w14:paraId="475279FA" w14:textId="2489584C">
      <w:pPr>
        <w:spacing w:after="0"/>
      </w:pPr>
      <w:r>
        <w:t>A</w:t>
      </w:r>
      <w:r>
        <w:t>djunct-griffier van de commissie,</w:t>
      </w:r>
    </w:p>
    <w:p w:rsidR="007C4A9F" w:rsidP="007C4A9F" w:rsidRDefault="007C4A9F" w14:paraId="421E523F" w14:textId="44E5E6B5">
      <w:pPr>
        <w:spacing w:after="0"/>
      </w:pPr>
      <w:r>
        <w:t>Morrin</w:t>
      </w:r>
    </w:p>
    <w:p w:rsidR="007C4A9F" w:rsidP="007C4A9F" w:rsidRDefault="007C4A9F" w14:paraId="20462058"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7C4A9F" w:rsidTr="007C4A9F" w14:paraId="45B4865A" w14:textId="77777777">
        <w:trPr>
          <w:cantSplit/>
        </w:trPr>
        <w:tc>
          <w:tcPr>
            <w:tcW w:w="567" w:type="dxa"/>
          </w:tcPr>
          <w:p w:rsidR="007C4A9F" w:rsidP="0006239A" w:rsidRDefault="007C4A9F" w14:paraId="3D538132" w14:textId="77777777">
            <w:bookmarkStart w:name="bmkStartTabel" w:id="0"/>
            <w:bookmarkEnd w:id="0"/>
            <w:r>
              <w:t>Nr</w:t>
            </w:r>
          </w:p>
        </w:tc>
        <w:tc>
          <w:tcPr>
            <w:tcW w:w="6521" w:type="dxa"/>
          </w:tcPr>
          <w:p w:rsidR="007C4A9F" w:rsidP="0006239A" w:rsidRDefault="007C4A9F" w14:paraId="479041F7" w14:textId="77777777">
            <w:r>
              <w:t>Vraag</w:t>
            </w:r>
          </w:p>
        </w:tc>
      </w:tr>
      <w:tr w:rsidR="007C4A9F" w:rsidTr="007C4A9F" w14:paraId="4664214F" w14:textId="77777777">
        <w:tc>
          <w:tcPr>
            <w:tcW w:w="567" w:type="dxa"/>
          </w:tcPr>
          <w:p w:rsidR="007C4A9F" w:rsidP="0006239A" w:rsidRDefault="007C4A9F" w14:paraId="3992F9BF" w14:textId="77777777">
            <w:r>
              <w:t>1</w:t>
            </w:r>
          </w:p>
        </w:tc>
        <w:tc>
          <w:tcPr>
            <w:tcW w:w="6521" w:type="dxa"/>
          </w:tcPr>
          <w:p w:rsidR="007C4A9F" w:rsidP="0006239A" w:rsidRDefault="007C4A9F" w14:paraId="5683E010" w14:textId="77777777">
            <w:r>
              <w:t>Op welke wijze worden provincies gecompenseerd voor lagere inkomsten uit de opcenten motorrĳtuigenbelasting door de tariefkorting voor emissievrĳe personenauto’s in de motorrĳtuigenbelasting in 2025?</w:t>
            </w:r>
          </w:p>
        </w:tc>
      </w:tr>
      <w:tr w:rsidR="007C4A9F" w:rsidTr="007C4A9F" w14:paraId="79AEC25A" w14:textId="77777777">
        <w:tc>
          <w:tcPr>
            <w:tcW w:w="567" w:type="dxa"/>
          </w:tcPr>
          <w:p w:rsidR="007C4A9F" w:rsidP="0006239A" w:rsidRDefault="007C4A9F" w14:paraId="0A5EB363" w14:textId="77777777">
            <w:r>
              <w:t>2</w:t>
            </w:r>
          </w:p>
        </w:tc>
        <w:tc>
          <w:tcPr>
            <w:tcW w:w="6521" w:type="dxa"/>
          </w:tcPr>
          <w:p w:rsidR="007C4A9F" w:rsidP="0006239A" w:rsidRDefault="007C4A9F" w14:paraId="6E148EB7" w14:textId="77777777">
            <w:r>
              <w:t>Welk rekenmodel en welke uitgangspunten (groei, tarieven, inflatie) heeft het kabinet gehanteerd voor de berekening van de gederfde inkomsten per provincie in de periode 2026-2030?</w:t>
            </w:r>
          </w:p>
        </w:tc>
      </w:tr>
      <w:tr w:rsidR="007C4A9F" w:rsidTr="007C4A9F" w14:paraId="2505B2D8" w14:textId="77777777">
        <w:tc>
          <w:tcPr>
            <w:tcW w:w="567" w:type="dxa"/>
          </w:tcPr>
          <w:p w:rsidR="007C4A9F" w:rsidP="0006239A" w:rsidRDefault="007C4A9F" w14:paraId="4062F6F9" w14:textId="77777777">
            <w:r>
              <w:t>3</w:t>
            </w:r>
          </w:p>
        </w:tc>
        <w:tc>
          <w:tcPr>
            <w:tcW w:w="6521" w:type="dxa"/>
          </w:tcPr>
          <w:p w:rsidR="007C4A9F" w:rsidP="0006239A" w:rsidRDefault="007C4A9F" w14:paraId="2FA98719" w14:textId="77777777">
            <w:r>
              <w:t>Is er sprake dat provincies zowel vooraf als achteraf worden gecompenseerd voor de lagere inkomsten uit de opcenten motorrĳtuigenbelasting in de periode 2026-2030 of wordt  de compensatie achteraf op basis van werkelijke inkomstenderving vastgesteld?</w:t>
            </w:r>
          </w:p>
        </w:tc>
      </w:tr>
      <w:tr w:rsidR="007C4A9F" w:rsidTr="007C4A9F" w14:paraId="2376C5EA" w14:textId="77777777">
        <w:tc>
          <w:tcPr>
            <w:tcW w:w="567" w:type="dxa"/>
          </w:tcPr>
          <w:p w:rsidR="007C4A9F" w:rsidP="0006239A" w:rsidRDefault="007C4A9F" w14:paraId="66AAC4DC" w14:textId="77777777">
            <w:r>
              <w:t>4</w:t>
            </w:r>
          </w:p>
        </w:tc>
        <w:tc>
          <w:tcPr>
            <w:tcW w:w="6521" w:type="dxa"/>
          </w:tcPr>
          <w:p w:rsidR="007C4A9F" w:rsidP="0006239A" w:rsidRDefault="007C4A9F" w14:paraId="404F1532" w14:textId="77777777">
            <w:r>
              <w:t>Voor koploperprojecten is in de Voorjaarsnota € 434 miljoen extra opgenomen bovenop de eerder bij NvW toegevoegde € 1,28 miljard, wat gebeurt er als projecten niet door de beoordeling komen? Kunnen deze gelden beschikbaar blijven voor gebiedsaanpak?</w:t>
            </w:r>
          </w:p>
        </w:tc>
      </w:tr>
      <w:tr w:rsidR="007C4A9F" w:rsidTr="007C4A9F" w14:paraId="6E409C5B" w14:textId="77777777">
        <w:tc>
          <w:tcPr>
            <w:tcW w:w="567" w:type="dxa"/>
          </w:tcPr>
          <w:p w:rsidR="007C4A9F" w:rsidP="0006239A" w:rsidRDefault="007C4A9F" w14:paraId="1E936C44" w14:textId="77777777">
            <w:r>
              <w:t>5</w:t>
            </w:r>
          </w:p>
        </w:tc>
        <w:tc>
          <w:tcPr>
            <w:tcW w:w="6521" w:type="dxa"/>
          </w:tcPr>
          <w:p w:rsidR="007C4A9F" w:rsidP="0006239A" w:rsidRDefault="007C4A9F" w14:paraId="18AD2068" w14:textId="77777777">
            <w:r>
              <w:t>Op welke manier wil het kabinet waarborgen dat de ontwikkeling van het gemeente- en provinciefonds goed aansluit op de ontwikkeling van de taken van gemeenten en provincies, én waarborgen dat de decentrale overheden voldoende budgettaire ruimte in de algemene uitkering behouden voor het vervullen van hun autonome taken (autonome vrije bestedingsruimte)?</w:t>
            </w:r>
          </w:p>
        </w:tc>
      </w:tr>
      <w:tr w:rsidR="007C4A9F" w:rsidTr="007C4A9F" w14:paraId="4ABC0A3E" w14:textId="77777777">
        <w:tc>
          <w:tcPr>
            <w:tcW w:w="567" w:type="dxa"/>
          </w:tcPr>
          <w:p w:rsidR="007C4A9F" w:rsidP="0006239A" w:rsidRDefault="007C4A9F" w14:paraId="3FBB504F" w14:textId="77777777">
            <w:r>
              <w:t>6</w:t>
            </w:r>
          </w:p>
        </w:tc>
        <w:tc>
          <w:tcPr>
            <w:tcW w:w="6521" w:type="dxa"/>
          </w:tcPr>
          <w:p w:rsidR="007C4A9F" w:rsidP="0006239A" w:rsidRDefault="007C4A9F" w14:paraId="1004CD48" w14:textId="77777777">
            <w:r>
              <w:t>Welke afzonderlijke maatregelen wil het kabinet verder onderzoeken zodat de BBP-systematiek voor gemeente- en provinciefonds niet leidt tot een afname van de autonome vrije bestedingsruimte?</w:t>
            </w:r>
          </w:p>
        </w:tc>
      </w:tr>
      <w:tr w:rsidR="007C4A9F" w:rsidTr="007C4A9F" w14:paraId="678BDCCA" w14:textId="77777777">
        <w:tc>
          <w:tcPr>
            <w:tcW w:w="567" w:type="dxa"/>
          </w:tcPr>
          <w:p w:rsidR="007C4A9F" w:rsidP="0006239A" w:rsidRDefault="007C4A9F" w14:paraId="2AE1BA9A" w14:textId="77777777">
            <w:r>
              <w:t>7</w:t>
            </w:r>
          </w:p>
        </w:tc>
        <w:tc>
          <w:tcPr>
            <w:tcW w:w="6521" w:type="dxa"/>
          </w:tcPr>
          <w:p w:rsidR="007C4A9F" w:rsidP="0006239A" w:rsidRDefault="007C4A9F" w14:paraId="30C063C3" w14:textId="77777777">
            <w:r>
              <w:t>Als uit het extra herijkingsonderzoek blijkt dat studenten minder ov-kilometers maken dan voorheen, leidt dit dan tot een verlaging van de vergoeding aan regionale vervoerders? Zo ja, welke maatregelen wil het kabinet nemen om verdere verschraling van het ov-aanbod tegen te gaan?</w:t>
            </w:r>
          </w:p>
        </w:tc>
      </w:tr>
      <w:tr w:rsidR="007C4A9F" w:rsidTr="007C4A9F" w14:paraId="6183C72F" w14:textId="77777777">
        <w:tc>
          <w:tcPr>
            <w:tcW w:w="567" w:type="dxa"/>
          </w:tcPr>
          <w:p w:rsidR="007C4A9F" w:rsidP="0006239A" w:rsidRDefault="007C4A9F" w14:paraId="7BA21F13" w14:textId="77777777">
            <w:r>
              <w:lastRenderedPageBreak/>
              <w:t>8</w:t>
            </w:r>
          </w:p>
        </w:tc>
        <w:tc>
          <w:tcPr>
            <w:tcW w:w="6521" w:type="dxa"/>
          </w:tcPr>
          <w:p w:rsidR="007C4A9F" w:rsidP="0006239A" w:rsidRDefault="007C4A9F" w14:paraId="158F191C" w14:textId="77777777">
            <w:r>
              <w:t>Op welke wijze wordt de mogelijke tegenvaller als gevolg van de herijking voor de regionale ov-bedrijven gecompenseerd, of wordt alleen Onderwijs, Cultuur en Wetenschap (OCW) gecompenseerd voor eventuele tegenvallers?</w:t>
            </w:r>
          </w:p>
        </w:tc>
      </w:tr>
      <w:tr w:rsidR="007C4A9F" w:rsidTr="007C4A9F" w14:paraId="0CE15725" w14:textId="77777777">
        <w:tc>
          <w:tcPr>
            <w:tcW w:w="567" w:type="dxa"/>
          </w:tcPr>
          <w:p w:rsidR="007C4A9F" w:rsidP="0006239A" w:rsidRDefault="007C4A9F" w14:paraId="177D311D" w14:textId="77777777">
            <w:r>
              <w:t>9</w:t>
            </w:r>
          </w:p>
        </w:tc>
        <w:tc>
          <w:tcPr>
            <w:tcW w:w="6521" w:type="dxa"/>
          </w:tcPr>
          <w:p w:rsidR="007C4A9F" w:rsidP="0006239A" w:rsidRDefault="007C4A9F" w14:paraId="38D1F39C" w14:textId="77777777">
            <w:r>
              <w:t>Kan in een meerjarig overzicht worden aangeven wat de hoogte van het accres was geweest in de periode 2024 tot en met 2029 op basis van een continuering van de trap-op-trap-af-systematiek versus het nieuw berekende accres op basis van de BBP-systematiek per 2024, inclusief en exclusief de incidentele compensatie?</w:t>
            </w:r>
          </w:p>
        </w:tc>
      </w:tr>
      <w:tr w:rsidR="007C4A9F" w:rsidTr="007C4A9F" w14:paraId="477C190F" w14:textId="77777777">
        <w:tc>
          <w:tcPr>
            <w:tcW w:w="567" w:type="dxa"/>
          </w:tcPr>
          <w:p w:rsidR="007C4A9F" w:rsidP="0006239A" w:rsidRDefault="007C4A9F" w14:paraId="3BD8D8B8" w14:textId="77777777">
            <w:r>
              <w:t>10</w:t>
            </w:r>
          </w:p>
        </w:tc>
        <w:tc>
          <w:tcPr>
            <w:tcW w:w="6521" w:type="dxa"/>
          </w:tcPr>
          <w:p w:rsidR="007C4A9F" w:rsidP="0006239A" w:rsidRDefault="007C4A9F" w14:paraId="08FEE01E" w14:textId="77777777">
            <w:r>
              <w:t>Kan worden aangeven hoe het accres vanaf 2026 is opgebouwd sinds de tranche 2022, uitgesplitst naar volume-accres en (loon-en )prijsaccres?</w:t>
            </w:r>
          </w:p>
        </w:tc>
      </w:tr>
      <w:tr w:rsidR="007C4A9F" w:rsidTr="007C4A9F" w14:paraId="09ECFE3E" w14:textId="77777777">
        <w:tc>
          <w:tcPr>
            <w:tcW w:w="567" w:type="dxa"/>
          </w:tcPr>
          <w:p w:rsidR="007C4A9F" w:rsidP="0006239A" w:rsidRDefault="007C4A9F" w14:paraId="7EDA3DB8" w14:textId="77777777">
            <w:r>
              <w:t>11</w:t>
            </w:r>
          </w:p>
        </w:tc>
        <w:tc>
          <w:tcPr>
            <w:tcW w:w="6521" w:type="dxa"/>
          </w:tcPr>
          <w:p w:rsidR="007C4A9F" w:rsidP="0006239A" w:rsidRDefault="007C4A9F" w14:paraId="157EC3EB" w14:textId="77777777">
            <w:r>
              <w:t>Klopt het dat de tranche 2023 vanaf 2026 alleen bestaat uit een indexatie op basis van loon- en prijsontwikkeling, en dus niet volume?</w:t>
            </w:r>
          </w:p>
        </w:tc>
      </w:tr>
      <w:tr w:rsidR="007C4A9F" w:rsidTr="007C4A9F" w14:paraId="37969B2A" w14:textId="77777777">
        <w:tc>
          <w:tcPr>
            <w:tcW w:w="567" w:type="dxa"/>
          </w:tcPr>
          <w:p w:rsidR="007C4A9F" w:rsidP="0006239A" w:rsidRDefault="007C4A9F" w14:paraId="63E24D4A" w14:textId="77777777">
            <w:r>
              <w:t>12</w:t>
            </w:r>
          </w:p>
        </w:tc>
        <w:tc>
          <w:tcPr>
            <w:tcW w:w="6521" w:type="dxa"/>
          </w:tcPr>
          <w:p w:rsidR="007C4A9F" w:rsidP="0006239A" w:rsidRDefault="007C4A9F" w14:paraId="7BBBF5A2" w14:textId="77777777">
            <w:r>
              <w:t>Wat zou de omvang van het accres 2026 tot en met 2029 zijn geweest indien de tranche 2023 op basis van de BBP-systematiek was bepaald (dus een indexering op basis van prijs én volume)?</w:t>
            </w:r>
          </w:p>
        </w:tc>
      </w:tr>
      <w:tr w:rsidR="007C4A9F" w:rsidTr="007C4A9F" w14:paraId="3CB99D6A" w14:textId="77777777">
        <w:tc>
          <w:tcPr>
            <w:tcW w:w="567" w:type="dxa"/>
          </w:tcPr>
          <w:p w:rsidR="007C4A9F" w:rsidP="0006239A" w:rsidRDefault="007C4A9F" w14:paraId="27CB797E" w14:textId="77777777">
            <w:r>
              <w:t>13</w:t>
            </w:r>
          </w:p>
        </w:tc>
        <w:tc>
          <w:tcPr>
            <w:tcW w:w="6521" w:type="dxa"/>
          </w:tcPr>
          <w:p w:rsidR="007C4A9F" w:rsidP="0006239A" w:rsidRDefault="007C4A9F" w14:paraId="4400AB71" w14:textId="77777777">
            <w:r>
              <w:t>Kan in een meerjarig overzicht worden aangeven wat de verschillen zijn met het nieuw berekende accres in 2026 tot en met 2029?</w:t>
            </w:r>
          </w:p>
        </w:tc>
      </w:tr>
      <w:tr w:rsidR="007C4A9F" w:rsidTr="007C4A9F" w14:paraId="6FF1C4CE" w14:textId="77777777">
        <w:tc>
          <w:tcPr>
            <w:tcW w:w="567" w:type="dxa"/>
          </w:tcPr>
          <w:p w:rsidR="007C4A9F" w:rsidP="0006239A" w:rsidRDefault="007C4A9F" w14:paraId="37D8B9CF" w14:textId="77777777">
            <w:r>
              <w:t>14</w:t>
            </w:r>
          </w:p>
        </w:tc>
        <w:tc>
          <w:tcPr>
            <w:tcW w:w="6521" w:type="dxa"/>
          </w:tcPr>
          <w:p w:rsidR="007C4A9F" w:rsidP="0006239A" w:rsidRDefault="007C4A9F" w14:paraId="105D0CEC" w14:textId="77777777">
            <w:r>
              <w:t>Welke afzonderlijke maatregelen wil het kabinet nog nemen om het financieel ravijnjaar 2026 voor gemeenten en provincies alsnog op te lossen, gezien de vervroegde invoering van de BBP-systematiek in 2024 het zogenaamde financieel ravijnjaar 2026 voor gemeenten en provincies niet gedempt heeft?</w:t>
            </w:r>
          </w:p>
        </w:tc>
      </w:tr>
    </w:tbl>
    <w:p w:rsidR="007C4A9F" w:rsidP="007C4A9F" w:rsidRDefault="007C4A9F" w14:paraId="29180627" w14:textId="77777777"/>
    <w:p w:rsidR="00193F45" w:rsidRDefault="00193F45" w14:paraId="19B0CEA0" w14:textId="77777777"/>
    <w:sectPr w:rsidR="00193F45" w:rsidSect="007C4A9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71AF" w14:textId="77777777" w:rsidR="007C4A9F" w:rsidRDefault="007C4A9F" w:rsidP="007C4A9F">
      <w:pPr>
        <w:spacing w:after="0" w:line="240" w:lineRule="auto"/>
      </w:pPr>
      <w:r>
        <w:separator/>
      </w:r>
    </w:p>
  </w:endnote>
  <w:endnote w:type="continuationSeparator" w:id="0">
    <w:p w14:paraId="0C8C9C9B" w14:textId="77777777" w:rsidR="007C4A9F" w:rsidRDefault="007C4A9F" w:rsidP="007C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CCFB" w14:textId="77777777" w:rsidR="00D8524D" w:rsidRPr="007C4A9F" w:rsidRDefault="00D8524D" w:rsidP="007C4A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280D" w14:textId="77777777" w:rsidR="00D8524D" w:rsidRPr="007C4A9F" w:rsidRDefault="00D8524D" w:rsidP="007C4A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8C98" w14:textId="77777777" w:rsidR="00D8524D" w:rsidRPr="007C4A9F" w:rsidRDefault="00D8524D" w:rsidP="007C4A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8044" w14:textId="77777777" w:rsidR="007C4A9F" w:rsidRDefault="007C4A9F" w:rsidP="007C4A9F">
      <w:pPr>
        <w:spacing w:after="0" w:line="240" w:lineRule="auto"/>
      </w:pPr>
      <w:r>
        <w:separator/>
      </w:r>
    </w:p>
  </w:footnote>
  <w:footnote w:type="continuationSeparator" w:id="0">
    <w:p w14:paraId="1E252DCA" w14:textId="77777777" w:rsidR="007C4A9F" w:rsidRDefault="007C4A9F" w:rsidP="007C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FBDC" w14:textId="77777777" w:rsidR="00D8524D" w:rsidRPr="007C4A9F" w:rsidRDefault="00D8524D" w:rsidP="007C4A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13F0" w14:textId="77777777" w:rsidR="00D8524D" w:rsidRPr="007C4A9F" w:rsidRDefault="00D8524D" w:rsidP="007C4A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77F3" w14:textId="77777777" w:rsidR="00D8524D" w:rsidRPr="007C4A9F" w:rsidRDefault="00D8524D" w:rsidP="007C4A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9F"/>
    <w:rsid w:val="00193F45"/>
    <w:rsid w:val="007C4A9F"/>
    <w:rsid w:val="00D85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10C"/>
  <w15:chartTrackingRefBased/>
  <w15:docId w15:val="{604ABD49-8646-420C-9930-526FB8AE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4A9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C4A9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C4A9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C4A9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563</ap:Words>
  <ap:Characters>3098</ap:Characters>
  <ap:DocSecurity>0</ap:DocSecurity>
  <ap:Lines>25</ap:Lines>
  <ap:Paragraphs>7</ap:Paragraphs>
  <ap:ScaleCrop>false</ap:ScaleCrop>
  <ap:LinksUpToDate>false</ap:LinksUpToDate>
  <ap:CharactersWithSpaces>3654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2024-07-24T08:03:00.0000000Z</dcterms:created>
  <dcterms:modified xsi:type="dcterms:W3CDTF">2024-07-24T08:04:00.0000000Z</dcterms:modified>
  <version/>
  <category/>
</coreProperties>
</file>