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2A42ED" w:rsidTr="002A42ED" w14:paraId="54658608" w14:textId="77777777">
        <w:sdt>
          <w:sdtPr>
            <w:tag w:val="bmZaakNummerAdvies"/>
            <w:id w:val="1763566268"/>
            <w:lock w:val="sdtLocked"/>
            <w:placeholder>
              <w:docPart w:val="DefaultPlaceholder_-1854013440"/>
            </w:placeholder>
          </w:sdtPr>
          <w:sdtEndPr/>
          <w:sdtContent>
            <w:tc>
              <w:tcPr>
                <w:tcW w:w="4251" w:type="dxa"/>
              </w:tcPr>
              <w:p w:rsidR="002A42ED" w:rsidRDefault="002A42ED" w14:paraId="61701F30" w14:textId="3F5939A1">
                <w:r>
                  <w:t>No. W16.23.00354/II</w:t>
                </w:r>
              </w:p>
            </w:tc>
          </w:sdtContent>
        </w:sdt>
        <w:sdt>
          <w:sdtPr>
            <w:tag w:val="bmDatumAdvies"/>
            <w:id w:val="1431154180"/>
            <w:lock w:val="sdtLocked"/>
            <w:placeholder>
              <w:docPart w:val="DefaultPlaceholder_-1854013440"/>
            </w:placeholder>
          </w:sdtPr>
          <w:sdtEndPr/>
          <w:sdtContent>
            <w:tc>
              <w:tcPr>
                <w:tcW w:w="4252" w:type="dxa"/>
              </w:tcPr>
              <w:p w:rsidR="002A42ED" w:rsidRDefault="002A42ED" w14:paraId="2569516D" w14:textId="32C827CD">
                <w:r>
                  <w:t>'s-Gravenhage, 7 februari 2024</w:t>
                </w:r>
              </w:p>
            </w:tc>
          </w:sdtContent>
        </w:sdt>
      </w:tr>
    </w:tbl>
    <w:p w:rsidR="002A42ED" w:rsidRDefault="002A42ED" w14:paraId="53564F86" w14:textId="77777777"/>
    <w:p w:rsidR="002A42ED" w:rsidRDefault="002A42ED" w14:paraId="727691FE" w14:textId="77777777"/>
    <w:p w:rsidR="00EF4588" w:rsidRDefault="00FB05AD" w14:paraId="1BB37A4D" w14:textId="21A1679A">
      <w:sdt>
        <w:sdtPr>
          <w:tag w:val="bmAanhef"/>
          <w:id w:val="412517624"/>
          <w:lock w:val="sdtLocked"/>
          <w:placeholder>
            <w:docPart w:val="DefaultPlaceholder_-1854013440"/>
          </w:placeholder>
        </w:sdtPr>
        <w:sdtEndPr/>
        <w:sdtContent>
          <w:r w:rsidR="002A42ED">
            <w:rPr>
              <w:color w:val="000000"/>
            </w:rPr>
            <w:t>Bij Kabinetsmissive van 22 november 2023, no.2023002741, heeft Uwe Majesteit, op voordracht van de Staatssecretaris van Justitie en Veiligheid, mede namens de Minister van Justitie en Veiligheid en de Minister van Sociale Zaken en Werkgelegenheid, bij de Afdeling advisering van de Raad van State ter overweging aanhangig gemaakt het voorstel van wet houdende 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 met memorie van toelichting.</w:t>
          </w:r>
        </w:sdtContent>
      </w:sdt>
    </w:p>
    <w:p w:rsidR="00EF4588" w:rsidRDefault="00EF4588" w14:paraId="1BB37A4E" w14:textId="77777777"/>
    <w:sdt>
      <w:sdtPr>
        <w:tag w:val="bmVrijeTekst1"/>
        <w:id w:val="1040939759"/>
        <w:lock w:val="sdtLocked"/>
        <w:placeholder>
          <w:docPart w:val="DefaultPlaceholder_-1854013440"/>
        </w:placeholder>
      </w:sdtPr>
      <w:sdtEndPr/>
      <w:sdtContent>
        <w:p w:rsidR="00D530DD" w:rsidP="00663BA3" w:rsidRDefault="00904FA3" w14:paraId="4118DBC2" w14:textId="71A31C19">
          <w:r>
            <w:t>He</w:t>
          </w:r>
          <w:r w:rsidR="002C0CDF">
            <w:t xml:space="preserve">t wetsvoorstel </w:t>
          </w:r>
          <w:r>
            <w:t xml:space="preserve">strekt tot aanpassing van </w:t>
          </w:r>
          <w:r w:rsidR="00D530DD">
            <w:t>de strafbepaling van mensenhandel</w:t>
          </w:r>
          <w:r w:rsidR="0065318E">
            <w:t>.</w:t>
          </w:r>
          <w:r>
            <w:t xml:space="preserve"> </w:t>
          </w:r>
          <w:r w:rsidR="00940420">
            <w:t xml:space="preserve">De strafbepaling wordt </w:t>
          </w:r>
          <w:r w:rsidR="00D530DD">
            <w:t>vereenvoudigd</w:t>
          </w:r>
          <w:r w:rsidR="0065318E">
            <w:t xml:space="preserve"> en </w:t>
          </w:r>
          <w:r w:rsidR="00940420">
            <w:t xml:space="preserve">er wordt </w:t>
          </w:r>
          <w:r w:rsidR="0065318E">
            <w:t xml:space="preserve">meer </w:t>
          </w:r>
          <w:r w:rsidR="00940420">
            <w:t xml:space="preserve">samenhang </w:t>
          </w:r>
          <w:r w:rsidR="00DA52EC">
            <w:t>aangebracht</w:t>
          </w:r>
          <w:r w:rsidR="00940420">
            <w:t xml:space="preserve"> tussen de verschillende delictsvormen.</w:t>
          </w:r>
          <w:r w:rsidR="0065318E">
            <w:t xml:space="preserve"> Daarnaast wordt de bepaling uitgebreid </w:t>
          </w:r>
          <w:r w:rsidR="004F3F6E">
            <w:t xml:space="preserve">met een nieuw delict </w:t>
          </w:r>
          <w:r w:rsidR="00F738A7">
            <w:t>bedoeld voor</w:t>
          </w:r>
          <w:r w:rsidR="0065318E">
            <w:t xml:space="preserve"> ernstige misstanden in de arbeidssfeer, te weten ‘ernstige benadeling’.</w:t>
          </w:r>
          <w:r w:rsidR="00E14C40">
            <w:t xml:space="preserve"> De strafbaarstelling voor het trekken van voordeel uit mensenhandel wordt verruimd</w:t>
          </w:r>
          <w:r w:rsidR="00433ED0">
            <w:t xml:space="preserve"> en ondergebracht in een apart wetsartikel met een lagere strafdreiging van maximaal zes jaar gevangenisstraf</w:t>
          </w:r>
          <w:r w:rsidR="00F738A7">
            <w:t xml:space="preserve"> in vergelijking met het huidig strafmaximum</w:t>
          </w:r>
          <w:r w:rsidR="00433ED0">
            <w:t>.</w:t>
          </w:r>
        </w:p>
        <w:p w:rsidR="00433ED0" w:rsidP="00663BA3" w:rsidRDefault="00433ED0" w14:paraId="2968208C" w14:textId="77777777"/>
        <w:p w:rsidR="00C776CA" w:rsidP="00777F27" w:rsidRDefault="00422D1E" w14:paraId="59AF9F98" w14:textId="77777777">
          <w:r>
            <w:t xml:space="preserve">De Afdeling </w:t>
          </w:r>
          <w:r w:rsidR="00F51807">
            <w:t xml:space="preserve">advisering van de Raad van State </w:t>
          </w:r>
          <w:r w:rsidR="00C52A18">
            <w:t xml:space="preserve">adviseert </w:t>
          </w:r>
          <w:r w:rsidR="005E2EE7">
            <w:t xml:space="preserve">in de toelichting </w:t>
          </w:r>
          <w:r w:rsidR="00FD7F05">
            <w:t>in te gaan op</w:t>
          </w:r>
          <w:r w:rsidR="00FE0186">
            <w:t xml:space="preserve"> de verhouding van dit wetsvoorstel tot de voorgenomen herziening van de Europese richtlijn inzake mensenhandel. </w:t>
          </w:r>
          <w:r w:rsidR="009F46FB">
            <w:t xml:space="preserve">Verder </w:t>
          </w:r>
          <w:r>
            <w:t xml:space="preserve">maakt </w:t>
          </w:r>
          <w:r w:rsidR="00FE0186">
            <w:t>zij</w:t>
          </w:r>
          <w:r>
            <w:t xml:space="preserve"> twee opmerkingen </w:t>
          </w:r>
          <w:r w:rsidR="00FE0186">
            <w:t xml:space="preserve">over </w:t>
          </w:r>
          <w:r>
            <w:t xml:space="preserve">de voorgestelde strafbepaling van ernstige benadeling. Zij adviseert in de toelichting aandacht te besteden aan de </w:t>
          </w:r>
          <w:r w:rsidR="003807F6">
            <w:t xml:space="preserve">verhouding tussen </w:t>
          </w:r>
          <w:r w:rsidR="00CD6C1B">
            <w:t xml:space="preserve">de </w:t>
          </w:r>
          <w:r w:rsidR="005A26A8">
            <w:t xml:space="preserve">voorgestane bestuursrechtelijke en strafrechtelijke handhaving in de aanpak van mensenhandel </w:t>
          </w:r>
          <w:r w:rsidR="0080507A">
            <w:t>in de zin van arbeidsuitbuiting</w:t>
          </w:r>
          <w:r w:rsidR="005A26A8">
            <w:t xml:space="preserve"> en ernstige benadeling. </w:t>
          </w:r>
        </w:p>
        <w:p w:rsidR="00C776CA" w:rsidP="00777F27" w:rsidRDefault="00C776CA" w14:paraId="723F1F87" w14:textId="77777777"/>
        <w:p w:rsidR="00422D1E" w:rsidP="00777F27" w:rsidRDefault="00BF6FFE" w14:paraId="2E6BAEF0" w14:textId="63D89F1B">
          <w:r>
            <w:t xml:space="preserve">Daarnaast </w:t>
          </w:r>
          <w:r w:rsidR="00EA0136">
            <w:t>vraagt</w:t>
          </w:r>
          <w:r>
            <w:t xml:space="preserve"> </w:t>
          </w:r>
          <w:r w:rsidR="00EA0136">
            <w:t xml:space="preserve">de Afdeling zich af of is beoogd </w:t>
          </w:r>
          <w:r w:rsidR="001B06B8">
            <w:t>de voorgestelde strafrechtelijke omschrijving van ‘</w:t>
          </w:r>
          <w:r w:rsidR="00330E77">
            <w:t>e</w:t>
          </w:r>
          <w:r w:rsidR="001B06B8">
            <w:t>rnstige</w:t>
          </w:r>
          <w:r w:rsidR="00330E77">
            <w:t xml:space="preserve"> benadeling’</w:t>
          </w:r>
          <w:r w:rsidR="001B06B8">
            <w:t xml:space="preserve"> de evenknie te laten zijn van de bestuursrechtelijke </w:t>
          </w:r>
          <w:r w:rsidR="007F49BD">
            <w:t>omschrijving</w:t>
          </w:r>
          <w:r w:rsidR="001B06B8">
            <w:t xml:space="preserve"> van dat begrip. </w:t>
          </w:r>
          <w:r w:rsidR="0058743D">
            <w:t xml:space="preserve">Zij </w:t>
          </w:r>
          <w:r w:rsidR="005A26A8">
            <w:t xml:space="preserve">adviseert </w:t>
          </w:r>
          <w:r w:rsidR="0058743D">
            <w:t>in de toelichting in te gaan op de verhouding tussen die twee begrippen en te overwegen om</w:t>
          </w:r>
          <w:r w:rsidR="009F46FB">
            <w:t xml:space="preserve"> een andere </w:t>
          </w:r>
          <w:r w:rsidR="00344C30">
            <w:t xml:space="preserve">aanduiding van </w:t>
          </w:r>
          <w:r w:rsidR="005A26A8">
            <w:t xml:space="preserve">de </w:t>
          </w:r>
          <w:r w:rsidR="005F1F45">
            <w:t xml:space="preserve">strafbaarstelling </w:t>
          </w:r>
          <w:r w:rsidR="00344C30">
            <w:t>te kiezen dan</w:t>
          </w:r>
          <w:r w:rsidR="00261043">
            <w:t xml:space="preserve"> ‘ernstige benadeling’</w:t>
          </w:r>
          <w:r w:rsidR="005B1406">
            <w:t>.</w:t>
          </w:r>
          <w:r w:rsidR="00885CED">
            <w:t xml:space="preserve"> </w:t>
          </w:r>
          <w:r w:rsidR="00382DC4">
            <w:t>In verband hiermee is aanpassing van de toelichting</w:t>
          </w:r>
          <w:r w:rsidR="0046429B">
            <w:t xml:space="preserve"> en zo nodig</w:t>
          </w:r>
          <w:r w:rsidR="00382DC4">
            <w:t xml:space="preserve"> het </w:t>
          </w:r>
          <w:r w:rsidR="0046429B">
            <w:t>wetsvoorstel</w:t>
          </w:r>
          <w:r w:rsidR="00457CEB">
            <w:t xml:space="preserve"> wenselijk</w:t>
          </w:r>
          <w:r w:rsidR="0046429B">
            <w:t>.</w:t>
          </w:r>
          <w:r w:rsidR="005B1406">
            <w:t xml:space="preserve"> </w:t>
          </w:r>
        </w:p>
        <w:p w:rsidR="00422D1E" w:rsidP="00777F27" w:rsidRDefault="00422D1E" w14:paraId="60D50B6E" w14:textId="77777777"/>
        <w:p w:rsidR="004435FB" w:rsidP="00663BA3" w:rsidRDefault="00433ED0" w14:paraId="3118942D" w14:textId="77777777">
          <w:r>
            <w:t>D</w:t>
          </w:r>
          <w:r w:rsidR="00DD30F3">
            <w:t xml:space="preserve">aarnaast </w:t>
          </w:r>
          <w:r w:rsidR="004D2289">
            <w:t xml:space="preserve">gaat de Afdeling in op </w:t>
          </w:r>
          <w:r w:rsidR="009E4929">
            <w:t>het verzoek van d</w:t>
          </w:r>
          <w:r>
            <w:t xml:space="preserve">e </w:t>
          </w:r>
          <w:r w:rsidR="007613ED">
            <w:t>S</w:t>
          </w:r>
          <w:r w:rsidR="00224CD8">
            <w:t xml:space="preserve">taatssecretaris van Justitie en Veiligheid </w:t>
          </w:r>
          <w:r w:rsidR="00240ED3">
            <w:t>om</w:t>
          </w:r>
          <w:r w:rsidR="00FE1B1B">
            <w:t xml:space="preserve"> bijzondere aandacht te besteden aan de keuze om het </w:t>
          </w:r>
          <w:r w:rsidR="00777F27">
            <w:t>beginsel van</w:t>
          </w:r>
          <w:r w:rsidR="00F47899">
            <w:t xml:space="preserve"> niet</w:t>
          </w:r>
          <w:r w:rsidR="00777F27">
            <w:t>-bestraffing</w:t>
          </w:r>
          <w:r w:rsidR="00FE1B1B">
            <w:t xml:space="preserve"> niet specifiek in de wet neer te leggen. </w:t>
          </w:r>
          <w:r w:rsidR="00777F27">
            <w:t>Dit beginsel houdt in dat slachtoffers van mensenhandel niet vervolgd of bestraf</w:t>
          </w:r>
          <w:r w:rsidR="00F32B3D">
            <w:t>t</w:t>
          </w:r>
          <w:r w:rsidR="00777F27">
            <w:t xml:space="preserve"> worden voor strafbare feiten die zij in verband met hun </w:t>
          </w:r>
          <w:proofErr w:type="spellStart"/>
          <w:r w:rsidR="00777F27">
            <w:t>mensenhandelsituatie</w:t>
          </w:r>
          <w:proofErr w:type="spellEnd"/>
          <w:r w:rsidR="00777F27">
            <w:t xml:space="preserve"> hebben gepleegd. </w:t>
          </w:r>
        </w:p>
        <w:p w:rsidR="004435FB" w:rsidP="00663BA3" w:rsidRDefault="004435FB" w14:paraId="75E83F67" w14:textId="77777777"/>
        <w:p w:rsidR="00D32C21" w:rsidP="00663BA3" w:rsidRDefault="00777F27" w14:paraId="35F8C4CE" w14:textId="16F952C0">
          <w:r>
            <w:t xml:space="preserve">Er zijn geen internationale verplichtingen die tot wettelijke verankering van dit beginsel strekken. Binnen het Nederlandse strafrecht hebben de officier van justitie en de rechter echter wel voldoende mogelijkheden om hiermee rekening te </w:t>
          </w:r>
          <w:r>
            <w:lastRenderedPageBreak/>
            <w:t xml:space="preserve">houden. De Afdeling </w:t>
          </w:r>
          <w:r w:rsidR="0054678A">
            <w:t>onderschrijft</w:t>
          </w:r>
          <w:r>
            <w:t xml:space="preserve"> daarom de keuze van de regering om dit beginsel niet wettelijk te verankeren.</w:t>
          </w:r>
        </w:p>
        <w:p w:rsidR="00777F27" w:rsidP="00777F27" w:rsidRDefault="00777F27" w14:paraId="2D68864B" w14:textId="77777777"/>
        <w:p w:rsidR="00433ED0" w:rsidP="00663BA3" w:rsidRDefault="00D32C21" w14:paraId="76D35909" w14:textId="75ADF25B">
          <w:r>
            <w:t>1.</w:t>
          </w:r>
          <w:r>
            <w:tab/>
          </w:r>
          <w:r w:rsidR="002835DB">
            <w:rPr>
              <w:u w:val="single"/>
            </w:rPr>
            <w:t>Inleiding</w:t>
          </w:r>
        </w:p>
        <w:p w:rsidR="00D530DD" w:rsidP="00663BA3" w:rsidRDefault="00D530DD" w14:paraId="144D2B35" w14:textId="77777777"/>
        <w:p w:rsidR="002A6D2F" w:rsidP="00663BA3" w:rsidRDefault="005B46C1" w14:paraId="72F2A246" w14:textId="77777777">
          <w:r>
            <w:t xml:space="preserve">Met dit wetsvoorstel wordt de strafbepaling van mensenhandel aangepast en </w:t>
          </w:r>
          <w:r w:rsidR="0053483E">
            <w:t>verruimd</w:t>
          </w:r>
          <w:r>
            <w:t xml:space="preserve">. </w:t>
          </w:r>
          <w:r w:rsidR="00062485">
            <w:t>Uit de praktijk zijn signalen gekomen dat de r</w:t>
          </w:r>
          <w:r w:rsidR="00A747C5">
            <w:t xml:space="preserve">eikwijdte van </w:t>
          </w:r>
          <w:r w:rsidR="00EB710E">
            <w:t>het huidige artikel 273f van het Wetboek van Strafrecht</w:t>
          </w:r>
          <w:r w:rsidR="00A747C5">
            <w:t xml:space="preserve"> tekortschiet, </w:t>
          </w:r>
          <w:r w:rsidR="00044ED0">
            <w:t>de</w:t>
          </w:r>
          <w:r w:rsidR="006B664A">
            <w:t>ze</w:t>
          </w:r>
          <w:r w:rsidR="00044ED0">
            <w:t xml:space="preserve"> bepaling ontoegankelijk is en dat sprake is van een g</w:t>
          </w:r>
          <w:r w:rsidR="003764BC">
            <w:t>ebrek aan samenhang tussen de verschillende gedragingen die als mensenhandel strafbaar zijn gesteld</w:t>
          </w:r>
          <w:r w:rsidR="00044ED0">
            <w:t>.</w:t>
          </w:r>
          <w:r w:rsidR="007943EF">
            <w:t xml:space="preserve"> </w:t>
          </w:r>
        </w:p>
        <w:p w:rsidR="002A6D2F" w:rsidP="00663BA3" w:rsidRDefault="002A6D2F" w14:paraId="2DA1C742" w14:textId="77777777"/>
        <w:p w:rsidR="00663BA3" w:rsidP="00663BA3" w:rsidRDefault="00882D25" w14:paraId="0FC9C9A9" w14:textId="61484C3E">
          <w:r>
            <w:t xml:space="preserve">Gelet op de doelstelling van het kabinet om de strafrechtelijke aanpak van mensenhandel effectiever te maken, wordt de strafbepaling </w:t>
          </w:r>
          <w:r w:rsidR="003034FD">
            <w:t xml:space="preserve">vereenvoudigd en </w:t>
          </w:r>
          <w:r w:rsidR="00C83BC0">
            <w:t>toegankelijker gemaakt</w:t>
          </w:r>
          <w:r w:rsidR="00663BA3">
            <w:t>.</w:t>
          </w:r>
          <w:r w:rsidR="00663BA3">
            <w:rPr>
              <w:rStyle w:val="Voetnootmarkering"/>
            </w:rPr>
            <w:footnoteReference w:id="2"/>
          </w:r>
          <w:r w:rsidR="00C83BC0">
            <w:t xml:space="preserve"> </w:t>
          </w:r>
          <w:r w:rsidR="00D54E36">
            <w:t xml:space="preserve">Met de aanpassing van de delictsomschrijving wordt </w:t>
          </w:r>
          <w:r w:rsidR="004A2DAE">
            <w:t>tevens</w:t>
          </w:r>
          <w:r w:rsidR="00D54E36">
            <w:t xml:space="preserve"> </w:t>
          </w:r>
          <w:r w:rsidR="00C83BC0">
            <w:t>d</w:t>
          </w:r>
          <w:r w:rsidR="00663BA3">
            <w:t xml:space="preserve">e jurisprudentie van de Hoge Raad </w:t>
          </w:r>
          <w:r w:rsidR="00D62C87">
            <w:t xml:space="preserve">over de invulling van </w:t>
          </w:r>
          <w:r w:rsidR="00370E96">
            <w:t xml:space="preserve">het begrip </w:t>
          </w:r>
          <w:r w:rsidR="00AA106F">
            <w:t>‘</w:t>
          </w:r>
          <w:r w:rsidR="00D62C87">
            <w:t>uitbuiting</w:t>
          </w:r>
          <w:r w:rsidR="00AA106F">
            <w:t>’</w:t>
          </w:r>
          <w:r w:rsidR="00D62C87">
            <w:t xml:space="preserve"> </w:t>
          </w:r>
          <w:r w:rsidR="00663BA3">
            <w:t xml:space="preserve">vastgelegd in de wet. </w:t>
          </w:r>
          <w:r w:rsidR="00480A6A">
            <w:t>A</w:t>
          </w:r>
          <w:r w:rsidR="00663BA3">
            <w:t>lle voorwaarden voor strafbaarheid op grond van mensenhandel</w:t>
          </w:r>
          <w:r w:rsidR="00480A6A">
            <w:t xml:space="preserve"> zijn daardoor</w:t>
          </w:r>
          <w:r w:rsidR="00663BA3">
            <w:t xml:space="preserve"> in de wet te vinden. </w:t>
          </w:r>
        </w:p>
        <w:p w:rsidR="00663BA3" w:rsidP="00663BA3" w:rsidRDefault="00663BA3" w14:paraId="4B4A026E" w14:textId="77777777"/>
        <w:p w:rsidR="00663BA3" w:rsidP="00663BA3" w:rsidRDefault="00480A6A" w14:paraId="714C0BFA" w14:textId="5BDF3767">
          <w:r>
            <w:t xml:space="preserve">Het voorstel betreft daarnaast </w:t>
          </w:r>
          <w:r w:rsidR="000F0777">
            <w:t>een</w:t>
          </w:r>
          <w:r w:rsidR="00663BA3">
            <w:t xml:space="preserve"> verruiming van de strafrechtelijke aansprakelijkheid voor vormen van </w:t>
          </w:r>
          <w:r w:rsidR="000F0777">
            <w:t>mensenhandel</w:t>
          </w:r>
          <w:r w:rsidR="00663BA3">
            <w:t xml:space="preserve">. Er wordt een nieuw misdrijf geïntroduceerd voor misstanden in de arbeidssfeer, die niet van dien ernst zijn dat sprake is van </w:t>
          </w:r>
          <w:r w:rsidR="00040690">
            <w:t>’</w:t>
          </w:r>
          <w:r w:rsidR="009D4509">
            <w:t>uitbuiting</w:t>
          </w:r>
          <w:r w:rsidR="00040690">
            <w:t>’</w:t>
          </w:r>
          <w:r w:rsidR="009D4509">
            <w:t xml:space="preserve"> in strafrechtelijke zin</w:t>
          </w:r>
          <w:r w:rsidR="000F0777">
            <w:t xml:space="preserve">: </w:t>
          </w:r>
          <w:r w:rsidR="00AA106F">
            <w:t>‘</w:t>
          </w:r>
          <w:r w:rsidR="000F0777">
            <w:t>ernstige benadeling</w:t>
          </w:r>
          <w:r w:rsidR="00AA106F">
            <w:t>’</w:t>
          </w:r>
          <w:r w:rsidR="00663BA3">
            <w:t xml:space="preserve">. </w:t>
          </w:r>
          <w:r w:rsidR="00D54E36">
            <w:t>Ook</w:t>
          </w:r>
          <w:r w:rsidR="00663BA3">
            <w:t xml:space="preserve"> </w:t>
          </w:r>
          <w:r w:rsidR="00670686">
            <w:t>wordt</w:t>
          </w:r>
          <w:r w:rsidR="00D54E36">
            <w:t xml:space="preserve"> d</w:t>
          </w:r>
          <w:r w:rsidR="00663BA3">
            <w:t>e bestaande strafbaarstelling voor het trekken van voordeel uit mensenhandel</w:t>
          </w:r>
          <w:r w:rsidR="000F0777">
            <w:t xml:space="preserve"> </w:t>
          </w:r>
          <w:r w:rsidR="00663BA3">
            <w:t xml:space="preserve">verruimd, zodat profiteurs van mensenhandel en ernstige benadeling kunnen worden bestraft. </w:t>
          </w:r>
          <w:r w:rsidR="00B50209">
            <w:t>Die v</w:t>
          </w:r>
          <w:r w:rsidR="00663BA3">
            <w:t xml:space="preserve">oordeeltrekking wordt ondergebracht in een apart wetsartikel, met een eigen juridische kwalificatie en strafbedreiging van </w:t>
          </w:r>
          <w:r w:rsidR="00B50209">
            <w:t xml:space="preserve">maximaal </w:t>
          </w:r>
          <w:r w:rsidR="00663BA3">
            <w:t xml:space="preserve">zes jaar gevangenisstraf. </w:t>
          </w:r>
        </w:p>
        <w:p w:rsidR="002F7027" w:rsidP="00663BA3" w:rsidRDefault="002F7027" w14:paraId="21B7386F" w14:textId="77777777"/>
        <w:p w:rsidR="002A6D2F" w:rsidP="002B78C6" w:rsidRDefault="002F7027" w14:paraId="0C8A4CD6" w14:textId="77777777">
          <w:r>
            <w:t xml:space="preserve">De Afdeling </w:t>
          </w:r>
          <w:r w:rsidR="00570ADC">
            <w:t xml:space="preserve">onderschrijft </w:t>
          </w:r>
          <w:r w:rsidR="00A87184">
            <w:t>de doelstelling</w:t>
          </w:r>
          <w:r w:rsidR="001F577E">
            <w:t xml:space="preserve"> </w:t>
          </w:r>
          <w:r w:rsidR="00A87184">
            <w:t xml:space="preserve">van het wetsvoorstel om de strafbaarstelling van mensenhandel te vereenvoudigen </w:t>
          </w:r>
          <w:r w:rsidR="001F577E">
            <w:t>en bij de tijd te brengen.</w:t>
          </w:r>
          <w:r w:rsidR="00CF627B">
            <w:t xml:space="preserve"> </w:t>
          </w:r>
          <w:r w:rsidR="00305778">
            <w:t xml:space="preserve">Hoewel in de toelichting </w:t>
          </w:r>
          <w:r w:rsidR="00935C2E">
            <w:t>hoofdzakelijk</w:t>
          </w:r>
          <w:r w:rsidR="00305778">
            <w:t xml:space="preserve"> aandacht wordt besteed aan vormen van arbeidsuitbuiting, gaat het ook om zaken als seksuele uitbuiting, </w:t>
          </w:r>
          <w:r w:rsidR="002835DB">
            <w:t xml:space="preserve">illegale orgaanhandel en criminele uitbuiting. </w:t>
          </w:r>
        </w:p>
        <w:p w:rsidR="002A6D2F" w:rsidP="002B78C6" w:rsidRDefault="002A6D2F" w14:paraId="49B52B92" w14:textId="77777777"/>
        <w:p w:rsidR="002B78C6" w:rsidP="002B78C6" w:rsidRDefault="00935C2E" w14:paraId="5AE8BA86" w14:textId="30B27813">
          <w:r>
            <w:t xml:space="preserve">Gelet op de </w:t>
          </w:r>
          <w:r w:rsidR="00730D13">
            <w:t>verschillende</w:t>
          </w:r>
          <w:r>
            <w:t xml:space="preserve"> praktijken die deze strafbaarstelling beoogt te adresseren, is </w:t>
          </w:r>
          <w:r w:rsidR="00B33052">
            <w:t xml:space="preserve">het onvermijdelijk dat </w:t>
          </w:r>
          <w:r w:rsidR="00A7729B">
            <w:t xml:space="preserve">ook </w:t>
          </w:r>
          <w:r w:rsidR="00B33052">
            <w:t>de</w:t>
          </w:r>
          <w:r w:rsidR="00E5672D">
            <w:t xml:space="preserve"> voorgestelde strafbaarstelling open normen </w:t>
          </w:r>
          <w:r w:rsidR="007451AE">
            <w:t xml:space="preserve">kent </w:t>
          </w:r>
          <w:r w:rsidR="00E5672D">
            <w:t xml:space="preserve">en </w:t>
          </w:r>
          <w:r w:rsidR="003A1768">
            <w:t>niet heel eenvoudig leesbaar is</w:t>
          </w:r>
          <w:r w:rsidR="00842933">
            <w:t xml:space="preserve">. </w:t>
          </w:r>
          <w:r w:rsidR="008F1735">
            <w:t xml:space="preserve">Wat de </w:t>
          </w:r>
          <w:r w:rsidR="00130C43">
            <w:t>inhoud</w:t>
          </w:r>
          <w:r w:rsidR="00842933">
            <w:t xml:space="preserve"> </w:t>
          </w:r>
          <w:r w:rsidR="008F1735">
            <w:t xml:space="preserve">betreft, </w:t>
          </w:r>
          <w:r w:rsidR="00842933">
            <w:t>me</w:t>
          </w:r>
          <w:r w:rsidR="008F1735">
            <w:t>rk</w:t>
          </w:r>
          <w:r w:rsidR="00842933">
            <w:t xml:space="preserve">t de Afdeling </w:t>
          </w:r>
          <w:r w:rsidR="008F1735">
            <w:t xml:space="preserve">op </w:t>
          </w:r>
          <w:r w:rsidR="00842933">
            <w:t>dat belangrijke verbeteringen zi</w:t>
          </w:r>
          <w:r w:rsidR="007A7D2D">
            <w:t>j</w:t>
          </w:r>
          <w:r w:rsidR="00842933">
            <w:t>n aangebracht</w:t>
          </w:r>
          <w:r w:rsidDel="002E0641" w:rsidR="00842933">
            <w:t xml:space="preserve"> </w:t>
          </w:r>
          <w:r w:rsidR="00D9580F">
            <w:t>te</w:t>
          </w:r>
          <w:r w:rsidR="002F5F7F">
            <w:t xml:space="preserve">n opzichte van </w:t>
          </w:r>
          <w:r w:rsidDel="002E0641" w:rsidR="00842933">
            <w:t>d</w:t>
          </w:r>
          <w:r w:rsidDel="002E0641" w:rsidR="00B45D62">
            <w:t xml:space="preserve">e </w:t>
          </w:r>
          <w:r w:rsidR="002F5F7F">
            <w:t xml:space="preserve">bestaande </w:t>
          </w:r>
          <w:r w:rsidR="001730FE">
            <w:t>regeling</w:t>
          </w:r>
          <w:r w:rsidR="00842933">
            <w:t xml:space="preserve">. </w:t>
          </w:r>
          <w:r w:rsidR="006065FF">
            <w:t>Dit geldt eveneens voor de aparte strafbaarstellingen voor ernstige benadeling en voor het trekken van voordeel uit mensenhandel of ernstige benadeling.</w:t>
          </w:r>
        </w:p>
        <w:p w:rsidR="00422068" w:rsidDel="004D45B8" w:rsidP="004D45B8" w:rsidRDefault="00422068" w14:paraId="07AFD044" w14:textId="77777777"/>
        <w:p w:rsidR="002A6D2F" w:rsidRDefault="002A6D2F" w14:paraId="54B06F89" w14:textId="77777777">
          <w:r>
            <w:br w:type="page"/>
          </w:r>
        </w:p>
        <w:p w:rsidR="001D2191" w:rsidP="001D2191" w:rsidRDefault="001D2191" w14:paraId="7ED564E4" w14:textId="4655627F">
          <w:pPr>
            <w:rPr>
              <w:u w:val="single"/>
            </w:rPr>
          </w:pPr>
          <w:r>
            <w:lastRenderedPageBreak/>
            <w:t xml:space="preserve">2. </w:t>
          </w:r>
          <w:r>
            <w:tab/>
          </w:r>
          <w:r>
            <w:rPr>
              <w:u w:val="single"/>
            </w:rPr>
            <w:t>De Europese Richtlijn voor mensenhandel</w:t>
          </w:r>
          <w:r w:rsidR="0037415F">
            <w:rPr>
              <w:u w:val="single"/>
            </w:rPr>
            <w:t xml:space="preserve"> </w:t>
          </w:r>
        </w:p>
        <w:p w:rsidR="001D2191" w:rsidP="001D2191" w:rsidRDefault="001D2191" w14:paraId="5B8C74C4" w14:textId="77777777">
          <w:pPr>
            <w:rPr>
              <w:u w:val="single"/>
            </w:rPr>
          </w:pPr>
        </w:p>
        <w:p w:rsidR="000B4FEC" w:rsidP="001D2191" w:rsidRDefault="001D2191" w14:paraId="579838D9" w14:textId="3A0C70CD">
          <w:pPr>
            <w:rPr>
              <w:lang w:eastAsia="en-US"/>
            </w:rPr>
          </w:pPr>
          <w:r>
            <w:rPr>
              <w:lang w:eastAsia="en-US"/>
            </w:rPr>
            <w:t xml:space="preserve">De </w:t>
          </w:r>
          <w:r w:rsidRPr="000C0DB7">
            <w:rPr>
              <w:lang w:eastAsia="en-US"/>
            </w:rPr>
            <w:t>strafbaarstelling van mensenhandel is een implementatie van de Richtlijn 2011/36.</w:t>
          </w:r>
          <w:r w:rsidRPr="000C0DB7">
            <w:rPr>
              <w:rStyle w:val="Voetnootmarkering"/>
              <w:lang w:eastAsia="en-US"/>
            </w:rPr>
            <w:footnoteReference w:id="3"/>
          </w:r>
          <w:r w:rsidRPr="000C0DB7">
            <w:rPr>
              <w:lang w:eastAsia="en-US"/>
            </w:rPr>
            <w:t xml:space="preserve"> </w:t>
          </w:r>
          <w:r w:rsidRPr="0078261E">
            <w:rPr>
              <w:lang w:eastAsia="en-US"/>
            </w:rPr>
            <w:t xml:space="preserve">In zoverre vormt dit wetsvoorstel in feite een </w:t>
          </w:r>
          <w:proofErr w:type="spellStart"/>
          <w:r w:rsidRPr="0078261E">
            <w:rPr>
              <w:lang w:eastAsia="en-US"/>
            </w:rPr>
            <w:t>herimplementatie</w:t>
          </w:r>
          <w:proofErr w:type="spellEnd"/>
          <w:r w:rsidRPr="0078261E">
            <w:rPr>
              <w:lang w:eastAsia="en-US"/>
            </w:rPr>
            <w:t>.</w:t>
          </w:r>
          <w:r w:rsidR="00450A27">
            <w:rPr>
              <w:lang w:eastAsia="en-US"/>
            </w:rPr>
            <w:t xml:space="preserve"> </w:t>
          </w:r>
          <w:r w:rsidRPr="000C0DB7">
            <w:rPr>
              <w:lang w:eastAsia="en-US"/>
            </w:rPr>
            <w:t xml:space="preserve"> Richtlijn 2011/36 wordt</w:t>
          </w:r>
          <w:r w:rsidRPr="0078261E">
            <w:rPr>
              <w:lang w:eastAsia="en-US"/>
            </w:rPr>
            <w:t xml:space="preserve"> </w:t>
          </w:r>
          <w:r w:rsidRPr="000C0DB7">
            <w:rPr>
              <w:lang w:eastAsia="en-US"/>
            </w:rPr>
            <w:t xml:space="preserve">momenteel </w:t>
          </w:r>
          <w:r>
            <w:rPr>
              <w:lang w:eastAsia="en-US"/>
            </w:rPr>
            <w:t>herzien. Uit het voorstel blijkt dat de herziening mogelijk leidt tot een uitbreiding van de gedragingen die als uitbuiting moeten worden aangemerkt en de wijze waarop aan het beginsel van niet-bestraffing binnen de nationale rechtsorde uitvoering moet worden gegeven.</w:t>
          </w:r>
          <w:r>
            <w:rPr>
              <w:rStyle w:val="Voetnootmarkering"/>
              <w:lang w:eastAsia="en-US"/>
            </w:rPr>
            <w:footnoteReference w:id="4"/>
          </w:r>
          <w:r>
            <w:rPr>
              <w:lang w:eastAsia="en-US"/>
            </w:rPr>
            <w:t xml:space="preserve"> </w:t>
          </w:r>
        </w:p>
        <w:p w:rsidR="000B4FEC" w:rsidP="001D2191" w:rsidRDefault="000B4FEC" w14:paraId="00A8B9D9" w14:textId="77777777">
          <w:pPr>
            <w:rPr>
              <w:lang w:eastAsia="en-US"/>
            </w:rPr>
          </w:pPr>
        </w:p>
        <w:p w:rsidR="001D2191" w:rsidP="001D2191" w:rsidRDefault="001D2191" w14:paraId="36685972" w14:textId="0A50423E">
          <w:pPr>
            <w:rPr>
              <w:rFonts w:ascii="Calibri" w:hAnsi="Calibri"/>
              <w:szCs w:val="22"/>
              <w:lang w:eastAsia="en-US"/>
            </w:rPr>
          </w:pPr>
          <w:r>
            <w:rPr>
              <w:lang w:eastAsia="en-US"/>
            </w:rPr>
            <w:t xml:space="preserve">Uit de toelichting blijkt niet hoe het Nederlandse wetsvoorstel inzake de modernisering mensenhandel zich verhoudt tot </w:t>
          </w:r>
          <w:r w:rsidR="00FB7B1C">
            <w:rPr>
              <w:lang w:eastAsia="en-US"/>
            </w:rPr>
            <w:t>de</w:t>
          </w:r>
          <w:r w:rsidR="00110E36">
            <w:rPr>
              <w:lang w:eastAsia="en-US"/>
            </w:rPr>
            <w:t xml:space="preserve"> </w:t>
          </w:r>
          <w:r>
            <w:rPr>
              <w:lang w:eastAsia="en-US"/>
            </w:rPr>
            <w:t xml:space="preserve">voorgenomen richtlijnwijziging. Omwille van de rechtszekerheid moet </w:t>
          </w:r>
          <w:r w:rsidR="007854EA">
            <w:rPr>
              <w:lang w:eastAsia="en-US"/>
            </w:rPr>
            <w:t>echter</w:t>
          </w:r>
          <w:r w:rsidR="002336CE">
            <w:rPr>
              <w:lang w:eastAsia="en-US"/>
            </w:rPr>
            <w:t xml:space="preserve"> </w:t>
          </w:r>
          <w:r>
            <w:rPr>
              <w:lang w:eastAsia="en-US"/>
            </w:rPr>
            <w:t>zoveel mogelijk worden voorkomen dat deze wetswijziging leidt tot aanpassingen die bij de implementatie van de Richtlijn weer ongedaan gemaakt moeten worden.</w:t>
          </w:r>
        </w:p>
        <w:p w:rsidR="001D2191" w:rsidP="001D2191" w:rsidRDefault="001D2191" w14:paraId="5C3C46E0" w14:textId="77777777">
          <w:pPr>
            <w:rPr>
              <w:lang w:eastAsia="en-US"/>
            </w:rPr>
          </w:pPr>
          <w:r>
            <w:rPr>
              <w:lang w:eastAsia="en-US"/>
            </w:rPr>
            <w:t> </w:t>
          </w:r>
        </w:p>
        <w:p w:rsidR="001D2191" w:rsidP="001D2191" w:rsidRDefault="001D2191" w14:paraId="0F77DEC3" w14:textId="77777777">
          <w:pPr>
            <w:rPr>
              <w:lang w:eastAsia="en-US"/>
            </w:rPr>
          </w:pPr>
          <w:r>
            <w:rPr>
              <w:lang w:eastAsia="en-US"/>
            </w:rPr>
            <w:t>De Afdeling adviseert in de toelichting in te gaan op de verhouding van het wetsvoorstel tot de voorgenomen herziening van Richtlijn 2011/36.</w:t>
          </w:r>
        </w:p>
        <w:p w:rsidR="002B78C6" w:rsidP="002B78C6" w:rsidRDefault="002B78C6" w14:paraId="50F24E32" w14:textId="77777777"/>
        <w:p w:rsidR="003A2AE7" w:rsidP="003A2AE7" w:rsidRDefault="001D2191" w14:paraId="0B1DD32A" w14:textId="636C1A7A">
          <w:r>
            <w:t>3</w:t>
          </w:r>
          <w:r w:rsidR="003A2AE7">
            <w:t>.</w:t>
          </w:r>
          <w:r w:rsidR="003A2AE7">
            <w:tab/>
          </w:r>
          <w:r w:rsidR="005040BE">
            <w:rPr>
              <w:u w:val="single"/>
            </w:rPr>
            <w:t>E</w:t>
          </w:r>
          <w:r w:rsidR="003A2AE7">
            <w:rPr>
              <w:u w:val="single"/>
            </w:rPr>
            <w:t>rnstige benadeling</w:t>
          </w:r>
        </w:p>
        <w:p w:rsidR="003A2AE7" w:rsidP="003A2AE7" w:rsidRDefault="003A2AE7" w14:paraId="123AA0DE" w14:textId="77777777"/>
        <w:p w:rsidRPr="00A435CD" w:rsidR="00053B59" w:rsidP="003A2AE7" w:rsidRDefault="00053B59" w14:paraId="2F8E83C5" w14:textId="1E5AC1F7">
          <w:pPr>
            <w:rPr>
              <w:i/>
              <w:iCs/>
            </w:rPr>
          </w:pPr>
          <w:r w:rsidRPr="00A435CD">
            <w:rPr>
              <w:i/>
              <w:iCs/>
            </w:rPr>
            <w:t>a.</w:t>
          </w:r>
          <w:r w:rsidRPr="00A435CD">
            <w:rPr>
              <w:i/>
              <w:iCs/>
            </w:rPr>
            <w:tab/>
          </w:r>
          <w:r w:rsidR="00AF60B0">
            <w:rPr>
              <w:i/>
              <w:iCs/>
            </w:rPr>
            <w:t>Handhaving</w:t>
          </w:r>
        </w:p>
        <w:p w:rsidR="009A0ECC" w:rsidP="003A2AE7" w:rsidRDefault="003A2AE7" w14:paraId="54974C4C" w14:textId="2230B6F6">
          <w:r>
            <w:t>In het wetsvoorstel wordt een nieuwe strafbaarstelling geïntroduceerd voor arbeidsmisstanden</w:t>
          </w:r>
          <w:r w:rsidR="003D0F51">
            <w:t>.</w:t>
          </w:r>
          <w:r>
            <w:t xml:space="preserve"> </w:t>
          </w:r>
          <w:r w:rsidR="003D0F51">
            <w:t>D</w:t>
          </w:r>
          <w:r>
            <w:t xml:space="preserve">aarbij </w:t>
          </w:r>
          <w:r w:rsidR="003D0F51">
            <w:t xml:space="preserve">wordt </w:t>
          </w:r>
          <w:r>
            <w:t>de bewijsdrempel voor arbeidsuitbuiting</w:t>
          </w:r>
          <w:r w:rsidR="00EF1E66">
            <w:t xml:space="preserve"> in de zin van </w:t>
          </w:r>
          <w:r w:rsidR="00835614">
            <w:t>artikel 273f van het Wetboek van Strafrecht</w:t>
          </w:r>
          <w:r>
            <w:t xml:space="preserve"> </w:t>
          </w:r>
          <w:r w:rsidR="00EF1E66">
            <w:t>(</w:t>
          </w:r>
          <w:r>
            <w:t>net</w:t>
          </w:r>
          <w:r w:rsidR="00EF1E66">
            <w:t>)</w:t>
          </w:r>
          <w:r>
            <w:t xml:space="preserve"> niet gehaald, maar </w:t>
          </w:r>
          <w:r w:rsidR="00772C73">
            <w:t xml:space="preserve">is </w:t>
          </w:r>
          <w:r>
            <w:t>wel sprake van strafwaardig gedrag</w:t>
          </w:r>
          <w:r w:rsidR="00D97C7E">
            <w:t xml:space="preserve">. Dit </w:t>
          </w:r>
          <w:r w:rsidR="0086212D">
            <w:t>nieuwe</w:t>
          </w:r>
          <w:r w:rsidR="00D97C7E">
            <w:t xml:space="preserve"> delict wordt aangeduid als</w:t>
          </w:r>
          <w:r>
            <w:t xml:space="preserve"> </w:t>
          </w:r>
          <w:r w:rsidR="00D97C7E">
            <w:t>‘</w:t>
          </w:r>
          <w:r>
            <w:t>ernstige benadeling</w:t>
          </w:r>
          <w:r w:rsidR="00D97C7E">
            <w:t>’</w:t>
          </w:r>
          <w:r>
            <w:t>.</w:t>
          </w:r>
          <w:r>
            <w:rPr>
              <w:rStyle w:val="Voetnootmarkering"/>
            </w:rPr>
            <w:footnoteReference w:id="5"/>
          </w:r>
          <w:r>
            <w:t xml:space="preserve"> Het </w:t>
          </w:r>
          <w:r w:rsidR="00DE26A6">
            <w:t>gaat hier om een nieuwe, zelfstandige, strafbaarstelling</w:t>
          </w:r>
          <w:r w:rsidR="0077182E">
            <w:t xml:space="preserve"> van het ernstig benadelen van een persoon bij het verrichten van arbeid. </w:t>
          </w:r>
        </w:p>
        <w:p w:rsidR="009A0ECC" w:rsidP="003A2AE7" w:rsidRDefault="009A0ECC" w14:paraId="5AED0D4B" w14:textId="77777777"/>
        <w:p w:rsidR="00AF60B0" w:rsidP="003A2AE7" w:rsidRDefault="009B20B2" w14:paraId="26F507D7" w14:textId="09714EEA">
          <w:r>
            <w:t>Deze ernstige benadeling bij het verrichten van arbeid moet worden onderscheiden van arbeidsuitbuit</w:t>
          </w:r>
          <w:r w:rsidR="00BD5AC4">
            <w:t>i</w:t>
          </w:r>
          <w:r>
            <w:t xml:space="preserve">ng. </w:t>
          </w:r>
          <w:r w:rsidR="003A2AE7">
            <w:t>Het doel van deze strafbaarstelling is de bescherming van kwetsbare groepen op de arbeidsmarkt. Het delict moet volgens de toelichting worden gepositioneerd tussen enerzijds de strafrechtelijke arbeidsuitbuiting en anderzijds de bestuursrechtelijk te handhaven arbeidswetten.</w:t>
          </w:r>
          <w:r w:rsidR="003A2AE7">
            <w:rPr>
              <w:rStyle w:val="Voetnootmarkering"/>
            </w:rPr>
            <w:footnoteReference w:id="6"/>
          </w:r>
        </w:p>
        <w:p w:rsidR="00830DED" w:rsidP="003A2AE7" w:rsidRDefault="00830DED" w14:paraId="167439F7" w14:textId="41E7CAA4"/>
        <w:p w:rsidR="00E03315" w:rsidP="00AF60B0" w:rsidRDefault="00AF60B0" w14:paraId="05973408" w14:textId="77777777">
          <w:r>
            <w:t xml:space="preserve">In de toelichting wordt (een deel van) het bestuursrechtelijk instrumentarium geschetst, maar een beschouwing van de inzet daarvan ten opzichte van de </w:t>
          </w:r>
          <w:r>
            <w:lastRenderedPageBreak/>
            <w:t xml:space="preserve">voorgestelde strafbepaling ontbreekt. </w:t>
          </w:r>
          <w:r w:rsidR="0007701B">
            <w:t>D</w:t>
          </w:r>
          <w:r>
            <w:t xml:space="preserve">e te maken beleidskeuzes over handhaving </w:t>
          </w:r>
          <w:r w:rsidR="0007701B">
            <w:t xml:space="preserve">zullen </w:t>
          </w:r>
          <w:r>
            <w:t>in het kader van het implementatietraject nader worden bezien</w:t>
          </w:r>
          <w:r w:rsidR="0007701B">
            <w:t xml:space="preserve">, aldus de </w:t>
          </w:r>
          <w:r w:rsidR="00BB4E42">
            <w:t>toelichting</w:t>
          </w:r>
          <w:r w:rsidR="00C07825">
            <w:t>.</w:t>
          </w:r>
          <w:r>
            <w:rPr>
              <w:rStyle w:val="Voetnootmarkering"/>
            </w:rPr>
            <w:footnoteReference w:id="7"/>
          </w:r>
          <w:r>
            <w:t xml:space="preserve"> </w:t>
          </w:r>
        </w:p>
        <w:p w:rsidR="00E03315" w:rsidP="00AF60B0" w:rsidRDefault="00E03315" w14:paraId="5B08213F" w14:textId="77777777"/>
        <w:p w:rsidR="00AF60B0" w:rsidP="00AF60B0" w:rsidRDefault="00AF60B0" w14:paraId="1AD78F30" w14:textId="146E0024">
          <w:r>
            <w:t>Uit het rapport ‘Daders vrijuit, slachtoffers niet geholpen’ van de Algemene Rekenkamer volgt echter dat bestuursrechtelijke handhavingsmogelijkheden niet of zeer beperkt worden ingezet.</w:t>
          </w:r>
          <w:r>
            <w:rPr>
              <w:rStyle w:val="Voetnootmarkering"/>
            </w:rPr>
            <w:footnoteReference w:id="8"/>
          </w:r>
          <w:r>
            <w:t xml:space="preserve"> Gelet op de doelstelling van het wetsvoorstel om te komen tot een meer ef</w:t>
          </w:r>
          <w:r w:rsidR="006A54E5">
            <w:t>fectieve</w:t>
          </w:r>
          <w:r>
            <w:t xml:space="preserve"> aanpak van mensenhandel, ligt het in de rede dat in de toelichting niet slechts wordt stilgestaan bij de strafrechtelijke, maar tevens bij de bestuursrechtelijke handhavingsmogelijkheden en de </w:t>
          </w:r>
          <w:r w:rsidR="003663F4">
            <w:t>af</w:t>
          </w:r>
          <w:r w:rsidR="00415EF3">
            <w:t>bakening</w:t>
          </w:r>
          <w:r>
            <w:t xml:space="preserve"> tussen deze. </w:t>
          </w:r>
        </w:p>
        <w:p w:rsidR="00AF60B0" w:rsidP="00AF60B0" w:rsidRDefault="00AF60B0" w14:paraId="5A9CD72A" w14:textId="77777777"/>
        <w:p w:rsidR="00AF60B0" w:rsidP="00AF60B0" w:rsidRDefault="00AF60B0" w14:paraId="4DF73EF9" w14:textId="57F01DF8">
          <w:r>
            <w:t xml:space="preserve">De Afdeling adviseert </w:t>
          </w:r>
          <w:r w:rsidR="00A9437A">
            <w:t>in</w:t>
          </w:r>
          <w:r>
            <w:t xml:space="preserve"> </w:t>
          </w:r>
          <w:r w:rsidR="00305370">
            <w:t>de</w:t>
          </w:r>
          <w:r>
            <w:t xml:space="preserve"> toelichting aandacht te besteden aan de </w:t>
          </w:r>
          <w:r w:rsidR="00D33828">
            <w:t xml:space="preserve">verhouding tussen </w:t>
          </w:r>
          <w:r w:rsidR="008D510B">
            <w:t xml:space="preserve">de </w:t>
          </w:r>
          <w:r>
            <w:t>voorgestane bestuursrechtelijke en strafrechtelijke handhaving in de aanpak van mensenhandel en ernstige benadeling</w:t>
          </w:r>
          <w:r w:rsidR="000229FE">
            <w:t xml:space="preserve"> bij het verrichten van arbeid</w:t>
          </w:r>
          <w:r>
            <w:t>.</w:t>
          </w:r>
        </w:p>
        <w:p w:rsidR="00CE3AC1" w:rsidP="00AF60B0" w:rsidRDefault="00CE3AC1" w14:paraId="1E47B253" w14:textId="77777777"/>
        <w:p w:rsidRPr="00A435CD" w:rsidR="00830DED" w:rsidP="003A2AE7" w:rsidRDefault="00AF60B0" w14:paraId="298C4CC2" w14:textId="3A652A7E">
          <w:pPr>
            <w:rPr>
              <w:i/>
              <w:iCs/>
            </w:rPr>
          </w:pPr>
          <w:r w:rsidRPr="00A435CD">
            <w:rPr>
              <w:i/>
              <w:iCs/>
            </w:rPr>
            <w:t>b.</w:t>
          </w:r>
          <w:r w:rsidRPr="00A435CD">
            <w:rPr>
              <w:i/>
              <w:iCs/>
            </w:rPr>
            <w:tab/>
          </w:r>
          <w:r w:rsidR="00CE3AC1">
            <w:rPr>
              <w:i/>
              <w:iCs/>
            </w:rPr>
            <w:t>Terminologie</w:t>
          </w:r>
        </w:p>
        <w:p w:rsidR="007F14F8" w:rsidP="00E23F53" w:rsidRDefault="008F0B83" w14:paraId="3E880A27" w14:textId="77777777">
          <w:r>
            <w:t xml:space="preserve">De </w:t>
          </w:r>
          <w:r w:rsidR="001439C3">
            <w:t xml:space="preserve">Nederlandse </w:t>
          </w:r>
          <w:r>
            <w:t xml:space="preserve">Arbeidsinspectie is zowel toezichthouder als opsporingsinstantie en is dus verantwoordelijk voor zowel bestuursrechtelijke als strafrechtelijke handhaving. </w:t>
          </w:r>
          <w:r w:rsidR="0004416B">
            <w:t>In onderzoeken naar arbeidsmisstanden hanteert de Arbeidsinspectie reeds d</w:t>
          </w:r>
          <w:r w:rsidR="003A2AE7">
            <w:t xml:space="preserve">e </w:t>
          </w:r>
          <w:r w:rsidR="00753A3B">
            <w:t>term</w:t>
          </w:r>
          <w:r w:rsidR="003A2AE7">
            <w:t xml:space="preserve"> ‘ernstige benadeling’</w:t>
          </w:r>
          <w:r w:rsidR="00404234">
            <w:t xml:space="preserve">. </w:t>
          </w:r>
          <w:r w:rsidR="00F068F2">
            <w:t xml:space="preserve">Het gaat dan om onderzoeken waarbij geen sprake lijkt te zijn van arbeidsuitbuiting in strafrechtelijke zin. </w:t>
          </w:r>
        </w:p>
        <w:p w:rsidR="007F14F8" w:rsidP="00E23F53" w:rsidRDefault="007F14F8" w14:paraId="6DE38F50" w14:textId="77777777"/>
        <w:p w:rsidR="001802C6" w:rsidP="00E23F53" w:rsidRDefault="003A2AE7" w14:paraId="3BA71192" w14:textId="7455D628">
          <w:r>
            <w:t>De</w:t>
          </w:r>
          <w:r w:rsidDel="00787A65">
            <w:t xml:space="preserve"> </w:t>
          </w:r>
          <w:r w:rsidR="00787A65">
            <w:t>Arbeids</w:t>
          </w:r>
          <w:r w:rsidR="009536D0">
            <w:t xml:space="preserve">inspectie </w:t>
          </w:r>
          <w:r>
            <w:t xml:space="preserve">omschrijft </w:t>
          </w:r>
          <w:r w:rsidR="00980B5D">
            <w:t>‘</w:t>
          </w:r>
          <w:r>
            <w:t>ernstige benadeling</w:t>
          </w:r>
          <w:r w:rsidR="00980B5D">
            <w:t>’</w:t>
          </w:r>
          <w:r>
            <w:t xml:space="preserve"> als de situatie waarin een werkgever de arbeidswetten voor loon, arbeidstijden, arbeidsomstandigheden en/of legaal werk één of meerdere malen in ernstige mate overtreedt. Het betreft bijvoorbeeld situaties zonder (aantoonbare) dwang en/of situaties waarin de werkgever niet (aantoonbaar) handelt met het oogmerk van uitbuiting; dit ter onderscheid van </w:t>
          </w:r>
          <w:r w:rsidR="00E373D7">
            <w:t xml:space="preserve">de huidige </w:t>
          </w:r>
          <w:r>
            <w:t>strafrecht</w:t>
          </w:r>
          <w:r w:rsidR="00E373D7">
            <w:t>elijke bepaling</w:t>
          </w:r>
          <w:r>
            <w:t>.</w:t>
          </w:r>
          <w:r>
            <w:rPr>
              <w:rStyle w:val="Voetnootmarkering"/>
            </w:rPr>
            <w:footnoteReference w:id="9"/>
          </w:r>
          <w:r>
            <w:t xml:space="preserve"> </w:t>
          </w:r>
        </w:p>
        <w:p w:rsidR="001802C6" w:rsidP="00E23F53" w:rsidRDefault="001802C6" w14:paraId="779EEBFA" w14:textId="77777777"/>
        <w:p w:rsidR="00E23F53" w:rsidP="00E23F53" w:rsidRDefault="003A2AE7" w14:paraId="7B3AD2B6" w14:textId="3FA797AD">
          <w:r>
            <w:t>De</w:t>
          </w:r>
          <w:r w:rsidR="00B15039">
            <w:t xml:space="preserve"> Afdeling vraagt zich af of is beoogd de</w:t>
          </w:r>
          <w:r w:rsidR="009875C3">
            <w:t xml:space="preserve"> voorgestelde strafrechtelijke omschrijving van ‘ernstige benadeling’ de strafrechtelijke evenknie van de door</w:t>
          </w:r>
          <w:r w:rsidR="009E7BEA">
            <w:t xml:space="preserve"> </w:t>
          </w:r>
          <w:r w:rsidR="008E252A">
            <w:t>de Arb</w:t>
          </w:r>
          <w:r w:rsidR="00846DF7">
            <w:t>ei</w:t>
          </w:r>
          <w:r w:rsidR="008E252A">
            <w:t>dsinspectie</w:t>
          </w:r>
          <w:r w:rsidR="009E7BEA">
            <w:t xml:space="preserve"> gehanteerde definitie van ‘ernstige benadeling’</w:t>
          </w:r>
          <w:r w:rsidR="008E252A">
            <w:t xml:space="preserve"> </w:t>
          </w:r>
          <w:r w:rsidR="009875C3">
            <w:t xml:space="preserve">te laten zijn. </w:t>
          </w:r>
          <w:r w:rsidR="00077DEC">
            <w:t xml:space="preserve">In de toelichting wordt </w:t>
          </w:r>
          <w:r w:rsidR="007C739C">
            <w:t>hierop niet ingegaan. Daardoor is niet duidelijk hoe de gehanteerde begrippen zich tot elkaar verhouden</w:t>
          </w:r>
          <w:r w:rsidR="00077DEC">
            <w:t xml:space="preserve">. </w:t>
          </w:r>
          <w:r w:rsidR="00E23F53">
            <w:t xml:space="preserve">Dit roept </w:t>
          </w:r>
          <w:r w:rsidR="00AD5241">
            <w:t xml:space="preserve">ook </w:t>
          </w:r>
          <w:r w:rsidR="00E23F53">
            <w:t xml:space="preserve">de vraag </w:t>
          </w:r>
          <w:r w:rsidR="00345EBE">
            <w:t xml:space="preserve">op </w:t>
          </w:r>
          <w:r w:rsidR="00E23F53">
            <w:t>of het gebruik van</w:t>
          </w:r>
          <w:r w:rsidR="00AD5241">
            <w:t xml:space="preserve"> de term</w:t>
          </w:r>
          <w:r w:rsidR="00E23F53">
            <w:t xml:space="preserve"> ‘ernstige benadeling’ binnen het strafrecht in de praktijk </w:t>
          </w:r>
          <w:r w:rsidR="00572884">
            <w:t>tot misverstanden zal leiden</w:t>
          </w:r>
          <w:r w:rsidR="00C86580">
            <w:t xml:space="preserve">. </w:t>
          </w:r>
          <w:r w:rsidR="00FC73A1">
            <w:t xml:space="preserve">Deze </w:t>
          </w:r>
          <w:r w:rsidR="00572884">
            <w:t>misverstanden kunnen</w:t>
          </w:r>
          <w:r w:rsidR="00FC73A1">
            <w:t xml:space="preserve"> z</w:t>
          </w:r>
          <w:r w:rsidR="00C86580">
            <w:t xml:space="preserve">owel </w:t>
          </w:r>
          <w:r w:rsidR="00ED2110">
            <w:t>bij</w:t>
          </w:r>
          <w:r w:rsidR="00E23F53">
            <w:t xml:space="preserve"> </w:t>
          </w:r>
          <w:r w:rsidR="00E23F53">
            <w:lastRenderedPageBreak/>
            <w:t xml:space="preserve">uitvoeringsorganisaties </w:t>
          </w:r>
          <w:r w:rsidR="00FC73A1">
            <w:t>ontstaan</w:t>
          </w:r>
          <w:r w:rsidR="00E23F53">
            <w:t xml:space="preserve"> </w:t>
          </w:r>
          <w:r w:rsidR="00C86580">
            <w:t>als</w:t>
          </w:r>
          <w:r w:rsidR="00E23F53">
            <w:t xml:space="preserve"> </w:t>
          </w:r>
          <w:r w:rsidDel="00ED2110" w:rsidR="00E23F53">
            <w:t xml:space="preserve">bij </w:t>
          </w:r>
          <w:r w:rsidR="00E23F53">
            <w:t>burgers die met bestuursrechtelijke en strafrechtelijke handhaving wegens arbeidsmisstanden te maken krijgen.</w:t>
          </w:r>
          <w:r w:rsidR="008416F3">
            <w:rPr>
              <w:rStyle w:val="Voetnootmarkering"/>
            </w:rPr>
            <w:footnoteReference w:id="10"/>
          </w:r>
        </w:p>
        <w:p w:rsidR="00EE4A5E" w:rsidP="003A2AE7" w:rsidRDefault="00EE4A5E" w14:paraId="3DAECBF9" w14:textId="77777777"/>
        <w:p w:rsidR="00322AD9" w:rsidP="0017228E" w:rsidRDefault="003E5CD0" w14:paraId="582563EF" w14:textId="22A4C407">
          <w:pPr>
            <w:rPr>
              <w:lang w:eastAsia="en-US"/>
            </w:rPr>
          </w:pPr>
          <w:r>
            <w:t xml:space="preserve">De Afdeling adviseert </w:t>
          </w:r>
          <w:r w:rsidR="00522F92">
            <w:t xml:space="preserve">in de toelichting hierop in te gaan en te overwegen of moet worden gekozen </w:t>
          </w:r>
          <w:r w:rsidRPr="003E5CD0">
            <w:t>voor een andere aanduiding van de strafbaarstelling</w:t>
          </w:r>
          <w:r w:rsidR="00F9110C">
            <w:t>.</w:t>
          </w:r>
        </w:p>
        <w:p w:rsidRPr="00CD0556" w:rsidR="001D2191" w:rsidP="001D2191" w:rsidRDefault="001D2191" w14:paraId="692E6B30" w14:textId="77777777">
          <w:pPr>
            <w:rPr>
              <w:u w:val="single"/>
            </w:rPr>
          </w:pPr>
        </w:p>
        <w:p w:rsidRPr="000F02AA" w:rsidR="00663BA3" w:rsidP="00663BA3" w:rsidRDefault="004D45B8" w14:paraId="4523357B" w14:textId="5078595B">
          <w:pPr>
            <w:rPr>
              <w:u w:val="single"/>
            </w:rPr>
          </w:pPr>
          <w:r>
            <w:t>4</w:t>
          </w:r>
          <w:r w:rsidR="00663BA3">
            <w:t xml:space="preserve">. </w:t>
          </w:r>
          <w:r w:rsidR="00663BA3">
            <w:tab/>
          </w:r>
          <w:r w:rsidR="00456659">
            <w:rPr>
              <w:u w:val="single"/>
            </w:rPr>
            <w:t>Het beginsel van niet-bestraffing</w:t>
          </w:r>
        </w:p>
        <w:p w:rsidR="00663BA3" w:rsidP="00663BA3" w:rsidRDefault="00663BA3" w14:paraId="72C79821" w14:textId="77777777">
          <w:pPr>
            <w:rPr>
              <w:u w:val="single"/>
            </w:rPr>
          </w:pPr>
        </w:p>
        <w:p w:rsidR="00906FEE" w:rsidP="00663BA3" w:rsidRDefault="00906FEE" w14:paraId="2E93D8DA" w14:textId="5A1CC70E">
          <w:pPr>
            <w:rPr>
              <w:i/>
            </w:rPr>
          </w:pPr>
          <w:r>
            <w:t>a.</w:t>
          </w:r>
          <w:r>
            <w:tab/>
          </w:r>
          <w:r w:rsidR="00D31A64">
            <w:rPr>
              <w:i/>
              <w:iCs/>
            </w:rPr>
            <w:t>Inhoud en achtergrond</w:t>
          </w:r>
        </w:p>
        <w:p w:rsidR="00B804C3" w:rsidP="00663BA3" w:rsidRDefault="00663BA3" w14:paraId="6E4A785C" w14:textId="77777777">
          <w:r>
            <w:t xml:space="preserve">In de voordracht van het wetsvoorstel </w:t>
          </w:r>
          <w:r w:rsidR="00A02DD7">
            <w:t>heeft</w:t>
          </w:r>
          <w:r>
            <w:t xml:space="preserve"> de </w:t>
          </w:r>
          <w:r w:rsidR="00A02DD7">
            <w:t>staatssecretaris van Justitie en Veiligheid</w:t>
          </w:r>
          <w:r>
            <w:t xml:space="preserve"> de Afdeling verzocht om bijzondere aandacht te besteden aan de keuze om het internationaal erkende </w:t>
          </w:r>
          <w:r w:rsidRPr="00A02DD7">
            <w:t>non-</w:t>
          </w:r>
          <w:proofErr w:type="spellStart"/>
          <w:r w:rsidRPr="00A02DD7">
            <w:t>punishment</w:t>
          </w:r>
          <w:r>
            <w:t>beginsel</w:t>
          </w:r>
          <w:proofErr w:type="spellEnd"/>
          <w:r>
            <w:t xml:space="preserve"> niet specifiek in de wet neer te leggen. Slachtoffers van mensenhandel zijn soms ook als dader betrokken bij strafbare feiten die verband houden met de jegens hen gepleegde mensenhandel. Het beginsel van non-</w:t>
          </w:r>
          <w:proofErr w:type="spellStart"/>
          <w:r>
            <w:t>punishment</w:t>
          </w:r>
          <w:proofErr w:type="spellEnd"/>
          <w:r>
            <w:t xml:space="preserve"> of niet-bestraffing houdt in dat slachtoffers hiervoor niet vervolgd of bestraft worden. </w:t>
          </w:r>
        </w:p>
        <w:p w:rsidR="00B804C3" w:rsidP="00663BA3" w:rsidRDefault="00B804C3" w14:paraId="7B8EE6BC" w14:textId="77777777"/>
        <w:p w:rsidR="001A6122" w:rsidP="002447C1" w:rsidRDefault="00F57609" w14:paraId="422A41B7" w14:textId="4AD3791B">
          <w:r>
            <w:t xml:space="preserve">De Tweede Kamer </w:t>
          </w:r>
          <w:r w:rsidR="00FF4306">
            <w:t>heeft</w:t>
          </w:r>
          <w:r>
            <w:t xml:space="preserve"> de regering in een motie opgeroepen om dit beginsel wettelijk te verankeren.</w:t>
          </w:r>
          <w:r w:rsidR="00401835">
            <w:t xml:space="preserve"> </w:t>
          </w:r>
          <w:r w:rsidR="00C67DF7">
            <w:t>In de motie constateer</w:t>
          </w:r>
          <w:r w:rsidR="00DC6379">
            <w:t>t</w:t>
          </w:r>
          <w:r w:rsidR="00C67DF7">
            <w:t xml:space="preserve"> d</w:t>
          </w:r>
          <w:r w:rsidR="009467F9">
            <w:t xml:space="preserve">e Tweede Kamer </w:t>
          </w:r>
          <w:r w:rsidR="00FB789F">
            <w:t xml:space="preserve">dat </w:t>
          </w:r>
          <w:r w:rsidR="00332DCD">
            <w:t>het</w:t>
          </w:r>
          <w:r w:rsidR="007D1719">
            <w:t xml:space="preserve"> beginsel </w:t>
          </w:r>
          <w:r w:rsidR="003D4A4A">
            <w:t xml:space="preserve">van niet-bestraffing </w:t>
          </w:r>
          <w:r w:rsidR="007D1719">
            <w:t>bescherming aan slachtoffers biedt en het opsporingsbelang dient</w:t>
          </w:r>
          <w:r w:rsidDel="003E4C5F" w:rsidR="007D1719">
            <w:t>.</w:t>
          </w:r>
          <w:r>
            <w:rPr>
              <w:rStyle w:val="Voetnootmarkering"/>
            </w:rPr>
            <w:footnoteReference w:id="11"/>
          </w:r>
          <w:r w:rsidDel="003E4C5F" w:rsidR="007D1719">
            <w:t xml:space="preserve"> De </w:t>
          </w:r>
          <w:r w:rsidR="002447C1">
            <w:t>regering heeft er</w:t>
          </w:r>
          <w:r w:rsidR="0064574F">
            <w:t xml:space="preserve"> echter </w:t>
          </w:r>
          <w:r w:rsidR="002447C1">
            <w:t>voor gekozen om het beginsel van niet-bestraffing niet in de wet op te nemen.</w:t>
          </w:r>
          <w:r w:rsidR="0064609D">
            <w:t xml:space="preserve"> </w:t>
          </w:r>
          <w:r w:rsidR="00AC0925">
            <w:t xml:space="preserve">Hierbij heeft </w:t>
          </w:r>
          <w:r w:rsidR="003275A6">
            <w:t>zij</w:t>
          </w:r>
          <w:r w:rsidR="00AC0925">
            <w:t xml:space="preserve"> betrokken dat </w:t>
          </w:r>
          <w:r w:rsidR="0012135B">
            <w:t xml:space="preserve">uit het internationaal en Europees recht blijkt dat dit beginsel niet zo moet worden gelezen dat </w:t>
          </w:r>
          <w:r w:rsidR="00476D11">
            <w:t>lid</w:t>
          </w:r>
          <w:r w:rsidR="0012135B">
            <w:t xml:space="preserve">staten telkens verplicht zijn om van vervolging of </w:t>
          </w:r>
          <w:r w:rsidR="00E65854">
            <w:t xml:space="preserve">strafoplegging </w:t>
          </w:r>
          <w:r w:rsidR="00E70699">
            <w:t xml:space="preserve">af te zien als iemand slachtoffer is geworden van mensenhandel. </w:t>
          </w:r>
          <w:r w:rsidR="009432ED">
            <w:t xml:space="preserve">Wel rust volgens de regering op </w:t>
          </w:r>
          <w:r w:rsidR="00476D11">
            <w:t>lid</w:t>
          </w:r>
          <w:r w:rsidR="009432ED">
            <w:t>staten de verplichting om reken</w:t>
          </w:r>
          <w:r w:rsidR="003D5A31">
            <w:t>ing te houden met het slachtofferschap.</w:t>
          </w:r>
          <w:r w:rsidR="00BF1EB8">
            <w:rPr>
              <w:rStyle w:val="Voetnootmarkering"/>
            </w:rPr>
            <w:footnoteReference w:id="12"/>
          </w:r>
          <w:r w:rsidR="003D5A31">
            <w:t xml:space="preserve"> </w:t>
          </w:r>
        </w:p>
        <w:p w:rsidR="001A6122" w:rsidP="002447C1" w:rsidRDefault="001A6122" w14:paraId="43BFF6EF" w14:textId="77777777"/>
        <w:p w:rsidR="00221E02" w:rsidP="00547E69" w:rsidRDefault="002447C1" w14:paraId="1EE52DAF" w14:textId="77777777">
          <w:r>
            <w:t xml:space="preserve">Uit de toelichting op deze keuze blijkt dat de regering vindt dat de Nederlandse strafwet in beginsel voldoende mogelijkheden biedt om met het beginsel van niet-bestraffing rekening te houden. </w:t>
          </w:r>
          <w:r w:rsidR="00547E69">
            <w:t>In Nederland kan het beginsel van niet-bestraffing op diverse manieren vorm krijgen. De officier van justitie kan dit gebruiken als reden om de vervolging van een slachtoffer van mensenhandel te seponeren.</w:t>
          </w:r>
          <w:r w:rsidR="00547E69">
            <w:rPr>
              <w:rStyle w:val="Voetnootmarkering"/>
            </w:rPr>
            <w:footnoteReference w:id="13"/>
          </w:r>
          <w:r w:rsidR="00547E69">
            <w:t xml:space="preserve"> </w:t>
          </w:r>
        </w:p>
        <w:p w:rsidR="0099755D" w:rsidP="00547E69" w:rsidRDefault="00547E69" w14:paraId="2CB3C886" w14:textId="77777777">
          <w:r>
            <w:t>Wanneer wel vervolging wordt ingesteld, kan de rechter een strafuitsluitingsgrond zoals psychische overmacht toepassen.</w:t>
          </w:r>
          <w:r>
            <w:rPr>
              <w:rStyle w:val="Voetnootmarkering"/>
            </w:rPr>
            <w:footnoteReference w:id="14"/>
          </w:r>
          <w:r>
            <w:t xml:space="preserve"> Wanneer de rechter tot een </w:t>
          </w:r>
          <w:r>
            <w:lastRenderedPageBreak/>
            <w:t>schuldigverklaring komt, kan de rechter besluiten om geen sanctie op te leggen</w:t>
          </w:r>
          <w:r>
            <w:rPr>
              <w:rStyle w:val="Voetnootmarkering"/>
            </w:rPr>
            <w:footnoteReference w:id="15"/>
          </w:r>
          <w:r>
            <w:t xml:space="preserve"> of strafvermindering toe te passen. </w:t>
          </w:r>
        </w:p>
        <w:p w:rsidR="0099755D" w:rsidP="00547E69" w:rsidRDefault="0099755D" w14:paraId="62587F39" w14:textId="77777777"/>
        <w:p w:rsidR="00547E69" w:rsidP="00547E69" w:rsidRDefault="00547E69" w14:paraId="3845E998" w14:textId="08208344">
          <w:r>
            <w:t xml:space="preserve">De Afdeling </w:t>
          </w:r>
          <w:r w:rsidR="00DE3C4E">
            <w:t>merkt</w:t>
          </w:r>
          <w:r w:rsidR="002E51D0">
            <w:t xml:space="preserve"> op,</w:t>
          </w:r>
          <w:r>
            <w:t xml:space="preserve"> </w:t>
          </w:r>
          <w:r w:rsidR="003F5646">
            <w:t xml:space="preserve">in aanvulling op deze </w:t>
          </w:r>
          <w:r w:rsidR="000B34A8">
            <w:t>terecht in de toelichting aangehaalde fundamentele uitgangspunten</w:t>
          </w:r>
          <w:r w:rsidR="002E51D0">
            <w:t>,</w:t>
          </w:r>
          <w:r>
            <w:t xml:space="preserve"> dat een recent onderzoek naar </w:t>
          </w:r>
          <w:r w:rsidR="000309C2">
            <w:t xml:space="preserve">toepassing van </w:t>
          </w:r>
          <w:r>
            <w:t xml:space="preserve">het beginsel van niet-bestraffing </w:t>
          </w:r>
          <w:r w:rsidR="001425E8">
            <w:t>laat zien</w:t>
          </w:r>
          <w:r>
            <w:t xml:space="preserve"> dat rechters en officieren van deze mogelijkheden in de praktijk ook </w:t>
          </w:r>
          <w:r w:rsidR="000309C2">
            <w:t xml:space="preserve">daadwerkelijk </w:t>
          </w:r>
          <w:r>
            <w:t>gebruikmaken, met uitzondering van de toepassing van de strafuitsluitingsgrond.</w:t>
          </w:r>
          <w:r>
            <w:rPr>
              <w:rStyle w:val="Voetnootmarkering"/>
            </w:rPr>
            <w:footnoteReference w:id="16"/>
          </w:r>
          <w:r>
            <w:t xml:space="preserve"> </w:t>
          </w:r>
        </w:p>
        <w:p w:rsidR="00547E69" w:rsidP="002447C1" w:rsidRDefault="00547E69" w14:paraId="012E8A9B" w14:textId="77777777"/>
        <w:p w:rsidR="001C1C27" w:rsidP="00583642" w:rsidRDefault="00177934" w14:paraId="7ADCDA75" w14:textId="167F255A">
          <w:r>
            <w:t xml:space="preserve">In het licht van deze mogelijkheden overweegt de regering </w:t>
          </w:r>
          <w:r w:rsidR="00FD7559">
            <w:t xml:space="preserve">dat </w:t>
          </w:r>
          <w:r w:rsidR="002447C1">
            <w:t xml:space="preserve">verankering van het beginsel van niet-bestraffing ‘niet opportuun’ </w:t>
          </w:r>
          <w:r w:rsidR="003F7917">
            <w:t xml:space="preserve">wordt </w:t>
          </w:r>
          <w:r w:rsidR="002447C1">
            <w:t xml:space="preserve">geacht ‘juist wegens de variëteit aan gevallen’. De overwegingen die bij de toepassing van het beginsel aan de orde zijn, behoren tot de kerntaken van de officier van justitie en de rechter. </w:t>
          </w:r>
          <w:r w:rsidR="00583642">
            <w:t xml:space="preserve">De regering erkent niettemin </w:t>
          </w:r>
          <w:r w:rsidR="007235BC">
            <w:t xml:space="preserve">dat het van groot belang is dat </w:t>
          </w:r>
          <w:r w:rsidR="0051132B">
            <w:t xml:space="preserve">er oog is voor een mogelijk </w:t>
          </w:r>
          <w:r w:rsidR="00B63E3E">
            <w:t xml:space="preserve">slachtofferschap </w:t>
          </w:r>
          <w:r w:rsidR="001C1C27">
            <w:t xml:space="preserve">van personen die als verdachte worden aangemerkt. </w:t>
          </w:r>
          <w:r w:rsidR="00583642">
            <w:t xml:space="preserve">Uit de toelichting blijkt dat in het kader van het wetgevingstraject met het openbaar ministerie wordt bezien of het beginsel van niet-bestraffing voldoende in beleid en </w:t>
          </w:r>
          <w:r w:rsidR="00A1647B">
            <w:t xml:space="preserve">in </w:t>
          </w:r>
          <w:r w:rsidR="00583642">
            <w:t>de uitvoeringspraktijk is verankerd.</w:t>
          </w:r>
          <w:r w:rsidR="00583642">
            <w:rPr>
              <w:rStyle w:val="Voetnootmarkering"/>
            </w:rPr>
            <w:footnoteReference w:id="17"/>
          </w:r>
          <w:r w:rsidR="00583642">
            <w:t xml:space="preserve"> </w:t>
          </w:r>
        </w:p>
        <w:p w:rsidR="001C1C27" w:rsidP="00583642" w:rsidRDefault="001C1C27" w14:paraId="77DF2A2A" w14:textId="77777777"/>
        <w:p w:rsidR="00E7517F" w:rsidP="002447C1" w:rsidRDefault="000D3E44" w14:paraId="6D945154" w14:textId="22434C1F">
          <w:r w:rsidRPr="00575DE8">
            <w:t>b</w:t>
          </w:r>
          <w:r w:rsidRPr="00A435CD">
            <w:rPr>
              <w:i/>
              <w:iCs/>
            </w:rPr>
            <w:t xml:space="preserve">. </w:t>
          </w:r>
          <w:r w:rsidRPr="00A435CD">
            <w:rPr>
              <w:i/>
              <w:iCs/>
            </w:rPr>
            <w:tab/>
          </w:r>
          <w:r w:rsidRPr="00A435CD" w:rsidR="00FA6484">
            <w:rPr>
              <w:i/>
              <w:iCs/>
            </w:rPr>
            <w:t>De wettelijke verankering van het beginsel van niet-bestraffing</w:t>
          </w:r>
        </w:p>
        <w:p w:rsidR="00A15DE2" w:rsidP="00663BA3" w:rsidRDefault="00663BA3" w14:paraId="405708A1" w14:textId="77777777">
          <w:r>
            <w:t>De achterliggende gedachte</w:t>
          </w:r>
          <w:r w:rsidR="00F57609">
            <w:t xml:space="preserve"> van het beginsel van niet-bestraffing </w:t>
          </w:r>
          <w:r>
            <w:t xml:space="preserve">is dat slachtoffers geen of slechts beperkte vrije wil en handelingsvrijheid hebben vanwege de controle die over hen wordt uitgeoefend door mensenhandelaren. </w:t>
          </w:r>
          <w:r w:rsidR="003F690B">
            <w:t>Zij</w:t>
          </w:r>
          <w:r>
            <w:t xml:space="preserve"> zouden </w:t>
          </w:r>
          <w:r w:rsidR="003F690B">
            <w:t>daarom</w:t>
          </w:r>
          <w:r>
            <w:t xml:space="preserve"> niet aansprakelijk moeten worden gehouden voor de strafbare feiten die zij in deze omstandigheden plegen. Deze slachtoffers zouden juist beschermd moeten worden, bijvoorbeeld tegen nieuwe trauma’s die kunnen ontstaan als gevolg van de strafprocedure. </w:t>
          </w:r>
        </w:p>
        <w:p w:rsidR="00A15DE2" w:rsidP="00663BA3" w:rsidRDefault="00A15DE2" w14:paraId="66342024" w14:textId="77777777"/>
        <w:p w:rsidR="00663BA3" w:rsidP="00663BA3" w:rsidRDefault="00663BA3" w14:paraId="6E243221" w14:textId="447F6435">
          <w:r>
            <w:t xml:space="preserve">Wanneer bovendien op voorhand duidelijk is dat slachtoffers van mensenhandel niet gestraft worden, wordt voor hen de drempel lager om uit de </w:t>
          </w:r>
          <w:proofErr w:type="spellStart"/>
          <w:r>
            <w:t>mensenhandelsituatie</w:t>
          </w:r>
          <w:proofErr w:type="spellEnd"/>
          <w:r>
            <w:t xml:space="preserve"> te stappen en te getuigen tegen hun mensenhandelaren.</w:t>
          </w:r>
          <w:r>
            <w:rPr>
              <w:rStyle w:val="Voetnootmarkering"/>
            </w:rPr>
            <w:footnoteReference w:id="18"/>
          </w:r>
          <w:r>
            <w:t xml:space="preserve"> </w:t>
          </w:r>
          <w:r w:rsidR="00145DEC">
            <w:t xml:space="preserve">Voor </w:t>
          </w:r>
          <w:r w:rsidR="00A62505">
            <w:t xml:space="preserve">niet-Nederlandse </w:t>
          </w:r>
          <w:r w:rsidR="00145DEC">
            <w:t xml:space="preserve">slachtoffers </w:t>
          </w:r>
          <w:r w:rsidR="00A62505">
            <w:t>is</w:t>
          </w:r>
          <w:r w:rsidR="006A006D">
            <w:t xml:space="preserve"> het </w:t>
          </w:r>
          <w:r w:rsidR="00AE1D91">
            <w:t xml:space="preserve">beginsel van niet-bestraffing </w:t>
          </w:r>
          <w:r w:rsidR="000B0297">
            <w:t xml:space="preserve">extra </w:t>
          </w:r>
          <w:r w:rsidR="00591EDB">
            <w:t xml:space="preserve">van belang </w:t>
          </w:r>
          <w:r w:rsidR="000B0297">
            <w:t xml:space="preserve">als zij </w:t>
          </w:r>
          <w:r w:rsidR="00E37252">
            <w:t>rechtmatig</w:t>
          </w:r>
          <w:r w:rsidR="000B0297">
            <w:t xml:space="preserve"> </w:t>
          </w:r>
          <w:r w:rsidR="00A62505">
            <w:t>in Nederland</w:t>
          </w:r>
          <w:r w:rsidR="00E37252">
            <w:t xml:space="preserve"> willen verblijven</w:t>
          </w:r>
          <w:r w:rsidR="00A62505">
            <w:t>.</w:t>
          </w:r>
          <w:r w:rsidR="00DF5646">
            <w:t xml:space="preserve"> </w:t>
          </w:r>
          <w:r w:rsidR="00FD6D77">
            <w:t>Slachtoffers komen in aanmerking voor een (tijdelijke) verblijfsvergunning als</w:t>
          </w:r>
          <w:r w:rsidR="00A62505">
            <w:t xml:space="preserve"> zij </w:t>
          </w:r>
          <w:r w:rsidR="00FD6D77">
            <w:t>meewerken aan strafrechtelijk onderzoek naar mensenhandel.</w:t>
          </w:r>
          <w:r w:rsidR="00C70309">
            <w:rPr>
              <w:rStyle w:val="Voetnootmarkering"/>
            </w:rPr>
            <w:footnoteReference w:id="19"/>
          </w:r>
          <w:r w:rsidR="00FD6D77">
            <w:t xml:space="preserve"> </w:t>
          </w:r>
          <w:r w:rsidR="00A62505">
            <w:t xml:space="preserve">Wanneer zij </w:t>
          </w:r>
          <w:r w:rsidR="00BE629A">
            <w:t xml:space="preserve">echter </w:t>
          </w:r>
          <w:r w:rsidR="00A62505">
            <w:t xml:space="preserve">veroordeeld </w:t>
          </w:r>
          <w:r w:rsidR="00A62505">
            <w:lastRenderedPageBreak/>
            <w:t xml:space="preserve">worden wegens het plegen van strafbare feiten, lopen zij het risico </w:t>
          </w:r>
          <w:r w:rsidR="00DD4394">
            <w:t xml:space="preserve">te worden </w:t>
          </w:r>
          <w:r w:rsidR="00A62505">
            <w:t>uitgezet naar het land van herkomst</w:t>
          </w:r>
          <w:r w:rsidR="00C70309">
            <w:t>.</w:t>
          </w:r>
        </w:p>
        <w:p w:rsidR="00663BA3" w:rsidP="00663BA3" w:rsidRDefault="00663BA3" w14:paraId="13096946" w14:textId="77777777"/>
        <w:p w:rsidR="000910A5" w:rsidP="00F04E3D" w:rsidRDefault="00BC1BC9" w14:paraId="59B3C56F" w14:textId="77777777">
          <w:r>
            <w:t xml:space="preserve">Het herkennen of iemand slachtoffer is geworden van mensenhandel, is de eerste stap voor de toepassing van het beginsel van niet-bestraffing. </w:t>
          </w:r>
          <w:r w:rsidR="00225775">
            <w:t>De</w:t>
          </w:r>
          <w:r w:rsidR="00844D43">
            <w:t xml:space="preserve"> hiervoor aangehaalde</w:t>
          </w:r>
          <w:r w:rsidR="00225775">
            <w:t xml:space="preserve"> motie verwijst naar</w:t>
          </w:r>
          <w:r w:rsidR="00751A7A">
            <w:t xml:space="preserve"> het rapport van </w:t>
          </w:r>
          <w:r w:rsidR="00F37663">
            <w:t>het Centrum tegen Kinderhandel en Mensenhandel</w:t>
          </w:r>
          <w:r w:rsidR="00225775">
            <w:t xml:space="preserve">, waarin </w:t>
          </w:r>
          <w:r w:rsidR="00F37663">
            <w:t xml:space="preserve">verschillende problemen </w:t>
          </w:r>
          <w:r w:rsidR="00844D43">
            <w:t xml:space="preserve">worden </w:t>
          </w:r>
          <w:r w:rsidR="00B677B1">
            <w:t xml:space="preserve">genoemd bij het identificeren van </w:t>
          </w:r>
          <w:r w:rsidR="00C54BC3">
            <w:t>slachtoffers van criminele uitbuiting.</w:t>
          </w:r>
          <w:r w:rsidR="00546766">
            <w:rPr>
              <w:rStyle w:val="Voetnootmarkering"/>
            </w:rPr>
            <w:footnoteReference w:id="20"/>
          </w:r>
          <w:r w:rsidR="00C54BC3">
            <w:t xml:space="preserve"> </w:t>
          </w:r>
          <w:r w:rsidR="00E41F2B">
            <w:t>In het rapport staat</w:t>
          </w:r>
          <w:r w:rsidR="00FC7837">
            <w:t xml:space="preserve"> dat er te weinig kennis, bewustwording en expertise bij</w:t>
          </w:r>
          <w:r w:rsidR="00FA1453">
            <w:t xml:space="preserve"> de politieteams is waar deze slachtoffers als eerste mee in aanraking komen. </w:t>
          </w:r>
        </w:p>
        <w:p w:rsidR="000910A5" w:rsidP="00F04E3D" w:rsidRDefault="000910A5" w14:paraId="0D8B3D30" w14:textId="77777777"/>
        <w:p w:rsidR="005D7ED2" w:rsidP="00F04E3D" w:rsidRDefault="001B7546" w14:paraId="204E0053" w14:textId="4D63ED16">
          <w:r>
            <w:t xml:space="preserve">Een ander probleem is dat </w:t>
          </w:r>
          <w:r w:rsidR="00F53A7A">
            <w:t xml:space="preserve">het </w:t>
          </w:r>
          <w:r w:rsidR="00482271">
            <w:t>o</w:t>
          </w:r>
          <w:r w:rsidR="00F53A7A">
            <w:t xml:space="preserve">penbaar ministerie een dubbelrol vervult </w:t>
          </w:r>
          <w:r w:rsidR="00CC3AB2">
            <w:t>in de omgang met mogelijke slachtoffers</w:t>
          </w:r>
          <w:r w:rsidR="00664E20">
            <w:t xml:space="preserve">. </w:t>
          </w:r>
          <w:r w:rsidR="00482271">
            <w:t>Het openbaar ministerie is namelijk</w:t>
          </w:r>
          <w:r w:rsidR="000821F5">
            <w:t xml:space="preserve"> niet alleen verantwoordelijk voor hun bescherming, maar ook </w:t>
          </w:r>
          <w:r w:rsidR="00664E20">
            <w:t xml:space="preserve">voor </w:t>
          </w:r>
          <w:r w:rsidR="00FE0133">
            <w:t xml:space="preserve">de opsporing van strafbare </w:t>
          </w:r>
          <w:r w:rsidR="000821F5">
            <w:t>feiten</w:t>
          </w:r>
          <w:r w:rsidR="00FE0133">
            <w:t>.</w:t>
          </w:r>
          <w:r w:rsidR="00F37663">
            <w:t xml:space="preserve"> </w:t>
          </w:r>
          <w:r w:rsidR="00BE14C8">
            <w:t xml:space="preserve">Nu </w:t>
          </w:r>
          <w:r w:rsidR="009C14DE">
            <w:t xml:space="preserve">op voorhand </w:t>
          </w:r>
          <w:r w:rsidR="00BE14C8">
            <w:t xml:space="preserve">vaak niet </w:t>
          </w:r>
          <w:r w:rsidR="009C14DE">
            <w:t xml:space="preserve">kan worden toegezegd dat </w:t>
          </w:r>
          <w:r w:rsidR="00E10BB0">
            <w:t xml:space="preserve">slachtoffers niet vervolgd zullen worden, </w:t>
          </w:r>
          <w:r w:rsidR="0016645B">
            <w:t xml:space="preserve">is het voorstelbaar dat slachtoffers </w:t>
          </w:r>
          <w:r w:rsidR="009A4175">
            <w:t xml:space="preserve">terughoudend zijn </w:t>
          </w:r>
          <w:r w:rsidR="004D5396">
            <w:t>met het verlenen van medewerking aan strafrechtelijke onderzoek.</w:t>
          </w:r>
          <w:r w:rsidR="00C27A28">
            <w:t xml:space="preserve"> </w:t>
          </w:r>
          <w:r w:rsidR="00CE055C">
            <w:t>Hoewel</w:t>
          </w:r>
          <w:r w:rsidR="00C27A28">
            <w:t xml:space="preserve"> het rapport van het Centrum tegen Kinderhandel en Mensenhandel</w:t>
          </w:r>
          <w:r w:rsidR="00CE055C">
            <w:t xml:space="preserve"> gaat over criminele uitbuiting</w:t>
          </w:r>
          <w:r w:rsidR="00C27A28">
            <w:t xml:space="preserve">, </w:t>
          </w:r>
          <w:r w:rsidR="00CE055C">
            <w:t>kunnen deze obstakels zich uiteraard</w:t>
          </w:r>
          <w:r w:rsidR="00C27A28">
            <w:t xml:space="preserve"> ook </w:t>
          </w:r>
          <w:r w:rsidR="00CE055C">
            <w:t>voordoen bij andere vormen van mensenhandel.</w:t>
          </w:r>
          <w:r w:rsidR="005543A9">
            <w:rPr>
              <w:rStyle w:val="Voetnootmarkering"/>
            </w:rPr>
            <w:footnoteReference w:id="21"/>
          </w:r>
          <w:r w:rsidR="00CE055C">
            <w:t xml:space="preserve"> </w:t>
          </w:r>
        </w:p>
        <w:p w:rsidR="005D7ED2" w:rsidP="00F04E3D" w:rsidRDefault="005D7ED2" w14:paraId="08F3368C" w14:textId="77777777"/>
        <w:p w:rsidRPr="00F04E3D" w:rsidR="005D7ED2" w:rsidP="00F04E3D" w:rsidRDefault="00690A68" w14:paraId="191A34EF" w14:textId="6118F889">
          <w:r>
            <w:t xml:space="preserve">De Afdeling </w:t>
          </w:r>
          <w:r w:rsidR="00874370">
            <w:t>waard</w:t>
          </w:r>
          <w:r w:rsidR="00DF1265">
            <w:t>e</w:t>
          </w:r>
          <w:r w:rsidR="00874370">
            <w:t>ert</w:t>
          </w:r>
          <w:r>
            <w:t xml:space="preserve"> dat de regering met het </w:t>
          </w:r>
          <w:r w:rsidR="006E783B">
            <w:t>o</w:t>
          </w:r>
          <w:r>
            <w:t>penbaar ministerie bezig is</w:t>
          </w:r>
          <w:r w:rsidR="008E45D0">
            <w:t xml:space="preserve"> om </w:t>
          </w:r>
          <w:r w:rsidR="00B9493D">
            <w:t xml:space="preserve">te </w:t>
          </w:r>
          <w:r w:rsidR="006E36DC">
            <w:t>bezien</w:t>
          </w:r>
          <w:r w:rsidR="00B9493D">
            <w:t xml:space="preserve"> hoe de uitvoeringspraktijk op dit punt verbeterd kan worden. </w:t>
          </w:r>
          <w:r w:rsidR="00BF58F8">
            <w:t xml:space="preserve">Daartoe behoort </w:t>
          </w:r>
          <w:r w:rsidR="00655814">
            <w:t xml:space="preserve">het streven de </w:t>
          </w:r>
          <w:r w:rsidR="004B2AD1">
            <w:t>drempel</w:t>
          </w:r>
          <w:r w:rsidR="00DF5167">
            <w:t xml:space="preserve"> </w:t>
          </w:r>
          <w:r w:rsidR="004B2AD1">
            <w:t>om aangifte te doen door</w:t>
          </w:r>
          <w:r w:rsidR="00DF5167">
            <w:t xml:space="preserve"> slachtoffers </w:t>
          </w:r>
          <w:r w:rsidR="004B2AD1">
            <w:t>zo laag mogelijk te maken</w:t>
          </w:r>
          <w:r w:rsidR="004912AD">
            <w:t xml:space="preserve">. Een voor </w:t>
          </w:r>
          <w:r w:rsidR="00D2224D">
            <w:t>slachtoffers</w:t>
          </w:r>
          <w:r w:rsidR="00504422">
            <w:t xml:space="preserve"> kenbare </w:t>
          </w:r>
          <w:r w:rsidR="00B94067">
            <w:t>praktijk kan daa</w:t>
          </w:r>
          <w:r w:rsidR="00D2224D">
            <w:t xml:space="preserve">raan een bijdrage leveren. </w:t>
          </w:r>
          <w:r w:rsidR="00050CC9">
            <w:t xml:space="preserve">Om </w:t>
          </w:r>
          <w:r w:rsidR="00A33FA0">
            <w:t xml:space="preserve">in de praktijk </w:t>
          </w:r>
          <w:r w:rsidR="0006616E">
            <w:t xml:space="preserve">zoveel mogelijk invulling te geven </w:t>
          </w:r>
          <w:r w:rsidR="00A33FA0">
            <w:t xml:space="preserve">aan </w:t>
          </w:r>
          <w:r w:rsidR="00326E83">
            <w:t xml:space="preserve">het </w:t>
          </w:r>
          <w:r w:rsidR="009D0EE1">
            <w:t xml:space="preserve">tot het </w:t>
          </w:r>
          <w:r w:rsidR="000A0E2E">
            <w:t xml:space="preserve">recht behorende beginsel </w:t>
          </w:r>
          <w:r w:rsidR="00904100">
            <w:t>van niet</w:t>
          </w:r>
          <w:r w:rsidR="0006616E">
            <w:t xml:space="preserve">-bestraffing, </w:t>
          </w:r>
          <w:r w:rsidR="004E5986">
            <w:t>l</w:t>
          </w:r>
          <w:r w:rsidR="0006616E">
            <w:t>igt</w:t>
          </w:r>
          <w:r w:rsidR="004E5986">
            <w:t xml:space="preserve"> </w:t>
          </w:r>
          <w:r w:rsidR="00D91ACB">
            <w:t xml:space="preserve">de sleutel naar het oordeel van de Afdeling </w:t>
          </w:r>
          <w:r w:rsidR="009C6B01">
            <w:t>in het verbeteren van die uit</w:t>
          </w:r>
          <w:r w:rsidR="00A74290">
            <w:t>voeringspraktijk</w:t>
          </w:r>
          <w:r w:rsidR="00506395">
            <w:t xml:space="preserve"> en niet in een wettelijke verankering van </w:t>
          </w:r>
          <w:r w:rsidR="000B79F9">
            <w:t>dit beginsel.</w:t>
          </w:r>
          <w:r w:rsidR="00F506AF">
            <w:t xml:space="preserve"> Er</w:t>
          </w:r>
          <w:r w:rsidR="002A52D3">
            <w:t xml:space="preserve"> </w:t>
          </w:r>
          <w:r w:rsidR="00F506AF">
            <w:t xml:space="preserve">is </w:t>
          </w:r>
          <w:r w:rsidR="00E114D5">
            <w:t xml:space="preserve">overigens </w:t>
          </w:r>
          <w:r w:rsidR="00F506AF">
            <w:t xml:space="preserve">ook geen </w:t>
          </w:r>
          <w:r w:rsidR="00235B17">
            <w:t>uit het internationale recht voortvloeiende verplichting daartoe</w:t>
          </w:r>
          <w:r w:rsidDel="00C95E62" w:rsidR="00235B17">
            <w:t>.</w:t>
          </w:r>
          <w:r w:rsidRPr="00F04E3D" w:rsidR="00F04E3D">
            <w:rPr>
              <w:vertAlign w:val="superscript"/>
            </w:rPr>
            <w:footnoteReference w:id="22"/>
          </w:r>
          <w:r w:rsidRPr="00F04E3D" w:rsidR="00F04E3D">
            <w:t xml:space="preserve"> </w:t>
          </w:r>
        </w:p>
        <w:p w:rsidR="0000413F" w:rsidP="00663BA3" w:rsidRDefault="0000413F" w14:paraId="28FFE8F5" w14:textId="77777777"/>
        <w:p w:rsidR="00485BBE" w:rsidP="00102F1E" w:rsidRDefault="00B136F4" w14:paraId="5F8A8CB8" w14:textId="2600F91E">
          <w:r>
            <w:t>De</w:t>
          </w:r>
          <w:r w:rsidR="00D046EC">
            <w:t xml:space="preserve"> Afdeling </w:t>
          </w:r>
          <w:r w:rsidR="00E71BC2">
            <w:t>me</w:t>
          </w:r>
          <w:r w:rsidR="007823F8">
            <w:t>rk</w:t>
          </w:r>
          <w:r w:rsidR="00E71BC2">
            <w:t>t</w:t>
          </w:r>
          <w:r w:rsidR="00D046EC">
            <w:t xml:space="preserve"> </w:t>
          </w:r>
          <w:r w:rsidR="007823F8">
            <w:t xml:space="preserve">op </w:t>
          </w:r>
          <w:r w:rsidR="00D046EC">
            <w:t xml:space="preserve">dat </w:t>
          </w:r>
          <w:r w:rsidR="00367451">
            <w:t xml:space="preserve">een </w:t>
          </w:r>
          <w:r w:rsidR="00D046EC">
            <w:t xml:space="preserve">wettelijke verankering van het beginsel van niet-bestraffing </w:t>
          </w:r>
          <w:r w:rsidR="00455852">
            <w:t>er</w:t>
          </w:r>
          <w:r w:rsidR="00D046EC">
            <w:t xml:space="preserve"> op zichzelf niet toe leidt </w:t>
          </w:r>
          <w:r w:rsidR="008A5442">
            <w:t xml:space="preserve">dat slachtoffers van mensenhandel in de praktijk </w:t>
          </w:r>
          <w:r w:rsidR="0000049B">
            <w:t xml:space="preserve">sneller herkend of beter beschermd worden. Hoewel slachtoffers van mensenhandel tegen strafrechtelijke vervolging moeten worden beschermd, is het in de praktijk niet </w:t>
          </w:r>
          <w:r w:rsidDel="001926AB" w:rsidR="0000049B">
            <w:t xml:space="preserve">altijd </w:t>
          </w:r>
          <w:r w:rsidR="0000049B">
            <w:t xml:space="preserve">zwart-wit of iemand slachtoffer of dader is. Bij seksuele </w:t>
          </w:r>
          <w:r w:rsidR="0000049B">
            <w:lastRenderedPageBreak/>
            <w:t>uitbuiting komt het bijvoorbeeld voor dat vrouwen die zelf slachtoffer waren, later zelf vrouwen ronselen voor de illegale prostitutie en daar voordeel uit behalen.</w:t>
          </w:r>
          <w:r w:rsidR="0000049B">
            <w:rPr>
              <w:rStyle w:val="Voetnootmarkering"/>
            </w:rPr>
            <w:footnoteReference w:id="23"/>
          </w:r>
          <w:r w:rsidR="0000049B">
            <w:t xml:space="preserve"> Slachtofferschap en daderschap lopen dan als het ware in elkaar over. </w:t>
          </w:r>
        </w:p>
        <w:p w:rsidR="00485BBE" w:rsidP="00102F1E" w:rsidRDefault="00485BBE" w14:paraId="708C2263" w14:textId="77777777"/>
        <w:p w:rsidR="007F1E8B" w:rsidP="00102F1E" w:rsidRDefault="0000049B" w14:paraId="4C638935" w14:textId="00147C44">
          <w:r>
            <w:t xml:space="preserve">De officier van justitie en de rechter zijn bij uitstek toegerust om dit soort omstandigheden af te wegen en hebben voldoende mogelijkheden om daarop vervolgens adequaat te reageren. </w:t>
          </w:r>
          <w:r w:rsidDel="00102F1E" w:rsidR="00D2163F">
            <w:t>H</w:t>
          </w:r>
          <w:r w:rsidR="00D2163F">
            <w:t xml:space="preserve">et wettelijk verankeren van het beginsel van niet-bestraffing </w:t>
          </w:r>
          <w:r w:rsidR="00D71913">
            <w:t xml:space="preserve">beperkt zowel de vrijheid van de officier van justitie als de rechter </w:t>
          </w:r>
          <w:r w:rsidR="002F2E26">
            <w:t xml:space="preserve">om </w:t>
          </w:r>
          <w:r w:rsidR="0098427A">
            <w:t>in dit soort zaken maatwerk te leveren</w:t>
          </w:r>
          <w:r w:rsidR="00B21E6B">
            <w:t xml:space="preserve">. </w:t>
          </w:r>
          <w:r w:rsidR="00F1215A">
            <w:t xml:space="preserve">Dit </w:t>
          </w:r>
          <w:r w:rsidR="00B80ACB">
            <w:t xml:space="preserve">staat </w:t>
          </w:r>
          <w:r w:rsidR="00A77C47">
            <w:t xml:space="preserve">ook </w:t>
          </w:r>
          <w:r w:rsidR="00B80ACB">
            <w:t xml:space="preserve">op gespannen voet met </w:t>
          </w:r>
          <w:r w:rsidR="00102F1E">
            <w:t>de uitgangspunten van het Nederlandse straf</w:t>
          </w:r>
          <w:r w:rsidR="00A77C47">
            <w:t>proces</w:t>
          </w:r>
          <w:r w:rsidR="00102F1E">
            <w:t xml:space="preserve">recht </w:t>
          </w:r>
          <w:r w:rsidR="00A77C47">
            <w:t>zoals het opportuniteitsbeginsel</w:t>
          </w:r>
          <w:r w:rsidR="00B24FD2">
            <w:t>,</w:t>
          </w:r>
          <w:r w:rsidR="0098427A">
            <w:t xml:space="preserve"> bij de vervolging</w:t>
          </w:r>
          <w:r w:rsidR="004C37E0">
            <w:t xml:space="preserve"> door de officier van justitie</w:t>
          </w:r>
          <w:r w:rsidR="00B24FD2">
            <w:t>,</w:t>
          </w:r>
          <w:r w:rsidR="00A77C47">
            <w:t xml:space="preserve"> en de</w:t>
          </w:r>
          <w:r w:rsidR="0098427A">
            <w:t xml:space="preserve"> </w:t>
          </w:r>
          <w:r w:rsidR="00FE67EF">
            <w:t>beoordelings</w:t>
          </w:r>
          <w:r w:rsidR="00FE0186">
            <w:t>ruimte</w:t>
          </w:r>
          <w:r w:rsidR="0098427A">
            <w:t xml:space="preserve"> van de rechter. </w:t>
          </w:r>
        </w:p>
        <w:p w:rsidR="007F1E8B" w:rsidP="00E81B6C" w:rsidRDefault="007F1E8B" w14:paraId="4472FF5E" w14:textId="77777777"/>
        <w:p w:rsidR="005F273B" w:rsidP="00E81B6C" w:rsidRDefault="00910962" w14:paraId="71635536" w14:textId="4320D1BD">
          <w:r>
            <w:t xml:space="preserve">Wanneer het beginsel van niet-bestraffing </w:t>
          </w:r>
          <w:r w:rsidR="00F12357">
            <w:t xml:space="preserve">zou worden opgenomen in een wettelijke bepaling, </w:t>
          </w:r>
          <w:r w:rsidR="003078F7">
            <w:t>zal</w:t>
          </w:r>
          <w:r w:rsidR="00F12357">
            <w:t xml:space="preserve"> de </w:t>
          </w:r>
          <w:r w:rsidR="007F1E8B">
            <w:t xml:space="preserve">afbakening van </w:t>
          </w:r>
          <w:r w:rsidR="000C1E22">
            <w:t>die</w:t>
          </w:r>
          <w:r w:rsidR="00083AA7">
            <w:t xml:space="preserve"> bepaling </w:t>
          </w:r>
          <w:r w:rsidR="00575D46">
            <w:t xml:space="preserve">het kader vormen waarbinnen </w:t>
          </w:r>
          <w:r w:rsidR="00543B9C">
            <w:t>de officier van justitie of rechter</w:t>
          </w:r>
          <w:r w:rsidR="00DF257C">
            <w:t xml:space="preserve"> </w:t>
          </w:r>
          <w:r w:rsidR="00886DB6">
            <w:t>hieraan invulling geven.</w:t>
          </w:r>
          <w:r w:rsidR="00190CEF">
            <w:t xml:space="preserve"> </w:t>
          </w:r>
          <w:r w:rsidR="007F1E8B">
            <w:t>E</w:t>
          </w:r>
          <w:r w:rsidR="00E71BC2">
            <w:t xml:space="preserve">en te ruime regeling kan ertoe leiden dat mensen niet vervolgd worden voor strafbare feiten die hen wel aangerekend kunnen worden. De slachtoffers van die personen krijgen dan niet de strafrechtelijke bescherming die zij verdienen. </w:t>
          </w:r>
        </w:p>
        <w:p w:rsidR="005F273B" w:rsidP="00E81B6C" w:rsidRDefault="005F273B" w14:paraId="596ED3F0" w14:textId="77777777"/>
        <w:p w:rsidR="00E71BC2" w:rsidP="00E81B6C" w:rsidRDefault="00E71BC2" w14:paraId="0EB96A36" w14:textId="29860119">
          <w:r>
            <w:t xml:space="preserve">Een te beperkte regeling kan als gevolg hebben dat bepaalde slachtoffers van mensenhandel onvoldoende beschermd worden. Dit kan ook zijn schaduw vooruitwerpen naar slachtoffers die twijfelen om naar de politie te stappen en vrezen strafrechtelijk vervolgd te worden. Deze slachtoffers zullen daartoe minder snel genegen zijn als de regeling maar beperkte bescherming biedt. </w:t>
          </w:r>
        </w:p>
        <w:p w:rsidR="00A366BE" w:rsidP="00E81B6C" w:rsidRDefault="00A366BE" w14:paraId="3C2DA4BA" w14:textId="3A621E5C"/>
        <w:p w:rsidR="00E11B9F" w:rsidRDefault="00A366BE" w14:paraId="1BB37A4F" w14:textId="0A80B63F">
          <w:r>
            <w:t xml:space="preserve">In het licht van het </w:t>
          </w:r>
          <w:r w:rsidR="006F1FBD">
            <w:t>voorg</w:t>
          </w:r>
          <w:r>
            <w:t xml:space="preserve">aande </w:t>
          </w:r>
          <w:r w:rsidR="00192F0A">
            <w:t xml:space="preserve">onderschrijft </w:t>
          </w:r>
          <w:r>
            <w:t xml:space="preserve">de Afdeling de keuze van de regering om het beginsel van niet-bestraffing </w:t>
          </w:r>
          <w:r w:rsidR="009A2505">
            <w:t xml:space="preserve">niet wettelijk te verankeren. </w:t>
          </w:r>
        </w:p>
      </w:sdtContent>
    </w:sdt>
    <w:p w:rsidR="00A32E37" w:rsidRDefault="00A32E37" w14:paraId="4C954C89" w14:textId="4C6007F9"/>
    <w:sdt>
      <w:sdtPr>
        <w:tag w:val="bmDictum"/>
        <w:id w:val="-880164949"/>
        <w:lock w:val="sdtLocked"/>
        <w:placeholder>
          <w:docPart w:val="DefaultPlaceholder_-1854013440"/>
        </w:placeholder>
      </w:sdtPr>
      <w:sdtEndPr/>
      <w:sdtContent>
        <w:p w:rsidR="006E68C2" w:rsidRDefault="00670D62" w14:paraId="7CBA0933" w14:textId="414BF964">
          <w:r>
            <w:t xml:space="preserve">De Afdeling advisering van de Raad van State heeft een aantal opmerkingen bij het voorstel en adviseert daarmee rekening te houden voordat het voorstel bij de Tweede Kamer der Staten-Generaal wordt ingediend. </w:t>
          </w:r>
          <w:r>
            <w:br/>
          </w:r>
        </w:p>
        <w:p w:rsidR="00670D62" w:rsidRDefault="00670D62" w14:paraId="04F190AE" w14:textId="27C44AE1">
          <w:r>
            <w:br/>
            <w:t xml:space="preserve">De </w:t>
          </w:r>
          <w:r w:rsidR="0077582A">
            <w:t xml:space="preserve">waarnemend </w:t>
          </w:r>
          <w:r>
            <w:t>vice-president van de Raad van State,</w:t>
          </w:r>
        </w:p>
      </w:sdtContent>
    </w:sdt>
    <w:p w:rsidR="00A348A8" w:rsidRDefault="00A348A8" w14:paraId="2A79B973" w14:textId="69FAA87B"/>
    <w:p w:rsidR="00EF4588" w:rsidRDefault="00EF4588" w14:paraId="2940A49F" w14:textId="4210C17C"/>
    <w:sectPr w:rsidR="00EF4588" w:rsidSect="002A42ED">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52FED" w14:textId="77777777" w:rsidR="00F4735C" w:rsidRDefault="00F4735C">
      <w:r>
        <w:separator/>
      </w:r>
    </w:p>
  </w:endnote>
  <w:endnote w:type="continuationSeparator" w:id="0">
    <w:p w14:paraId="3E9AEDE2" w14:textId="77777777" w:rsidR="00F4735C" w:rsidRDefault="00F4735C">
      <w:r>
        <w:continuationSeparator/>
      </w:r>
    </w:p>
  </w:endnote>
  <w:endnote w:type="continuationNotice" w:id="1">
    <w:p w14:paraId="461E7D27" w14:textId="77777777" w:rsidR="00F4735C" w:rsidRDefault="00F47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7A54" w14:textId="77777777" w:rsidR="00EF4588" w:rsidRDefault="00EF45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F5FAE" w14:paraId="1BB37A57" w14:textId="77777777" w:rsidTr="00EF4588">
      <w:tc>
        <w:tcPr>
          <w:tcW w:w="4815" w:type="dxa"/>
        </w:tcPr>
        <w:p w14:paraId="1BB37A55" w14:textId="77777777" w:rsidR="00EF4588" w:rsidRDefault="00EF4588" w:rsidP="00EF4588">
          <w:pPr>
            <w:pStyle w:val="Voettekst"/>
          </w:pPr>
        </w:p>
      </w:tc>
      <w:tc>
        <w:tcPr>
          <w:tcW w:w="4247" w:type="dxa"/>
        </w:tcPr>
        <w:p w14:paraId="1BB37A56" w14:textId="77777777" w:rsidR="00EF4588" w:rsidRDefault="00EF4588" w:rsidP="00EF4588">
          <w:pPr>
            <w:pStyle w:val="Voettekst"/>
            <w:jc w:val="right"/>
          </w:pPr>
        </w:p>
      </w:tc>
    </w:tr>
  </w:tbl>
  <w:p w14:paraId="1BB37A58" w14:textId="77777777" w:rsidR="00EF4588" w:rsidRDefault="00EF45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A5A0" w14:textId="459CEF05" w:rsidR="002A42ED" w:rsidRPr="002A42ED" w:rsidRDefault="002A42ED">
    <w:pPr>
      <w:pStyle w:val="Voettekst"/>
      <w:rPr>
        <w:rFonts w:ascii="Bembo" w:hAnsi="Bembo"/>
        <w:sz w:val="32"/>
      </w:rPr>
    </w:pPr>
    <w:r w:rsidRPr="002A42ED">
      <w:rPr>
        <w:rFonts w:ascii="Bembo" w:hAnsi="Bembo"/>
        <w:sz w:val="32"/>
      </w:rPr>
      <w:t>AAN DE KONING</w:t>
    </w:r>
  </w:p>
  <w:p w14:paraId="14608D07" w14:textId="77777777" w:rsidR="002A42ED" w:rsidRDefault="002A42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7010" w14:textId="77777777" w:rsidR="00F4735C" w:rsidRDefault="00F4735C">
      <w:r>
        <w:separator/>
      </w:r>
    </w:p>
  </w:footnote>
  <w:footnote w:type="continuationSeparator" w:id="0">
    <w:p w14:paraId="1CBA80EC" w14:textId="77777777" w:rsidR="00F4735C" w:rsidRDefault="00F4735C">
      <w:r>
        <w:continuationSeparator/>
      </w:r>
    </w:p>
  </w:footnote>
  <w:footnote w:type="continuationNotice" w:id="1">
    <w:p w14:paraId="6155245E" w14:textId="77777777" w:rsidR="00F4735C" w:rsidRDefault="00F4735C"/>
  </w:footnote>
  <w:footnote w:id="2">
    <w:p w14:paraId="17B444F4" w14:textId="77777777" w:rsidR="00663BA3" w:rsidRDefault="00663BA3" w:rsidP="00663BA3">
      <w:pPr>
        <w:pStyle w:val="Voetnoottekst"/>
      </w:pPr>
      <w:r>
        <w:rPr>
          <w:rStyle w:val="Voetnootmarkering"/>
        </w:rPr>
        <w:footnoteRef/>
      </w:r>
      <w:r>
        <w:t xml:space="preserve"> Memorie van toelichting, Algemeen deel, paragraaf 1 (Inleiding). </w:t>
      </w:r>
    </w:p>
  </w:footnote>
  <w:footnote w:id="3">
    <w:p w14:paraId="79AF4FF7" w14:textId="77777777" w:rsidR="001D2191" w:rsidRDefault="001D2191" w:rsidP="001D2191">
      <w:pPr>
        <w:pStyle w:val="Voetnoottekst"/>
      </w:pPr>
      <w:r>
        <w:rPr>
          <w:rStyle w:val="Voetnootmarkering"/>
        </w:rPr>
        <w:footnoteRef/>
      </w:r>
      <w:r>
        <w:t xml:space="preserve"> Richtlijn 2011/36/EU van het Europees Parlement en de Raad van 5 april 2011 inzake de voorkoming en bestrijding van mensenhandel en de bescherming van slachtoffers daarvan, en ter vervanging van Kaderbesluit 2002/629/JBZ van de Raad, </w:t>
      </w:r>
      <w:proofErr w:type="spellStart"/>
      <w:r>
        <w:t>PbEU</w:t>
      </w:r>
      <w:proofErr w:type="spellEnd"/>
      <w:r>
        <w:t xml:space="preserve"> L 101/1.</w:t>
      </w:r>
    </w:p>
  </w:footnote>
  <w:footnote w:id="4">
    <w:p w14:paraId="4E70070E" w14:textId="1AADB4F9" w:rsidR="001D2191" w:rsidRPr="00B77AE8" w:rsidRDefault="001D2191" w:rsidP="001D2191">
      <w:pPr>
        <w:pStyle w:val="Voetnoottekst"/>
        <w:rPr>
          <w:b/>
          <w:bCs/>
        </w:rPr>
      </w:pPr>
      <w:r>
        <w:rPr>
          <w:rStyle w:val="Voetnootmarkering"/>
        </w:rPr>
        <w:footnoteRef/>
      </w:r>
      <w:r>
        <w:t xml:space="preserve"> </w:t>
      </w:r>
      <w:r w:rsidRPr="00740F83">
        <w:t xml:space="preserve">Voorstel voor een richtlijn van het Europees </w:t>
      </w:r>
      <w:r>
        <w:t>P</w:t>
      </w:r>
      <w:r w:rsidRPr="00740F83">
        <w:t xml:space="preserve">arlement en de </w:t>
      </w:r>
      <w:r>
        <w:t>R</w:t>
      </w:r>
      <w:r w:rsidRPr="00740F83">
        <w:t>aad tot wijziging van Richtlijn 2011/36/EU inzake de voorkoming en bestrijding van mensenhandel en de bescherming van slachtoffers daarvan</w:t>
      </w:r>
      <w:r>
        <w:t xml:space="preserve">, </w:t>
      </w:r>
      <w:r w:rsidRPr="0078261E">
        <w:t>COM(2022)732</w:t>
      </w:r>
      <w:r>
        <w:t xml:space="preserve">. </w:t>
      </w:r>
    </w:p>
  </w:footnote>
  <w:footnote w:id="5">
    <w:p w14:paraId="245C68A7" w14:textId="39339385" w:rsidR="003A2AE7" w:rsidRDefault="003A2AE7" w:rsidP="003A2AE7">
      <w:pPr>
        <w:pStyle w:val="Voetnoottekst"/>
      </w:pPr>
      <w:r>
        <w:rPr>
          <w:rStyle w:val="Voetnootmarkering"/>
        </w:rPr>
        <w:footnoteRef/>
      </w:r>
      <w:r>
        <w:t xml:space="preserve"> Memorie van toelichting, </w:t>
      </w:r>
      <w:r w:rsidR="00563972">
        <w:t xml:space="preserve">Algemeen deel, paragraaf </w:t>
      </w:r>
      <w:r>
        <w:t xml:space="preserve">2. Hoofdlijnen van het wetsvoorstel, 2.1 Het toegankelijker maken van de strafbepaling van mensenhandel, </w:t>
      </w:r>
      <w:r w:rsidRPr="009A5A7E">
        <w:t>Ernstige benadeling (artikel 273fa)</w:t>
      </w:r>
      <w:r>
        <w:t>.</w:t>
      </w:r>
    </w:p>
  </w:footnote>
  <w:footnote w:id="6">
    <w:p w14:paraId="082796E7" w14:textId="53844638" w:rsidR="003A2AE7" w:rsidRDefault="003A2AE7" w:rsidP="003A2AE7">
      <w:pPr>
        <w:pStyle w:val="Voetnoottekst"/>
      </w:pPr>
      <w:r>
        <w:rPr>
          <w:rStyle w:val="Voetnootmarkering"/>
        </w:rPr>
        <w:footnoteRef/>
      </w:r>
      <w:r>
        <w:t xml:space="preserve"> Memorie van toelichting,</w:t>
      </w:r>
      <w:r w:rsidR="00563972">
        <w:t xml:space="preserve"> Algemeen deel, paragraaf </w:t>
      </w:r>
      <w:r>
        <w:t xml:space="preserve">2. Hoofdlijnen van het wetsvoorstel, 2.3 Introductie strafbaarstelling ernstige benadeling, Het misdrijf ernstige benadeling. </w:t>
      </w:r>
    </w:p>
  </w:footnote>
  <w:footnote w:id="7">
    <w:p w14:paraId="2137B2B2" w14:textId="2D218314" w:rsidR="00AF60B0" w:rsidRDefault="00AF60B0" w:rsidP="00AF60B0">
      <w:pPr>
        <w:pStyle w:val="Voetnoottekst"/>
      </w:pPr>
      <w:r>
        <w:rPr>
          <w:rStyle w:val="Voetnootmarkering"/>
        </w:rPr>
        <w:footnoteRef/>
      </w:r>
      <w:r>
        <w:t xml:space="preserve"> Memorie van toelichting, </w:t>
      </w:r>
      <w:r w:rsidR="00563972">
        <w:t xml:space="preserve">Algemeen deel, paragraaf </w:t>
      </w:r>
      <w:r>
        <w:t xml:space="preserve">5. Ontvangen adviezen, </w:t>
      </w:r>
      <w:r w:rsidRPr="009A5A7E">
        <w:t>Ernstige benadeling (</w:t>
      </w:r>
      <w:r>
        <w:t xml:space="preserve">voorgesteld </w:t>
      </w:r>
      <w:r w:rsidRPr="009A5A7E">
        <w:t>artikel 273fa)</w:t>
      </w:r>
      <w:r>
        <w:t>.</w:t>
      </w:r>
    </w:p>
  </w:footnote>
  <w:footnote w:id="8">
    <w:p w14:paraId="70CF2124" w14:textId="77777777" w:rsidR="00AF60B0" w:rsidRDefault="00AF60B0" w:rsidP="00AF60B0">
      <w:pPr>
        <w:pStyle w:val="Voetnoottekst"/>
      </w:pPr>
      <w:r>
        <w:rPr>
          <w:rStyle w:val="Voetnootmarkering"/>
        </w:rPr>
        <w:footnoteRef/>
      </w:r>
      <w:r>
        <w:t xml:space="preserve"> Algemene Rekenkamer, Daders vrijuit, slachtoffers niet geholpen, 2021. </w:t>
      </w:r>
    </w:p>
  </w:footnote>
  <w:footnote w:id="9">
    <w:p w14:paraId="71D4D34A" w14:textId="4C6F6C34" w:rsidR="003A2AE7" w:rsidRDefault="003A2AE7" w:rsidP="003A2AE7">
      <w:pPr>
        <w:pStyle w:val="Voetnoottekst"/>
      </w:pPr>
      <w:r>
        <w:rPr>
          <w:rStyle w:val="Voetnootmarkering"/>
        </w:rPr>
        <w:footnoteRef/>
      </w:r>
      <w:r>
        <w:t xml:space="preserve"> </w:t>
      </w:r>
      <w:hyperlink r:id="rId1" w:history="1">
        <w:r w:rsidRPr="00ED7C72">
          <w:rPr>
            <w:rStyle w:val="Hyperlink"/>
          </w:rPr>
          <w:t>Rapportage Inspectie SZW: kostenvoordelen en arbeidsuitbuiting</w:t>
        </w:r>
      </w:hyperlink>
      <w:r>
        <w:t>, 15 november 2021, p. 8-9</w:t>
      </w:r>
      <w:r w:rsidR="009E7A73">
        <w:t xml:space="preserve"> en </w:t>
      </w:r>
      <w:r>
        <w:t xml:space="preserve">de </w:t>
      </w:r>
      <w:hyperlink r:id="rId2" w:history="1">
        <w:r w:rsidRPr="00515A35">
          <w:rPr>
            <w:rStyle w:val="Hyperlink"/>
          </w:rPr>
          <w:t>Monitor arbeidsuitbuiting en ernstige benadeling 2020-2021</w:t>
        </w:r>
      </w:hyperlink>
      <w:r>
        <w:t xml:space="preserve"> van de NLA, p. 9. </w:t>
      </w:r>
      <w:r w:rsidR="002A19A7">
        <w:t xml:space="preserve">Zie ook </w:t>
      </w:r>
      <w:r w:rsidR="009E7A73" w:rsidRPr="009E7A73">
        <w:t xml:space="preserve">Memorie van toelichting, </w:t>
      </w:r>
      <w:r w:rsidR="009028CE">
        <w:t xml:space="preserve">Algemeen deel, paragraaf </w:t>
      </w:r>
      <w:r w:rsidR="009E7A73" w:rsidRPr="009E7A73">
        <w:t>5. Ontvangen adviezen, Ernstige benadeling (voorgesteld artikel 273fa).</w:t>
      </w:r>
    </w:p>
  </w:footnote>
  <w:footnote w:id="10">
    <w:p w14:paraId="65D89F70" w14:textId="3E00390A" w:rsidR="008416F3" w:rsidRDefault="008416F3">
      <w:pPr>
        <w:pStyle w:val="Voetnoottekst"/>
      </w:pPr>
      <w:r>
        <w:rPr>
          <w:rStyle w:val="Voetnootmarkering"/>
        </w:rPr>
        <w:footnoteRef/>
      </w:r>
      <w:r>
        <w:t xml:space="preserve"> </w:t>
      </w:r>
      <w:r w:rsidR="00C7559E">
        <w:t xml:space="preserve">Zie onder andere </w:t>
      </w:r>
      <w:r w:rsidR="00E56C25">
        <w:t xml:space="preserve">ook </w:t>
      </w:r>
      <w:r w:rsidR="00C7559E">
        <w:t xml:space="preserve">de consultatiereacties van </w:t>
      </w:r>
      <w:r w:rsidR="009E6D34">
        <w:t>de Nationaal Rapporteur Mensenhandel</w:t>
      </w:r>
      <w:r w:rsidR="00CE7F22">
        <w:t xml:space="preserve"> en Seksueel Geweld tegen Kinderen</w:t>
      </w:r>
      <w:r w:rsidR="009E6D34">
        <w:t xml:space="preserve">, </w:t>
      </w:r>
      <w:proofErr w:type="spellStart"/>
      <w:r w:rsidR="00C7559E">
        <w:t>CoMensha</w:t>
      </w:r>
      <w:proofErr w:type="spellEnd"/>
      <w:r w:rsidR="00C7559E">
        <w:t>,</w:t>
      </w:r>
      <w:r w:rsidR="00B8349A">
        <w:t xml:space="preserve"> Strategisch overleg mensenhandel (SOM)</w:t>
      </w:r>
      <w:r w:rsidR="0026358A">
        <w:t xml:space="preserve"> en</w:t>
      </w:r>
      <w:r w:rsidR="00C7559E">
        <w:t xml:space="preserve"> CNV. </w:t>
      </w:r>
    </w:p>
  </w:footnote>
  <w:footnote w:id="11">
    <w:p w14:paraId="0E09FADF" w14:textId="77777777" w:rsidR="00F57609" w:rsidRDefault="00F57609" w:rsidP="00F57609">
      <w:pPr>
        <w:pStyle w:val="Voetnoottekst"/>
      </w:pPr>
      <w:r>
        <w:rPr>
          <w:rStyle w:val="Voetnootmarkering"/>
        </w:rPr>
        <w:footnoteRef/>
      </w:r>
      <w:r>
        <w:t xml:space="preserve"> </w:t>
      </w:r>
      <w:r w:rsidDel="00925430">
        <w:t>Kamerstukken II 2023/24, 28638, nr. 229</w:t>
      </w:r>
      <w:r>
        <w:t xml:space="preserve">. </w:t>
      </w:r>
    </w:p>
  </w:footnote>
  <w:footnote w:id="12">
    <w:p w14:paraId="71BDC1EF" w14:textId="71538877" w:rsidR="00BF1EB8" w:rsidRDefault="00BF1EB8" w:rsidP="00BF1EB8">
      <w:pPr>
        <w:pStyle w:val="Voetnoottekst"/>
      </w:pPr>
      <w:r>
        <w:rPr>
          <w:rStyle w:val="Voetnootmarkering"/>
        </w:rPr>
        <w:footnoteRef/>
      </w:r>
      <w:r>
        <w:t xml:space="preserve"> Memorie van toelichting, Algemeen deel, paragraaf 3.2 Verhouding tot overige relevante internationale verplichtingen. </w:t>
      </w:r>
    </w:p>
  </w:footnote>
  <w:footnote w:id="13">
    <w:p w14:paraId="6D1F4FA5" w14:textId="77777777" w:rsidR="00547E69" w:rsidRDefault="00547E69" w:rsidP="00547E69">
      <w:pPr>
        <w:pStyle w:val="Voetnoottekst"/>
      </w:pPr>
      <w:r>
        <w:rPr>
          <w:rStyle w:val="Voetnootmarkering"/>
        </w:rPr>
        <w:footnoteRef/>
      </w:r>
      <w:r>
        <w:t xml:space="preserve"> Zie Aanwijzing mensenhandel, </w:t>
      </w:r>
      <w:proofErr w:type="spellStart"/>
      <w:r>
        <w:t>Stcrt</w:t>
      </w:r>
      <w:proofErr w:type="spellEnd"/>
      <w:r>
        <w:t xml:space="preserve">. 2022, 5901, onder punt 3 en Aanwijzing sepot en gebruik sepotgronden, </w:t>
      </w:r>
      <w:proofErr w:type="spellStart"/>
      <w:r>
        <w:t>Stcrt</w:t>
      </w:r>
      <w:proofErr w:type="spellEnd"/>
      <w:r>
        <w:t>. 2022, 16129 (sepotgrond 6 dader niet strafbaar of sepotgrond 42 geringe strafwaardigheid van het feit).</w:t>
      </w:r>
    </w:p>
  </w:footnote>
  <w:footnote w:id="14">
    <w:p w14:paraId="653F6E91" w14:textId="77777777" w:rsidR="00547E69" w:rsidRDefault="00547E69" w:rsidP="00547E69">
      <w:pPr>
        <w:pStyle w:val="Voetnoottekst"/>
      </w:pPr>
      <w:r>
        <w:rPr>
          <w:rStyle w:val="Voetnootmarkering"/>
        </w:rPr>
        <w:footnoteRef/>
      </w:r>
      <w:r>
        <w:t xml:space="preserve"> Zie artikel 40 van het Wetboek van Strafrecht. </w:t>
      </w:r>
    </w:p>
  </w:footnote>
  <w:footnote w:id="15">
    <w:p w14:paraId="4D8193CE" w14:textId="77777777" w:rsidR="00547E69" w:rsidRDefault="00547E69" w:rsidP="00547E69">
      <w:pPr>
        <w:pStyle w:val="Voetnoottekst"/>
      </w:pPr>
      <w:r>
        <w:rPr>
          <w:rStyle w:val="Voetnootmarkering"/>
        </w:rPr>
        <w:footnoteRef/>
      </w:r>
      <w:r>
        <w:t xml:space="preserve"> Artikel 9a van het Wetboek van Strafrecht. </w:t>
      </w:r>
    </w:p>
  </w:footnote>
  <w:footnote w:id="16">
    <w:p w14:paraId="7F102B96" w14:textId="77777777" w:rsidR="00547E69" w:rsidRDefault="00547E69" w:rsidP="00547E69">
      <w:pPr>
        <w:pStyle w:val="Voetnoottekst"/>
      </w:pPr>
      <w:r>
        <w:rPr>
          <w:rStyle w:val="Voetnootmarkering"/>
        </w:rPr>
        <w:footnoteRef/>
      </w:r>
      <w:r>
        <w:t xml:space="preserve"> M.A. Loenen &amp; L. Medema </w:t>
      </w:r>
      <w:proofErr w:type="spellStart"/>
      <w:r>
        <w:t>Baroud</w:t>
      </w:r>
      <w:proofErr w:type="spellEnd"/>
      <w:r>
        <w:t xml:space="preserve">, Slachtoffer of dader? Van slachtoffer naar dader in </w:t>
      </w:r>
      <w:proofErr w:type="spellStart"/>
      <w:r>
        <w:t>mensenhandelzaken</w:t>
      </w:r>
      <w:proofErr w:type="spellEnd"/>
      <w:r>
        <w:t>: het non-</w:t>
      </w:r>
      <w:proofErr w:type="spellStart"/>
      <w:r>
        <w:t>punishmentbeginsel</w:t>
      </w:r>
      <w:proofErr w:type="spellEnd"/>
      <w:r>
        <w:t xml:space="preserve"> onder de loep genomen, DD 2023/24. </w:t>
      </w:r>
    </w:p>
  </w:footnote>
  <w:footnote w:id="17">
    <w:p w14:paraId="4BABBB00" w14:textId="4E0FB8E4" w:rsidR="00583642" w:rsidRDefault="00583642" w:rsidP="00583642">
      <w:pPr>
        <w:pStyle w:val="Voetnoottekst"/>
      </w:pPr>
      <w:r>
        <w:rPr>
          <w:rStyle w:val="Voetnootmarkering"/>
        </w:rPr>
        <w:footnoteRef/>
      </w:r>
      <w:r>
        <w:t xml:space="preserve"> Memorie van toelichting, Algemeen deel, paragraaf 3.2 Verhouding tot overige relevante internationale verplichtingen. </w:t>
      </w:r>
    </w:p>
  </w:footnote>
  <w:footnote w:id="18">
    <w:p w14:paraId="79C60B98" w14:textId="4CF2C4AA" w:rsidR="00663BA3" w:rsidRDefault="00663BA3" w:rsidP="00663BA3">
      <w:pPr>
        <w:pStyle w:val="Voetnoottekst"/>
      </w:pPr>
      <w:r>
        <w:rPr>
          <w:rStyle w:val="Voetnootmarkering"/>
        </w:rPr>
        <w:footnoteRef/>
      </w:r>
      <w:r>
        <w:t xml:space="preserve"> </w:t>
      </w:r>
      <w:r w:rsidR="00A761D2">
        <w:t xml:space="preserve">Zie bijvoorbeeld </w:t>
      </w:r>
      <w:r w:rsidR="00924914">
        <w:t xml:space="preserve">M.A. Loenen &amp; L. Medema </w:t>
      </w:r>
      <w:proofErr w:type="spellStart"/>
      <w:r w:rsidR="00924914">
        <w:t>Baroud</w:t>
      </w:r>
      <w:proofErr w:type="spellEnd"/>
      <w:r w:rsidR="00924914">
        <w:t xml:space="preserve">, Slachtoffer of dader? Van slachtoffer naar dader in </w:t>
      </w:r>
      <w:proofErr w:type="spellStart"/>
      <w:r w:rsidR="00924914">
        <w:t>mensenhandelzaken</w:t>
      </w:r>
      <w:proofErr w:type="spellEnd"/>
      <w:r w:rsidR="00924914">
        <w:t>: het non-</w:t>
      </w:r>
      <w:proofErr w:type="spellStart"/>
      <w:r w:rsidR="00924914">
        <w:t>punishmentbeginsel</w:t>
      </w:r>
      <w:proofErr w:type="spellEnd"/>
      <w:r w:rsidR="00924914">
        <w:t xml:space="preserve"> onder de loep genomen, DD 2023/24</w:t>
      </w:r>
      <w:r w:rsidR="00BD7397">
        <w:t xml:space="preserve"> en L.B. Esser &amp; C.E. </w:t>
      </w:r>
      <w:proofErr w:type="spellStart"/>
      <w:r w:rsidR="00BD7397">
        <w:t>Dettmeijer</w:t>
      </w:r>
      <w:proofErr w:type="spellEnd"/>
      <w:r w:rsidR="00BD7397">
        <w:t>-Vermeulen, Van beginsel tot praktijk. Het non-</w:t>
      </w:r>
      <w:proofErr w:type="spellStart"/>
      <w:r w:rsidR="00BD7397">
        <w:t>punishmentbeginsel</w:t>
      </w:r>
      <w:proofErr w:type="spellEnd"/>
      <w:r w:rsidR="00BD7397">
        <w:t xml:space="preserve"> in </w:t>
      </w:r>
      <w:proofErr w:type="spellStart"/>
      <w:r w:rsidR="00BD7397">
        <w:t>mensenhandelzaken</w:t>
      </w:r>
      <w:proofErr w:type="spellEnd"/>
      <w:r w:rsidR="00BD7397">
        <w:t>, DD 2017/40</w:t>
      </w:r>
      <w:r w:rsidR="00924914">
        <w:t xml:space="preserve">. </w:t>
      </w:r>
    </w:p>
  </w:footnote>
  <w:footnote w:id="19">
    <w:p w14:paraId="37EA6B75" w14:textId="055F1F93" w:rsidR="00C70309" w:rsidRDefault="00C70309" w:rsidP="00C70309">
      <w:pPr>
        <w:pStyle w:val="Voetnoottekst"/>
      </w:pPr>
      <w:r>
        <w:rPr>
          <w:rStyle w:val="Voetnootmarkering"/>
        </w:rPr>
        <w:footnoteRef/>
      </w:r>
      <w:r>
        <w:t xml:space="preserve"> </w:t>
      </w:r>
      <w:r w:rsidR="003530F6">
        <w:t xml:space="preserve">Artikel 3.48 </w:t>
      </w:r>
      <w:r w:rsidR="00884CA9">
        <w:t xml:space="preserve">van het Vreemdelingenbesluit 2000. </w:t>
      </w:r>
      <w:r w:rsidR="00CD2A52">
        <w:t>Zie</w:t>
      </w:r>
      <w:r w:rsidR="00884CA9">
        <w:t xml:space="preserve"> ook</w:t>
      </w:r>
      <w:r w:rsidR="00CD2A52">
        <w:t xml:space="preserve"> paragraaf B8/3 </w:t>
      </w:r>
      <w:r w:rsidR="00963C56">
        <w:t xml:space="preserve">en paragraaf B9/12 </w:t>
      </w:r>
      <w:r w:rsidR="00CD2A52">
        <w:t xml:space="preserve">van de </w:t>
      </w:r>
      <w:r w:rsidR="00FB6D31">
        <w:t xml:space="preserve">Vreemdelingencirculaire </w:t>
      </w:r>
      <w:r w:rsidR="00963C56">
        <w:t xml:space="preserve">2000. </w:t>
      </w:r>
    </w:p>
  </w:footnote>
  <w:footnote w:id="20">
    <w:p w14:paraId="3467F11E" w14:textId="18B902EA" w:rsidR="00546766" w:rsidRDefault="00546766">
      <w:pPr>
        <w:pStyle w:val="Voetnoottekst"/>
      </w:pPr>
      <w:r>
        <w:rPr>
          <w:rStyle w:val="Voetnootmarkering"/>
        </w:rPr>
        <w:footnoteRef/>
      </w:r>
      <w:r w:rsidR="000E4B17">
        <w:t xml:space="preserve"> Bijlage bij Kamerstukken II 2022/23, 28</w:t>
      </w:r>
      <w:r w:rsidR="005543A9">
        <w:t>638 (rapport van het</w:t>
      </w:r>
      <w:r>
        <w:t xml:space="preserve"> Centrum tegen Kinderhandel en Mensenhandel, </w:t>
      </w:r>
      <w:r w:rsidR="004F057D">
        <w:t>Kijken met andere ogen. Deel II: Een onderzoek naar de strafrechtelijke aanpak van criminele uitbuiting</w:t>
      </w:r>
      <w:r w:rsidR="002413A0">
        <w:t>, 2022</w:t>
      </w:r>
      <w:r w:rsidR="005543A9">
        <w:t>).</w:t>
      </w:r>
      <w:r w:rsidR="002413A0">
        <w:t xml:space="preserve"> </w:t>
      </w:r>
    </w:p>
  </w:footnote>
  <w:footnote w:id="21">
    <w:p w14:paraId="3CB01CA9" w14:textId="1062AB5B" w:rsidR="005543A9" w:rsidRDefault="005543A9">
      <w:pPr>
        <w:pStyle w:val="Voetnoottekst"/>
      </w:pPr>
      <w:r>
        <w:rPr>
          <w:rStyle w:val="Voetnootmarkering"/>
        </w:rPr>
        <w:footnoteRef/>
      </w:r>
      <w:r>
        <w:t xml:space="preserve"> </w:t>
      </w:r>
      <w:r w:rsidR="00DE6465">
        <w:t xml:space="preserve">M.A. Loenen &amp; L. Medema </w:t>
      </w:r>
      <w:proofErr w:type="spellStart"/>
      <w:r w:rsidR="00DE6465">
        <w:t>Baroud</w:t>
      </w:r>
      <w:proofErr w:type="spellEnd"/>
      <w:r w:rsidR="00DE6465">
        <w:t xml:space="preserve">, Slachtoffer of dader? Van slachtoffer naar dader in </w:t>
      </w:r>
      <w:proofErr w:type="spellStart"/>
      <w:r w:rsidR="00DE6465">
        <w:t>mensenhandelzaken</w:t>
      </w:r>
      <w:proofErr w:type="spellEnd"/>
      <w:r w:rsidR="00DE6465">
        <w:t>: het non-</w:t>
      </w:r>
      <w:proofErr w:type="spellStart"/>
      <w:r w:rsidR="00DE6465">
        <w:t>punishmentbeginsel</w:t>
      </w:r>
      <w:proofErr w:type="spellEnd"/>
      <w:r w:rsidR="00DE6465">
        <w:t xml:space="preserve"> onder de loep genomen, DD 2023/24 </w:t>
      </w:r>
    </w:p>
  </w:footnote>
  <w:footnote w:id="22">
    <w:p w14:paraId="5A79F802" w14:textId="07405AE2" w:rsidR="00F04E3D" w:rsidRDefault="00F04E3D" w:rsidP="00F04E3D">
      <w:pPr>
        <w:pStyle w:val="Voetnoottekst"/>
      </w:pPr>
      <w:r>
        <w:rPr>
          <w:rStyle w:val="Voetnootmarkering"/>
        </w:rPr>
        <w:footnoteRef/>
      </w:r>
      <w:r>
        <w:t xml:space="preserve"> Zie onder andere artikel 26 van het Verdrag van de Raad van Europa inzake bestrijding van mensenhandel (</w:t>
      </w:r>
      <w:proofErr w:type="spellStart"/>
      <w:r>
        <w:t>Trb</w:t>
      </w:r>
      <w:proofErr w:type="spellEnd"/>
      <w:r>
        <w:t>. 2009, 99), artikel 8 van de Richtlijn 2011/36/EU van het Europees Parlement en de Raad van 5 april 2011 inzake de voorkoming en bestrijding van mensenhandel en de bescherming van slachtoffers daarvan en ter vervanging van Kaderbesluit 2002/629/JBZ van de Raad (</w:t>
      </w:r>
      <w:proofErr w:type="spellStart"/>
      <w:r>
        <w:t>PbEU</w:t>
      </w:r>
      <w:proofErr w:type="spellEnd"/>
      <w:r>
        <w:t xml:space="preserve"> L 101/1), en artikel 4 van het Protocol bij het Verdrag betreffende gedwongen arbeid (</w:t>
      </w:r>
      <w:proofErr w:type="spellStart"/>
      <w:r>
        <w:t>Trb</w:t>
      </w:r>
      <w:proofErr w:type="spellEnd"/>
      <w:r>
        <w:t>. 2015, 32).</w:t>
      </w:r>
    </w:p>
  </w:footnote>
  <w:footnote w:id="23">
    <w:p w14:paraId="0E69CD89" w14:textId="77777777" w:rsidR="0000049B" w:rsidRDefault="0000049B" w:rsidP="0000049B">
      <w:pPr>
        <w:pStyle w:val="Voetnoottekst"/>
      </w:pPr>
      <w:r>
        <w:rPr>
          <w:rStyle w:val="Voetnootmarkering"/>
        </w:rPr>
        <w:footnoteRef/>
      </w:r>
      <w:r>
        <w:t xml:space="preserve"> Zie bijvoorbeeld HR 13 november 2018, </w:t>
      </w:r>
      <w:r w:rsidRPr="00A778AD">
        <w:t>ECLI:NL:HR:2018:2011</w:t>
      </w:r>
      <w:r>
        <w:t xml:space="preserve">, Rb Gelderland 22 november 2022, </w:t>
      </w:r>
      <w:r w:rsidRPr="00FF7395">
        <w:t>ECLI:NL:RBGEL:2022:6508</w:t>
      </w:r>
      <w:r>
        <w:t xml:space="preserve"> en Hof Amsterdam 23 november 2022, </w:t>
      </w:r>
      <w:r w:rsidRPr="00412D03">
        <w:t>ECLI:NL:GHAMS:2022:565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7A52" w14:textId="77777777" w:rsidR="00EF4588" w:rsidRDefault="00EF45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7A53" w14:textId="77777777" w:rsidR="00EF4588" w:rsidRDefault="00FD7C2E" w:rsidP="00EF458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7A59" w14:textId="77777777" w:rsidR="00EF4588" w:rsidRDefault="00FD7C2E" w:rsidP="00EF4588">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BB37A5A" w14:textId="77777777" w:rsidR="00EF4588" w:rsidRDefault="00FD7C2E">
    <w:pPr>
      <w:pStyle w:val="Koptekst"/>
    </w:pPr>
    <w:r>
      <w:rPr>
        <w:noProof/>
      </w:rPr>
      <w:drawing>
        <wp:anchor distT="0" distB="0" distL="114300" distR="114300" simplePos="0" relativeHeight="251658240" behindDoc="1" locked="0" layoutInCell="1" allowOverlap="1" wp14:anchorId="1BB37A65" wp14:editId="1BB37A66">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AE"/>
    <w:rsid w:val="0000049B"/>
    <w:rsid w:val="000008C7"/>
    <w:rsid w:val="00000A29"/>
    <w:rsid w:val="00000EC8"/>
    <w:rsid w:val="00000F9F"/>
    <w:rsid w:val="00002D53"/>
    <w:rsid w:val="00002E43"/>
    <w:rsid w:val="0000413F"/>
    <w:rsid w:val="00007C65"/>
    <w:rsid w:val="00011BD5"/>
    <w:rsid w:val="00012369"/>
    <w:rsid w:val="000125B3"/>
    <w:rsid w:val="0001340F"/>
    <w:rsid w:val="0001417B"/>
    <w:rsid w:val="000151C3"/>
    <w:rsid w:val="000157E9"/>
    <w:rsid w:val="00015C79"/>
    <w:rsid w:val="00015E1F"/>
    <w:rsid w:val="00016142"/>
    <w:rsid w:val="00017F6F"/>
    <w:rsid w:val="00020AD1"/>
    <w:rsid w:val="00020CCF"/>
    <w:rsid w:val="00021986"/>
    <w:rsid w:val="00021F0B"/>
    <w:rsid w:val="00021F2B"/>
    <w:rsid w:val="000229FE"/>
    <w:rsid w:val="00022B7A"/>
    <w:rsid w:val="00022F95"/>
    <w:rsid w:val="00023335"/>
    <w:rsid w:val="000239E1"/>
    <w:rsid w:val="00023D31"/>
    <w:rsid w:val="00025464"/>
    <w:rsid w:val="000276CD"/>
    <w:rsid w:val="00027E8D"/>
    <w:rsid w:val="000300D1"/>
    <w:rsid w:val="00030575"/>
    <w:rsid w:val="000309C2"/>
    <w:rsid w:val="00031D57"/>
    <w:rsid w:val="000322D8"/>
    <w:rsid w:val="000325EC"/>
    <w:rsid w:val="00032865"/>
    <w:rsid w:val="00033618"/>
    <w:rsid w:val="000344CA"/>
    <w:rsid w:val="00034989"/>
    <w:rsid w:val="000355F7"/>
    <w:rsid w:val="000361FF"/>
    <w:rsid w:val="0003660E"/>
    <w:rsid w:val="0004018A"/>
    <w:rsid w:val="00040690"/>
    <w:rsid w:val="00040794"/>
    <w:rsid w:val="00040CF7"/>
    <w:rsid w:val="000429C7"/>
    <w:rsid w:val="000436AE"/>
    <w:rsid w:val="0004388F"/>
    <w:rsid w:val="0004416B"/>
    <w:rsid w:val="00044ED0"/>
    <w:rsid w:val="00045E3A"/>
    <w:rsid w:val="00047D05"/>
    <w:rsid w:val="00050CC9"/>
    <w:rsid w:val="00052304"/>
    <w:rsid w:val="000524E8"/>
    <w:rsid w:val="00052568"/>
    <w:rsid w:val="000529D8"/>
    <w:rsid w:val="0005320C"/>
    <w:rsid w:val="00053B59"/>
    <w:rsid w:val="00053E1A"/>
    <w:rsid w:val="0005427C"/>
    <w:rsid w:val="00054475"/>
    <w:rsid w:val="00054645"/>
    <w:rsid w:val="00054724"/>
    <w:rsid w:val="00054E11"/>
    <w:rsid w:val="000567C2"/>
    <w:rsid w:val="000573A2"/>
    <w:rsid w:val="00057C7E"/>
    <w:rsid w:val="0006201E"/>
    <w:rsid w:val="00062485"/>
    <w:rsid w:val="000636CE"/>
    <w:rsid w:val="00063C5C"/>
    <w:rsid w:val="0006616E"/>
    <w:rsid w:val="0006623B"/>
    <w:rsid w:val="0006687E"/>
    <w:rsid w:val="00066B4E"/>
    <w:rsid w:val="00066D02"/>
    <w:rsid w:val="0006750E"/>
    <w:rsid w:val="00067F3B"/>
    <w:rsid w:val="00067F9A"/>
    <w:rsid w:val="0007021B"/>
    <w:rsid w:val="00070ACF"/>
    <w:rsid w:val="00070FA1"/>
    <w:rsid w:val="00071085"/>
    <w:rsid w:val="00073029"/>
    <w:rsid w:val="000736A6"/>
    <w:rsid w:val="00074B10"/>
    <w:rsid w:val="00074D60"/>
    <w:rsid w:val="0007612B"/>
    <w:rsid w:val="000766A4"/>
    <w:rsid w:val="00076C02"/>
    <w:rsid w:val="0007701B"/>
    <w:rsid w:val="000779AA"/>
    <w:rsid w:val="00077DEC"/>
    <w:rsid w:val="000802AA"/>
    <w:rsid w:val="00080D4B"/>
    <w:rsid w:val="0008172E"/>
    <w:rsid w:val="000821F5"/>
    <w:rsid w:val="00082C73"/>
    <w:rsid w:val="00083AA7"/>
    <w:rsid w:val="00084A34"/>
    <w:rsid w:val="000851E6"/>
    <w:rsid w:val="000863B1"/>
    <w:rsid w:val="00086647"/>
    <w:rsid w:val="00087327"/>
    <w:rsid w:val="00087527"/>
    <w:rsid w:val="000900BD"/>
    <w:rsid w:val="000910A5"/>
    <w:rsid w:val="00092FD8"/>
    <w:rsid w:val="00094E84"/>
    <w:rsid w:val="000954DC"/>
    <w:rsid w:val="0009552D"/>
    <w:rsid w:val="000962FC"/>
    <w:rsid w:val="00097F1C"/>
    <w:rsid w:val="000A0E2E"/>
    <w:rsid w:val="000A1044"/>
    <w:rsid w:val="000A219F"/>
    <w:rsid w:val="000A345B"/>
    <w:rsid w:val="000A3635"/>
    <w:rsid w:val="000A4159"/>
    <w:rsid w:val="000A425B"/>
    <w:rsid w:val="000A50A6"/>
    <w:rsid w:val="000A605D"/>
    <w:rsid w:val="000A62DE"/>
    <w:rsid w:val="000A7047"/>
    <w:rsid w:val="000A7817"/>
    <w:rsid w:val="000B0297"/>
    <w:rsid w:val="000B08CD"/>
    <w:rsid w:val="000B2CFC"/>
    <w:rsid w:val="000B2E13"/>
    <w:rsid w:val="000B34A8"/>
    <w:rsid w:val="000B36D0"/>
    <w:rsid w:val="000B4FEC"/>
    <w:rsid w:val="000B5A5D"/>
    <w:rsid w:val="000B6F07"/>
    <w:rsid w:val="000B7553"/>
    <w:rsid w:val="000B79F9"/>
    <w:rsid w:val="000B7D61"/>
    <w:rsid w:val="000C060A"/>
    <w:rsid w:val="000C0965"/>
    <w:rsid w:val="000C0DB7"/>
    <w:rsid w:val="000C1E22"/>
    <w:rsid w:val="000C2BCC"/>
    <w:rsid w:val="000C2DF4"/>
    <w:rsid w:val="000C47FE"/>
    <w:rsid w:val="000C4BF9"/>
    <w:rsid w:val="000C4E80"/>
    <w:rsid w:val="000C5053"/>
    <w:rsid w:val="000C52AA"/>
    <w:rsid w:val="000C5318"/>
    <w:rsid w:val="000C5D5A"/>
    <w:rsid w:val="000C6C32"/>
    <w:rsid w:val="000C787C"/>
    <w:rsid w:val="000D088B"/>
    <w:rsid w:val="000D0A6F"/>
    <w:rsid w:val="000D0EF2"/>
    <w:rsid w:val="000D1A97"/>
    <w:rsid w:val="000D20B1"/>
    <w:rsid w:val="000D2E40"/>
    <w:rsid w:val="000D3281"/>
    <w:rsid w:val="000D32A7"/>
    <w:rsid w:val="000D3383"/>
    <w:rsid w:val="000D39AA"/>
    <w:rsid w:val="000D3E44"/>
    <w:rsid w:val="000D3E95"/>
    <w:rsid w:val="000D4AB5"/>
    <w:rsid w:val="000D5ED4"/>
    <w:rsid w:val="000D6585"/>
    <w:rsid w:val="000E013F"/>
    <w:rsid w:val="000E2DB4"/>
    <w:rsid w:val="000E33C7"/>
    <w:rsid w:val="000E3771"/>
    <w:rsid w:val="000E3A2D"/>
    <w:rsid w:val="000E403A"/>
    <w:rsid w:val="000E40EE"/>
    <w:rsid w:val="000E49C7"/>
    <w:rsid w:val="000E4AAE"/>
    <w:rsid w:val="000E4B17"/>
    <w:rsid w:val="000E4B62"/>
    <w:rsid w:val="000E5EA1"/>
    <w:rsid w:val="000E6994"/>
    <w:rsid w:val="000E6B18"/>
    <w:rsid w:val="000E7B27"/>
    <w:rsid w:val="000F0777"/>
    <w:rsid w:val="000F1034"/>
    <w:rsid w:val="000F117C"/>
    <w:rsid w:val="000F1304"/>
    <w:rsid w:val="000F1E7D"/>
    <w:rsid w:val="000F297D"/>
    <w:rsid w:val="000F3A97"/>
    <w:rsid w:val="000F3E10"/>
    <w:rsid w:val="000F40D7"/>
    <w:rsid w:val="000F4C9E"/>
    <w:rsid w:val="000F55AA"/>
    <w:rsid w:val="000F5627"/>
    <w:rsid w:val="000F5785"/>
    <w:rsid w:val="000F7544"/>
    <w:rsid w:val="00102F1E"/>
    <w:rsid w:val="00103BCB"/>
    <w:rsid w:val="00104864"/>
    <w:rsid w:val="0010540A"/>
    <w:rsid w:val="00106275"/>
    <w:rsid w:val="0010733C"/>
    <w:rsid w:val="0010738E"/>
    <w:rsid w:val="00107396"/>
    <w:rsid w:val="00107D11"/>
    <w:rsid w:val="00110E36"/>
    <w:rsid w:val="00110E6F"/>
    <w:rsid w:val="0011104B"/>
    <w:rsid w:val="0011139D"/>
    <w:rsid w:val="0011257D"/>
    <w:rsid w:val="00114424"/>
    <w:rsid w:val="00116E59"/>
    <w:rsid w:val="0011724E"/>
    <w:rsid w:val="001172D9"/>
    <w:rsid w:val="001179BC"/>
    <w:rsid w:val="00117C7A"/>
    <w:rsid w:val="001207DF"/>
    <w:rsid w:val="00120CB9"/>
    <w:rsid w:val="00120F82"/>
    <w:rsid w:val="00121339"/>
    <w:rsid w:val="0012135B"/>
    <w:rsid w:val="0012138D"/>
    <w:rsid w:val="00121F17"/>
    <w:rsid w:val="00122C74"/>
    <w:rsid w:val="00124179"/>
    <w:rsid w:val="001244FA"/>
    <w:rsid w:val="00124517"/>
    <w:rsid w:val="00125F72"/>
    <w:rsid w:val="00126398"/>
    <w:rsid w:val="00127AD0"/>
    <w:rsid w:val="00130260"/>
    <w:rsid w:val="001305FD"/>
    <w:rsid w:val="00130C43"/>
    <w:rsid w:val="00130E82"/>
    <w:rsid w:val="001312A5"/>
    <w:rsid w:val="00131945"/>
    <w:rsid w:val="00134CEC"/>
    <w:rsid w:val="001355F6"/>
    <w:rsid w:val="00135A3E"/>
    <w:rsid w:val="00135A8B"/>
    <w:rsid w:val="001366C0"/>
    <w:rsid w:val="00136C97"/>
    <w:rsid w:val="00137F0A"/>
    <w:rsid w:val="00140404"/>
    <w:rsid w:val="00140443"/>
    <w:rsid w:val="00140835"/>
    <w:rsid w:val="00140E38"/>
    <w:rsid w:val="00141263"/>
    <w:rsid w:val="0014190C"/>
    <w:rsid w:val="001420F5"/>
    <w:rsid w:val="001425E8"/>
    <w:rsid w:val="00142CD6"/>
    <w:rsid w:val="00142FCE"/>
    <w:rsid w:val="001438D6"/>
    <w:rsid w:val="001439C3"/>
    <w:rsid w:val="00143B2D"/>
    <w:rsid w:val="00145929"/>
    <w:rsid w:val="00145DEC"/>
    <w:rsid w:val="00145F81"/>
    <w:rsid w:val="00146929"/>
    <w:rsid w:val="00146A8A"/>
    <w:rsid w:val="001472BB"/>
    <w:rsid w:val="00147696"/>
    <w:rsid w:val="00150763"/>
    <w:rsid w:val="00151C17"/>
    <w:rsid w:val="00151F13"/>
    <w:rsid w:val="0015225D"/>
    <w:rsid w:val="001532D1"/>
    <w:rsid w:val="0015395A"/>
    <w:rsid w:val="00153DAF"/>
    <w:rsid w:val="00154701"/>
    <w:rsid w:val="001569EA"/>
    <w:rsid w:val="00156D76"/>
    <w:rsid w:val="0015722D"/>
    <w:rsid w:val="001577FE"/>
    <w:rsid w:val="00157908"/>
    <w:rsid w:val="00161105"/>
    <w:rsid w:val="001621D6"/>
    <w:rsid w:val="0016241D"/>
    <w:rsid w:val="00163619"/>
    <w:rsid w:val="00164BB0"/>
    <w:rsid w:val="00165669"/>
    <w:rsid w:val="0016645B"/>
    <w:rsid w:val="00166D01"/>
    <w:rsid w:val="001677A3"/>
    <w:rsid w:val="00167B12"/>
    <w:rsid w:val="001706EF"/>
    <w:rsid w:val="0017143B"/>
    <w:rsid w:val="00171782"/>
    <w:rsid w:val="0017217B"/>
    <w:rsid w:val="0017228E"/>
    <w:rsid w:val="00172BF8"/>
    <w:rsid w:val="00172CF3"/>
    <w:rsid w:val="001730FE"/>
    <w:rsid w:val="00173714"/>
    <w:rsid w:val="00173A3D"/>
    <w:rsid w:val="00174BF2"/>
    <w:rsid w:val="00174D3D"/>
    <w:rsid w:val="00175A24"/>
    <w:rsid w:val="00175D54"/>
    <w:rsid w:val="00175F7C"/>
    <w:rsid w:val="00177742"/>
    <w:rsid w:val="00177765"/>
    <w:rsid w:val="00177934"/>
    <w:rsid w:val="00177A7D"/>
    <w:rsid w:val="00177D5D"/>
    <w:rsid w:val="001802C6"/>
    <w:rsid w:val="00180823"/>
    <w:rsid w:val="00180CB4"/>
    <w:rsid w:val="00181330"/>
    <w:rsid w:val="00181C08"/>
    <w:rsid w:val="00181C3D"/>
    <w:rsid w:val="00182BE3"/>
    <w:rsid w:val="001833E5"/>
    <w:rsid w:val="00183D43"/>
    <w:rsid w:val="00184713"/>
    <w:rsid w:val="001854D5"/>
    <w:rsid w:val="001859AC"/>
    <w:rsid w:val="00185DA3"/>
    <w:rsid w:val="001869EF"/>
    <w:rsid w:val="00186F44"/>
    <w:rsid w:val="001876B9"/>
    <w:rsid w:val="001878B5"/>
    <w:rsid w:val="00190CEF"/>
    <w:rsid w:val="00190D3F"/>
    <w:rsid w:val="001915DA"/>
    <w:rsid w:val="00191F31"/>
    <w:rsid w:val="0019249C"/>
    <w:rsid w:val="001926AB"/>
    <w:rsid w:val="00192F0A"/>
    <w:rsid w:val="0019395F"/>
    <w:rsid w:val="00193D6A"/>
    <w:rsid w:val="001942B1"/>
    <w:rsid w:val="001942C3"/>
    <w:rsid w:val="00194322"/>
    <w:rsid w:val="00194A70"/>
    <w:rsid w:val="00195430"/>
    <w:rsid w:val="00196141"/>
    <w:rsid w:val="0019710B"/>
    <w:rsid w:val="00197C0B"/>
    <w:rsid w:val="001A0DDE"/>
    <w:rsid w:val="001A1B69"/>
    <w:rsid w:val="001A27E1"/>
    <w:rsid w:val="001A2C48"/>
    <w:rsid w:val="001A4004"/>
    <w:rsid w:val="001A438D"/>
    <w:rsid w:val="001A55DE"/>
    <w:rsid w:val="001A55FA"/>
    <w:rsid w:val="001A6122"/>
    <w:rsid w:val="001A632A"/>
    <w:rsid w:val="001A6552"/>
    <w:rsid w:val="001B06B8"/>
    <w:rsid w:val="001B3249"/>
    <w:rsid w:val="001B3C08"/>
    <w:rsid w:val="001B4A79"/>
    <w:rsid w:val="001B52D6"/>
    <w:rsid w:val="001B5F63"/>
    <w:rsid w:val="001B656F"/>
    <w:rsid w:val="001B65C3"/>
    <w:rsid w:val="001B6BFA"/>
    <w:rsid w:val="001B6F9E"/>
    <w:rsid w:val="001B72A7"/>
    <w:rsid w:val="001B73A5"/>
    <w:rsid w:val="001B7546"/>
    <w:rsid w:val="001B7B3D"/>
    <w:rsid w:val="001C0EE9"/>
    <w:rsid w:val="001C15E4"/>
    <w:rsid w:val="001C1C27"/>
    <w:rsid w:val="001C1DB3"/>
    <w:rsid w:val="001C1FE3"/>
    <w:rsid w:val="001C3330"/>
    <w:rsid w:val="001C607F"/>
    <w:rsid w:val="001C6F6A"/>
    <w:rsid w:val="001C70DB"/>
    <w:rsid w:val="001C770B"/>
    <w:rsid w:val="001C7E7F"/>
    <w:rsid w:val="001D0130"/>
    <w:rsid w:val="001D0151"/>
    <w:rsid w:val="001D0F52"/>
    <w:rsid w:val="001D2191"/>
    <w:rsid w:val="001D2C18"/>
    <w:rsid w:val="001D3B5C"/>
    <w:rsid w:val="001D54D4"/>
    <w:rsid w:val="001D5C36"/>
    <w:rsid w:val="001D67CF"/>
    <w:rsid w:val="001D70C4"/>
    <w:rsid w:val="001D7132"/>
    <w:rsid w:val="001E0D68"/>
    <w:rsid w:val="001E1382"/>
    <w:rsid w:val="001E14C2"/>
    <w:rsid w:val="001E20DD"/>
    <w:rsid w:val="001E23AD"/>
    <w:rsid w:val="001E2CAC"/>
    <w:rsid w:val="001E3120"/>
    <w:rsid w:val="001E3A63"/>
    <w:rsid w:val="001E4B86"/>
    <w:rsid w:val="001E4C20"/>
    <w:rsid w:val="001E5AEF"/>
    <w:rsid w:val="001E5E5B"/>
    <w:rsid w:val="001F020F"/>
    <w:rsid w:val="001F021C"/>
    <w:rsid w:val="001F0E50"/>
    <w:rsid w:val="001F0FE2"/>
    <w:rsid w:val="001F2F05"/>
    <w:rsid w:val="001F3475"/>
    <w:rsid w:val="001F577E"/>
    <w:rsid w:val="001F6530"/>
    <w:rsid w:val="001F7861"/>
    <w:rsid w:val="001F7A33"/>
    <w:rsid w:val="00200668"/>
    <w:rsid w:val="00200ADF"/>
    <w:rsid w:val="00200D3F"/>
    <w:rsid w:val="00201CAC"/>
    <w:rsid w:val="0020210C"/>
    <w:rsid w:val="00205AAA"/>
    <w:rsid w:val="00210813"/>
    <w:rsid w:val="002120EE"/>
    <w:rsid w:val="00213C87"/>
    <w:rsid w:val="002142E2"/>
    <w:rsid w:val="00216758"/>
    <w:rsid w:val="00216DB4"/>
    <w:rsid w:val="00217EF0"/>
    <w:rsid w:val="00220CB4"/>
    <w:rsid w:val="00220F3C"/>
    <w:rsid w:val="00221184"/>
    <w:rsid w:val="00221272"/>
    <w:rsid w:val="00221E02"/>
    <w:rsid w:val="00221E65"/>
    <w:rsid w:val="0022220D"/>
    <w:rsid w:val="00222601"/>
    <w:rsid w:val="002226C7"/>
    <w:rsid w:val="00222AA1"/>
    <w:rsid w:val="002240A4"/>
    <w:rsid w:val="0022490D"/>
    <w:rsid w:val="00224CD8"/>
    <w:rsid w:val="0022524C"/>
    <w:rsid w:val="002252E2"/>
    <w:rsid w:val="00225655"/>
    <w:rsid w:val="00225755"/>
    <w:rsid w:val="00225775"/>
    <w:rsid w:val="00225E88"/>
    <w:rsid w:val="00231747"/>
    <w:rsid w:val="00231906"/>
    <w:rsid w:val="00232557"/>
    <w:rsid w:val="00232DA4"/>
    <w:rsid w:val="002336CE"/>
    <w:rsid w:val="002351FE"/>
    <w:rsid w:val="00235A39"/>
    <w:rsid w:val="00235B17"/>
    <w:rsid w:val="00237538"/>
    <w:rsid w:val="00237905"/>
    <w:rsid w:val="00237B31"/>
    <w:rsid w:val="00240ED3"/>
    <w:rsid w:val="0024117B"/>
    <w:rsid w:val="002413A0"/>
    <w:rsid w:val="00241AB5"/>
    <w:rsid w:val="0024319C"/>
    <w:rsid w:val="00243389"/>
    <w:rsid w:val="002443E5"/>
    <w:rsid w:val="002447C1"/>
    <w:rsid w:val="00244997"/>
    <w:rsid w:val="00245B11"/>
    <w:rsid w:val="002464B5"/>
    <w:rsid w:val="00246ECB"/>
    <w:rsid w:val="00247404"/>
    <w:rsid w:val="00247F9E"/>
    <w:rsid w:val="002505DE"/>
    <w:rsid w:val="0025169A"/>
    <w:rsid w:val="00252B11"/>
    <w:rsid w:val="002544DE"/>
    <w:rsid w:val="00255767"/>
    <w:rsid w:val="00256088"/>
    <w:rsid w:val="00256AB0"/>
    <w:rsid w:val="0025708D"/>
    <w:rsid w:val="00260B39"/>
    <w:rsid w:val="00261043"/>
    <w:rsid w:val="0026131C"/>
    <w:rsid w:val="0026358A"/>
    <w:rsid w:val="00264AA0"/>
    <w:rsid w:val="00264F28"/>
    <w:rsid w:val="002656FD"/>
    <w:rsid w:val="0026571C"/>
    <w:rsid w:val="00266AFC"/>
    <w:rsid w:val="002676CD"/>
    <w:rsid w:val="002714E4"/>
    <w:rsid w:val="002717C5"/>
    <w:rsid w:val="00272B58"/>
    <w:rsid w:val="00272FAB"/>
    <w:rsid w:val="00273273"/>
    <w:rsid w:val="002736F8"/>
    <w:rsid w:val="002739F1"/>
    <w:rsid w:val="00276CE9"/>
    <w:rsid w:val="00280668"/>
    <w:rsid w:val="00280D57"/>
    <w:rsid w:val="00281FE9"/>
    <w:rsid w:val="00282C97"/>
    <w:rsid w:val="002835DB"/>
    <w:rsid w:val="002841E2"/>
    <w:rsid w:val="00286242"/>
    <w:rsid w:val="00287630"/>
    <w:rsid w:val="00287926"/>
    <w:rsid w:val="00290689"/>
    <w:rsid w:val="0029093B"/>
    <w:rsid w:val="002912A5"/>
    <w:rsid w:val="00292034"/>
    <w:rsid w:val="0029216B"/>
    <w:rsid w:val="002925C0"/>
    <w:rsid w:val="0029378D"/>
    <w:rsid w:val="00295904"/>
    <w:rsid w:val="00295DFD"/>
    <w:rsid w:val="00296AEF"/>
    <w:rsid w:val="00296CC5"/>
    <w:rsid w:val="00296E65"/>
    <w:rsid w:val="002A19A7"/>
    <w:rsid w:val="002A2073"/>
    <w:rsid w:val="002A3BEB"/>
    <w:rsid w:val="002A42ED"/>
    <w:rsid w:val="002A49C0"/>
    <w:rsid w:val="002A52D3"/>
    <w:rsid w:val="002A5429"/>
    <w:rsid w:val="002A61E4"/>
    <w:rsid w:val="002A6D2F"/>
    <w:rsid w:val="002A6DB1"/>
    <w:rsid w:val="002A6EE0"/>
    <w:rsid w:val="002B0763"/>
    <w:rsid w:val="002B198E"/>
    <w:rsid w:val="002B3351"/>
    <w:rsid w:val="002B38F1"/>
    <w:rsid w:val="002B3A8B"/>
    <w:rsid w:val="002B4231"/>
    <w:rsid w:val="002B5812"/>
    <w:rsid w:val="002B78C6"/>
    <w:rsid w:val="002B7F10"/>
    <w:rsid w:val="002C0CDF"/>
    <w:rsid w:val="002C170B"/>
    <w:rsid w:val="002C1B72"/>
    <w:rsid w:val="002C22B0"/>
    <w:rsid w:val="002C233C"/>
    <w:rsid w:val="002C256C"/>
    <w:rsid w:val="002C3D73"/>
    <w:rsid w:val="002C6499"/>
    <w:rsid w:val="002C6855"/>
    <w:rsid w:val="002C7801"/>
    <w:rsid w:val="002D0AAC"/>
    <w:rsid w:val="002D0CF6"/>
    <w:rsid w:val="002D2524"/>
    <w:rsid w:val="002D2946"/>
    <w:rsid w:val="002D3623"/>
    <w:rsid w:val="002D396A"/>
    <w:rsid w:val="002D3F94"/>
    <w:rsid w:val="002D44EE"/>
    <w:rsid w:val="002D520E"/>
    <w:rsid w:val="002D5855"/>
    <w:rsid w:val="002D6967"/>
    <w:rsid w:val="002D74F1"/>
    <w:rsid w:val="002D7C24"/>
    <w:rsid w:val="002E0641"/>
    <w:rsid w:val="002E2294"/>
    <w:rsid w:val="002E26F7"/>
    <w:rsid w:val="002E2F8F"/>
    <w:rsid w:val="002E4F21"/>
    <w:rsid w:val="002E51D0"/>
    <w:rsid w:val="002E5BAC"/>
    <w:rsid w:val="002E6BC4"/>
    <w:rsid w:val="002E7B38"/>
    <w:rsid w:val="002F023F"/>
    <w:rsid w:val="002F1736"/>
    <w:rsid w:val="002F18C7"/>
    <w:rsid w:val="002F1ABF"/>
    <w:rsid w:val="002F21AD"/>
    <w:rsid w:val="002F2E26"/>
    <w:rsid w:val="002F3D89"/>
    <w:rsid w:val="002F42EC"/>
    <w:rsid w:val="002F51B5"/>
    <w:rsid w:val="002F59D7"/>
    <w:rsid w:val="002F5F7F"/>
    <w:rsid w:val="002F6A0B"/>
    <w:rsid w:val="002F7027"/>
    <w:rsid w:val="002F7498"/>
    <w:rsid w:val="002F7ACA"/>
    <w:rsid w:val="003000A4"/>
    <w:rsid w:val="0030042C"/>
    <w:rsid w:val="00300E5D"/>
    <w:rsid w:val="00300F65"/>
    <w:rsid w:val="00302C87"/>
    <w:rsid w:val="003034FD"/>
    <w:rsid w:val="00303811"/>
    <w:rsid w:val="00303EE1"/>
    <w:rsid w:val="00305370"/>
    <w:rsid w:val="00305778"/>
    <w:rsid w:val="003064AF"/>
    <w:rsid w:val="003078F7"/>
    <w:rsid w:val="00307DC5"/>
    <w:rsid w:val="00310021"/>
    <w:rsid w:val="00312369"/>
    <w:rsid w:val="00312902"/>
    <w:rsid w:val="003131EB"/>
    <w:rsid w:val="003151CD"/>
    <w:rsid w:val="003156B8"/>
    <w:rsid w:val="00315C9F"/>
    <w:rsid w:val="00315CF9"/>
    <w:rsid w:val="003168D1"/>
    <w:rsid w:val="00316F94"/>
    <w:rsid w:val="00320075"/>
    <w:rsid w:val="00321094"/>
    <w:rsid w:val="00322AD9"/>
    <w:rsid w:val="00324441"/>
    <w:rsid w:val="00326991"/>
    <w:rsid w:val="00326A7F"/>
    <w:rsid w:val="00326E83"/>
    <w:rsid w:val="003275A6"/>
    <w:rsid w:val="003306A7"/>
    <w:rsid w:val="00330E77"/>
    <w:rsid w:val="0033141E"/>
    <w:rsid w:val="003317CD"/>
    <w:rsid w:val="00331C43"/>
    <w:rsid w:val="00332021"/>
    <w:rsid w:val="00332DCD"/>
    <w:rsid w:val="00332F03"/>
    <w:rsid w:val="00333593"/>
    <w:rsid w:val="00333C44"/>
    <w:rsid w:val="00334041"/>
    <w:rsid w:val="003369B0"/>
    <w:rsid w:val="0033724D"/>
    <w:rsid w:val="00340A00"/>
    <w:rsid w:val="00340A5B"/>
    <w:rsid w:val="00343CE4"/>
    <w:rsid w:val="003443C6"/>
    <w:rsid w:val="00344C30"/>
    <w:rsid w:val="00345EBE"/>
    <w:rsid w:val="003468AF"/>
    <w:rsid w:val="00346DD8"/>
    <w:rsid w:val="00346E77"/>
    <w:rsid w:val="003472FB"/>
    <w:rsid w:val="0035043F"/>
    <w:rsid w:val="003514FF"/>
    <w:rsid w:val="00351B7D"/>
    <w:rsid w:val="00351F48"/>
    <w:rsid w:val="00352234"/>
    <w:rsid w:val="00352EA8"/>
    <w:rsid w:val="00352ED9"/>
    <w:rsid w:val="003530F6"/>
    <w:rsid w:val="003531EB"/>
    <w:rsid w:val="00353CBF"/>
    <w:rsid w:val="00355D6B"/>
    <w:rsid w:val="00356383"/>
    <w:rsid w:val="00357650"/>
    <w:rsid w:val="0035772B"/>
    <w:rsid w:val="003577A3"/>
    <w:rsid w:val="00357E99"/>
    <w:rsid w:val="00360076"/>
    <w:rsid w:val="003600D2"/>
    <w:rsid w:val="003639D5"/>
    <w:rsid w:val="00365251"/>
    <w:rsid w:val="003663F4"/>
    <w:rsid w:val="00367451"/>
    <w:rsid w:val="00367DE3"/>
    <w:rsid w:val="003700A5"/>
    <w:rsid w:val="0037084B"/>
    <w:rsid w:val="00370E96"/>
    <w:rsid w:val="003726D6"/>
    <w:rsid w:val="0037277E"/>
    <w:rsid w:val="0037331A"/>
    <w:rsid w:val="00373BF6"/>
    <w:rsid w:val="0037415F"/>
    <w:rsid w:val="003741D3"/>
    <w:rsid w:val="00375B35"/>
    <w:rsid w:val="003764BC"/>
    <w:rsid w:val="003800CF"/>
    <w:rsid w:val="003807F6"/>
    <w:rsid w:val="00380D04"/>
    <w:rsid w:val="003816B1"/>
    <w:rsid w:val="00382DC4"/>
    <w:rsid w:val="003832D0"/>
    <w:rsid w:val="003901F5"/>
    <w:rsid w:val="003903A8"/>
    <w:rsid w:val="00390811"/>
    <w:rsid w:val="00390FA2"/>
    <w:rsid w:val="0039142C"/>
    <w:rsid w:val="0039313B"/>
    <w:rsid w:val="003934C6"/>
    <w:rsid w:val="003937D1"/>
    <w:rsid w:val="00394BBA"/>
    <w:rsid w:val="0039686C"/>
    <w:rsid w:val="00396BDE"/>
    <w:rsid w:val="003A1768"/>
    <w:rsid w:val="003A1B39"/>
    <w:rsid w:val="003A272A"/>
    <w:rsid w:val="003A2AE7"/>
    <w:rsid w:val="003A34EE"/>
    <w:rsid w:val="003A3D87"/>
    <w:rsid w:val="003A432C"/>
    <w:rsid w:val="003A4CDC"/>
    <w:rsid w:val="003A6B55"/>
    <w:rsid w:val="003A6D54"/>
    <w:rsid w:val="003B05A4"/>
    <w:rsid w:val="003B1CE6"/>
    <w:rsid w:val="003B2DF8"/>
    <w:rsid w:val="003B300F"/>
    <w:rsid w:val="003B42DB"/>
    <w:rsid w:val="003B4A21"/>
    <w:rsid w:val="003B53D6"/>
    <w:rsid w:val="003C01A9"/>
    <w:rsid w:val="003C133E"/>
    <w:rsid w:val="003C1D23"/>
    <w:rsid w:val="003C20D6"/>
    <w:rsid w:val="003C23EA"/>
    <w:rsid w:val="003C3080"/>
    <w:rsid w:val="003C42A5"/>
    <w:rsid w:val="003C4317"/>
    <w:rsid w:val="003C5CB6"/>
    <w:rsid w:val="003C7946"/>
    <w:rsid w:val="003D010B"/>
    <w:rsid w:val="003D0F51"/>
    <w:rsid w:val="003D16E0"/>
    <w:rsid w:val="003D1EC0"/>
    <w:rsid w:val="003D219E"/>
    <w:rsid w:val="003D29D2"/>
    <w:rsid w:val="003D3FC9"/>
    <w:rsid w:val="003D4180"/>
    <w:rsid w:val="003D4645"/>
    <w:rsid w:val="003D4A4A"/>
    <w:rsid w:val="003D5016"/>
    <w:rsid w:val="003D52E4"/>
    <w:rsid w:val="003D5A31"/>
    <w:rsid w:val="003D6118"/>
    <w:rsid w:val="003D6758"/>
    <w:rsid w:val="003D7816"/>
    <w:rsid w:val="003E12DC"/>
    <w:rsid w:val="003E18F0"/>
    <w:rsid w:val="003E1990"/>
    <w:rsid w:val="003E2C18"/>
    <w:rsid w:val="003E2FE9"/>
    <w:rsid w:val="003E3D26"/>
    <w:rsid w:val="003E4C5F"/>
    <w:rsid w:val="003E54A8"/>
    <w:rsid w:val="003E5CD0"/>
    <w:rsid w:val="003E76AD"/>
    <w:rsid w:val="003E779D"/>
    <w:rsid w:val="003E7ED9"/>
    <w:rsid w:val="003F12A3"/>
    <w:rsid w:val="003F133E"/>
    <w:rsid w:val="003F1FD6"/>
    <w:rsid w:val="003F2E03"/>
    <w:rsid w:val="003F401A"/>
    <w:rsid w:val="003F4F2C"/>
    <w:rsid w:val="003F51E1"/>
    <w:rsid w:val="003F5646"/>
    <w:rsid w:val="003F66FF"/>
    <w:rsid w:val="003F690B"/>
    <w:rsid w:val="003F6BC3"/>
    <w:rsid w:val="003F6C2D"/>
    <w:rsid w:val="003F7093"/>
    <w:rsid w:val="003F7917"/>
    <w:rsid w:val="004004DC"/>
    <w:rsid w:val="00400A2D"/>
    <w:rsid w:val="00401835"/>
    <w:rsid w:val="00401C55"/>
    <w:rsid w:val="0040200C"/>
    <w:rsid w:val="004034F9"/>
    <w:rsid w:val="00403554"/>
    <w:rsid w:val="00403574"/>
    <w:rsid w:val="0040398E"/>
    <w:rsid w:val="00403CCE"/>
    <w:rsid w:val="00404234"/>
    <w:rsid w:val="004056C8"/>
    <w:rsid w:val="004058F7"/>
    <w:rsid w:val="00405AF3"/>
    <w:rsid w:val="00405DF3"/>
    <w:rsid w:val="004061BC"/>
    <w:rsid w:val="00406571"/>
    <w:rsid w:val="00406AB3"/>
    <w:rsid w:val="00407C46"/>
    <w:rsid w:val="0041082D"/>
    <w:rsid w:val="00410CD3"/>
    <w:rsid w:val="00411163"/>
    <w:rsid w:val="00411C89"/>
    <w:rsid w:val="0041209A"/>
    <w:rsid w:val="0041212A"/>
    <w:rsid w:val="00412D03"/>
    <w:rsid w:val="00413082"/>
    <w:rsid w:val="00413C46"/>
    <w:rsid w:val="00413E01"/>
    <w:rsid w:val="00413EFB"/>
    <w:rsid w:val="00415ED3"/>
    <w:rsid w:val="00415EF3"/>
    <w:rsid w:val="00416311"/>
    <w:rsid w:val="004166BB"/>
    <w:rsid w:val="00417E10"/>
    <w:rsid w:val="004214E0"/>
    <w:rsid w:val="00422068"/>
    <w:rsid w:val="00422857"/>
    <w:rsid w:val="00422D1E"/>
    <w:rsid w:val="00423620"/>
    <w:rsid w:val="00423C8B"/>
    <w:rsid w:val="00424349"/>
    <w:rsid w:val="00424A17"/>
    <w:rsid w:val="00424C19"/>
    <w:rsid w:val="004259C1"/>
    <w:rsid w:val="0042632D"/>
    <w:rsid w:val="004272EB"/>
    <w:rsid w:val="00427BE1"/>
    <w:rsid w:val="00427C33"/>
    <w:rsid w:val="00430138"/>
    <w:rsid w:val="00430DE2"/>
    <w:rsid w:val="0043148C"/>
    <w:rsid w:val="004319B6"/>
    <w:rsid w:val="00431E74"/>
    <w:rsid w:val="00432FBC"/>
    <w:rsid w:val="00433ED0"/>
    <w:rsid w:val="004348D6"/>
    <w:rsid w:val="004368E8"/>
    <w:rsid w:val="00436B62"/>
    <w:rsid w:val="00437776"/>
    <w:rsid w:val="004400F1"/>
    <w:rsid w:val="004419B7"/>
    <w:rsid w:val="00442010"/>
    <w:rsid w:val="00442113"/>
    <w:rsid w:val="004422E1"/>
    <w:rsid w:val="00442EB4"/>
    <w:rsid w:val="004435FB"/>
    <w:rsid w:val="00443BB7"/>
    <w:rsid w:val="00443C34"/>
    <w:rsid w:val="004445D2"/>
    <w:rsid w:val="00444CB3"/>
    <w:rsid w:val="00444DB3"/>
    <w:rsid w:val="00445A71"/>
    <w:rsid w:val="004501FC"/>
    <w:rsid w:val="00450A27"/>
    <w:rsid w:val="00452486"/>
    <w:rsid w:val="00452497"/>
    <w:rsid w:val="00452B85"/>
    <w:rsid w:val="00454434"/>
    <w:rsid w:val="00454938"/>
    <w:rsid w:val="00454F5F"/>
    <w:rsid w:val="00455496"/>
    <w:rsid w:val="00455852"/>
    <w:rsid w:val="00455F95"/>
    <w:rsid w:val="0045623B"/>
    <w:rsid w:val="00456659"/>
    <w:rsid w:val="004568F3"/>
    <w:rsid w:val="00456C4B"/>
    <w:rsid w:val="00457785"/>
    <w:rsid w:val="00457CEB"/>
    <w:rsid w:val="00461891"/>
    <w:rsid w:val="00463D6A"/>
    <w:rsid w:val="00463F33"/>
    <w:rsid w:val="0046429B"/>
    <w:rsid w:val="004645CA"/>
    <w:rsid w:val="00465670"/>
    <w:rsid w:val="00466274"/>
    <w:rsid w:val="00466799"/>
    <w:rsid w:val="00466AB4"/>
    <w:rsid w:val="00466E6E"/>
    <w:rsid w:val="00467C1D"/>
    <w:rsid w:val="004701A5"/>
    <w:rsid w:val="00470D0A"/>
    <w:rsid w:val="004710AC"/>
    <w:rsid w:val="00471D8E"/>
    <w:rsid w:val="00471D99"/>
    <w:rsid w:val="004721F6"/>
    <w:rsid w:val="00473B1D"/>
    <w:rsid w:val="00474040"/>
    <w:rsid w:val="0047460B"/>
    <w:rsid w:val="00474F86"/>
    <w:rsid w:val="00475170"/>
    <w:rsid w:val="00475D85"/>
    <w:rsid w:val="00476013"/>
    <w:rsid w:val="00476D11"/>
    <w:rsid w:val="00477152"/>
    <w:rsid w:val="00477877"/>
    <w:rsid w:val="0048001A"/>
    <w:rsid w:val="00480575"/>
    <w:rsid w:val="004809B6"/>
    <w:rsid w:val="00480A6A"/>
    <w:rsid w:val="0048138F"/>
    <w:rsid w:val="00481D87"/>
    <w:rsid w:val="0048218B"/>
    <w:rsid w:val="0048221E"/>
    <w:rsid w:val="00482271"/>
    <w:rsid w:val="004825FB"/>
    <w:rsid w:val="00483134"/>
    <w:rsid w:val="004835EF"/>
    <w:rsid w:val="0048458E"/>
    <w:rsid w:val="004856B0"/>
    <w:rsid w:val="00485BBE"/>
    <w:rsid w:val="00486087"/>
    <w:rsid w:val="00486958"/>
    <w:rsid w:val="00486A91"/>
    <w:rsid w:val="00487D41"/>
    <w:rsid w:val="004909E8"/>
    <w:rsid w:val="004912AD"/>
    <w:rsid w:val="00491951"/>
    <w:rsid w:val="00493058"/>
    <w:rsid w:val="004935E1"/>
    <w:rsid w:val="004936FF"/>
    <w:rsid w:val="00494342"/>
    <w:rsid w:val="00494F50"/>
    <w:rsid w:val="004958EC"/>
    <w:rsid w:val="00495EFE"/>
    <w:rsid w:val="00496136"/>
    <w:rsid w:val="004962C0"/>
    <w:rsid w:val="004975AA"/>
    <w:rsid w:val="004A11BF"/>
    <w:rsid w:val="004A1656"/>
    <w:rsid w:val="004A16DD"/>
    <w:rsid w:val="004A1D08"/>
    <w:rsid w:val="004A2070"/>
    <w:rsid w:val="004A2DAE"/>
    <w:rsid w:val="004A2F3C"/>
    <w:rsid w:val="004A3483"/>
    <w:rsid w:val="004A39CC"/>
    <w:rsid w:val="004A4375"/>
    <w:rsid w:val="004A588D"/>
    <w:rsid w:val="004A5A12"/>
    <w:rsid w:val="004A6279"/>
    <w:rsid w:val="004A6A3A"/>
    <w:rsid w:val="004A7C7D"/>
    <w:rsid w:val="004B090D"/>
    <w:rsid w:val="004B0C30"/>
    <w:rsid w:val="004B1173"/>
    <w:rsid w:val="004B1F4D"/>
    <w:rsid w:val="004B2AD1"/>
    <w:rsid w:val="004B42F0"/>
    <w:rsid w:val="004B4D37"/>
    <w:rsid w:val="004B56B3"/>
    <w:rsid w:val="004B5A34"/>
    <w:rsid w:val="004B697F"/>
    <w:rsid w:val="004B6FF9"/>
    <w:rsid w:val="004C0371"/>
    <w:rsid w:val="004C0429"/>
    <w:rsid w:val="004C1D58"/>
    <w:rsid w:val="004C1E4F"/>
    <w:rsid w:val="004C2F19"/>
    <w:rsid w:val="004C32A9"/>
    <w:rsid w:val="004C37E0"/>
    <w:rsid w:val="004C41B0"/>
    <w:rsid w:val="004C485F"/>
    <w:rsid w:val="004C50A8"/>
    <w:rsid w:val="004C5733"/>
    <w:rsid w:val="004C59A9"/>
    <w:rsid w:val="004C6022"/>
    <w:rsid w:val="004D0E33"/>
    <w:rsid w:val="004D119C"/>
    <w:rsid w:val="004D2289"/>
    <w:rsid w:val="004D319E"/>
    <w:rsid w:val="004D3400"/>
    <w:rsid w:val="004D35D7"/>
    <w:rsid w:val="004D3FDD"/>
    <w:rsid w:val="004D4202"/>
    <w:rsid w:val="004D45B8"/>
    <w:rsid w:val="004D5396"/>
    <w:rsid w:val="004D587E"/>
    <w:rsid w:val="004D66ED"/>
    <w:rsid w:val="004D6B4A"/>
    <w:rsid w:val="004D7337"/>
    <w:rsid w:val="004D7F57"/>
    <w:rsid w:val="004E1B38"/>
    <w:rsid w:val="004E286F"/>
    <w:rsid w:val="004E2DE9"/>
    <w:rsid w:val="004E35D5"/>
    <w:rsid w:val="004E405B"/>
    <w:rsid w:val="004E451E"/>
    <w:rsid w:val="004E4541"/>
    <w:rsid w:val="004E5415"/>
    <w:rsid w:val="004E5800"/>
    <w:rsid w:val="004E5986"/>
    <w:rsid w:val="004F057D"/>
    <w:rsid w:val="004F0609"/>
    <w:rsid w:val="004F2EF0"/>
    <w:rsid w:val="004F3F6E"/>
    <w:rsid w:val="004F40E5"/>
    <w:rsid w:val="004F43EF"/>
    <w:rsid w:val="004F47C5"/>
    <w:rsid w:val="004F4EE3"/>
    <w:rsid w:val="004F5058"/>
    <w:rsid w:val="004F5A99"/>
    <w:rsid w:val="004F5CE6"/>
    <w:rsid w:val="004F62CB"/>
    <w:rsid w:val="004F668B"/>
    <w:rsid w:val="004F718D"/>
    <w:rsid w:val="004F7475"/>
    <w:rsid w:val="004F7A29"/>
    <w:rsid w:val="005002B1"/>
    <w:rsid w:val="0050050A"/>
    <w:rsid w:val="00500E4F"/>
    <w:rsid w:val="0050162C"/>
    <w:rsid w:val="0050177C"/>
    <w:rsid w:val="005017EE"/>
    <w:rsid w:val="00503AAE"/>
    <w:rsid w:val="005040BE"/>
    <w:rsid w:val="00504422"/>
    <w:rsid w:val="00504B2B"/>
    <w:rsid w:val="00505EB6"/>
    <w:rsid w:val="00505FA7"/>
    <w:rsid w:val="00506395"/>
    <w:rsid w:val="0050664D"/>
    <w:rsid w:val="00507084"/>
    <w:rsid w:val="00507474"/>
    <w:rsid w:val="0051132B"/>
    <w:rsid w:val="005114F0"/>
    <w:rsid w:val="00511B4F"/>
    <w:rsid w:val="00512127"/>
    <w:rsid w:val="00512E4A"/>
    <w:rsid w:val="005146EB"/>
    <w:rsid w:val="00514A12"/>
    <w:rsid w:val="00515A35"/>
    <w:rsid w:val="00515A71"/>
    <w:rsid w:val="00515DE4"/>
    <w:rsid w:val="00516039"/>
    <w:rsid w:val="0051762A"/>
    <w:rsid w:val="005179C7"/>
    <w:rsid w:val="00520A24"/>
    <w:rsid w:val="005220CF"/>
    <w:rsid w:val="0052255A"/>
    <w:rsid w:val="00522F92"/>
    <w:rsid w:val="00523A55"/>
    <w:rsid w:val="00523C31"/>
    <w:rsid w:val="00524718"/>
    <w:rsid w:val="00525AAA"/>
    <w:rsid w:val="005262AB"/>
    <w:rsid w:val="00526DD0"/>
    <w:rsid w:val="0052767F"/>
    <w:rsid w:val="00527A83"/>
    <w:rsid w:val="00531329"/>
    <w:rsid w:val="00533414"/>
    <w:rsid w:val="0053483E"/>
    <w:rsid w:val="00535166"/>
    <w:rsid w:val="0053622F"/>
    <w:rsid w:val="005362BD"/>
    <w:rsid w:val="005363DD"/>
    <w:rsid w:val="005366C9"/>
    <w:rsid w:val="005377D3"/>
    <w:rsid w:val="0054025A"/>
    <w:rsid w:val="005419B0"/>
    <w:rsid w:val="00542C45"/>
    <w:rsid w:val="0054316C"/>
    <w:rsid w:val="005434FD"/>
    <w:rsid w:val="00543B9C"/>
    <w:rsid w:val="005447CB"/>
    <w:rsid w:val="0054490B"/>
    <w:rsid w:val="00544CA0"/>
    <w:rsid w:val="00546766"/>
    <w:rsid w:val="0054678A"/>
    <w:rsid w:val="0054695F"/>
    <w:rsid w:val="00547351"/>
    <w:rsid w:val="00547E69"/>
    <w:rsid w:val="00550748"/>
    <w:rsid w:val="005507B3"/>
    <w:rsid w:val="005515BD"/>
    <w:rsid w:val="00551AC7"/>
    <w:rsid w:val="00551AD5"/>
    <w:rsid w:val="00553F0E"/>
    <w:rsid w:val="00554217"/>
    <w:rsid w:val="005543A9"/>
    <w:rsid w:val="0055649C"/>
    <w:rsid w:val="00560E4C"/>
    <w:rsid w:val="005631E9"/>
    <w:rsid w:val="00563972"/>
    <w:rsid w:val="00563B94"/>
    <w:rsid w:val="005648DB"/>
    <w:rsid w:val="0056535E"/>
    <w:rsid w:val="00565568"/>
    <w:rsid w:val="00565B0C"/>
    <w:rsid w:val="00566A55"/>
    <w:rsid w:val="00566B74"/>
    <w:rsid w:val="00567D3A"/>
    <w:rsid w:val="0057074A"/>
    <w:rsid w:val="00570ADC"/>
    <w:rsid w:val="00570F44"/>
    <w:rsid w:val="00571C69"/>
    <w:rsid w:val="00572884"/>
    <w:rsid w:val="00573B47"/>
    <w:rsid w:val="00573EDD"/>
    <w:rsid w:val="00575328"/>
    <w:rsid w:val="00575D46"/>
    <w:rsid w:val="00575DCD"/>
    <w:rsid w:val="00575DE8"/>
    <w:rsid w:val="00576D61"/>
    <w:rsid w:val="0057799D"/>
    <w:rsid w:val="00577FD7"/>
    <w:rsid w:val="005802B6"/>
    <w:rsid w:val="00580A92"/>
    <w:rsid w:val="00581408"/>
    <w:rsid w:val="00581B71"/>
    <w:rsid w:val="005823E6"/>
    <w:rsid w:val="005824E4"/>
    <w:rsid w:val="00582DAD"/>
    <w:rsid w:val="00582EC7"/>
    <w:rsid w:val="0058331B"/>
    <w:rsid w:val="00583505"/>
    <w:rsid w:val="00583642"/>
    <w:rsid w:val="00584872"/>
    <w:rsid w:val="00584E0C"/>
    <w:rsid w:val="005860EF"/>
    <w:rsid w:val="005862B3"/>
    <w:rsid w:val="0058743D"/>
    <w:rsid w:val="00587500"/>
    <w:rsid w:val="00587B3C"/>
    <w:rsid w:val="00587F75"/>
    <w:rsid w:val="005908B9"/>
    <w:rsid w:val="00591EDB"/>
    <w:rsid w:val="00593D9A"/>
    <w:rsid w:val="00594BC7"/>
    <w:rsid w:val="005963B2"/>
    <w:rsid w:val="005A1CEA"/>
    <w:rsid w:val="005A2112"/>
    <w:rsid w:val="005A232E"/>
    <w:rsid w:val="005A26A8"/>
    <w:rsid w:val="005A290E"/>
    <w:rsid w:val="005A2F56"/>
    <w:rsid w:val="005A3C37"/>
    <w:rsid w:val="005A3D37"/>
    <w:rsid w:val="005A3F42"/>
    <w:rsid w:val="005A494C"/>
    <w:rsid w:val="005A4B80"/>
    <w:rsid w:val="005A5640"/>
    <w:rsid w:val="005A58C8"/>
    <w:rsid w:val="005A60B2"/>
    <w:rsid w:val="005A788E"/>
    <w:rsid w:val="005B12E0"/>
    <w:rsid w:val="005B1406"/>
    <w:rsid w:val="005B1537"/>
    <w:rsid w:val="005B17E8"/>
    <w:rsid w:val="005B4066"/>
    <w:rsid w:val="005B46C1"/>
    <w:rsid w:val="005B4F11"/>
    <w:rsid w:val="005B51C5"/>
    <w:rsid w:val="005B521A"/>
    <w:rsid w:val="005B5D14"/>
    <w:rsid w:val="005B65D8"/>
    <w:rsid w:val="005B76E1"/>
    <w:rsid w:val="005B7816"/>
    <w:rsid w:val="005B7B06"/>
    <w:rsid w:val="005C03DC"/>
    <w:rsid w:val="005C1D4D"/>
    <w:rsid w:val="005C271C"/>
    <w:rsid w:val="005C27E2"/>
    <w:rsid w:val="005C2D3C"/>
    <w:rsid w:val="005C3136"/>
    <w:rsid w:val="005C3D8D"/>
    <w:rsid w:val="005C44E8"/>
    <w:rsid w:val="005C5096"/>
    <w:rsid w:val="005C5163"/>
    <w:rsid w:val="005C5A2A"/>
    <w:rsid w:val="005C6810"/>
    <w:rsid w:val="005C6F00"/>
    <w:rsid w:val="005C700B"/>
    <w:rsid w:val="005C74CF"/>
    <w:rsid w:val="005C7ACB"/>
    <w:rsid w:val="005C7C0B"/>
    <w:rsid w:val="005C7F99"/>
    <w:rsid w:val="005D0D90"/>
    <w:rsid w:val="005D28DB"/>
    <w:rsid w:val="005D45E0"/>
    <w:rsid w:val="005D475B"/>
    <w:rsid w:val="005D6714"/>
    <w:rsid w:val="005D6868"/>
    <w:rsid w:val="005D7905"/>
    <w:rsid w:val="005D7ED2"/>
    <w:rsid w:val="005D7FD5"/>
    <w:rsid w:val="005E00E6"/>
    <w:rsid w:val="005E1C5A"/>
    <w:rsid w:val="005E274A"/>
    <w:rsid w:val="005E27F8"/>
    <w:rsid w:val="005E2EE7"/>
    <w:rsid w:val="005E5C9D"/>
    <w:rsid w:val="005E698E"/>
    <w:rsid w:val="005E6B98"/>
    <w:rsid w:val="005E6EBB"/>
    <w:rsid w:val="005F0783"/>
    <w:rsid w:val="005F1F45"/>
    <w:rsid w:val="005F273B"/>
    <w:rsid w:val="005F43B1"/>
    <w:rsid w:val="005F4504"/>
    <w:rsid w:val="005F4A5F"/>
    <w:rsid w:val="005F5256"/>
    <w:rsid w:val="005F5664"/>
    <w:rsid w:val="005F5981"/>
    <w:rsid w:val="005F6E05"/>
    <w:rsid w:val="005F72EF"/>
    <w:rsid w:val="005F7616"/>
    <w:rsid w:val="006000CF"/>
    <w:rsid w:val="00600AD3"/>
    <w:rsid w:val="00600C26"/>
    <w:rsid w:val="006018A6"/>
    <w:rsid w:val="00602B5A"/>
    <w:rsid w:val="00603538"/>
    <w:rsid w:val="0060519E"/>
    <w:rsid w:val="00605349"/>
    <w:rsid w:val="00605C4F"/>
    <w:rsid w:val="006065FF"/>
    <w:rsid w:val="00606A74"/>
    <w:rsid w:val="00606E3C"/>
    <w:rsid w:val="00607AE0"/>
    <w:rsid w:val="00610257"/>
    <w:rsid w:val="006111F4"/>
    <w:rsid w:val="00611894"/>
    <w:rsid w:val="00612876"/>
    <w:rsid w:val="006153EA"/>
    <w:rsid w:val="00615764"/>
    <w:rsid w:val="00615783"/>
    <w:rsid w:val="006160E1"/>
    <w:rsid w:val="006164D2"/>
    <w:rsid w:val="006165F8"/>
    <w:rsid w:val="00616F99"/>
    <w:rsid w:val="006179A9"/>
    <w:rsid w:val="00617DF3"/>
    <w:rsid w:val="00620778"/>
    <w:rsid w:val="0062116F"/>
    <w:rsid w:val="00621978"/>
    <w:rsid w:val="00621E1F"/>
    <w:rsid w:val="0062209F"/>
    <w:rsid w:val="006221DA"/>
    <w:rsid w:val="00624C2C"/>
    <w:rsid w:val="00625905"/>
    <w:rsid w:val="006270AA"/>
    <w:rsid w:val="006301DD"/>
    <w:rsid w:val="00630325"/>
    <w:rsid w:val="00630DF7"/>
    <w:rsid w:val="00631266"/>
    <w:rsid w:val="0063252F"/>
    <w:rsid w:val="00633CFD"/>
    <w:rsid w:val="006345B4"/>
    <w:rsid w:val="00634604"/>
    <w:rsid w:val="006352AC"/>
    <w:rsid w:val="00636F1C"/>
    <w:rsid w:val="0064104D"/>
    <w:rsid w:val="00641FFE"/>
    <w:rsid w:val="00643C59"/>
    <w:rsid w:val="00644168"/>
    <w:rsid w:val="00644347"/>
    <w:rsid w:val="00644517"/>
    <w:rsid w:val="00644BFC"/>
    <w:rsid w:val="00644D63"/>
    <w:rsid w:val="0064574F"/>
    <w:rsid w:val="00645CD9"/>
    <w:rsid w:val="0064609D"/>
    <w:rsid w:val="00646516"/>
    <w:rsid w:val="0064682D"/>
    <w:rsid w:val="0064726D"/>
    <w:rsid w:val="006475DA"/>
    <w:rsid w:val="006479F7"/>
    <w:rsid w:val="00650866"/>
    <w:rsid w:val="00650A48"/>
    <w:rsid w:val="0065170F"/>
    <w:rsid w:val="00651EB5"/>
    <w:rsid w:val="00652142"/>
    <w:rsid w:val="0065214B"/>
    <w:rsid w:val="00652CA9"/>
    <w:rsid w:val="0065318E"/>
    <w:rsid w:val="00653A05"/>
    <w:rsid w:val="00654019"/>
    <w:rsid w:val="006544B6"/>
    <w:rsid w:val="00655814"/>
    <w:rsid w:val="00655F20"/>
    <w:rsid w:val="006561A0"/>
    <w:rsid w:val="00656660"/>
    <w:rsid w:val="00656B56"/>
    <w:rsid w:val="00657255"/>
    <w:rsid w:val="00657DBE"/>
    <w:rsid w:val="006623AB"/>
    <w:rsid w:val="006625DB"/>
    <w:rsid w:val="00662F7A"/>
    <w:rsid w:val="006633DF"/>
    <w:rsid w:val="00663BA3"/>
    <w:rsid w:val="00664665"/>
    <w:rsid w:val="00664E20"/>
    <w:rsid w:val="006661AF"/>
    <w:rsid w:val="006664DC"/>
    <w:rsid w:val="006667D8"/>
    <w:rsid w:val="00666B99"/>
    <w:rsid w:val="00667C8C"/>
    <w:rsid w:val="00670686"/>
    <w:rsid w:val="00670D62"/>
    <w:rsid w:val="00670F26"/>
    <w:rsid w:val="006723D0"/>
    <w:rsid w:val="00672457"/>
    <w:rsid w:val="00673925"/>
    <w:rsid w:val="00673DFC"/>
    <w:rsid w:val="0067437A"/>
    <w:rsid w:val="0067606F"/>
    <w:rsid w:val="00676556"/>
    <w:rsid w:val="00676F16"/>
    <w:rsid w:val="00680100"/>
    <w:rsid w:val="006804B0"/>
    <w:rsid w:val="006809AF"/>
    <w:rsid w:val="00680C3D"/>
    <w:rsid w:val="00682827"/>
    <w:rsid w:val="006865CA"/>
    <w:rsid w:val="006866CB"/>
    <w:rsid w:val="006868DD"/>
    <w:rsid w:val="00690A68"/>
    <w:rsid w:val="00690D24"/>
    <w:rsid w:val="00690EC7"/>
    <w:rsid w:val="00691CF4"/>
    <w:rsid w:val="00692981"/>
    <w:rsid w:val="00692C6D"/>
    <w:rsid w:val="00693056"/>
    <w:rsid w:val="00694421"/>
    <w:rsid w:val="00694B17"/>
    <w:rsid w:val="00695250"/>
    <w:rsid w:val="006958A9"/>
    <w:rsid w:val="006973D2"/>
    <w:rsid w:val="006A006D"/>
    <w:rsid w:val="006A24DC"/>
    <w:rsid w:val="006A2A04"/>
    <w:rsid w:val="006A2B7E"/>
    <w:rsid w:val="006A3FED"/>
    <w:rsid w:val="006A4640"/>
    <w:rsid w:val="006A478C"/>
    <w:rsid w:val="006A54CB"/>
    <w:rsid w:val="006A54E5"/>
    <w:rsid w:val="006A7072"/>
    <w:rsid w:val="006B2061"/>
    <w:rsid w:val="006B2607"/>
    <w:rsid w:val="006B2CE3"/>
    <w:rsid w:val="006B3F67"/>
    <w:rsid w:val="006B430B"/>
    <w:rsid w:val="006B4418"/>
    <w:rsid w:val="006B5D8A"/>
    <w:rsid w:val="006B610E"/>
    <w:rsid w:val="006B6198"/>
    <w:rsid w:val="006B664A"/>
    <w:rsid w:val="006B66A1"/>
    <w:rsid w:val="006B760C"/>
    <w:rsid w:val="006C0C5F"/>
    <w:rsid w:val="006C2115"/>
    <w:rsid w:val="006C24D5"/>
    <w:rsid w:val="006C3022"/>
    <w:rsid w:val="006C3E1E"/>
    <w:rsid w:val="006C441A"/>
    <w:rsid w:val="006C4FAB"/>
    <w:rsid w:val="006C507F"/>
    <w:rsid w:val="006C51B9"/>
    <w:rsid w:val="006C5228"/>
    <w:rsid w:val="006C733C"/>
    <w:rsid w:val="006D1B7E"/>
    <w:rsid w:val="006D2D04"/>
    <w:rsid w:val="006D32CB"/>
    <w:rsid w:val="006D5733"/>
    <w:rsid w:val="006D578D"/>
    <w:rsid w:val="006D62EC"/>
    <w:rsid w:val="006D71C1"/>
    <w:rsid w:val="006D77E9"/>
    <w:rsid w:val="006E262E"/>
    <w:rsid w:val="006E2675"/>
    <w:rsid w:val="006E276B"/>
    <w:rsid w:val="006E28E0"/>
    <w:rsid w:val="006E2C91"/>
    <w:rsid w:val="006E36DC"/>
    <w:rsid w:val="006E39E2"/>
    <w:rsid w:val="006E3C9D"/>
    <w:rsid w:val="006E57E9"/>
    <w:rsid w:val="006E5B29"/>
    <w:rsid w:val="006E5D5E"/>
    <w:rsid w:val="006E6056"/>
    <w:rsid w:val="006E6575"/>
    <w:rsid w:val="006E65E0"/>
    <w:rsid w:val="006E68C2"/>
    <w:rsid w:val="006E6CC1"/>
    <w:rsid w:val="006E6FBD"/>
    <w:rsid w:val="006E736F"/>
    <w:rsid w:val="006E783B"/>
    <w:rsid w:val="006E7AC0"/>
    <w:rsid w:val="006E7EA6"/>
    <w:rsid w:val="006F1037"/>
    <w:rsid w:val="006F1EBF"/>
    <w:rsid w:val="006F1FBD"/>
    <w:rsid w:val="006F218A"/>
    <w:rsid w:val="006F22FF"/>
    <w:rsid w:val="006F369B"/>
    <w:rsid w:val="006F38F1"/>
    <w:rsid w:val="006F3B4C"/>
    <w:rsid w:val="006F5848"/>
    <w:rsid w:val="006F6438"/>
    <w:rsid w:val="006F72BA"/>
    <w:rsid w:val="006F73C5"/>
    <w:rsid w:val="00700B80"/>
    <w:rsid w:val="00700BF2"/>
    <w:rsid w:val="00700E83"/>
    <w:rsid w:val="00700FE3"/>
    <w:rsid w:val="00701AD3"/>
    <w:rsid w:val="0070224B"/>
    <w:rsid w:val="00702A35"/>
    <w:rsid w:val="00703640"/>
    <w:rsid w:val="0070378B"/>
    <w:rsid w:val="00703884"/>
    <w:rsid w:val="007044DD"/>
    <w:rsid w:val="007068F4"/>
    <w:rsid w:val="00706BD6"/>
    <w:rsid w:val="00707CD3"/>
    <w:rsid w:val="00707FCE"/>
    <w:rsid w:val="00710EF7"/>
    <w:rsid w:val="0071224F"/>
    <w:rsid w:val="0071369B"/>
    <w:rsid w:val="0071449B"/>
    <w:rsid w:val="007146FF"/>
    <w:rsid w:val="00714DBE"/>
    <w:rsid w:val="007172CB"/>
    <w:rsid w:val="00717EF1"/>
    <w:rsid w:val="0072058A"/>
    <w:rsid w:val="00720C03"/>
    <w:rsid w:val="00721136"/>
    <w:rsid w:val="0072209D"/>
    <w:rsid w:val="007235BC"/>
    <w:rsid w:val="007241D7"/>
    <w:rsid w:val="007263DC"/>
    <w:rsid w:val="00726EC5"/>
    <w:rsid w:val="007304DB"/>
    <w:rsid w:val="00730D13"/>
    <w:rsid w:val="007310B4"/>
    <w:rsid w:val="007330C1"/>
    <w:rsid w:val="00733DFA"/>
    <w:rsid w:val="007350BF"/>
    <w:rsid w:val="00735794"/>
    <w:rsid w:val="00736E70"/>
    <w:rsid w:val="0074013F"/>
    <w:rsid w:val="00740A84"/>
    <w:rsid w:val="00740CD0"/>
    <w:rsid w:val="00740F83"/>
    <w:rsid w:val="00741664"/>
    <w:rsid w:val="00741CF7"/>
    <w:rsid w:val="00742DD4"/>
    <w:rsid w:val="00742ED9"/>
    <w:rsid w:val="007437F4"/>
    <w:rsid w:val="00743AB9"/>
    <w:rsid w:val="00744C84"/>
    <w:rsid w:val="00745136"/>
    <w:rsid w:val="007451AE"/>
    <w:rsid w:val="00745991"/>
    <w:rsid w:val="00746697"/>
    <w:rsid w:val="00746809"/>
    <w:rsid w:val="00746B55"/>
    <w:rsid w:val="0074798C"/>
    <w:rsid w:val="007504F1"/>
    <w:rsid w:val="007518F0"/>
    <w:rsid w:val="00751A7A"/>
    <w:rsid w:val="00751D2C"/>
    <w:rsid w:val="0075242D"/>
    <w:rsid w:val="0075347E"/>
    <w:rsid w:val="0075390B"/>
    <w:rsid w:val="00753A3B"/>
    <w:rsid w:val="007553EF"/>
    <w:rsid w:val="00755640"/>
    <w:rsid w:val="007558BE"/>
    <w:rsid w:val="00755D2E"/>
    <w:rsid w:val="0075606F"/>
    <w:rsid w:val="00756557"/>
    <w:rsid w:val="00756F66"/>
    <w:rsid w:val="007603F9"/>
    <w:rsid w:val="007613ED"/>
    <w:rsid w:val="00761C3F"/>
    <w:rsid w:val="0076327E"/>
    <w:rsid w:val="0076349E"/>
    <w:rsid w:val="00763A24"/>
    <w:rsid w:val="00764268"/>
    <w:rsid w:val="00764978"/>
    <w:rsid w:val="007649C7"/>
    <w:rsid w:val="00764CC8"/>
    <w:rsid w:val="00766EBC"/>
    <w:rsid w:val="00767765"/>
    <w:rsid w:val="007700E0"/>
    <w:rsid w:val="00771728"/>
    <w:rsid w:val="0077182E"/>
    <w:rsid w:val="00771BC0"/>
    <w:rsid w:val="007729B7"/>
    <w:rsid w:val="00772C73"/>
    <w:rsid w:val="007732F6"/>
    <w:rsid w:val="00773913"/>
    <w:rsid w:val="00773B39"/>
    <w:rsid w:val="00773EDA"/>
    <w:rsid w:val="00774C83"/>
    <w:rsid w:val="0077582A"/>
    <w:rsid w:val="00775F2F"/>
    <w:rsid w:val="00776C36"/>
    <w:rsid w:val="00777F27"/>
    <w:rsid w:val="00781439"/>
    <w:rsid w:val="00781BE5"/>
    <w:rsid w:val="00781FE7"/>
    <w:rsid w:val="0078214F"/>
    <w:rsid w:val="007823F8"/>
    <w:rsid w:val="00782732"/>
    <w:rsid w:val="00782E9F"/>
    <w:rsid w:val="00783000"/>
    <w:rsid w:val="007836E2"/>
    <w:rsid w:val="00783A34"/>
    <w:rsid w:val="00783FD4"/>
    <w:rsid w:val="007854EA"/>
    <w:rsid w:val="007859F7"/>
    <w:rsid w:val="00786983"/>
    <w:rsid w:val="00787546"/>
    <w:rsid w:val="00787A65"/>
    <w:rsid w:val="007909DA"/>
    <w:rsid w:val="0079168F"/>
    <w:rsid w:val="00791FD8"/>
    <w:rsid w:val="007921DD"/>
    <w:rsid w:val="00792EC1"/>
    <w:rsid w:val="0079310D"/>
    <w:rsid w:val="007937B9"/>
    <w:rsid w:val="007938EC"/>
    <w:rsid w:val="007943EF"/>
    <w:rsid w:val="007960ED"/>
    <w:rsid w:val="00796336"/>
    <w:rsid w:val="00796C00"/>
    <w:rsid w:val="0079736A"/>
    <w:rsid w:val="007A0F81"/>
    <w:rsid w:val="007A213D"/>
    <w:rsid w:val="007A306B"/>
    <w:rsid w:val="007A3709"/>
    <w:rsid w:val="007A3C08"/>
    <w:rsid w:val="007A44F3"/>
    <w:rsid w:val="007A5273"/>
    <w:rsid w:val="007A580E"/>
    <w:rsid w:val="007A6291"/>
    <w:rsid w:val="007A78DE"/>
    <w:rsid w:val="007A7D2D"/>
    <w:rsid w:val="007B1E58"/>
    <w:rsid w:val="007B21BA"/>
    <w:rsid w:val="007B21E0"/>
    <w:rsid w:val="007B2ED4"/>
    <w:rsid w:val="007B2EFA"/>
    <w:rsid w:val="007B31CA"/>
    <w:rsid w:val="007B396A"/>
    <w:rsid w:val="007B3AF5"/>
    <w:rsid w:val="007B603D"/>
    <w:rsid w:val="007C148D"/>
    <w:rsid w:val="007C1EC5"/>
    <w:rsid w:val="007C1F80"/>
    <w:rsid w:val="007C234A"/>
    <w:rsid w:val="007C245B"/>
    <w:rsid w:val="007C27D4"/>
    <w:rsid w:val="007C3A68"/>
    <w:rsid w:val="007C4C87"/>
    <w:rsid w:val="007C4DA6"/>
    <w:rsid w:val="007C5FB4"/>
    <w:rsid w:val="007C6B54"/>
    <w:rsid w:val="007C6EF1"/>
    <w:rsid w:val="007C739C"/>
    <w:rsid w:val="007D03FC"/>
    <w:rsid w:val="007D1710"/>
    <w:rsid w:val="007D1719"/>
    <w:rsid w:val="007D24BA"/>
    <w:rsid w:val="007D2596"/>
    <w:rsid w:val="007D30EA"/>
    <w:rsid w:val="007D3B9E"/>
    <w:rsid w:val="007D3CA9"/>
    <w:rsid w:val="007D3ECD"/>
    <w:rsid w:val="007D409A"/>
    <w:rsid w:val="007D5083"/>
    <w:rsid w:val="007D6FD2"/>
    <w:rsid w:val="007E00D1"/>
    <w:rsid w:val="007E038F"/>
    <w:rsid w:val="007E1038"/>
    <w:rsid w:val="007E1909"/>
    <w:rsid w:val="007E2815"/>
    <w:rsid w:val="007E2C10"/>
    <w:rsid w:val="007E2D62"/>
    <w:rsid w:val="007E4F79"/>
    <w:rsid w:val="007E50C0"/>
    <w:rsid w:val="007E6DDB"/>
    <w:rsid w:val="007E6E8D"/>
    <w:rsid w:val="007E760C"/>
    <w:rsid w:val="007E77C2"/>
    <w:rsid w:val="007E7E10"/>
    <w:rsid w:val="007F0275"/>
    <w:rsid w:val="007F06F0"/>
    <w:rsid w:val="007F0ED7"/>
    <w:rsid w:val="007F0FBC"/>
    <w:rsid w:val="007F14F8"/>
    <w:rsid w:val="007F1E8B"/>
    <w:rsid w:val="007F2339"/>
    <w:rsid w:val="007F2A7E"/>
    <w:rsid w:val="007F313A"/>
    <w:rsid w:val="007F321E"/>
    <w:rsid w:val="007F3708"/>
    <w:rsid w:val="007F41B0"/>
    <w:rsid w:val="007F49BD"/>
    <w:rsid w:val="007F4B20"/>
    <w:rsid w:val="007F7C1B"/>
    <w:rsid w:val="007F7D5E"/>
    <w:rsid w:val="008015EE"/>
    <w:rsid w:val="00801A85"/>
    <w:rsid w:val="00802646"/>
    <w:rsid w:val="008031D5"/>
    <w:rsid w:val="008035BE"/>
    <w:rsid w:val="0080507A"/>
    <w:rsid w:val="00805C2C"/>
    <w:rsid w:val="008075E2"/>
    <w:rsid w:val="00807D8C"/>
    <w:rsid w:val="008102CA"/>
    <w:rsid w:val="00810F83"/>
    <w:rsid w:val="0081102A"/>
    <w:rsid w:val="00812CB7"/>
    <w:rsid w:val="00813040"/>
    <w:rsid w:val="008133BE"/>
    <w:rsid w:val="008150BD"/>
    <w:rsid w:val="00815EBC"/>
    <w:rsid w:val="0081793A"/>
    <w:rsid w:val="00817B46"/>
    <w:rsid w:val="00821DBF"/>
    <w:rsid w:val="00822528"/>
    <w:rsid w:val="00822D81"/>
    <w:rsid w:val="008237A7"/>
    <w:rsid w:val="008241F5"/>
    <w:rsid w:val="00824288"/>
    <w:rsid w:val="00824A51"/>
    <w:rsid w:val="00824DCD"/>
    <w:rsid w:val="00825025"/>
    <w:rsid w:val="00826AEA"/>
    <w:rsid w:val="00826E67"/>
    <w:rsid w:val="00827282"/>
    <w:rsid w:val="00827DA7"/>
    <w:rsid w:val="00830209"/>
    <w:rsid w:val="00830447"/>
    <w:rsid w:val="008306AE"/>
    <w:rsid w:val="00830DED"/>
    <w:rsid w:val="00830F8A"/>
    <w:rsid w:val="008319CE"/>
    <w:rsid w:val="008328ED"/>
    <w:rsid w:val="0083399C"/>
    <w:rsid w:val="00833F8F"/>
    <w:rsid w:val="008344B1"/>
    <w:rsid w:val="00835511"/>
    <w:rsid w:val="00835614"/>
    <w:rsid w:val="00835BC8"/>
    <w:rsid w:val="00835D51"/>
    <w:rsid w:val="0083656C"/>
    <w:rsid w:val="008365F4"/>
    <w:rsid w:val="00836DD4"/>
    <w:rsid w:val="00836EEE"/>
    <w:rsid w:val="00837501"/>
    <w:rsid w:val="008379D2"/>
    <w:rsid w:val="008411EF"/>
    <w:rsid w:val="0084146C"/>
    <w:rsid w:val="008416F3"/>
    <w:rsid w:val="008426AE"/>
    <w:rsid w:val="00842933"/>
    <w:rsid w:val="00842954"/>
    <w:rsid w:val="00842C42"/>
    <w:rsid w:val="00842C5C"/>
    <w:rsid w:val="008440C3"/>
    <w:rsid w:val="0084412D"/>
    <w:rsid w:val="008442B1"/>
    <w:rsid w:val="008445EF"/>
    <w:rsid w:val="00844D43"/>
    <w:rsid w:val="00845916"/>
    <w:rsid w:val="00845FB7"/>
    <w:rsid w:val="008466EA"/>
    <w:rsid w:val="00846DF7"/>
    <w:rsid w:val="008502F8"/>
    <w:rsid w:val="00850CA2"/>
    <w:rsid w:val="00850F67"/>
    <w:rsid w:val="00851BF8"/>
    <w:rsid w:val="00851DC5"/>
    <w:rsid w:val="00852528"/>
    <w:rsid w:val="008525E8"/>
    <w:rsid w:val="00853B34"/>
    <w:rsid w:val="008542BA"/>
    <w:rsid w:val="0085527C"/>
    <w:rsid w:val="0085528B"/>
    <w:rsid w:val="008557E2"/>
    <w:rsid w:val="00856518"/>
    <w:rsid w:val="00857678"/>
    <w:rsid w:val="00857866"/>
    <w:rsid w:val="00860648"/>
    <w:rsid w:val="00861175"/>
    <w:rsid w:val="00861BEE"/>
    <w:rsid w:val="0086212D"/>
    <w:rsid w:val="00862D6F"/>
    <w:rsid w:val="00862F84"/>
    <w:rsid w:val="008635AB"/>
    <w:rsid w:val="0086447B"/>
    <w:rsid w:val="00867344"/>
    <w:rsid w:val="008674D3"/>
    <w:rsid w:val="0086760E"/>
    <w:rsid w:val="0086795F"/>
    <w:rsid w:val="0087070A"/>
    <w:rsid w:val="00870E34"/>
    <w:rsid w:val="00871175"/>
    <w:rsid w:val="00871215"/>
    <w:rsid w:val="008716D3"/>
    <w:rsid w:val="00871F94"/>
    <w:rsid w:val="0087256A"/>
    <w:rsid w:val="00872CAB"/>
    <w:rsid w:val="00874370"/>
    <w:rsid w:val="00874E55"/>
    <w:rsid w:val="00875675"/>
    <w:rsid w:val="00880F7B"/>
    <w:rsid w:val="00882D25"/>
    <w:rsid w:val="00883966"/>
    <w:rsid w:val="008844EE"/>
    <w:rsid w:val="00884740"/>
    <w:rsid w:val="00884A69"/>
    <w:rsid w:val="00884CA9"/>
    <w:rsid w:val="00885263"/>
    <w:rsid w:val="00885CED"/>
    <w:rsid w:val="00885D51"/>
    <w:rsid w:val="00886DB6"/>
    <w:rsid w:val="00886FF7"/>
    <w:rsid w:val="00887AC6"/>
    <w:rsid w:val="0089028D"/>
    <w:rsid w:val="008905D4"/>
    <w:rsid w:val="00891707"/>
    <w:rsid w:val="008927E5"/>
    <w:rsid w:val="00892B02"/>
    <w:rsid w:val="00895A99"/>
    <w:rsid w:val="008962B1"/>
    <w:rsid w:val="0089706A"/>
    <w:rsid w:val="00897B8A"/>
    <w:rsid w:val="00897C43"/>
    <w:rsid w:val="00897D0B"/>
    <w:rsid w:val="008A08F2"/>
    <w:rsid w:val="008A0DEB"/>
    <w:rsid w:val="008A1ACD"/>
    <w:rsid w:val="008A1C74"/>
    <w:rsid w:val="008A2056"/>
    <w:rsid w:val="008A2A12"/>
    <w:rsid w:val="008A2FB1"/>
    <w:rsid w:val="008A3ED9"/>
    <w:rsid w:val="008A3F30"/>
    <w:rsid w:val="008A4F9D"/>
    <w:rsid w:val="008A5442"/>
    <w:rsid w:val="008A5D35"/>
    <w:rsid w:val="008A67CA"/>
    <w:rsid w:val="008A7A76"/>
    <w:rsid w:val="008A7B73"/>
    <w:rsid w:val="008B03DF"/>
    <w:rsid w:val="008B3D49"/>
    <w:rsid w:val="008B3F5C"/>
    <w:rsid w:val="008B43A1"/>
    <w:rsid w:val="008B50AE"/>
    <w:rsid w:val="008B594A"/>
    <w:rsid w:val="008B5CE2"/>
    <w:rsid w:val="008B649D"/>
    <w:rsid w:val="008B6F14"/>
    <w:rsid w:val="008B733A"/>
    <w:rsid w:val="008B73BA"/>
    <w:rsid w:val="008C188F"/>
    <w:rsid w:val="008C193D"/>
    <w:rsid w:val="008C1F2A"/>
    <w:rsid w:val="008C25FB"/>
    <w:rsid w:val="008C302C"/>
    <w:rsid w:val="008C3DB5"/>
    <w:rsid w:val="008C539C"/>
    <w:rsid w:val="008C5D52"/>
    <w:rsid w:val="008C6641"/>
    <w:rsid w:val="008C6930"/>
    <w:rsid w:val="008C6955"/>
    <w:rsid w:val="008C6D56"/>
    <w:rsid w:val="008C71FF"/>
    <w:rsid w:val="008D0349"/>
    <w:rsid w:val="008D0ED5"/>
    <w:rsid w:val="008D11A4"/>
    <w:rsid w:val="008D1646"/>
    <w:rsid w:val="008D1CBB"/>
    <w:rsid w:val="008D510B"/>
    <w:rsid w:val="008D7237"/>
    <w:rsid w:val="008E0256"/>
    <w:rsid w:val="008E03AC"/>
    <w:rsid w:val="008E0A2F"/>
    <w:rsid w:val="008E1287"/>
    <w:rsid w:val="008E14DC"/>
    <w:rsid w:val="008E1D1D"/>
    <w:rsid w:val="008E23F8"/>
    <w:rsid w:val="008E252A"/>
    <w:rsid w:val="008E2612"/>
    <w:rsid w:val="008E2F65"/>
    <w:rsid w:val="008E45D0"/>
    <w:rsid w:val="008E5161"/>
    <w:rsid w:val="008E67CF"/>
    <w:rsid w:val="008E70E5"/>
    <w:rsid w:val="008E7604"/>
    <w:rsid w:val="008F0B83"/>
    <w:rsid w:val="008F1735"/>
    <w:rsid w:val="008F28D7"/>
    <w:rsid w:val="008F29ED"/>
    <w:rsid w:val="008F3980"/>
    <w:rsid w:val="00901C1C"/>
    <w:rsid w:val="00902763"/>
    <w:rsid w:val="0090280E"/>
    <w:rsid w:val="009028CE"/>
    <w:rsid w:val="00904100"/>
    <w:rsid w:val="00904FA3"/>
    <w:rsid w:val="009050F9"/>
    <w:rsid w:val="009057CF"/>
    <w:rsid w:val="00905B3B"/>
    <w:rsid w:val="009066AF"/>
    <w:rsid w:val="00906FEE"/>
    <w:rsid w:val="009079D6"/>
    <w:rsid w:val="00910379"/>
    <w:rsid w:val="00910962"/>
    <w:rsid w:val="009109E9"/>
    <w:rsid w:val="00910A1B"/>
    <w:rsid w:val="00914435"/>
    <w:rsid w:val="009144D6"/>
    <w:rsid w:val="0091656C"/>
    <w:rsid w:val="009204AB"/>
    <w:rsid w:val="009228E2"/>
    <w:rsid w:val="00922916"/>
    <w:rsid w:val="00922BBD"/>
    <w:rsid w:val="00922CCD"/>
    <w:rsid w:val="00922F1C"/>
    <w:rsid w:val="00923959"/>
    <w:rsid w:val="00923FE0"/>
    <w:rsid w:val="00924914"/>
    <w:rsid w:val="00924A4C"/>
    <w:rsid w:val="00925430"/>
    <w:rsid w:val="00925793"/>
    <w:rsid w:val="00931298"/>
    <w:rsid w:val="00931AA2"/>
    <w:rsid w:val="00932195"/>
    <w:rsid w:val="009321F9"/>
    <w:rsid w:val="0093312A"/>
    <w:rsid w:val="00933799"/>
    <w:rsid w:val="00933A5C"/>
    <w:rsid w:val="00934290"/>
    <w:rsid w:val="0093430A"/>
    <w:rsid w:val="00935C2E"/>
    <w:rsid w:val="009362C2"/>
    <w:rsid w:val="00936390"/>
    <w:rsid w:val="00936960"/>
    <w:rsid w:val="00936F6B"/>
    <w:rsid w:val="0093719D"/>
    <w:rsid w:val="00937A2E"/>
    <w:rsid w:val="00940420"/>
    <w:rsid w:val="009419E0"/>
    <w:rsid w:val="0094288C"/>
    <w:rsid w:val="009432ED"/>
    <w:rsid w:val="009448D8"/>
    <w:rsid w:val="00944AF2"/>
    <w:rsid w:val="00945B47"/>
    <w:rsid w:val="00945CFF"/>
    <w:rsid w:val="00945E2B"/>
    <w:rsid w:val="009467F9"/>
    <w:rsid w:val="00947933"/>
    <w:rsid w:val="00947FCD"/>
    <w:rsid w:val="00950ADF"/>
    <w:rsid w:val="009512BC"/>
    <w:rsid w:val="00952363"/>
    <w:rsid w:val="009532FC"/>
    <w:rsid w:val="009536D0"/>
    <w:rsid w:val="009537D7"/>
    <w:rsid w:val="009549F0"/>
    <w:rsid w:val="00954A1E"/>
    <w:rsid w:val="00954BC8"/>
    <w:rsid w:val="00955150"/>
    <w:rsid w:val="009552BE"/>
    <w:rsid w:val="009561CE"/>
    <w:rsid w:val="00956EF0"/>
    <w:rsid w:val="00960BE7"/>
    <w:rsid w:val="0096373C"/>
    <w:rsid w:val="00963C56"/>
    <w:rsid w:val="0096460D"/>
    <w:rsid w:val="009659C6"/>
    <w:rsid w:val="00970171"/>
    <w:rsid w:val="00971E32"/>
    <w:rsid w:val="00971EDF"/>
    <w:rsid w:val="00972205"/>
    <w:rsid w:val="0097344D"/>
    <w:rsid w:val="00973569"/>
    <w:rsid w:val="00974835"/>
    <w:rsid w:val="0097491C"/>
    <w:rsid w:val="00974AB8"/>
    <w:rsid w:val="00976755"/>
    <w:rsid w:val="00976C48"/>
    <w:rsid w:val="00977CA8"/>
    <w:rsid w:val="00980628"/>
    <w:rsid w:val="00980B5D"/>
    <w:rsid w:val="00980FDC"/>
    <w:rsid w:val="009821CB"/>
    <w:rsid w:val="0098427A"/>
    <w:rsid w:val="0098506A"/>
    <w:rsid w:val="00986940"/>
    <w:rsid w:val="009874E2"/>
    <w:rsid w:val="009875C3"/>
    <w:rsid w:val="009913DA"/>
    <w:rsid w:val="009916B7"/>
    <w:rsid w:val="009933C5"/>
    <w:rsid w:val="009946B1"/>
    <w:rsid w:val="00995B94"/>
    <w:rsid w:val="009963D4"/>
    <w:rsid w:val="00997375"/>
    <w:rsid w:val="0099755D"/>
    <w:rsid w:val="009A07BF"/>
    <w:rsid w:val="009A0ECC"/>
    <w:rsid w:val="009A0F7F"/>
    <w:rsid w:val="009A1C37"/>
    <w:rsid w:val="009A2505"/>
    <w:rsid w:val="009A29B2"/>
    <w:rsid w:val="009A3BD0"/>
    <w:rsid w:val="009A4175"/>
    <w:rsid w:val="009A5A7E"/>
    <w:rsid w:val="009A6F8D"/>
    <w:rsid w:val="009A771F"/>
    <w:rsid w:val="009A7766"/>
    <w:rsid w:val="009B0639"/>
    <w:rsid w:val="009B0C13"/>
    <w:rsid w:val="009B1319"/>
    <w:rsid w:val="009B1420"/>
    <w:rsid w:val="009B20B2"/>
    <w:rsid w:val="009B21AB"/>
    <w:rsid w:val="009B2656"/>
    <w:rsid w:val="009B4822"/>
    <w:rsid w:val="009B4DEA"/>
    <w:rsid w:val="009B51EF"/>
    <w:rsid w:val="009B527F"/>
    <w:rsid w:val="009B5C6F"/>
    <w:rsid w:val="009B67C2"/>
    <w:rsid w:val="009B707D"/>
    <w:rsid w:val="009C0A09"/>
    <w:rsid w:val="009C0BE4"/>
    <w:rsid w:val="009C1405"/>
    <w:rsid w:val="009C14DE"/>
    <w:rsid w:val="009C1FC5"/>
    <w:rsid w:val="009C24D5"/>
    <w:rsid w:val="009C3457"/>
    <w:rsid w:val="009C3CE9"/>
    <w:rsid w:val="009C48BE"/>
    <w:rsid w:val="009C4F0F"/>
    <w:rsid w:val="009C59BB"/>
    <w:rsid w:val="009C5B1F"/>
    <w:rsid w:val="009C60A2"/>
    <w:rsid w:val="009C6636"/>
    <w:rsid w:val="009C673D"/>
    <w:rsid w:val="009C6978"/>
    <w:rsid w:val="009C6B01"/>
    <w:rsid w:val="009C78A9"/>
    <w:rsid w:val="009D08FD"/>
    <w:rsid w:val="009D0EE1"/>
    <w:rsid w:val="009D116B"/>
    <w:rsid w:val="009D1FD7"/>
    <w:rsid w:val="009D3988"/>
    <w:rsid w:val="009D4391"/>
    <w:rsid w:val="009D4509"/>
    <w:rsid w:val="009D4B61"/>
    <w:rsid w:val="009D5270"/>
    <w:rsid w:val="009D6009"/>
    <w:rsid w:val="009D6295"/>
    <w:rsid w:val="009D757C"/>
    <w:rsid w:val="009E0CF3"/>
    <w:rsid w:val="009E1A65"/>
    <w:rsid w:val="009E2C88"/>
    <w:rsid w:val="009E338C"/>
    <w:rsid w:val="009E35A1"/>
    <w:rsid w:val="009E4929"/>
    <w:rsid w:val="009E6045"/>
    <w:rsid w:val="009E6C29"/>
    <w:rsid w:val="009E6D34"/>
    <w:rsid w:val="009E7A73"/>
    <w:rsid w:val="009E7BEA"/>
    <w:rsid w:val="009E7EEC"/>
    <w:rsid w:val="009F1963"/>
    <w:rsid w:val="009F1DA1"/>
    <w:rsid w:val="009F2112"/>
    <w:rsid w:val="009F397E"/>
    <w:rsid w:val="009F3A13"/>
    <w:rsid w:val="009F3BC8"/>
    <w:rsid w:val="009F46FB"/>
    <w:rsid w:val="009F4D3A"/>
    <w:rsid w:val="009F655B"/>
    <w:rsid w:val="009F71AC"/>
    <w:rsid w:val="009F7D12"/>
    <w:rsid w:val="00A011B8"/>
    <w:rsid w:val="00A02490"/>
    <w:rsid w:val="00A02DD7"/>
    <w:rsid w:val="00A02F4C"/>
    <w:rsid w:val="00A04669"/>
    <w:rsid w:val="00A05A7F"/>
    <w:rsid w:val="00A07547"/>
    <w:rsid w:val="00A10D88"/>
    <w:rsid w:val="00A11334"/>
    <w:rsid w:val="00A11B17"/>
    <w:rsid w:val="00A12BFF"/>
    <w:rsid w:val="00A13381"/>
    <w:rsid w:val="00A13707"/>
    <w:rsid w:val="00A143DF"/>
    <w:rsid w:val="00A14995"/>
    <w:rsid w:val="00A14C3A"/>
    <w:rsid w:val="00A14ED5"/>
    <w:rsid w:val="00A1545F"/>
    <w:rsid w:val="00A1578B"/>
    <w:rsid w:val="00A15DE2"/>
    <w:rsid w:val="00A1647B"/>
    <w:rsid w:val="00A16862"/>
    <w:rsid w:val="00A168B6"/>
    <w:rsid w:val="00A16D06"/>
    <w:rsid w:val="00A16D0F"/>
    <w:rsid w:val="00A17450"/>
    <w:rsid w:val="00A206B3"/>
    <w:rsid w:val="00A2189A"/>
    <w:rsid w:val="00A21FE5"/>
    <w:rsid w:val="00A23C96"/>
    <w:rsid w:val="00A23D55"/>
    <w:rsid w:val="00A23E23"/>
    <w:rsid w:val="00A24DF5"/>
    <w:rsid w:val="00A270AE"/>
    <w:rsid w:val="00A277FA"/>
    <w:rsid w:val="00A30295"/>
    <w:rsid w:val="00A30562"/>
    <w:rsid w:val="00A322A7"/>
    <w:rsid w:val="00A32E37"/>
    <w:rsid w:val="00A33FA0"/>
    <w:rsid w:val="00A3407C"/>
    <w:rsid w:val="00A348A8"/>
    <w:rsid w:val="00A34F92"/>
    <w:rsid w:val="00A3529E"/>
    <w:rsid w:val="00A354A2"/>
    <w:rsid w:val="00A35C9E"/>
    <w:rsid w:val="00A366BE"/>
    <w:rsid w:val="00A37450"/>
    <w:rsid w:val="00A408B1"/>
    <w:rsid w:val="00A410A5"/>
    <w:rsid w:val="00A42ACF"/>
    <w:rsid w:val="00A4303B"/>
    <w:rsid w:val="00A434C2"/>
    <w:rsid w:val="00A435CD"/>
    <w:rsid w:val="00A43C77"/>
    <w:rsid w:val="00A44160"/>
    <w:rsid w:val="00A4418C"/>
    <w:rsid w:val="00A4472A"/>
    <w:rsid w:val="00A44BA9"/>
    <w:rsid w:val="00A45F30"/>
    <w:rsid w:val="00A46C5F"/>
    <w:rsid w:val="00A47386"/>
    <w:rsid w:val="00A4761E"/>
    <w:rsid w:val="00A479CA"/>
    <w:rsid w:val="00A50188"/>
    <w:rsid w:val="00A502F3"/>
    <w:rsid w:val="00A50CB6"/>
    <w:rsid w:val="00A51637"/>
    <w:rsid w:val="00A5178A"/>
    <w:rsid w:val="00A53BAD"/>
    <w:rsid w:val="00A60557"/>
    <w:rsid w:val="00A605D4"/>
    <w:rsid w:val="00A61631"/>
    <w:rsid w:val="00A6173E"/>
    <w:rsid w:val="00A622E3"/>
    <w:rsid w:val="00A62505"/>
    <w:rsid w:val="00A635A1"/>
    <w:rsid w:val="00A637A4"/>
    <w:rsid w:val="00A64498"/>
    <w:rsid w:val="00A6509E"/>
    <w:rsid w:val="00A654EB"/>
    <w:rsid w:val="00A673C6"/>
    <w:rsid w:val="00A716CD"/>
    <w:rsid w:val="00A72E44"/>
    <w:rsid w:val="00A72FD0"/>
    <w:rsid w:val="00A7382D"/>
    <w:rsid w:val="00A74290"/>
    <w:rsid w:val="00A747C5"/>
    <w:rsid w:val="00A75665"/>
    <w:rsid w:val="00A761D2"/>
    <w:rsid w:val="00A77058"/>
    <w:rsid w:val="00A7729B"/>
    <w:rsid w:val="00A777CB"/>
    <w:rsid w:val="00A778AD"/>
    <w:rsid w:val="00A77BEA"/>
    <w:rsid w:val="00A77C47"/>
    <w:rsid w:val="00A81E98"/>
    <w:rsid w:val="00A834C5"/>
    <w:rsid w:val="00A83707"/>
    <w:rsid w:val="00A839C0"/>
    <w:rsid w:val="00A83E4B"/>
    <w:rsid w:val="00A84E7E"/>
    <w:rsid w:val="00A8541E"/>
    <w:rsid w:val="00A859DC"/>
    <w:rsid w:val="00A864F6"/>
    <w:rsid w:val="00A86C20"/>
    <w:rsid w:val="00A87184"/>
    <w:rsid w:val="00A87CFD"/>
    <w:rsid w:val="00A87E4D"/>
    <w:rsid w:val="00A901E9"/>
    <w:rsid w:val="00A91C11"/>
    <w:rsid w:val="00A92263"/>
    <w:rsid w:val="00A93C3C"/>
    <w:rsid w:val="00A942B4"/>
    <w:rsid w:val="00A9437A"/>
    <w:rsid w:val="00A94EC6"/>
    <w:rsid w:val="00A955B4"/>
    <w:rsid w:val="00A95933"/>
    <w:rsid w:val="00A95E94"/>
    <w:rsid w:val="00AA106F"/>
    <w:rsid w:val="00AA2EC9"/>
    <w:rsid w:val="00AA3CD7"/>
    <w:rsid w:val="00AA5523"/>
    <w:rsid w:val="00AB061B"/>
    <w:rsid w:val="00AB0909"/>
    <w:rsid w:val="00AB0984"/>
    <w:rsid w:val="00AB1B65"/>
    <w:rsid w:val="00AB2BC6"/>
    <w:rsid w:val="00AB2F72"/>
    <w:rsid w:val="00AB305C"/>
    <w:rsid w:val="00AB3A9C"/>
    <w:rsid w:val="00AB3CBD"/>
    <w:rsid w:val="00AB44CD"/>
    <w:rsid w:val="00AB4DB4"/>
    <w:rsid w:val="00AB5392"/>
    <w:rsid w:val="00AB6A00"/>
    <w:rsid w:val="00AC0925"/>
    <w:rsid w:val="00AC0B0A"/>
    <w:rsid w:val="00AC0D37"/>
    <w:rsid w:val="00AC1467"/>
    <w:rsid w:val="00AC1600"/>
    <w:rsid w:val="00AC284B"/>
    <w:rsid w:val="00AC2EF8"/>
    <w:rsid w:val="00AC3937"/>
    <w:rsid w:val="00AC3B8B"/>
    <w:rsid w:val="00AC3CB6"/>
    <w:rsid w:val="00AC43A9"/>
    <w:rsid w:val="00AC494F"/>
    <w:rsid w:val="00AC643E"/>
    <w:rsid w:val="00AC74FC"/>
    <w:rsid w:val="00AC7D67"/>
    <w:rsid w:val="00AD0441"/>
    <w:rsid w:val="00AD0852"/>
    <w:rsid w:val="00AD0CFB"/>
    <w:rsid w:val="00AD103C"/>
    <w:rsid w:val="00AD2E98"/>
    <w:rsid w:val="00AD2F39"/>
    <w:rsid w:val="00AD39D7"/>
    <w:rsid w:val="00AD411D"/>
    <w:rsid w:val="00AD4463"/>
    <w:rsid w:val="00AD5241"/>
    <w:rsid w:val="00AD587B"/>
    <w:rsid w:val="00AD5A87"/>
    <w:rsid w:val="00AD5DF0"/>
    <w:rsid w:val="00AD5EB5"/>
    <w:rsid w:val="00AD67BF"/>
    <w:rsid w:val="00AD7BB1"/>
    <w:rsid w:val="00AD7BB7"/>
    <w:rsid w:val="00AE08D9"/>
    <w:rsid w:val="00AE1D91"/>
    <w:rsid w:val="00AE25DA"/>
    <w:rsid w:val="00AE2A69"/>
    <w:rsid w:val="00AE55E2"/>
    <w:rsid w:val="00AE638C"/>
    <w:rsid w:val="00AE6496"/>
    <w:rsid w:val="00AE68EB"/>
    <w:rsid w:val="00AF0AAA"/>
    <w:rsid w:val="00AF17B3"/>
    <w:rsid w:val="00AF1987"/>
    <w:rsid w:val="00AF1A81"/>
    <w:rsid w:val="00AF2085"/>
    <w:rsid w:val="00AF2198"/>
    <w:rsid w:val="00AF3E40"/>
    <w:rsid w:val="00AF413E"/>
    <w:rsid w:val="00AF437C"/>
    <w:rsid w:val="00AF5145"/>
    <w:rsid w:val="00AF60B0"/>
    <w:rsid w:val="00AF6991"/>
    <w:rsid w:val="00AF6EE2"/>
    <w:rsid w:val="00AF7333"/>
    <w:rsid w:val="00B0002E"/>
    <w:rsid w:val="00B0079D"/>
    <w:rsid w:val="00B00A89"/>
    <w:rsid w:val="00B02F44"/>
    <w:rsid w:val="00B038FF"/>
    <w:rsid w:val="00B03ADB"/>
    <w:rsid w:val="00B03F69"/>
    <w:rsid w:val="00B0476B"/>
    <w:rsid w:val="00B05564"/>
    <w:rsid w:val="00B05911"/>
    <w:rsid w:val="00B061FC"/>
    <w:rsid w:val="00B07487"/>
    <w:rsid w:val="00B10FD2"/>
    <w:rsid w:val="00B1153B"/>
    <w:rsid w:val="00B11C56"/>
    <w:rsid w:val="00B12203"/>
    <w:rsid w:val="00B12891"/>
    <w:rsid w:val="00B13544"/>
    <w:rsid w:val="00B136F4"/>
    <w:rsid w:val="00B1476D"/>
    <w:rsid w:val="00B15039"/>
    <w:rsid w:val="00B15194"/>
    <w:rsid w:val="00B15674"/>
    <w:rsid w:val="00B16576"/>
    <w:rsid w:val="00B167A5"/>
    <w:rsid w:val="00B174F6"/>
    <w:rsid w:val="00B17728"/>
    <w:rsid w:val="00B2008B"/>
    <w:rsid w:val="00B21A79"/>
    <w:rsid w:val="00B21E6B"/>
    <w:rsid w:val="00B2288D"/>
    <w:rsid w:val="00B23DF0"/>
    <w:rsid w:val="00B240B9"/>
    <w:rsid w:val="00B24D3A"/>
    <w:rsid w:val="00B24FD2"/>
    <w:rsid w:val="00B25F5F"/>
    <w:rsid w:val="00B26390"/>
    <w:rsid w:val="00B26EB1"/>
    <w:rsid w:val="00B272DD"/>
    <w:rsid w:val="00B2768C"/>
    <w:rsid w:val="00B27D15"/>
    <w:rsid w:val="00B27D2F"/>
    <w:rsid w:val="00B32621"/>
    <w:rsid w:val="00B328DA"/>
    <w:rsid w:val="00B32EEA"/>
    <w:rsid w:val="00B33052"/>
    <w:rsid w:val="00B33B27"/>
    <w:rsid w:val="00B33B85"/>
    <w:rsid w:val="00B34351"/>
    <w:rsid w:val="00B34601"/>
    <w:rsid w:val="00B34BC8"/>
    <w:rsid w:val="00B3595A"/>
    <w:rsid w:val="00B35A33"/>
    <w:rsid w:val="00B35C06"/>
    <w:rsid w:val="00B35C61"/>
    <w:rsid w:val="00B35E88"/>
    <w:rsid w:val="00B3605A"/>
    <w:rsid w:val="00B3743D"/>
    <w:rsid w:val="00B37744"/>
    <w:rsid w:val="00B37ACA"/>
    <w:rsid w:val="00B40E1E"/>
    <w:rsid w:val="00B426D8"/>
    <w:rsid w:val="00B43C5F"/>
    <w:rsid w:val="00B43E47"/>
    <w:rsid w:val="00B44891"/>
    <w:rsid w:val="00B453AB"/>
    <w:rsid w:val="00B45D62"/>
    <w:rsid w:val="00B50209"/>
    <w:rsid w:val="00B50932"/>
    <w:rsid w:val="00B5179B"/>
    <w:rsid w:val="00B523DE"/>
    <w:rsid w:val="00B5251D"/>
    <w:rsid w:val="00B52B31"/>
    <w:rsid w:val="00B52BC0"/>
    <w:rsid w:val="00B53AA6"/>
    <w:rsid w:val="00B53C33"/>
    <w:rsid w:val="00B53D55"/>
    <w:rsid w:val="00B56086"/>
    <w:rsid w:val="00B56ABB"/>
    <w:rsid w:val="00B57049"/>
    <w:rsid w:val="00B57057"/>
    <w:rsid w:val="00B577BF"/>
    <w:rsid w:val="00B611A9"/>
    <w:rsid w:val="00B6137B"/>
    <w:rsid w:val="00B637C6"/>
    <w:rsid w:val="00B63E3E"/>
    <w:rsid w:val="00B64189"/>
    <w:rsid w:val="00B664D1"/>
    <w:rsid w:val="00B677B1"/>
    <w:rsid w:val="00B71117"/>
    <w:rsid w:val="00B71FB7"/>
    <w:rsid w:val="00B721EC"/>
    <w:rsid w:val="00B7493F"/>
    <w:rsid w:val="00B7607E"/>
    <w:rsid w:val="00B77AE8"/>
    <w:rsid w:val="00B77D36"/>
    <w:rsid w:val="00B804C3"/>
    <w:rsid w:val="00B8065E"/>
    <w:rsid w:val="00B806A1"/>
    <w:rsid w:val="00B80ACB"/>
    <w:rsid w:val="00B81C35"/>
    <w:rsid w:val="00B81C64"/>
    <w:rsid w:val="00B81D05"/>
    <w:rsid w:val="00B82CC3"/>
    <w:rsid w:val="00B82F55"/>
    <w:rsid w:val="00B83336"/>
    <w:rsid w:val="00B8349A"/>
    <w:rsid w:val="00B841B9"/>
    <w:rsid w:val="00B8490B"/>
    <w:rsid w:val="00B8507F"/>
    <w:rsid w:val="00B85BD8"/>
    <w:rsid w:val="00B8709B"/>
    <w:rsid w:val="00B90384"/>
    <w:rsid w:val="00B90902"/>
    <w:rsid w:val="00B90FF6"/>
    <w:rsid w:val="00B911D6"/>
    <w:rsid w:val="00B92284"/>
    <w:rsid w:val="00B94067"/>
    <w:rsid w:val="00B94153"/>
    <w:rsid w:val="00B946CE"/>
    <w:rsid w:val="00B9493D"/>
    <w:rsid w:val="00B950B1"/>
    <w:rsid w:val="00B95B10"/>
    <w:rsid w:val="00B95F8C"/>
    <w:rsid w:val="00B960BE"/>
    <w:rsid w:val="00B9629E"/>
    <w:rsid w:val="00BA1117"/>
    <w:rsid w:val="00BA142B"/>
    <w:rsid w:val="00BA14BD"/>
    <w:rsid w:val="00BA30CF"/>
    <w:rsid w:val="00BA4081"/>
    <w:rsid w:val="00BA6328"/>
    <w:rsid w:val="00BA678C"/>
    <w:rsid w:val="00BA6B6E"/>
    <w:rsid w:val="00BA7993"/>
    <w:rsid w:val="00BB0328"/>
    <w:rsid w:val="00BB091A"/>
    <w:rsid w:val="00BB2562"/>
    <w:rsid w:val="00BB290B"/>
    <w:rsid w:val="00BB2B09"/>
    <w:rsid w:val="00BB32BE"/>
    <w:rsid w:val="00BB39D6"/>
    <w:rsid w:val="00BB3C07"/>
    <w:rsid w:val="00BB3CEB"/>
    <w:rsid w:val="00BB48D2"/>
    <w:rsid w:val="00BB4E42"/>
    <w:rsid w:val="00BB4ED2"/>
    <w:rsid w:val="00BB6C90"/>
    <w:rsid w:val="00BC0D15"/>
    <w:rsid w:val="00BC0FC9"/>
    <w:rsid w:val="00BC1BC9"/>
    <w:rsid w:val="00BC27AF"/>
    <w:rsid w:val="00BC2C77"/>
    <w:rsid w:val="00BC2FA7"/>
    <w:rsid w:val="00BC3001"/>
    <w:rsid w:val="00BC318A"/>
    <w:rsid w:val="00BC31F4"/>
    <w:rsid w:val="00BC44A9"/>
    <w:rsid w:val="00BC6019"/>
    <w:rsid w:val="00BC6164"/>
    <w:rsid w:val="00BC6BD7"/>
    <w:rsid w:val="00BD0359"/>
    <w:rsid w:val="00BD0A16"/>
    <w:rsid w:val="00BD0BCA"/>
    <w:rsid w:val="00BD1824"/>
    <w:rsid w:val="00BD1BB6"/>
    <w:rsid w:val="00BD2F1E"/>
    <w:rsid w:val="00BD3034"/>
    <w:rsid w:val="00BD42E3"/>
    <w:rsid w:val="00BD44F4"/>
    <w:rsid w:val="00BD487B"/>
    <w:rsid w:val="00BD5AC4"/>
    <w:rsid w:val="00BD631E"/>
    <w:rsid w:val="00BD6A96"/>
    <w:rsid w:val="00BD6D66"/>
    <w:rsid w:val="00BD7397"/>
    <w:rsid w:val="00BE02EC"/>
    <w:rsid w:val="00BE09D6"/>
    <w:rsid w:val="00BE14C8"/>
    <w:rsid w:val="00BE156E"/>
    <w:rsid w:val="00BE2F6E"/>
    <w:rsid w:val="00BE345B"/>
    <w:rsid w:val="00BE5080"/>
    <w:rsid w:val="00BE55CB"/>
    <w:rsid w:val="00BE572A"/>
    <w:rsid w:val="00BE5A4C"/>
    <w:rsid w:val="00BE5C9F"/>
    <w:rsid w:val="00BE5DA7"/>
    <w:rsid w:val="00BE629A"/>
    <w:rsid w:val="00BE798E"/>
    <w:rsid w:val="00BE7F08"/>
    <w:rsid w:val="00BF0088"/>
    <w:rsid w:val="00BF0510"/>
    <w:rsid w:val="00BF05A9"/>
    <w:rsid w:val="00BF0712"/>
    <w:rsid w:val="00BF135D"/>
    <w:rsid w:val="00BF1A77"/>
    <w:rsid w:val="00BF1EB8"/>
    <w:rsid w:val="00BF2369"/>
    <w:rsid w:val="00BF359A"/>
    <w:rsid w:val="00BF35BF"/>
    <w:rsid w:val="00BF46E0"/>
    <w:rsid w:val="00BF50B5"/>
    <w:rsid w:val="00BF58F8"/>
    <w:rsid w:val="00BF5FAE"/>
    <w:rsid w:val="00BF690D"/>
    <w:rsid w:val="00BF6A1E"/>
    <w:rsid w:val="00BF6FFE"/>
    <w:rsid w:val="00BF7689"/>
    <w:rsid w:val="00BF7FDA"/>
    <w:rsid w:val="00C0017D"/>
    <w:rsid w:val="00C00387"/>
    <w:rsid w:val="00C00CB0"/>
    <w:rsid w:val="00C01DF6"/>
    <w:rsid w:val="00C0209C"/>
    <w:rsid w:val="00C045DC"/>
    <w:rsid w:val="00C046C2"/>
    <w:rsid w:val="00C05529"/>
    <w:rsid w:val="00C06B14"/>
    <w:rsid w:val="00C07825"/>
    <w:rsid w:val="00C07C4C"/>
    <w:rsid w:val="00C11930"/>
    <w:rsid w:val="00C11BCB"/>
    <w:rsid w:val="00C12AC0"/>
    <w:rsid w:val="00C12DE4"/>
    <w:rsid w:val="00C1334D"/>
    <w:rsid w:val="00C13B0D"/>
    <w:rsid w:val="00C145CA"/>
    <w:rsid w:val="00C148EB"/>
    <w:rsid w:val="00C16EA0"/>
    <w:rsid w:val="00C17C60"/>
    <w:rsid w:val="00C2232D"/>
    <w:rsid w:val="00C2264B"/>
    <w:rsid w:val="00C23079"/>
    <w:rsid w:val="00C23D55"/>
    <w:rsid w:val="00C243D0"/>
    <w:rsid w:val="00C244E9"/>
    <w:rsid w:val="00C24AE0"/>
    <w:rsid w:val="00C24D6B"/>
    <w:rsid w:val="00C25B7F"/>
    <w:rsid w:val="00C27A28"/>
    <w:rsid w:val="00C27C03"/>
    <w:rsid w:val="00C3142E"/>
    <w:rsid w:val="00C31770"/>
    <w:rsid w:val="00C3182B"/>
    <w:rsid w:val="00C31A7B"/>
    <w:rsid w:val="00C33649"/>
    <w:rsid w:val="00C33E24"/>
    <w:rsid w:val="00C3420B"/>
    <w:rsid w:val="00C35766"/>
    <w:rsid w:val="00C36443"/>
    <w:rsid w:val="00C3656A"/>
    <w:rsid w:val="00C3708C"/>
    <w:rsid w:val="00C3776A"/>
    <w:rsid w:val="00C410A3"/>
    <w:rsid w:val="00C413B7"/>
    <w:rsid w:val="00C419CC"/>
    <w:rsid w:val="00C42BFF"/>
    <w:rsid w:val="00C43FDE"/>
    <w:rsid w:val="00C44C24"/>
    <w:rsid w:val="00C4531F"/>
    <w:rsid w:val="00C45440"/>
    <w:rsid w:val="00C45A26"/>
    <w:rsid w:val="00C4733D"/>
    <w:rsid w:val="00C5031E"/>
    <w:rsid w:val="00C519AB"/>
    <w:rsid w:val="00C51A5B"/>
    <w:rsid w:val="00C52A18"/>
    <w:rsid w:val="00C5315E"/>
    <w:rsid w:val="00C5411A"/>
    <w:rsid w:val="00C541DE"/>
    <w:rsid w:val="00C54358"/>
    <w:rsid w:val="00C549F6"/>
    <w:rsid w:val="00C54BC3"/>
    <w:rsid w:val="00C55D6C"/>
    <w:rsid w:val="00C55FFF"/>
    <w:rsid w:val="00C564C2"/>
    <w:rsid w:val="00C5777B"/>
    <w:rsid w:val="00C624CD"/>
    <w:rsid w:val="00C6314C"/>
    <w:rsid w:val="00C63A70"/>
    <w:rsid w:val="00C64EDC"/>
    <w:rsid w:val="00C66729"/>
    <w:rsid w:val="00C67DF7"/>
    <w:rsid w:val="00C70309"/>
    <w:rsid w:val="00C70A5C"/>
    <w:rsid w:val="00C72258"/>
    <w:rsid w:val="00C72C49"/>
    <w:rsid w:val="00C72EC3"/>
    <w:rsid w:val="00C7339A"/>
    <w:rsid w:val="00C7403E"/>
    <w:rsid w:val="00C7413B"/>
    <w:rsid w:val="00C7500A"/>
    <w:rsid w:val="00C7559E"/>
    <w:rsid w:val="00C776CA"/>
    <w:rsid w:val="00C80B64"/>
    <w:rsid w:val="00C80D19"/>
    <w:rsid w:val="00C818DD"/>
    <w:rsid w:val="00C819D4"/>
    <w:rsid w:val="00C81CD5"/>
    <w:rsid w:val="00C81F97"/>
    <w:rsid w:val="00C82E4E"/>
    <w:rsid w:val="00C83BC0"/>
    <w:rsid w:val="00C86580"/>
    <w:rsid w:val="00C87E10"/>
    <w:rsid w:val="00C87ECB"/>
    <w:rsid w:val="00C900D8"/>
    <w:rsid w:val="00C91479"/>
    <w:rsid w:val="00C9316C"/>
    <w:rsid w:val="00C941C6"/>
    <w:rsid w:val="00C95E62"/>
    <w:rsid w:val="00C9692A"/>
    <w:rsid w:val="00C96A89"/>
    <w:rsid w:val="00CA018F"/>
    <w:rsid w:val="00CA0FDA"/>
    <w:rsid w:val="00CA11DA"/>
    <w:rsid w:val="00CA1E3F"/>
    <w:rsid w:val="00CA2EF8"/>
    <w:rsid w:val="00CA3053"/>
    <w:rsid w:val="00CA3244"/>
    <w:rsid w:val="00CA438A"/>
    <w:rsid w:val="00CA582C"/>
    <w:rsid w:val="00CA6410"/>
    <w:rsid w:val="00CA6920"/>
    <w:rsid w:val="00CA71DD"/>
    <w:rsid w:val="00CA7C72"/>
    <w:rsid w:val="00CA7FB4"/>
    <w:rsid w:val="00CB07BD"/>
    <w:rsid w:val="00CB0B1D"/>
    <w:rsid w:val="00CB0DAA"/>
    <w:rsid w:val="00CB11D0"/>
    <w:rsid w:val="00CB2234"/>
    <w:rsid w:val="00CB3ADD"/>
    <w:rsid w:val="00CB56BE"/>
    <w:rsid w:val="00CB60F3"/>
    <w:rsid w:val="00CB64EA"/>
    <w:rsid w:val="00CB66A6"/>
    <w:rsid w:val="00CB6700"/>
    <w:rsid w:val="00CB7BA4"/>
    <w:rsid w:val="00CC20E3"/>
    <w:rsid w:val="00CC3AB2"/>
    <w:rsid w:val="00CC3E6E"/>
    <w:rsid w:val="00CC47B3"/>
    <w:rsid w:val="00CC4FA8"/>
    <w:rsid w:val="00CC6328"/>
    <w:rsid w:val="00CC72D9"/>
    <w:rsid w:val="00CD0556"/>
    <w:rsid w:val="00CD07C7"/>
    <w:rsid w:val="00CD19A2"/>
    <w:rsid w:val="00CD2635"/>
    <w:rsid w:val="00CD2A52"/>
    <w:rsid w:val="00CD3075"/>
    <w:rsid w:val="00CD36CF"/>
    <w:rsid w:val="00CD409C"/>
    <w:rsid w:val="00CD4600"/>
    <w:rsid w:val="00CD54B4"/>
    <w:rsid w:val="00CD58BA"/>
    <w:rsid w:val="00CD5E8C"/>
    <w:rsid w:val="00CD64F0"/>
    <w:rsid w:val="00CD6C1B"/>
    <w:rsid w:val="00CD6EA6"/>
    <w:rsid w:val="00CD70E5"/>
    <w:rsid w:val="00CD71FD"/>
    <w:rsid w:val="00CD77EF"/>
    <w:rsid w:val="00CD7DDF"/>
    <w:rsid w:val="00CE055C"/>
    <w:rsid w:val="00CE20C7"/>
    <w:rsid w:val="00CE3AC1"/>
    <w:rsid w:val="00CE4EF1"/>
    <w:rsid w:val="00CE551E"/>
    <w:rsid w:val="00CE58B5"/>
    <w:rsid w:val="00CE6554"/>
    <w:rsid w:val="00CE65CA"/>
    <w:rsid w:val="00CE7F22"/>
    <w:rsid w:val="00CF1B5F"/>
    <w:rsid w:val="00CF1BD7"/>
    <w:rsid w:val="00CF21AF"/>
    <w:rsid w:val="00CF22CB"/>
    <w:rsid w:val="00CF24F8"/>
    <w:rsid w:val="00CF2A04"/>
    <w:rsid w:val="00CF3545"/>
    <w:rsid w:val="00CF35F7"/>
    <w:rsid w:val="00CF4767"/>
    <w:rsid w:val="00CF58F4"/>
    <w:rsid w:val="00CF5B56"/>
    <w:rsid w:val="00CF5C8A"/>
    <w:rsid w:val="00CF627B"/>
    <w:rsid w:val="00CF76FD"/>
    <w:rsid w:val="00D00527"/>
    <w:rsid w:val="00D00801"/>
    <w:rsid w:val="00D02838"/>
    <w:rsid w:val="00D03355"/>
    <w:rsid w:val="00D0337C"/>
    <w:rsid w:val="00D046EC"/>
    <w:rsid w:val="00D04B0E"/>
    <w:rsid w:val="00D05E08"/>
    <w:rsid w:val="00D06208"/>
    <w:rsid w:val="00D067E3"/>
    <w:rsid w:val="00D06AA5"/>
    <w:rsid w:val="00D06D73"/>
    <w:rsid w:val="00D06E5D"/>
    <w:rsid w:val="00D10177"/>
    <w:rsid w:val="00D113F7"/>
    <w:rsid w:val="00D115E0"/>
    <w:rsid w:val="00D11EC8"/>
    <w:rsid w:val="00D1304C"/>
    <w:rsid w:val="00D1364D"/>
    <w:rsid w:val="00D13BF1"/>
    <w:rsid w:val="00D13D05"/>
    <w:rsid w:val="00D14AA5"/>
    <w:rsid w:val="00D15B0E"/>
    <w:rsid w:val="00D15DC5"/>
    <w:rsid w:val="00D1611D"/>
    <w:rsid w:val="00D167B5"/>
    <w:rsid w:val="00D170D0"/>
    <w:rsid w:val="00D17AFD"/>
    <w:rsid w:val="00D206F8"/>
    <w:rsid w:val="00D20D01"/>
    <w:rsid w:val="00D20EA7"/>
    <w:rsid w:val="00D21213"/>
    <w:rsid w:val="00D2163F"/>
    <w:rsid w:val="00D21EE0"/>
    <w:rsid w:val="00D22160"/>
    <w:rsid w:val="00D2224D"/>
    <w:rsid w:val="00D24CA6"/>
    <w:rsid w:val="00D252A8"/>
    <w:rsid w:val="00D25555"/>
    <w:rsid w:val="00D25E80"/>
    <w:rsid w:val="00D26223"/>
    <w:rsid w:val="00D26423"/>
    <w:rsid w:val="00D301C7"/>
    <w:rsid w:val="00D30213"/>
    <w:rsid w:val="00D3028F"/>
    <w:rsid w:val="00D30B7A"/>
    <w:rsid w:val="00D3131A"/>
    <w:rsid w:val="00D3168B"/>
    <w:rsid w:val="00D31A64"/>
    <w:rsid w:val="00D31DFA"/>
    <w:rsid w:val="00D324CE"/>
    <w:rsid w:val="00D32B9C"/>
    <w:rsid w:val="00D32C21"/>
    <w:rsid w:val="00D332FF"/>
    <w:rsid w:val="00D33828"/>
    <w:rsid w:val="00D34113"/>
    <w:rsid w:val="00D341E9"/>
    <w:rsid w:val="00D346BB"/>
    <w:rsid w:val="00D35861"/>
    <w:rsid w:val="00D362E7"/>
    <w:rsid w:val="00D364A7"/>
    <w:rsid w:val="00D367C4"/>
    <w:rsid w:val="00D37294"/>
    <w:rsid w:val="00D400C1"/>
    <w:rsid w:val="00D403C5"/>
    <w:rsid w:val="00D40D4F"/>
    <w:rsid w:val="00D4131C"/>
    <w:rsid w:val="00D4139B"/>
    <w:rsid w:val="00D41622"/>
    <w:rsid w:val="00D41A43"/>
    <w:rsid w:val="00D4275B"/>
    <w:rsid w:val="00D44464"/>
    <w:rsid w:val="00D4483F"/>
    <w:rsid w:val="00D45285"/>
    <w:rsid w:val="00D4540F"/>
    <w:rsid w:val="00D45775"/>
    <w:rsid w:val="00D4586C"/>
    <w:rsid w:val="00D50649"/>
    <w:rsid w:val="00D50B10"/>
    <w:rsid w:val="00D5106A"/>
    <w:rsid w:val="00D517B2"/>
    <w:rsid w:val="00D51B89"/>
    <w:rsid w:val="00D51F7A"/>
    <w:rsid w:val="00D5241C"/>
    <w:rsid w:val="00D530DD"/>
    <w:rsid w:val="00D53B87"/>
    <w:rsid w:val="00D53BDF"/>
    <w:rsid w:val="00D54267"/>
    <w:rsid w:val="00D54E36"/>
    <w:rsid w:val="00D55F86"/>
    <w:rsid w:val="00D562E9"/>
    <w:rsid w:val="00D57189"/>
    <w:rsid w:val="00D578C8"/>
    <w:rsid w:val="00D57C7F"/>
    <w:rsid w:val="00D608D8"/>
    <w:rsid w:val="00D61305"/>
    <w:rsid w:val="00D61A37"/>
    <w:rsid w:val="00D61DF9"/>
    <w:rsid w:val="00D6225C"/>
    <w:rsid w:val="00D627B1"/>
    <w:rsid w:val="00D62C87"/>
    <w:rsid w:val="00D63B65"/>
    <w:rsid w:val="00D6483F"/>
    <w:rsid w:val="00D64A84"/>
    <w:rsid w:val="00D64DA8"/>
    <w:rsid w:val="00D65D55"/>
    <w:rsid w:val="00D6796A"/>
    <w:rsid w:val="00D7033B"/>
    <w:rsid w:val="00D70980"/>
    <w:rsid w:val="00D71075"/>
    <w:rsid w:val="00D710EC"/>
    <w:rsid w:val="00D71913"/>
    <w:rsid w:val="00D71D3C"/>
    <w:rsid w:val="00D7382C"/>
    <w:rsid w:val="00D75C1B"/>
    <w:rsid w:val="00D77A6C"/>
    <w:rsid w:val="00D80282"/>
    <w:rsid w:val="00D80BDB"/>
    <w:rsid w:val="00D811DE"/>
    <w:rsid w:val="00D82365"/>
    <w:rsid w:val="00D85D72"/>
    <w:rsid w:val="00D86EF6"/>
    <w:rsid w:val="00D871B7"/>
    <w:rsid w:val="00D8724B"/>
    <w:rsid w:val="00D873F5"/>
    <w:rsid w:val="00D90519"/>
    <w:rsid w:val="00D91688"/>
    <w:rsid w:val="00D91ACB"/>
    <w:rsid w:val="00D92B29"/>
    <w:rsid w:val="00D9390B"/>
    <w:rsid w:val="00D9580F"/>
    <w:rsid w:val="00D966E1"/>
    <w:rsid w:val="00D96E34"/>
    <w:rsid w:val="00D97B62"/>
    <w:rsid w:val="00D97BA8"/>
    <w:rsid w:val="00D97C7E"/>
    <w:rsid w:val="00D97E2E"/>
    <w:rsid w:val="00D97F43"/>
    <w:rsid w:val="00DA0ED6"/>
    <w:rsid w:val="00DA127B"/>
    <w:rsid w:val="00DA1F37"/>
    <w:rsid w:val="00DA26B7"/>
    <w:rsid w:val="00DA4B9D"/>
    <w:rsid w:val="00DA52EC"/>
    <w:rsid w:val="00DA5ACB"/>
    <w:rsid w:val="00DA7137"/>
    <w:rsid w:val="00DA7829"/>
    <w:rsid w:val="00DB044C"/>
    <w:rsid w:val="00DB07F9"/>
    <w:rsid w:val="00DB20BA"/>
    <w:rsid w:val="00DB2E22"/>
    <w:rsid w:val="00DB3B9D"/>
    <w:rsid w:val="00DB42C2"/>
    <w:rsid w:val="00DB562D"/>
    <w:rsid w:val="00DB5ED4"/>
    <w:rsid w:val="00DB6EB5"/>
    <w:rsid w:val="00DB7980"/>
    <w:rsid w:val="00DC0472"/>
    <w:rsid w:val="00DC0C08"/>
    <w:rsid w:val="00DC127C"/>
    <w:rsid w:val="00DC1D65"/>
    <w:rsid w:val="00DC1FB4"/>
    <w:rsid w:val="00DC251E"/>
    <w:rsid w:val="00DC3005"/>
    <w:rsid w:val="00DC32BE"/>
    <w:rsid w:val="00DC3B9E"/>
    <w:rsid w:val="00DC4589"/>
    <w:rsid w:val="00DC560E"/>
    <w:rsid w:val="00DC57C9"/>
    <w:rsid w:val="00DC5C25"/>
    <w:rsid w:val="00DC5FCD"/>
    <w:rsid w:val="00DC5FF8"/>
    <w:rsid w:val="00DC6379"/>
    <w:rsid w:val="00DC6E33"/>
    <w:rsid w:val="00DC7D4F"/>
    <w:rsid w:val="00DD1114"/>
    <w:rsid w:val="00DD1921"/>
    <w:rsid w:val="00DD1E50"/>
    <w:rsid w:val="00DD2BF7"/>
    <w:rsid w:val="00DD30F3"/>
    <w:rsid w:val="00DD34FB"/>
    <w:rsid w:val="00DD3766"/>
    <w:rsid w:val="00DD4394"/>
    <w:rsid w:val="00DD4DD0"/>
    <w:rsid w:val="00DD5833"/>
    <w:rsid w:val="00DD5C22"/>
    <w:rsid w:val="00DD6F8F"/>
    <w:rsid w:val="00DD7988"/>
    <w:rsid w:val="00DD7FB7"/>
    <w:rsid w:val="00DE15E2"/>
    <w:rsid w:val="00DE26A6"/>
    <w:rsid w:val="00DE2713"/>
    <w:rsid w:val="00DE2840"/>
    <w:rsid w:val="00DE28F8"/>
    <w:rsid w:val="00DE2BB6"/>
    <w:rsid w:val="00DE3C4E"/>
    <w:rsid w:val="00DE3E2E"/>
    <w:rsid w:val="00DE52D5"/>
    <w:rsid w:val="00DE6465"/>
    <w:rsid w:val="00DF0172"/>
    <w:rsid w:val="00DF1265"/>
    <w:rsid w:val="00DF257C"/>
    <w:rsid w:val="00DF2D1E"/>
    <w:rsid w:val="00DF35C2"/>
    <w:rsid w:val="00DF366C"/>
    <w:rsid w:val="00DF4DB4"/>
    <w:rsid w:val="00DF5167"/>
    <w:rsid w:val="00DF5646"/>
    <w:rsid w:val="00DF61A5"/>
    <w:rsid w:val="00DF6A0B"/>
    <w:rsid w:val="00DF71C3"/>
    <w:rsid w:val="00DF7F72"/>
    <w:rsid w:val="00E01C67"/>
    <w:rsid w:val="00E03315"/>
    <w:rsid w:val="00E03840"/>
    <w:rsid w:val="00E04CB4"/>
    <w:rsid w:val="00E05CC8"/>
    <w:rsid w:val="00E05EEC"/>
    <w:rsid w:val="00E0683C"/>
    <w:rsid w:val="00E0770D"/>
    <w:rsid w:val="00E10092"/>
    <w:rsid w:val="00E10587"/>
    <w:rsid w:val="00E10A2C"/>
    <w:rsid w:val="00E10AB5"/>
    <w:rsid w:val="00E10BB0"/>
    <w:rsid w:val="00E114D5"/>
    <w:rsid w:val="00E11B9F"/>
    <w:rsid w:val="00E11D35"/>
    <w:rsid w:val="00E11F1F"/>
    <w:rsid w:val="00E128B7"/>
    <w:rsid w:val="00E14361"/>
    <w:rsid w:val="00E14A94"/>
    <w:rsid w:val="00E14C40"/>
    <w:rsid w:val="00E1718E"/>
    <w:rsid w:val="00E17B6C"/>
    <w:rsid w:val="00E2021E"/>
    <w:rsid w:val="00E20305"/>
    <w:rsid w:val="00E2037A"/>
    <w:rsid w:val="00E2063D"/>
    <w:rsid w:val="00E23F53"/>
    <w:rsid w:val="00E24235"/>
    <w:rsid w:val="00E257D8"/>
    <w:rsid w:val="00E25D86"/>
    <w:rsid w:val="00E26CBC"/>
    <w:rsid w:val="00E27C98"/>
    <w:rsid w:val="00E30709"/>
    <w:rsid w:val="00E30CD1"/>
    <w:rsid w:val="00E30DF5"/>
    <w:rsid w:val="00E32AA0"/>
    <w:rsid w:val="00E336D8"/>
    <w:rsid w:val="00E33E90"/>
    <w:rsid w:val="00E34176"/>
    <w:rsid w:val="00E35006"/>
    <w:rsid w:val="00E35B59"/>
    <w:rsid w:val="00E35C92"/>
    <w:rsid w:val="00E3720B"/>
    <w:rsid w:val="00E37252"/>
    <w:rsid w:val="00E373D7"/>
    <w:rsid w:val="00E375BB"/>
    <w:rsid w:val="00E375C2"/>
    <w:rsid w:val="00E40614"/>
    <w:rsid w:val="00E4169E"/>
    <w:rsid w:val="00E41F2B"/>
    <w:rsid w:val="00E424B3"/>
    <w:rsid w:val="00E438D2"/>
    <w:rsid w:val="00E43D44"/>
    <w:rsid w:val="00E44782"/>
    <w:rsid w:val="00E4507C"/>
    <w:rsid w:val="00E451A7"/>
    <w:rsid w:val="00E4572E"/>
    <w:rsid w:val="00E45A5B"/>
    <w:rsid w:val="00E4641A"/>
    <w:rsid w:val="00E47389"/>
    <w:rsid w:val="00E511AC"/>
    <w:rsid w:val="00E529BF"/>
    <w:rsid w:val="00E54D22"/>
    <w:rsid w:val="00E54F0E"/>
    <w:rsid w:val="00E554DB"/>
    <w:rsid w:val="00E556A9"/>
    <w:rsid w:val="00E5672D"/>
    <w:rsid w:val="00E56AC8"/>
    <w:rsid w:val="00E56C25"/>
    <w:rsid w:val="00E573F1"/>
    <w:rsid w:val="00E574A1"/>
    <w:rsid w:val="00E604B0"/>
    <w:rsid w:val="00E60DA1"/>
    <w:rsid w:val="00E619B1"/>
    <w:rsid w:val="00E62465"/>
    <w:rsid w:val="00E62AEF"/>
    <w:rsid w:val="00E62BF2"/>
    <w:rsid w:val="00E62E50"/>
    <w:rsid w:val="00E64567"/>
    <w:rsid w:val="00E64AC1"/>
    <w:rsid w:val="00E65854"/>
    <w:rsid w:val="00E67246"/>
    <w:rsid w:val="00E67E00"/>
    <w:rsid w:val="00E7068B"/>
    <w:rsid w:val="00E70699"/>
    <w:rsid w:val="00E70B3E"/>
    <w:rsid w:val="00E711D7"/>
    <w:rsid w:val="00E71BC2"/>
    <w:rsid w:val="00E74CC1"/>
    <w:rsid w:val="00E7517F"/>
    <w:rsid w:val="00E76536"/>
    <w:rsid w:val="00E7677B"/>
    <w:rsid w:val="00E77050"/>
    <w:rsid w:val="00E7772C"/>
    <w:rsid w:val="00E806A4"/>
    <w:rsid w:val="00E81B6C"/>
    <w:rsid w:val="00E81ED7"/>
    <w:rsid w:val="00E82371"/>
    <w:rsid w:val="00E82644"/>
    <w:rsid w:val="00E839C2"/>
    <w:rsid w:val="00E83B86"/>
    <w:rsid w:val="00E842D5"/>
    <w:rsid w:val="00E84D74"/>
    <w:rsid w:val="00E85036"/>
    <w:rsid w:val="00E855A8"/>
    <w:rsid w:val="00E861BB"/>
    <w:rsid w:val="00E86452"/>
    <w:rsid w:val="00E86BB6"/>
    <w:rsid w:val="00E87888"/>
    <w:rsid w:val="00E90940"/>
    <w:rsid w:val="00E91006"/>
    <w:rsid w:val="00E9110C"/>
    <w:rsid w:val="00E913A7"/>
    <w:rsid w:val="00E93EB4"/>
    <w:rsid w:val="00E9578F"/>
    <w:rsid w:val="00E959EF"/>
    <w:rsid w:val="00E9691F"/>
    <w:rsid w:val="00E97C09"/>
    <w:rsid w:val="00EA0136"/>
    <w:rsid w:val="00EA03FC"/>
    <w:rsid w:val="00EA0616"/>
    <w:rsid w:val="00EA0A8A"/>
    <w:rsid w:val="00EA0CAF"/>
    <w:rsid w:val="00EA1060"/>
    <w:rsid w:val="00EA15FE"/>
    <w:rsid w:val="00EA173C"/>
    <w:rsid w:val="00EA1797"/>
    <w:rsid w:val="00EA2793"/>
    <w:rsid w:val="00EA4561"/>
    <w:rsid w:val="00EA4774"/>
    <w:rsid w:val="00EA4C07"/>
    <w:rsid w:val="00EA541C"/>
    <w:rsid w:val="00EA5F06"/>
    <w:rsid w:val="00EA6F96"/>
    <w:rsid w:val="00EA7041"/>
    <w:rsid w:val="00EA78F8"/>
    <w:rsid w:val="00EB1D21"/>
    <w:rsid w:val="00EB1EFD"/>
    <w:rsid w:val="00EB22AD"/>
    <w:rsid w:val="00EB3476"/>
    <w:rsid w:val="00EB3999"/>
    <w:rsid w:val="00EB4009"/>
    <w:rsid w:val="00EB4C15"/>
    <w:rsid w:val="00EB55EF"/>
    <w:rsid w:val="00EB710E"/>
    <w:rsid w:val="00EC0666"/>
    <w:rsid w:val="00EC0896"/>
    <w:rsid w:val="00EC0C8C"/>
    <w:rsid w:val="00EC1530"/>
    <w:rsid w:val="00EC1C24"/>
    <w:rsid w:val="00EC2997"/>
    <w:rsid w:val="00EC2A29"/>
    <w:rsid w:val="00EC2AD9"/>
    <w:rsid w:val="00EC3172"/>
    <w:rsid w:val="00EC3E1B"/>
    <w:rsid w:val="00EC45A9"/>
    <w:rsid w:val="00EC4D94"/>
    <w:rsid w:val="00EC5BC8"/>
    <w:rsid w:val="00EC5CB7"/>
    <w:rsid w:val="00EC5EEF"/>
    <w:rsid w:val="00EC63CC"/>
    <w:rsid w:val="00EC790C"/>
    <w:rsid w:val="00ED0089"/>
    <w:rsid w:val="00ED00E6"/>
    <w:rsid w:val="00ED16B6"/>
    <w:rsid w:val="00ED1886"/>
    <w:rsid w:val="00ED1D68"/>
    <w:rsid w:val="00ED2110"/>
    <w:rsid w:val="00ED2382"/>
    <w:rsid w:val="00ED2A56"/>
    <w:rsid w:val="00ED2F59"/>
    <w:rsid w:val="00ED362B"/>
    <w:rsid w:val="00ED54A1"/>
    <w:rsid w:val="00ED5ACE"/>
    <w:rsid w:val="00ED6275"/>
    <w:rsid w:val="00ED642A"/>
    <w:rsid w:val="00ED65CD"/>
    <w:rsid w:val="00ED6C52"/>
    <w:rsid w:val="00ED6D18"/>
    <w:rsid w:val="00ED7C72"/>
    <w:rsid w:val="00EE0114"/>
    <w:rsid w:val="00EE0FF7"/>
    <w:rsid w:val="00EE2B27"/>
    <w:rsid w:val="00EE4300"/>
    <w:rsid w:val="00EE4A5E"/>
    <w:rsid w:val="00EE5754"/>
    <w:rsid w:val="00EE71D7"/>
    <w:rsid w:val="00EE73A7"/>
    <w:rsid w:val="00EF02EE"/>
    <w:rsid w:val="00EF164F"/>
    <w:rsid w:val="00EF1E66"/>
    <w:rsid w:val="00EF27C4"/>
    <w:rsid w:val="00EF328D"/>
    <w:rsid w:val="00EF340B"/>
    <w:rsid w:val="00EF4588"/>
    <w:rsid w:val="00EF4895"/>
    <w:rsid w:val="00EF4956"/>
    <w:rsid w:val="00EF4AC5"/>
    <w:rsid w:val="00EF4F10"/>
    <w:rsid w:val="00EF5AD2"/>
    <w:rsid w:val="00EF69F3"/>
    <w:rsid w:val="00F00859"/>
    <w:rsid w:val="00F0143A"/>
    <w:rsid w:val="00F01F86"/>
    <w:rsid w:val="00F023AA"/>
    <w:rsid w:val="00F0262D"/>
    <w:rsid w:val="00F031BF"/>
    <w:rsid w:val="00F036EF"/>
    <w:rsid w:val="00F03BCC"/>
    <w:rsid w:val="00F04C7E"/>
    <w:rsid w:val="00F04E3D"/>
    <w:rsid w:val="00F0605A"/>
    <w:rsid w:val="00F068F2"/>
    <w:rsid w:val="00F11DDD"/>
    <w:rsid w:val="00F1215A"/>
    <w:rsid w:val="00F12357"/>
    <w:rsid w:val="00F125AB"/>
    <w:rsid w:val="00F12883"/>
    <w:rsid w:val="00F1292E"/>
    <w:rsid w:val="00F12B76"/>
    <w:rsid w:val="00F133B6"/>
    <w:rsid w:val="00F13E04"/>
    <w:rsid w:val="00F14CDE"/>
    <w:rsid w:val="00F14E42"/>
    <w:rsid w:val="00F15189"/>
    <w:rsid w:val="00F16692"/>
    <w:rsid w:val="00F20E6C"/>
    <w:rsid w:val="00F210DC"/>
    <w:rsid w:val="00F21131"/>
    <w:rsid w:val="00F216E3"/>
    <w:rsid w:val="00F21B8C"/>
    <w:rsid w:val="00F21B95"/>
    <w:rsid w:val="00F221D7"/>
    <w:rsid w:val="00F22A4F"/>
    <w:rsid w:val="00F22D80"/>
    <w:rsid w:val="00F23939"/>
    <w:rsid w:val="00F25762"/>
    <w:rsid w:val="00F31528"/>
    <w:rsid w:val="00F319FB"/>
    <w:rsid w:val="00F32B3D"/>
    <w:rsid w:val="00F32DBF"/>
    <w:rsid w:val="00F32E2B"/>
    <w:rsid w:val="00F336A2"/>
    <w:rsid w:val="00F34CE2"/>
    <w:rsid w:val="00F34F4B"/>
    <w:rsid w:val="00F35922"/>
    <w:rsid w:val="00F35923"/>
    <w:rsid w:val="00F3724A"/>
    <w:rsid w:val="00F374FF"/>
    <w:rsid w:val="00F37663"/>
    <w:rsid w:val="00F41195"/>
    <w:rsid w:val="00F41ED2"/>
    <w:rsid w:val="00F43588"/>
    <w:rsid w:val="00F43B34"/>
    <w:rsid w:val="00F44117"/>
    <w:rsid w:val="00F443AA"/>
    <w:rsid w:val="00F4450A"/>
    <w:rsid w:val="00F4492B"/>
    <w:rsid w:val="00F44AF7"/>
    <w:rsid w:val="00F455CB"/>
    <w:rsid w:val="00F47016"/>
    <w:rsid w:val="00F470AD"/>
    <w:rsid w:val="00F4735C"/>
    <w:rsid w:val="00F47403"/>
    <w:rsid w:val="00F47899"/>
    <w:rsid w:val="00F506AF"/>
    <w:rsid w:val="00F51807"/>
    <w:rsid w:val="00F527E6"/>
    <w:rsid w:val="00F5370B"/>
    <w:rsid w:val="00F53933"/>
    <w:rsid w:val="00F53A7A"/>
    <w:rsid w:val="00F547C6"/>
    <w:rsid w:val="00F563BD"/>
    <w:rsid w:val="00F566B4"/>
    <w:rsid w:val="00F566B9"/>
    <w:rsid w:val="00F57609"/>
    <w:rsid w:val="00F57695"/>
    <w:rsid w:val="00F6040B"/>
    <w:rsid w:val="00F61ECB"/>
    <w:rsid w:val="00F6278C"/>
    <w:rsid w:val="00F65C1F"/>
    <w:rsid w:val="00F66155"/>
    <w:rsid w:val="00F70AF9"/>
    <w:rsid w:val="00F71095"/>
    <w:rsid w:val="00F714CE"/>
    <w:rsid w:val="00F7234F"/>
    <w:rsid w:val="00F738A7"/>
    <w:rsid w:val="00F73F47"/>
    <w:rsid w:val="00F746A1"/>
    <w:rsid w:val="00F7552C"/>
    <w:rsid w:val="00F8042C"/>
    <w:rsid w:val="00F80C01"/>
    <w:rsid w:val="00F82443"/>
    <w:rsid w:val="00F826A1"/>
    <w:rsid w:val="00F82F77"/>
    <w:rsid w:val="00F83185"/>
    <w:rsid w:val="00F83BF1"/>
    <w:rsid w:val="00F84233"/>
    <w:rsid w:val="00F8445C"/>
    <w:rsid w:val="00F85224"/>
    <w:rsid w:val="00F852C0"/>
    <w:rsid w:val="00F8556D"/>
    <w:rsid w:val="00F855D6"/>
    <w:rsid w:val="00F86171"/>
    <w:rsid w:val="00F864FB"/>
    <w:rsid w:val="00F86D09"/>
    <w:rsid w:val="00F86DFF"/>
    <w:rsid w:val="00F86E8B"/>
    <w:rsid w:val="00F876E4"/>
    <w:rsid w:val="00F8790A"/>
    <w:rsid w:val="00F906A9"/>
    <w:rsid w:val="00F9110C"/>
    <w:rsid w:val="00F91754"/>
    <w:rsid w:val="00F926CD"/>
    <w:rsid w:val="00F94538"/>
    <w:rsid w:val="00F94574"/>
    <w:rsid w:val="00F96C6E"/>
    <w:rsid w:val="00F97013"/>
    <w:rsid w:val="00FA0122"/>
    <w:rsid w:val="00FA0261"/>
    <w:rsid w:val="00FA0884"/>
    <w:rsid w:val="00FA1453"/>
    <w:rsid w:val="00FA164A"/>
    <w:rsid w:val="00FA183D"/>
    <w:rsid w:val="00FA1AB5"/>
    <w:rsid w:val="00FA2635"/>
    <w:rsid w:val="00FA26B1"/>
    <w:rsid w:val="00FA2F34"/>
    <w:rsid w:val="00FA3110"/>
    <w:rsid w:val="00FA4F2E"/>
    <w:rsid w:val="00FA6484"/>
    <w:rsid w:val="00FA6936"/>
    <w:rsid w:val="00FA7083"/>
    <w:rsid w:val="00FB05AD"/>
    <w:rsid w:val="00FB1184"/>
    <w:rsid w:val="00FB1764"/>
    <w:rsid w:val="00FB1F49"/>
    <w:rsid w:val="00FB27B1"/>
    <w:rsid w:val="00FB36A1"/>
    <w:rsid w:val="00FB37DE"/>
    <w:rsid w:val="00FB3CF0"/>
    <w:rsid w:val="00FB4509"/>
    <w:rsid w:val="00FB6848"/>
    <w:rsid w:val="00FB6D31"/>
    <w:rsid w:val="00FB7242"/>
    <w:rsid w:val="00FB789F"/>
    <w:rsid w:val="00FB79F1"/>
    <w:rsid w:val="00FB7B1C"/>
    <w:rsid w:val="00FB7E33"/>
    <w:rsid w:val="00FC0819"/>
    <w:rsid w:val="00FC0BF5"/>
    <w:rsid w:val="00FC187F"/>
    <w:rsid w:val="00FC3A89"/>
    <w:rsid w:val="00FC425C"/>
    <w:rsid w:val="00FC43A6"/>
    <w:rsid w:val="00FC67A3"/>
    <w:rsid w:val="00FC6DCB"/>
    <w:rsid w:val="00FC73A1"/>
    <w:rsid w:val="00FC74A3"/>
    <w:rsid w:val="00FC7837"/>
    <w:rsid w:val="00FC7C15"/>
    <w:rsid w:val="00FD0B54"/>
    <w:rsid w:val="00FD2278"/>
    <w:rsid w:val="00FD2FA7"/>
    <w:rsid w:val="00FD48AA"/>
    <w:rsid w:val="00FD4EC4"/>
    <w:rsid w:val="00FD55C7"/>
    <w:rsid w:val="00FD55DB"/>
    <w:rsid w:val="00FD59A3"/>
    <w:rsid w:val="00FD5D14"/>
    <w:rsid w:val="00FD6172"/>
    <w:rsid w:val="00FD6D77"/>
    <w:rsid w:val="00FD7559"/>
    <w:rsid w:val="00FD7C2E"/>
    <w:rsid w:val="00FD7F05"/>
    <w:rsid w:val="00FE0133"/>
    <w:rsid w:val="00FE0186"/>
    <w:rsid w:val="00FE0338"/>
    <w:rsid w:val="00FE16C7"/>
    <w:rsid w:val="00FE1763"/>
    <w:rsid w:val="00FE1B1B"/>
    <w:rsid w:val="00FE1FBE"/>
    <w:rsid w:val="00FE23A7"/>
    <w:rsid w:val="00FE283D"/>
    <w:rsid w:val="00FE28AD"/>
    <w:rsid w:val="00FE400B"/>
    <w:rsid w:val="00FE4571"/>
    <w:rsid w:val="00FE4AD1"/>
    <w:rsid w:val="00FE4E76"/>
    <w:rsid w:val="00FE50AD"/>
    <w:rsid w:val="00FE67EF"/>
    <w:rsid w:val="00FE719F"/>
    <w:rsid w:val="00FE787F"/>
    <w:rsid w:val="00FE79E6"/>
    <w:rsid w:val="00FF02BA"/>
    <w:rsid w:val="00FF0475"/>
    <w:rsid w:val="00FF369A"/>
    <w:rsid w:val="00FF3F0E"/>
    <w:rsid w:val="00FF4306"/>
    <w:rsid w:val="00FF46F7"/>
    <w:rsid w:val="00FF4B71"/>
    <w:rsid w:val="00FF53A7"/>
    <w:rsid w:val="00FF6124"/>
    <w:rsid w:val="00FF706B"/>
    <w:rsid w:val="00FF7395"/>
    <w:rsid w:val="381C8465"/>
    <w:rsid w:val="6A8B07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37A45"/>
  <w15:docId w15:val="{35B4AA4F-91B4-412C-8F49-3449AF72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uiPriority w:val="9"/>
    <w:qFormat/>
    <w:rsid w:val="00670D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semiHidden/>
    <w:unhideWhenUsed/>
    <w:qFormat/>
    <w:rsid w:val="00D85D7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3E1990"/>
    <w:rPr>
      <w:color w:val="808080"/>
    </w:rPr>
  </w:style>
  <w:style w:type="paragraph" w:styleId="Revisie">
    <w:name w:val="Revision"/>
    <w:hidden/>
    <w:uiPriority w:val="99"/>
    <w:semiHidden/>
    <w:rsid w:val="003E1990"/>
    <w:rPr>
      <w:rFonts w:ascii="Univers" w:hAnsi="Univers"/>
      <w:sz w:val="22"/>
      <w:szCs w:val="24"/>
    </w:rPr>
  </w:style>
  <w:style w:type="character" w:styleId="Verwijzingopmerking">
    <w:name w:val="annotation reference"/>
    <w:basedOn w:val="Standaardalinea-lettertype"/>
    <w:uiPriority w:val="99"/>
    <w:semiHidden/>
    <w:unhideWhenUsed/>
    <w:rsid w:val="00663BA3"/>
    <w:rPr>
      <w:sz w:val="16"/>
      <w:szCs w:val="16"/>
    </w:rPr>
  </w:style>
  <w:style w:type="paragraph" w:styleId="Tekstopmerking">
    <w:name w:val="annotation text"/>
    <w:basedOn w:val="Standaard"/>
    <w:link w:val="TekstopmerkingChar"/>
    <w:uiPriority w:val="99"/>
    <w:unhideWhenUsed/>
    <w:rsid w:val="00663BA3"/>
    <w:rPr>
      <w:sz w:val="20"/>
      <w:szCs w:val="20"/>
    </w:rPr>
  </w:style>
  <w:style w:type="character" w:customStyle="1" w:styleId="TekstopmerkingChar">
    <w:name w:val="Tekst opmerking Char"/>
    <w:basedOn w:val="Standaardalinea-lettertype"/>
    <w:link w:val="Tekstopmerking"/>
    <w:uiPriority w:val="99"/>
    <w:rsid w:val="00663BA3"/>
    <w:rPr>
      <w:rFonts w:ascii="Univers" w:hAnsi="Univers"/>
    </w:rPr>
  </w:style>
  <w:style w:type="paragraph" w:styleId="Voetnoottekst">
    <w:name w:val="footnote text"/>
    <w:basedOn w:val="Standaard"/>
    <w:link w:val="VoetnoottekstChar"/>
    <w:uiPriority w:val="99"/>
    <w:semiHidden/>
    <w:unhideWhenUsed/>
    <w:rsid w:val="00663BA3"/>
    <w:rPr>
      <w:sz w:val="20"/>
      <w:szCs w:val="20"/>
    </w:rPr>
  </w:style>
  <w:style w:type="character" w:customStyle="1" w:styleId="VoetnoottekstChar">
    <w:name w:val="Voetnoottekst Char"/>
    <w:basedOn w:val="Standaardalinea-lettertype"/>
    <w:link w:val="Voetnoottekst"/>
    <w:uiPriority w:val="99"/>
    <w:semiHidden/>
    <w:rsid w:val="00663BA3"/>
    <w:rPr>
      <w:rFonts w:ascii="Univers" w:hAnsi="Univers"/>
    </w:rPr>
  </w:style>
  <w:style w:type="character" w:styleId="Voetnootmarkering">
    <w:name w:val="footnote reference"/>
    <w:basedOn w:val="Standaardalinea-lettertype"/>
    <w:uiPriority w:val="99"/>
    <w:semiHidden/>
    <w:unhideWhenUsed/>
    <w:rsid w:val="00663BA3"/>
    <w:rPr>
      <w:vertAlign w:val="superscript"/>
    </w:rPr>
  </w:style>
  <w:style w:type="paragraph" w:styleId="Onderwerpvanopmerking">
    <w:name w:val="annotation subject"/>
    <w:basedOn w:val="Tekstopmerking"/>
    <w:next w:val="Tekstopmerking"/>
    <w:link w:val="OnderwerpvanopmerkingChar"/>
    <w:uiPriority w:val="99"/>
    <w:semiHidden/>
    <w:unhideWhenUsed/>
    <w:rsid w:val="00DA4B9D"/>
    <w:rPr>
      <w:b/>
      <w:bCs/>
    </w:rPr>
  </w:style>
  <w:style w:type="character" w:customStyle="1" w:styleId="OnderwerpvanopmerkingChar">
    <w:name w:val="Onderwerp van opmerking Char"/>
    <w:basedOn w:val="TekstopmerkingChar"/>
    <w:link w:val="Onderwerpvanopmerking"/>
    <w:uiPriority w:val="99"/>
    <w:semiHidden/>
    <w:rsid w:val="00DA4B9D"/>
    <w:rPr>
      <w:rFonts w:ascii="Univers" w:hAnsi="Univers"/>
      <w:b/>
      <w:bCs/>
    </w:rPr>
  </w:style>
  <w:style w:type="paragraph" w:styleId="Lijstalinea">
    <w:name w:val="List Paragraph"/>
    <w:basedOn w:val="Standaard"/>
    <w:uiPriority w:val="34"/>
    <w:qFormat/>
    <w:rsid w:val="00D32C21"/>
    <w:pPr>
      <w:ind w:left="720"/>
      <w:contextualSpacing/>
    </w:pPr>
  </w:style>
  <w:style w:type="character" w:styleId="Hyperlink">
    <w:name w:val="Hyperlink"/>
    <w:basedOn w:val="Standaardalinea-lettertype"/>
    <w:uiPriority w:val="99"/>
    <w:unhideWhenUsed/>
    <w:rsid w:val="004A1656"/>
    <w:rPr>
      <w:color w:val="0000FF" w:themeColor="hyperlink"/>
      <w:u w:val="single"/>
    </w:rPr>
  </w:style>
  <w:style w:type="character" w:styleId="Onopgelostemelding">
    <w:name w:val="Unresolved Mention"/>
    <w:basedOn w:val="Standaardalinea-lettertype"/>
    <w:uiPriority w:val="99"/>
    <w:rsid w:val="004A1656"/>
    <w:rPr>
      <w:color w:val="605E5C"/>
      <w:shd w:val="clear" w:color="auto" w:fill="E1DFDD"/>
    </w:rPr>
  </w:style>
  <w:style w:type="character" w:customStyle="1" w:styleId="Kop2Char">
    <w:name w:val="Kop 2 Char"/>
    <w:basedOn w:val="Standaardalinea-lettertype"/>
    <w:link w:val="Kop2"/>
    <w:uiPriority w:val="9"/>
    <w:semiHidden/>
    <w:rsid w:val="00D85D72"/>
    <w:rPr>
      <w:rFonts w:asciiTheme="majorHAnsi" w:eastAsiaTheme="majorEastAsia" w:hAnsiTheme="majorHAnsi" w:cstheme="majorBidi"/>
      <w:color w:val="365F91" w:themeColor="accent1" w:themeShade="BF"/>
      <w:sz w:val="26"/>
      <w:szCs w:val="26"/>
    </w:rPr>
  </w:style>
  <w:style w:type="character" w:styleId="GevolgdeHyperlink">
    <w:name w:val="FollowedHyperlink"/>
    <w:basedOn w:val="Standaardalinea-lettertype"/>
    <w:uiPriority w:val="99"/>
    <w:semiHidden/>
    <w:unhideWhenUsed/>
    <w:rsid w:val="00EB22AD"/>
    <w:rPr>
      <w:color w:val="800080" w:themeColor="followedHyperlink"/>
      <w:u w:val="single"/>
    </w:rPr>
  </w:style>
  <w:style w:type="character" w:customStyle="1" w:styleId="Kop1Char">
    <w:name w:val="Kop 1 Char"/>
    <w:basedOn w:val="Standaardalinea-lettertype"/>
    <w:link w:val="Kop1"/>
    <w:uiPriority w:val="9"/>
    <w:rsid w:val="00670D62"/>
    <w:rPr>
      <w:rFonts w:asciiTheme="majorHAnsi" w:eastAsiaTheme="majorEastAsia" w:hAnsiTheme="majorHAnsi" w:cstheme="majorBidi"/>
      <w:color w:val="365F91" w:themeColor="accent1" w:themeShade="BF"/>
      <w:sz w:val="32"/>
      <w:szCs w:val="32"/>
    </w:rPr>
  </w:style>
  <w:style w:type="character" w:styleId="Vermelding">
    <w:name w:val="Mention"/>
    <w:basedOn w:val="Standaardalinea-lettertype"/>
    <w:uiPriority w:val="99"/>
    <w:rsid w:val="00CE65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6383">
      <w:bodyDiv w:val="1"/>
      <w:marLeft w:val="0"/>
      <w:marRight w:val="0"/>
      <w:marTop w:val="0"/>
      <w:marBottom w:val="0"/>
      <w:divBdr>
        <w:top w:val="none" w:sz="0" w:space="0" w:color="auto"/>
        <w:left w:val="none" w:sz="0" w:space="0" w:color="auto"/>
        <w:bottom w:val="none" w:sz="0" w:space="0" w:color="auto"/>
        <w:right w:val="none" w:sz="0" w:space="0" w:color="auto"/>
      </w:divBdr>
    </w:div>
    <w:div w:id="536045481">
      <w:bodyDiv w:val="1"/>
      <w:marLeft w:val="0"/>
      <w:marRight w:val="0"/>
      <w:marTop w:val="0"/>
      <w:marBottom w:val="0"/>
      <w:divBdr>
        <w:top w:val="none" w:sz="0" w:space="0" w:color="auto"/>
        <w:left w:val="none" w:sz="0" w:space="0" w:color="auto"/>
        <w:bottom w:val="none" w:sz="0" w:space="0" w:color="auto"/>
        <w:right w:val="none" w:sz="0" w:space="0" w:color="auto"/>
      </w:divBdr>
    </w:div>
    <w:div w:id="881399508">
      <w:bodyDiv w:val="1"/>
      <w:marLeft w:val="0"/>
      <w:marRight w:val="0"/>
      <w:marTop w:val="0"/>
      <w:marBottom w:val="0"/>
      <w:divBdr>
        <w:top w:val="none" w:sz="0" w:space="0" w:color="auto"/>
        <w:left w:val="none" w:sz="0" w:space="0" w:color="auto"/>
        <w:bottom w:val="none" w:sz="0" w:space="0" w:color="auto"/>
        <w:right w:val="none" w:sz="0" w:space="0" w:color="auto"/>
      </w:divBdr>
    </w:div>
    <w:div w:id="1048648149">
      <w:bodyDiv w:val="1"/>
      <w:marLeft w:val="0"/>
      <w:marRight w:val="0"/>
      <w:marTop w:val="0"/>
      <w:marBottom w:val="0"/>
      <w:divBdr>
        <w:top w:val="none" w:sz="0" w:space="0" w:color="auto"/>
        <w:left w:val="none" w:sz="0" w:space="0" w:color="auto"/>
        <w:bottom w:val="none" w:sz="0" w:space="0" w:color="auto"/>
        <w:right w:val="none" w:sz="0" w:space="0" w:color="auto"/>
      </w:divBdr>
    </w:div>
    <w:div w:id="1209299652">
      <w:bodyDiv w:val="1"/>
      <w:marLeft w:val="0"/>
      <w:marRight w:val="0"/>
      <w:marTop w:val="0"/>
      <w:marBottom w:val="0"/>
      <w:divBdr>
        <w:top w:val="none" w:sz="0" w:space="0" w:color="auto"/>
        <w:left w:val="none" w:sz="0" w:space="0" w:color="auto"/>
        <w:bottom w:val="none" w:sz="0" w:space="0" w:color="auto"/>
        <w:right w:val="none" w:sz="0" w:space="0" w:color="auto"/>
      </w:divBdr>
    </w:div>
    <w:div w:id="1445802419">
      <w:bodyDiv w:val="1"/>
      <w:marLeft w:val="0"/>
      <w:marRight w:val="0"/>
      <w:marTop w:val="0"/>
      <w:marBottom w:val="0"/>
      <w:divBdr>
        <w:top w:val="none" w:sz="0" w:space="0" w:color="auto"/>
        <w:left w:val="none" w:sz="0" w:space="0" w:color="auto"/>
        <w:bottom w:val="none" w:sz="0" w:space="0" w:color="auto"/>
        <w:right w:val="none" w:sz="0" w:space="0" w:color="auto"/>
      </w:divBdr>
    </w:div>
    <w:div w:id="1657758002">
      <w:bodyDiv w:val="1"/>
      <w:marLeft w:val="0"/>
      <w:marRight w:val="0"/>
      <w:marTop w:val="0"/>
      <w:marBottom w:val="0"/>
      <w:divBdr>
        <w:top w:val="none" w:sz="0" w:space="0" w:color="auto"/>
        <w:left w:val="none" w:sz="0" w:space="0" w:color="auto"/>
        <w:bottom w:val="none" w:sz="0" w:space="0" w:color="auto"/>
        <w:right w:val="none" w:sz="0" w:space="0" w:color="auto"/>
      </w:divBdr>
    </w:div>
    <w:div w:id="1698651880">
      <w:bodyDiv w:val="1"/>
      <w:marLeft w:val="0"/>
      <w:marRight w:val="0"/>
      <w:marTop w:val="0"/>
      <w:marBottom w:val="0"/>
      <w:divBdr>
        <w:top w:val="none" w:sz="0" w:space="0" w:color="auto"/>
        <w:left w:val="none" w:sz="0" w:space="0" w:color="auto"/>
        <w:bottom w:val="none" w:sz="0" w:space="0" w:color="auto"/>
        <w:right w:val="none" w:sz="0" w:space="0" w:color="auto"/>
      </w:divBdr>
    </w:div>
    <w:div w:id="203734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nlarbeidsinspectie.nl/publicaties/publicaties/2022/07/07/monitor-arbeidsuitbuiting-en-ernstige-benadeling-2020-2021" TargetMode="External"/><Relationship Id="rId1" Type="http://schemas.openxmlformats.org/officeDocument/2006/relationships/hyperlink" Target="https://open.overheid.nl/documenten/ronl-a04e8e7a-0cd5-4d8b-9463-93533c5ceadf/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E80A0CFD-8526-4157-81DD-596CD4492257}"/>
      </w:docPartPr>
      <w:docPartBody>
        <w:p w:rsidR="00F62DB9" w:rsidRDefault="00032E75">
          <w:r w:rsidRPr="00A459D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75"/>
    <w:rsid w:val="00032E75"/>
    <w:rsid w:val="000967A0"/>
    <w:rsid w:val="003C7866"/>
    <w:rsid w:val="00490CCD"/>
    <w:rsid w:val="00A11365"/>
    <w:rsid w:val="00F62D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32E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2866</ap:Words>
  <ap:Characters>15768</ap:Characters>
  <ap:DocSecurity>0</ap:DocSecurity>
  <ap:Lines>131</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2024-02-08T14:05:00.0000000Z</lastPrinted>
  <dcterms:created xsi:type="dcterms:W3CDTF">2024-02-08T14:56:00.0000000Z</dcterms:created>
  <dcterms:modified xsi:type="dcterms:W3CDTF">2024-02-08T14:56:00.0000000Z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W16.23.00354/II</vt:lpwstr>
  </property>
  <property fmtid="{D5CDD505-2E9C-101B-9397-08002B2CF9AE}" pid="5" name="zaaktype">
    <vt:lpwstr>WET</vt:lpwstr>
  </property>
  <property fmtid="{D5CDD505-2E9C-101B-9397-08002B2CF9AE}" pid="6" name="ContentTypeId">
    <vt:lpwstr>0x010100FA5A77795FEADA4EA512273036134446002CF1AA67DCEA38409603A59A4760A663</vt:lpwstr>
  </property>
  <property fmtid="{D5CDD505-2E9C-101B-9397-08002B2CF9AE}" pid="7" name="Bestemming">
    <vt:lpwstr>2;#Corsa|a7721b99-8166-4953-a37e-7c8574fb4b8b</vt:lpwstr>
  </property>
  <property fmtid="{D5CDD505-2E9C-101B-9397-08002B2CF9AE}" pid="8" name="_dlc_DocIdItemGuid">
    <vt:lpwstr>2e20a626-822f-4f25-8503-e3505cd9e856</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