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E69ED" w:rsidTr="00452820" w14:paraId="6C2CF2A6" w14:textId="77777777">
        <w:sdt>
          <w:sdtPr>
            <w:tag w:val="bmZaakNummerAdvies"/>
            <w:id w:val="-1269853441"/>
            <w:lock w:val="sdtLocked"/>
            <w:placeholder>
              <w:docPart w:val="DefaultPlaceholder_-1854013440"/>
            </w:placeholder>
          </w:sdtPr>
          <w:sdtEndPr/>
          <w:sdtContent>
            <w:tc>
              <w:tcPr>
                <w:tcW w:w="4251" w:type="dxa"/>
              </w:tcPr>
              <w:p w:rsidR="007E69ED" w:rsidRDefault="00670338" w14:paraId="5D7C6758" w14:textId="025D0C4E">
                <w:r>
                  <w:t>No. W12.23.00375/III</w:t>
                </w:r>
              </w:p>
            </w:tc>
          </w:sdtContent>
        </w:sdt>
        <w:sdt>
          <w:sdtPr>
            <w:tag w:val="bmDatumAdvies"/>
            <w:id w:val="-1709019190"/>
            <w:lock w:val="sdtLocked"/>
            <w:placeholder>
              <w:docPart w:val="DefaultPlaceholder_-1854013440"/>
            </w:placeholder>
          </w:sdtPr>
          <w:sdtEndPr/>
          <w:sdtContent>
            <w:tc>
              <w:tcPr>
                <w:tcW w:w="4252" w:type="dxa"/>
              </w:tcPr>
              <w:p w:rsidR="007E69ED" w:rsidRDefault="00670338" w14:paraId="08958C1D" w14:textId="10991EB9">
                <w:r>
                  <w:t>'s-Gravenhage, 14 maart 2024</w:t>
                </w:r>
              </w:p>
            </w:tc>
          </w:sdtContent>
        </w:sdt>
      </w:tr>
    </w:tbl>
    <w:p w:rsidR="002A4400" w:rsidRDefault="002A4400" w14:paraId="76595DF2" w14:textId="77777777"/>
    <w:p w:rsidR="003E3AF8" w:rsidRDefault="003E3AF8" w14:paraId="7B38323E" w14:textId="77777777"/>
    <w:p w:rsidR="001978DD" w:rsidRDefault="002E2F54" w14:paraId="2186E52D" w14:textId="5091836F">
      <w:sdt>
        <w:sdtPr>
          <w:tag w:val="bmAanhef"/>
          <w:id w:val="1758094379"/>
          <w:lock w:val="sdtLocked"/>
          <w:placeholder>
            <w:docPart w:val="DefaultPlaceholder_-1854013440"/>
          </w:placeholder>
        </w:sdtPr>
        <w:sdtEndPr/>
        <w:sdtContent>
          <w:r w:rsidR="00670338">
            <w:rPr>
              <w:color w:val="000000"/>
            </w:rPr>
            <w:t>Bij Kabinetsmissive van 18 december 2023, no.2023002985, heeft Uwe Majesteit, op voordracht van de Minister van Sociale Zaken en Werkgelegenheid, bij de Afdeling advisering van de Raad van State ter overweging aanhangig gemaakt het voorstel van wet tot wijziging van de Wet minimumloon en minimumvakantiebijslag in verband met de implementatie van Richtlijn (EU) 2022/2041 van het Europees Parlement en de Raad van 19 oktober 2022 betreffende toereikende minimumlonen in de Europese Unie (Pb EU 2022, L 275) (Wet implementatie EU-richtlijn toereikende minimumlonen), met memorie van toelichting.</w:t>
          </w:r>
        </w:sdtContent>
      </w:sdt>
    </w:p>
    <w:p w:rsidR="001978DD" w:rsidRDefault="001978DD" w14:paraId="2186E52E" w14:textId="77777777"/>
    <w:sdt>
      <w:sdtPr>
        <w:tag w:val="bmVrijeTekst1"/>
        <w:id w:val="-1426717069"/>
        <w:lock w:val="sdtLocked"/>
        <w:placeholder>
          <w:docPart w:val="DefaultPlaceholder_-1854013440"/>
        </w:placeholder>
      </w:sdtPr>
      <w:sdtEndPr/>
      <w:sdtContent>
        <w:p w:rsidR="005709E2" w:rsidP="005709E2" w:rsidRDefault="001E3388" w14:paraId="73DC4667" w14:textId="42D6ECAC">
          <w:pPr>
            <w:rPr>
              <w:iCs/>
            </w:rPr>
          </w:pPr>
          <w:r>
            <w:t xml:space="preserve">De </w:t>
          </w:r>
          <w:r w:rsidR="00DD48DD">
            <w:rPr>
              <w:iCs/>
            </w:rPr>
            <w:t xml:space="preserve">EU-richtlijn betreffende toereikende minimumlonen in de Europese Unie </w:t>
          </w:r>
          <w:r>
            <w:rPr>
              <w:iCs/>
            </w:rPr>
            <w:t xml:space="preserve">heeft betrekking op de </w:t>
          </w:r>
          <w:proofErr w:type="spellStart"/>
          <w:r w:rsidR="008B19E0">
            <w:rPr>
              <w:iCs/>
            </w:rPr>
            <w:t>toereikendheid</w:t>
          </w:r>
          <w:proofErr w:type="spellEnd"/>
          <w:r w:rsidR="008B19E0">
            <w:rPr>
              <w:iCs/>
            </w:rPr>
            <w:t xml:space="preserve"> </w:t>
          </w:r>
          <w:r>
            <w:rPr>
              <w:iCs/>
            </w:rPr>
            <w:t xml:space="preserve">van </w:t>
          </w:r>
          <w:r w:rsidR="006D0AD5">
            <w:rPr>
              <w:iCs/>
            </w:rPr>
            <w:t xml:space="preserve">en bescherming door </w:t>
          </w:r>
          <w:r>
            <w:rPr>
              <w:iCs/>
            </w:rPr>
            <w:t xml:space="preserve">het minimumloon en </w:t>
          </w:r>
          <w:r w:rsidR="005E7E27">
            <w:rPr>
              <w:iCs/>
            </w:rPr>
            <w:t>het bevorderen van collectieve onderhandelingen</w:t>
          </w:r>
          <w:r>
            <w:rPr>
              <w:iCs/>
            </w:rPr>
            <w:t xml:space="preserve">. </w:t>
          </w:r>
          <w:r w:rsidR="00D803F2">
            <w:rPr>
              <w:iCs/>
            </w:rPr>
            <w:t xml:space="preserve">Ter implementatie van de richtlijn </w:t>
          </w:r>
          <w:r w:rsidR="00DD48DD">
            <w:rPr>
              <w:iCs/>
            </w:rPr>
            <w:t xml:space="preserve">voorziet het wetsvoorstel in een aantal </w:t>
          </w:r>
          <w:r w:rsidR="00D7704B">
            <w:rPr>
              <w:iCs/>
            </w:rPr>
            <w:t xml:space="preserve">wijzigingen van de Wet minimumloon en minimumvakantiebijslag. </w:t>
          </w:r>
          <w:r w:rsidR="00AD1793">
            <w:rPr>
              <w:iCs/>
            </w:rPr>
            <w:t xml:space="preserve">Met </w:t>
          </w:r>
          <w:r w:rsidR="00736DA6">
            <w:rPr>
              <w:iCs/>
            </w:rPr>
            <w:t>betrekking tot andere onderdelen van de richtlijn</w:t>
          </w:r>
          <w:r w:rsidR="00EA21B2">
            <w:rPr>
              <w:iCs/>
            </w:rPr>
            <w:t xml:space="preserve"> </w:t>
          </w:r>
          <w:r w:rsidR="00D803F2">
            <w:rPr>
              <w:iCs/>
            </w:rPr>
            <w:t>verwijst</w:t>
          </w:r>
          <w:r w:rsidR="00EA21B2">
            <w:rPr>
              <w:iCs/>
            </w:rPr>
            <w:t xml:space="preserve"> de toelichting </w:t>
          </w:r>
          <w:r w:rsidR="00D803F2">
            <w:rPr>
              <w:iCs/>
            </w:rPr>
            <w:t>naar</w:t>
          </w:r>
          <w:r w:rsidR="00EA21B2">
            <w:rPr>
              <w:iCs/>
            </w:rPr>
            <w:t xml:space="preserve"> de </w:t>
          </w:r>
          <w:r w:rsidR="00736DA6">
            <w:rPr>
              <w:iCs/>
            </w:rPr>
            <w:t>bestaande praktijk</w:t>
          </w:r>
          <w:r w:rsidR="001B5C17">
            <w:rPr>
              <w:iCs/>
            </w:rPr>
            <w:t xml:space="preserve"> in Nederland.</w:t>
          </w:r>
        </w:p>
        <w:p w:rsidR="00EA21B2" w:rsidP="005709E2" w:rsidRDefault="00EA21B2" w14:paraId="02BC6F6C" w14:textId="77777777">
          <w:pPr>
            <w:rPr>
              <w:iCs/>
            </w:rPr>
          </w:pPr>
        </w:p>
        <w:p w:rsidR="00FD27B9" w:rsidP="009F4818" w:rsidRDefault="00EA21B2" w14:paraId="127D59B0" w14:textId="4BE0569A">
          <w:r>
            <w:rPr>
              <w:iCs/>
            </w:rPr>
            <w:t xml:space="preserve">De Afdeling advisering van de Raad van State </w:t>
          </w:r>
          <w:r w:rsidR="006B220E">
            <w:rPr>
              <w:iCs/>
            </w:rPr>
            <w:t>merkt op</w:t>
          </w:r>
          <w:r w:rsidR="00FD27B9">
            <w:t xml:space="preserve"> dat de regering </w:t>
          </w:r>
          <w:r w:rsidR="005D102B">
            <w:t>wil volstaan met</w:t>
          </w:r>
          <w:r w:rsidR="00D22141">
            <w:t xml:space="preserve"> een beperkt</w:t>
          </w:r>
          <w:r w:rsidR="00E35C6C">
            <w:t xml:space="preserve"> aantal </w:t>
          </w:r>
          <w:r w:rsidR="00AB6D06">
            <w:t>wetswijzigingen t</w:t>
          </w:r>
          <w:r w:rsidR="00D22141">
            <w:t>e</w:t>
          </w:r>
          <w:r w:rsidR="00AB6D06">
            <w:t>r</w:t>
          </w:r>
          <w:r w:rsidR="00FD27B9">
            <w:t xml:space="preserve"> implementatie van de richtlijn</w:t>
          </w:r>
          <w:r w:rsidR="00D22141">
            <w:t>.</w:t>
          </w:r>
          <w:r w:rsidDel="00F567EE" w:rsidR="001B5C17">
            <w:t xml:space="preserve"> </w:t>
          </w:r>
          <w:r w:rsidR="00DE753C">
            <w:t>D</w:t>
          </w:r>
          <w:r w:rsidR="00074DA2">
            <w:t>eze keuze</w:t>
          </w:r>
          <w:r w:rsidDel="00F567EE" w:rsidR="00117B9F">
            <w:t xml:space="preserve"> </w:t>
          </w:r>
          <w:r w:rsidR="00DE753C">
            <w:t xml:space="preserve">is </w:t>
          </w:r>
          <w:r w:rsidDel="00F567EE" w:rsidR="00117B9F">
            <w:t xml:space="preserve">op </w:t>
          </w:r>
          <w:r w:rsidR="00734D31">
            <w:t xml:space="preserve">zichzelf </w:t>
          </w:r>
          <w:r w:rsidR="00074DA2">
            <w:t>begrijpelijk, maar</w:t>
          </w:r>
          <w:r w:rsidR="00071D63">
            <w:t xml:space="preserve"> </w:t>
          </w:r>
          <w:r w:rsidR="003A3D01">
            <w:t xml:space="preserve">de Afdeling </w:t>
          </w:r>
          <w:r w:rsidR="003526CE">
            <w:t xml:space="preserve">adviseert daarbij in </w:t>
          </w:r>
          <w:r w:rsidR="00074DA2">
            <w:t xml:space="preserve">de toelichting </w:t>
          </w:r>
          <w:r w:rsidR="00A26F98">
            <w:t xml:space="preserve">wel </w:t>
          </w:r>
          <w:r w:rsidR="00625EE1">
            <w:t>nader</w:t>
          </w:r>
          <w:r w:rsidR="003526CE">
            <w:t xml:space="preserve"> aandacht te besteden a</w:t>
          </w:r>
          <w:r w:rsidR="00A0265E">
            <w:t>an de onafhankelijkheid van vakbonden en werkgeversorganisaties</w:t>
          </w:r>
          <w:r w:rsidR="009F4818">
            <w:t xml:space="preserve"> en de uitwerking van de indicatieve referentiewaarden. </w:t>
          </w:r>
        </w:p>
        <w:p w:rsidR="009F4818" w:rsidP="009F4818" w:rsidRDefault="009F4818" w14:paraId="72E9E5DE" w14:textId="77777777"/>
        <w:p w:rsidRPr="00671176" w:rsidR="009F4818" w:rsidP="009F4818" w:rsidRDefault="009F4818" w14:paraId="19EFB35C" w14:textId="3E0A7E28">
          <w:pPr>
            <w:rPr>
              <w:iCs/>
            </w:rPr>
          </w:pPr>
          <w:r>
            <w:t xml:space="preserve">In verband hiermee is aanpassing van de toelichting wenselijk. </w:t>
          </w:r>
        </w:p>
        <w:p w:rsidR="00295870" w:rsidP="005709E2" w:rsidRDefault="00295870" w14:paraId="49644006" w14:textId="77777777"/>
        <w:p w:rsidR="005709E2" w:rsidP="005709E2" w:rsidRDefault="005B633A" w14:paraId="78C16519" w14:textId="182318A6">
          <w:r>
            <w:t>1.</w:t>
          </w:r>
          <w:r>
            <w:tab/>
          </w:r>
          <w:r>
            <w:rPr>
              <w:u w:val="single"/>
            </w:rPr>
            <w:t>Achtergrond en inhoud wetsvoorstel</w:t>
          </w:r>
        </w:p>
        <w:p w:rsidRPr="005B633A" w:rsidR="005B633A" w:rsidP="005709E2" w:rsidRDefault="005B633A" w14:paraId="55A46CD2" w14:textId="77777777"/>
        <w:p w:rsidR="006466A1" w:rsidP="006466A1" w:rsidRDefault="005709E2" w14:paraId="104CA373" w14:textId="5E985C63">
          <w:r>
            <w:t>O</w:t>
          </w:r>
          <w:r w:rsidR="00D1041D">
            <w:t xml:space="preserve">p 19 oktober </w:t>
          </w:r>
          <w:r>
            <w:t>2022 is Richtlijn</w:t>
          </w:r>
          <w:r w:rsidR="00882910">
            <w:t xml:space="preserve"> (EU) 2022/2041</w:t>
          </w:r>
          <w:r w:rsidR="00DA2523">
            <w:t xml:space="preserve"> betreffende</w:t>
          </w:r>
          <w:r w:rsidR="00882910">
            <w:t xml:space="preserve"> toereikende</w:t>
          </w:r>
          <w:r w:rsidR="00DA2523">
            <w:t xml:space="preserve"> minimumlonen in de Europese Unie </w:t>
          </w:r>
          <w:r w:rsidR="00882910">
            <w:t xml:space="preserve">(hierna: de richtlijn) </w:t>
          </w:r>
          <w:r w:rsidR="00DA2523">
            <w:t>v</w:t>
          </w:r>
          <w:r>
            <w:t>astgesteld.</w:t>
          </w:r>
          <w:r w:rsidR="00DA2523">
            <w:rPr>
              <w:rStyle w:val="Voetnootmarkering"/>
            </w:rPr>
            <w:footnoteReference w:id="2"/>
          </w:r>
          <w:r>
            <w:t xml:space="preserve"> </w:t>
          </w:r>
          <w:r w:rsidR="00882910">
            <w:t>De</w:t>
          </w:r>
          <w:r>
            <w:t xml:space="preserve"> richtlijn </w:t>
          </w:r>
          <w:r w:rsidR="00AE02AD">
            <w:t>stelt</w:t>
          </w:r>
          <w:r w:rsidR="00841411">
            <w:t xml:space="preserve"> een regelkader vast</w:t>
          </w:r>
          <w:r w:rsidR="006466A1">
            <w:t xml:space="preserve"> met het oog op betere leefomstandigheden en arbeidsvoorwaarden in de Unie, met name op het vlak van de </w:t>
          </w:r>
          <w:proofErr w:type="spellStart"/>
          <w:r w:rsidR="006466A1">
            <w:t>toereikendheid</w:t>
          </w:r>
          <w:proofErr w:type="spellEnd"/>
          <w:r w:rsidR="006466A1">
            <w:t xml:space="preserve"> van minimumlonen voor werknemers </w:t>
          </w:r>
          <w:r w:rsidR="00650B33">
            <w:t xml:space="preserve">om zo bij te dragen </w:t>
          </w:r>
          <w:r w:rsidR="006466A1">
            <w:t xml:space="preserve">aan opwaartse sociale convergentie en </w:t>
          </w:r>
          <w:r w:rsidR="0086262D">
            <w:t xml:space="preserve">vermindering van </w:t>
          </w:r>
          <w:r w:rsidR="006466A1">
            <w:t>loonongelijkheid</w:t>
          </w:r>
          <w:r w:rsidR="0048579D">
            <w:t>.</w:t>
          </w:r>
          <w:r w:rsidR="002E5D6A">
            <w:t xml:space="preserve"> </w:t>
          </w:r>
          <w:r w:rsidR="00473C23">
            <w:t>Mede</w:t>
          </w:r>
          <w:r w:rsidR="00882910">
            <w:t xml:space="preserve"> gelet op het subsidiariteitsbeginsel,</w:t>
          </w:r>
          <w:r w:rsidR="00FC5BD7">
            <w:t xml:space="preserve"> </w:t>
          </w:r>
          <w:r w:rsidR="00473C23">
            <w:t xml:space="preserve">bestaat dit kader </w:t>
          </w:r>
          <w:r w:rsidR="00FC5BD7">
            <w:t>u</w:t>
          </w:r>
          <w:r w:rsidR="002E5D6A">
            <w:t xml:space="preserve">it minimumvereisten op het niveau van de </w:t>
          </w:r>
          <w:r w:rsidR="008D4471">
            <w:t>Unie en procedurele verplichtingen.</w:t>
          </w:r>
          <w:r w:rsidR="008D4471">
            <w:rPr>
              <w:rStyle w:val="Voetnootmarkering"/>
            </w:rPr>
            <w:footnoteReference w:id="3"/>
          </w:r>
          <w:r w:rsidR="008D4471">
            <w:t xml:space="preserve"> </w:t>
          </w:r>
        </w:p>
        <w:p w:rsidR="008D4471" w:rsidP="006466A1" w:rsidRDefault="008D4471" w14:paraId="43C3C13E" w14:textId="77777777"/>
        <w:p w:rsidR="00D36FA1" w:rsidP="000F30E1" w:rsidRDefault="00DD1426" w14:paraId="239D6ADF" w14:textId="3956F2FC">
          <w:r>
            <w:lastRenderedPageBreak/>
            <w:t>Meer specifiek</w:t>
          </w:r>
          <w:r w:rsidR="008D4471">
            <w:t xml:space="preserve"> ziet het </w:t>
          </w:r>
          <w:r w:rsidR="00882910">
            <w:t>kader</w:t>
          </w:r>
          <w:r w:rsidR="008D4471">
            <w:t xml:space="preserve"> op de </w:t>
          </w:r>
          <w:proofErr w:type="spellStart"/>
          <w:r w:rsidR="000F30E1">
            <w:t>toereikendheid</w:t>
          </w:r>
          <w:proofErr w:type="spellEnd"/>
          <w:r w:rsidR="000F30E1">
            <w:t xml:space="preserve"> van wettelijke minimumlonen met het oog op het verwezenlijken van behoorlijke leefomstandigheden en arbeidsvoorwaarden</w:t>
          </w:r>
          <w:r w:rsidR="004A7C28">
            <w:t xml:space="preserve">, </w:t>
          </w:r>
          <w:r w:rsidR="000E306D">
            <w:t xml:space="preserve">op </w:t>
          </w:r>
          <w:r w:rsidR="004A7C28">
            <w:t>h</w:t>
          </w:r>
          <w:r w:rsidR="000F30E1">
            <w:t>et bevorderen van collectieve onderhandelingen over loonvaststelling</w:t>
          </w:r>
          <w:r w:rsidR="004A7C28">
            <w:t xml:space="preserve"> en </w:t>
          </w:r>
          <w:r w:rsidR="000E306D">
            <w:t xml:space="preserve">op </w:t>
          </w:r>
          <w:r w:rsidR="004A7C28">
            <w:t>h</w:t>
          </w:r>
          <w:r w:rsidR="000F30E1">
            <w:t>et verbeteren van de daadwerkelijke toegang van werknemers tot rechten op bescherming door minimumlonen</w:t>
          </w:r>
          <w:r w:rsidR="004A7C28">
            <w:t xml:space="preserve"> </w:t>
          </w:r>
          <w:r w:rsidR="00093620">
            <w:t>indien</w:t>
          </w:r>
          <w:r w:rsidR="004A7C28">
            <w:t xml:space="preserve"> </w:t>
          </w:r>
          <w:r w:rsidR="000F30E1">
            <w:t xml:space="preserve">nationale wetgeving </w:t>
          </w:r>
          <w:r w:rsidR="004A7C28">
            <w:t>of</w:t>
          </w:r>
          <w:r w:rsidR="000F30E1">
            <w:t xml:space="preserve"> collectieve arbeidsovereenkomsten</w:t>
          </w:r>
          <w:r w:rsidR="000A30D4">
            <w:t xml:space="preserve"> (cao’s)</w:t>
          </w:r>
          <w:r w:rsidR="000F30E1">
            <w:t xml:space="preserve"> daarin voorzien.</w:t>
          </w:r>
          <w:r w:rsidR="004A7C28">
            <w:rPr>
              <w:rStyle w:val="Voetnootmarkering"/>
            </w:rPr>
            <w:footnoteReference w:id="4"/>
          </w:r>
        </w:p>
        <w:p w:rsidR="00D36FA1" w:rsidP="005709E2" w:rsidRDefault="00D36FA1" w14:paraId="53E9CA63" w14:textId="77777777"/>
        <w:p w:rsidR="005709E2" w:rsidP="005709E2" w:rsidRDefault="00F5358D" w14:paraId="3B1BA30E" w14:textId="3627BAD0">
          <w:r>
            <w:t>Ter</w:t>
          </w:r>
          <w:r w:rsidR="005709E2">
            <w:t xml:space="preserve"> implementatie van de richtlijn </w:t>
          </w:r>
          <w:r w:rsidR="006268DD">
            <w:t xml:space="preserve">wordt </w:t>
          </w:r>
          <w:r w:rsidR="005709E2">
            <w:t>de W</w:t>
          </w:r>
          <w:r w:rsidR="00D1041D">
            <w:t xml:space="preserve">et minimumloon en </w:t>
          </w:r>
          <w:r w:rsidR="00BB60D2">
            <w:t>minimumvakantiebijslag (</w:t>
          </w:r>
          <w:proofErr w:type="spellStart"/>
          <w:r w:rsidR="00BB60D2">
            <w:t>W</w:t>
          </w:r>
          <w:r w:rsidR="005709E2">
            <w:t>ml</w:t>
          </w:r>
          <w:proofErr w:type="spellEnd"/>
          <w:r w:rsidR="00BB60D2">
            <w:t>)</w:t>
          </w:r>
          <w:r w:rsidR="000A37AD">
            <w:t xml:space="preserve"> </w:t>
          </w:r>
          <w:r w:rsidR="00261225">
            <w:t>gewijzigd</w:t>
          </w:r>
          <w:r w:rsidR="00BB60D2">
            <w:t>.</w:t>
          </w:r>
          <w:r w:rsidR="000A37AD">
            <w:t xml:space="preserve"> Geregeld </w:t>
          </w:r>
          <w:r w:rsidR="00820BED">
            <w:t>wordt</w:t>
          </w:r>
          <w:r w:rsidR="005709E2">
            <w:t xml:space="preserve"> dat</w:t>
          </w:r>
          <w:r w:rsidR="00AC36DC">
            <w:t xml:space="preserve"> </w:t>
          </w:r>
          <w:r w:rsidR="005709E2">
            <w:t xml:space="preserve">de vierjaarlijkse evaluatie van het minimumloon </w:t>
          </w:r>
          <w:r w:rsidR="000A37AD">
            <w:t>plaatsvindt</w:t>
          </w:r>
          <w:r w:rsidR="00E6787D">
            <w:t xml:space="preserve"> a</w:t>
          </w:r>
          <w:r w:rsidR="005709E2">
            <w:t xml:space="preserve">an de hand van een aantal criteria, </w:t>
          </w:r>
          <w:r w:rsidR="00B3601B">
            <w:t xml:space="preserve">die </w:t>
          </w:r>
          <w:r w:rsidR="006316B8">
            <w:t xml:space="preserve">afkomstig </w:t>
          </w:r>
          <w:r w:rsidR="00B3601B">
            <w:t>zijn</w:t>
          </w:r>
          <w:r w:rsidR="006316B8">
            <w:t xml:space="preserve"> uit</w:t>
          </w:r>
          <w:r w:rsidDel="006316B8" w:rsidR="005709E2">
            <w:t xml:space="preserve"> </w:t>
          </w:r>
          <w:r w:rsidR="005709E2">
            <w:t>de richtlijn.</w:t>
          </w:r>
          <w:r w:rsidR="00E90715">
            <w:rPr>
              <w:rStyle w:val="Voetnootmarkering"/>
            </w:rPr>
            <w:footnoteReference w:id="5"/>
          </w:r>
          <w:r w:rsidR="005709E2">
            <w:t xml:space="preserve"> </w:t>
          </w:r>
          <w:r w:rsidR="006316B8">
            <w:t>D</w:t>
          </w:r>
          <w:r w:rsidR="00E6787D">
            <w:t xml:space="preserve">ie criteria </w:t>
          </w:r>
          <w:r w:rsidR="006316B8">
            <w:t xml:space="preserve">moeten ook </w:t>
          </w:r>
          <w:r w:rsidR="00E6787D">
            <w:t>worden meegewogen b</w:t>
          </w:r>
          <w:r w:rsidR="005709E2">
            <w:t xml:space="preserve">ij </w:t>
          </w:r>
          <w:r w:rsidR="005C65A4">
            <w:t xml:space="preserve">een </w:t>
          </w:r>
          <w:r w:rsidR="00920AD4">
            <w:t xml:space="preserve">bijzondere </w:t>
          </w:r>
          <w:r w:rsidR="00520CCD">
            <w:t xml:space="preserve">beleidsmatige </w:t>
          </w:r>
          <w:r w:rsidR="00E6787D">
            <w:t>vaststelling van het minimumloon</w:t>
          </w:r>
          <w:r w:rsidR="005709E2">
            <w:t>.</w:t>
          </w:r>
          <w:r w:rsidR="00E168F2">
            <w:rPr>
              <w:rStyle w:val="Voetnootmarkering"/>
            </w:rPr>
            <w:footnoteReference w:id="6"/>
          </w:r>
          <w:r w:rsidR="005709E2">
            <w:t xml:space="preserve"> </w:t>
          </w:r>
          <w:r w:rsidR="00920AD4">
            <w:t>Verder dient bij</w:t>
          </w:r>
          <w:r w:rsidR="005709E2">
            <w:t xml:space="preserve"> de</w:t>
          </w:r>
          <w:r w:rsidDel="006316B8" w:rsidR="005709E2">
            <w:t xml:space="preserve"> </w:t>
          </w:r>
          <w:r w:rsidR="005709E2">
            <w:t xml:space="preserve">evaluatie de </w:t>
          </w:r>
          <w:proofErr w:type="spellStart"/>
          <w:r w:rsidR="005709E2">
            <w:t>toereikendheid</w:t>
          </w:r>
          <w:proofErr w:type="spellEnd"/>
          <w:r w:rsidR="005709E2">
            <w:t xml:space="preserve"> van het minimumloon </w:t>
          </w:r>
          <w:r w:rsidR="00920AD4">
            <w:t>te</w:t>
          </w:r>
          <w:r w:rsidR="005709E2">
            <w:t xml:space="preserve"> worden beoordeeld aan de hand van indicatieve referentiewaarden. Deze zullen bij ministeriële regeling worden vastgesteld.</w:t>
          </w:r>
          <w:r w:rsidR="00E6787D">
            <w:rPr>
              <w:rStyle w:val="Voetnootmarkering"/>
            </w:rPr>
            <w:footnoteReference w:id="7"/>
          </w:r>
          <w:r w:rsidR="00371E3E">
            <w:t xml:space="preserve"> </w:t>
          </w:r>
        </w:p>
        <w:p w:rsidR="00371E3E" w:rsidP="005709E2" w:rsidRDefault="00371E3E" w14:paraId="3D2A3270" w14:textId="77777777"/>
        <w:p w:rsidR="0019041E" w:rsidP="005709E2" w:rsidRDefault="00920AD4" w14:paraId="6420F72F" w14:textId="262AAA19">
          <w:r>
            <w:t>Het wetsvoorstel voorziet daarnaast i</w:t>
          </w:r>
          <w:r w:rsidR="005709E2">
            <w:t>n een benadelingsverbod voor de werkgever jegens de werknemer als d</w:t>
          </w:r>
          <w:r w:rsidR="00422D7B">
            <w:t xml:space="preserve">ie </w:t>
          </w:r>
          <w:r w:rsidR="005709E2">
            <w:t>zijn recht op het minimumloon</w:t>
          </w:r>
          <w:r w:rsidR="00A91AD6">
            <w:t xml:space="preserve"> </w:t>
          </w:r>
          <w:r w:rsidR="005709E2">
            <w:t>geldend maakt</w:t>
          </w:r>
          <w:r w:rsidR="00C278DA">
            <w:t xml:space="preserve">, daartoe bijstand heeft verleend of </w:t>
          </w:r>
          <w:r w:rsidR="002C43FE">
            <w:t xml:space="preserve">hierover </w:t>
          </w:r>
          <w:r w:rsidR="005709E2">
            <w:t>een klacht heeft ingediend.</w:t>
          </w:r>
          <w:r w:rsidR="00E6787D">
            <w:rPr>
              <w:rStyle w:val="Voetnootmarkering"/>
            </w:rPr>
            <w:footnoteReference w:id="8"/>
          </w:r>
          <w:r w:rsidR="007446A6">
            <w:t xml:space="preserve"> </w:t>
          </w:r>
          <w:r w:rsidR="002C43FE">
            <w:t xml:space="preserve">In </w:t>
          </w:r>
          <w:r w:rsidR="0067453D">
            <w:t>de</w:t>
          </w:r>
          <w:r w:rsidR="002C43FE">
            <w:t xml:space="preserve"> laatste twee gevallen ziet </w:t>
          </w:r>
          <w:r w:rsidR="0067453D">
            <w:t>het verbod</w:t>
          </w:r>
          <w:r w:rsidR="002C43FE">
            <w:t xml:space="preserve"> ook op </w:t>
          </w:r>
          <w:r w:rsidRPr="00583B7A" w:rsidR="00583B7A">
            <w:t>werknemersvertegenwoordigers, met inbegrip van de vakbondsleden of -</w:t>
          </w:r>
          <w:r w:rsidR="00583B7A">
            <w:t>v</w:t>
          </w:r>
          <w:r w:rsidRPr="00583B7A" w:rsidR="00583B7A">
            <w:t>ertegenwoordigers, die in dienst zijn bij de werkgever</w:t>
          </w:r>
          <w:r w:rsidR="00583B7A">
            <w:t>.</w:t>
          </w:r>
          <w:r w:rsidR="00F6460D">
            <w:rPr>
              <w:rStyle w:val="Voetnootmarkering"/>
            </w:rPr>
            <w:footnoteReference w:id="9"/>
          </w:r>
          <w:r w:rsidR="00583B7A">
            <w:t xml:space="preserve"> Het benadelingsverbod </w:t>
          </w:r>
          <w:r w:rsidR="00AB5F11">
            <w:t>is een</w:t>
          </w:r>
          <w:r w:rsidR="0067453D">
            <w:t xml:space="preserve"> </w:t>
          </w:r>
          <w:r w:rsidR="00583B7A">
            <w:t>civielrechtelijk</w:t>
          </w:r>
          <w:r w:rsidR="0045433E">
            <w:t xml:space="preserve">e </w:t>
          </w:r>
          <w:r w:rsidRPr="00EE19C8" w:rsidR="0045433E">
            <w:t>b</w:t>
          </w:r>
          <w:r w:rsidR="00AB5F11">
            <w:t>eschermingsb</w:t>
          </w:r>
          <w:r w:rsidRPr="00EE19C8" w:rsidR="0045433E">
            <w:t>epaling</w:t>
          </w:r>
          <w:r w:rsidR="008217C5">
            <w:t>.</w:t>
          </w:r>
          <w:r w:rsidR="0067453D">
            <w:rPr>
              <w:rStyle w:val="Voetnootmarkering"/>
            </w:rPr>
            <w:footnoteReference w:id="10"/>
          </w:r>
        </w:p>
        <w:p w:rsidR="005709E2" w:rsidP="005709E2" w:rsidRDefault="0019041E" w14:paraId="139FE5C4" w14:textId="35C8E578">
          <w:r>
            <w:t xml:space="preserve"> </w:t>
          </w:r>
        </w:p>
        <w:p w:rsidR="00E6787D" w:rsidP="005709E2" w:rsidRDefault="00E6787D" w14:paraId="128DC72E" w14:textId="3BB97F18">
          <w:r>
            <w:t xml:space="preserve">2. </w:t>
          </w:r>
          <w:r>
            <w:tab/>
          </w:r>
          <w:r w:rsidR="00D76DA0">
            <w:rPr>
              <w:u w:val="single"/>
            </w:rPr>
            <w:t>Nederlandse praktijk</w:t>
          </w:r>
        </w:p>
        <w:p w:rsidR="00E6787D" w:rsidP="005709E2" w:rsidRDefault="00E6787D" w14:paraId="73F99238" w14:textId="77777777"/>
        <w:p w:rsidR="00642F10" w:rsidP="00082EEC" w:rsidRDefault="00A009E0" w14:paraId="7220AF83" w14:textId="17479462">
          <w:r w:rsidRPr="00A009E0">
            <w:t xml:space="preserve">De richtlijn formuleert een aantal uitgangspunten voor de </w:t>
          </w:r>
          <w:proofErr w:type="spellStart"/>
          <w:r w:rsidRPr="00A009E0">
            <w:t>toereikendheid</w:t>
          </w:r>
          <w:proofErr w:type="spellEnd"/>
          <w:r w:rsidRPr="00A009E0">
            <w:t xml:space="preserve"> van en bescherming door minimumlonen en voor de bevordering van collectieve onderhandelingen over loonvaststelling. </w:t>
          </w:r>
          <w:r w:rsidR="005D56D0">
            <w:t xml:space="preserve">Uit de considerans </w:t>
          </w:r>
          <w:r w:rsidR="00020C7A">
            <w:t xml:space="preserve">blijkt </w:t>
          </w:r>
          <w:r w:rsidR="0095298D">
            <w:t>dat</w:t>
          </w:r>
          <w:r w:rsidR="00020C7A">
            <w:t xml:space="preserve"> </w:t>
          </w:r>
          <w:r w:rsidR="005D56D0">
            <w:t xml:space="preserve">niet </w:t>
          </w:r>
          <w:r>
            <w:t xml:space="preserve">wordt </w:t>
          </w:r>
          <w:r w:rsidR="00A6383E">
            <w:t>beoogd</w:t>
          </w:r>
          <w:r w:rsidR="005D56D0">
            <w:t xml:space="preserve"> het mi</w:t>
          </w:r>
          <w:r w:rsidR="00725BEE">
            <w:t>nimumloon in de Unie te harmoniseren of</w:t>
          </w:r>
          <w:r w:rsidR="007536F9">
            <w:t xml:space="preserve"> </w:t>
          </w:r>
          <w:r w:rsidR="00F22501">
            <w:t>e</w:t>
          </w:r>
          <w:r w:rsidR="00725BEE">
            <w:t xml:space="preserve">en uniform mechanisme voor </w:t>
          </w:r>
          <w:r w:rsidR="009870FB">
            <w:t>vaststelling van minimumlonen vast te stellen.</w:t>
          </w:r>
          <w:r w:rsidR="00247D0E">
            <w:rPr>
              <w:rStyle w:val="Voetnootmarkering"/>
            </w:rPr>
            <w:footnoteReference w:id="11"/>
          </w:r>
          <w:r w:rsidR="009870FB">
            <w:t xml:space="preserve"> Lidstaten </w:t>
          </w:r>
          <w:r w:rsidR="008D2D07">
            <w:t>behouden</w:t>
          </w:r>
          <w:r w:rsidR="009870FB">
            <w:t xml:space="preserve"> </w:t>
          </w:r>
          <w:r w:rsidR="00A45DE5">
            <w:t>de</w:t>
          </w:r>
          <w:r w:rsidR="009870FB">
            <w:t xml:space="preserve"> vrijheid om wettelijk</w:t>
          </w:r>
          <w:r w:rsidR="00A45DE5">
            <w:t>e</w:t>
          </w:r>
          <w:r w:rsidR="009870FB">
            <w:t xml:space="preserve"> minimumlonen vast te stellen of </w:t>
          </w:r>
          <w:r>
            <w:t>om</w:t>
          </w:r>
          <w:r w:rsidR="009870FB">
            <w:t xml:space="preserve"> de toegang tot bescherming </w:t>
          </w:r>
          <w:r w:rsidRPr="00642F10" w:rsidR="00642F10">
            <w:t xml:space="preserve">door minimumlonen in het kader van </w:t>
          </w:r>
          <w:r w:rsidR="008F2BBB">
            <w:t>cao’s</w:t>
          </w:r>
          <w:r w:rsidRPr="00642F10" w:rsidR="00642F10">
            <w:t xml:space="preserve"> te bevorderen</w:t>
          </w:r>
          <w:r w:rsidR="006370D1">
            <w:t xml:space="preserve">. </w:t>
          </w:r>
          <w:r w:rsidR="00970C01">
            <w:t xml:space="preserve">De nationale </w:t>
          </w:r>
          <w:r w:rsidRPr="00642F10" w:rsidR="00642F10">
            <w:t>wetgeving en praktijken en de specifieke kenmerken van elke lidstaat</w:t>
          </w:r>
          <w:r w:rsidR="00970C01">
            <w:t xml:space="preserve"> zijn daarbij </w:t>
          </w:r>
          <w:r w:rsidR="008426FF">
            <w:t>leidend.</w:t>
          </w:r>
          <w:r w:rsidR="00765B7C">
            <w:rPr>
              <w:rStyle w:val="Voetnootmarkering"/>
            </w:rPr>
            <w:footnoteReference w:id="12"/>
          </w:r>
        </w:p>
        <w:p w:rsidR="00BF3438" w:rsidP="00082EEC" w:rsidRDefault="00BF3438" w14:paraId="642EBEE2" w14:textId="77777777"/>
        <w:p w:rsidR="001D51DA" w:rsidP="005709E2" w:rsidRDefault="00082EEC" w14:paraId="0F690FA8" w14:textId="03E7E5D7">
          <w:r>
            <w:lastRenderedPageBreak/>
            <w:t xml:space="preserve">Het wetsvoorstel </w:t>
          </w:r>
          <w:r w:rsidR="007053DE">
            <w:t>bevat</w:t>
          </w:r>
          <w:r w:rsidR="00854185">
            <w:t xml:space="preserve"> een</w:t>
          </w:r>
          <w:r w:rsidR="000E1DDF">
            <w:t xml:space="preserve"> </w:t>
          </w:r>
          <w:r w:rsidR="00854185">
            <w:t xml:space="preserve">beperkt aantal bepalingen ter implementatie van de richtlijn. </w:t>
          </w:r>
          <w:r w:rsidR="000E1DDF">
            <w:t>Volgens de toelichting bevat de richtlijn veel elem</w:t>
          </w:r>
          <w:r w:rsidR="004F0330">
            <w:t>enten die in Nederland a</w:t>
          </w:r>
          <w:r>
            <w:t xml:space="preserve">l deel uitmaken van </w:t>
          </w:r>
          <w:r w:rsidR="002F2482">
            <w:t>de bestaande</w:t>
          </w:r>
          <w:r>
            <w:t xml:space="preserve"> praktijk.</w:t>
          </w:r>
          <w:r>
            <w:rPr>
              <w:rStyle w:val="Voetnootmarkering"/>
            </w:rPr>
            <w:footnoteReference w:id="13"/>
          </w:r>
          <w:r w:rsidR="004F0330">
            <w:t xml:space="preserve"> </w:t>
          </w:r>
          <w:r w:rsidR="00686A68">
            <w:t xml:space="preserve">Naast </w:t>
          </w:r>
          <w:r w:rsidR="00E6787D">
            <w:t xml:space="preserve">de bepalingen die aan de </w:t>
          </w:r>
          <w:proofErr w:type="spellStart"/>
          <w:r w:rsidR="00E6787D">
            <w:t>Wml</w:t>
          </w:r>
          <w:proofErr w:type="spellEnd"/>
          <w:r w:rsidR="00E6787D">
            <w:t xml:space="preserve"> worden toegevoegd, </w:t>
          </w:r>
          <w:r w:rsidR="00212DD0">
            <w:t xml:space="preserve">gaat de toelichting daarom </w:t>
          </w:r>
          <w:r w:rsidR="00AE39B7">
            <w:t>in</w:t>
          </w:r>
          <w:r w:rsidR="0023385A">
            <w:t xml:space="preserve"> op </w:t>
          </w:r>
          <w:r w:rsidR="00E6787D">
            <w:t xml:space="preserve">de </w:t>
          </w:r>
          <w:r w:rsidR="002F7173">
            <w:t xml:space="preserve">bestaande </w:t>
          </w:r>
          <w:r w:rsidR="00A367B5">
            <w:t>Nederlandse praktijk</w:t>
          </w:r>
          <w:r w:rsidR="00E6787D">
            <w:t xml:space="preserve"> </w:t>
          </w:r>
          <w:r w:rsidR="0023385A">
            <w:t>met betrekking tot het wettelijk</w:t>
          </w:r>
          <w:r w:rsidR="00E6787D">
            <w:t xml:space="preserve"> minimumloon</w:t>
          </w:r>
          <w:r w:rsidR="0035293C">
            <w:t xml:space="preserve"> </w:t>
          </w:r>
          <w:r w:rsidR="00023DD2">
            <w:t>(</w:t>
          </w:r>
          <w:r w:rsidR="0035293C">
            <w:t xml:space="preserve">vaststelling, inhoudingen en variaties, </w:t>
          </w:r>
          <w:r w:rsidR="00362971">
            <w:t>toezicht en handhaving voor doeltreffende toegang</w:t>
          </w:r>
          <w:r w:rsidR="00023DD2">
            <w:t>),</w:t>
          </w:r>
          <w:r w:rsidR="00362971">
            <w:t xml:space="preserve"> </w:t>
          </w:r>
          <w:r w:rsidR="00E6787D">
            <w:t>de collectieve onderhandelingen</w:t>
          </w:r>
          <w:r w:rsidR="00E91061">
            <w:t xml:space="preserve"> </w:t>
          </w:r>
          <w:r w:rsidR="00E23C62">
            <w:t>over arbeidsvoorwaarden</w:t>
          </w:r>
          <w:r w:rsidR="00E91061">
            <w:t xml:space="preserve"> en de </w:t>
          </w:r>
          <w:r w:rsidR="00023DD2">
            <w:t>betrokkenheid van sociale partners.</w:t>
          </w:r>
          <w:r w:rsidR="00B025D6">
            <w:rPr>
              <w:rStyle w:val="Voetnootmarkering"/>
            </w:rPr>
            <w:footnoteReference w:id="14"/>
          </w:r>
        </w:p>
        <w:p w:rsidRPr="00ED2D51" w:rsidR="00845427" w:rsidP="00B910F3" w:rsidRDefault="00845427" w14:paraId="417FE780" w14:textId="77777777"/>
        <w:p w:rsidRPr="00ED2D51" w:rsidR="00B910F3" w:rsidP="00B910F3" w:rsidRDefault="00845427" w14:paraId="74F98FCA" w14:textId="4145FC08">
          <w:r w:rsidRPr="00ED2D51">
            <w:t xml:space="preserve">De Afdeling </w:t>
          </w:r>
          <w:r w:rsidRPr="00ED2D51" w:rsidR="00B9779C">
            <w:t xml:space="preserve">onderschrijft </w:t>
          </w:r>
          <w:r w:rsidRPr="00ED2D51">
            <w:t>dat Nederland o</w:t>
          </w:r>
          <w:r w:rsidRPr="00ED2D51" w:rsidR="00B910F3">
            <w:t>p de verschillende gebieden waar de richtlijn op ziet, lang staande praktijken</w:t>
          </w:r>
          <w:r w:rsidRPr="00ED2D51">
            <w:t xml:space="preserve"> kent</w:t>
          </w:r>
          <w:r w:rsidRPr="00ED2D51" w:rsidR="00B910F3">
            <w:t xml:space="preserve">. Dit neemt niet weg dat </w:t>
          </w:r>
          <w:r w:rsidRPr="00ED2D51" w:rsidR="00B9779C">
            <w:t xml:space="preserve">deze praktijken </w:t>
          </w:r>
          <w:r w:rsidRPr="00ED2D51" w:rsidR="00DA0FCD">
            <w:t xml:space="preserve">ook in beweging zijn en praktische en principiële vragen oproepen waarover verdere discussie nodig is. </w:t>
          </w:r>
          <w:r w:rsidRPr="00ED2D51" w:rsidR="00DB29E3">
            <w:t xml:space="preserve">Dit geldt </w:t>
          </w:r>
          <w:r w:rsidRPr="00ED2D51" w:rsidR="00B910F3">
            <w:t>bijvoorbeeld</w:t>
          </w:r>
          <w:r w:rsidR="002F4304">
            <w:t xml:space="preserve"> voor de </w:t>
          </w:r>
          <w:r w:rsidR="00253B30">
            <w:t xml:space="preserve">invloed </w:t>
          </w:r>
          <w:r w:rsidR="002F4304">
            <w:t xml:space="preserve">van </w:t>
          </w:r>
          <w:r w:rsidR="00E33A70">
            <w:t>de hoeveelheid</w:t>
          </w:r>
          <w:r w:rsidR="00885855">
            <w:t xml:space="preserve"> </w:t>
          </w:r>
          <w:r w:rsidR="002F4304">
            <w:t>onzekere en atypische arbeidsr</w:t>
          </w:r>
          <w:r w:rsidR="00D544A2">
            <w:t xml:space="preserve">elaties op de dekkingsgraad van collectieve onderhandelingen in Nederland en de betekenis daarvan voor een </w:t>
          </w:r>
          <w:r w:rsidR="00991ECE">
            <w:t xml:space="preserve">uit de richtlijn voortvloeiend </w:t>
          </w:r>
          <w:r w:rsidR="00D544A2">
            <w:t xml:space="preserve">actieplan om </w:t>
          </w:r>
          <w:r w:rsidR="00F970B5">
            <w:t xml:space="preserve">deze </w:t>
          </w:r>
          <w:r w:rsidR="006C0660">
            <w:t>dekkingsgraad te</w:t>
          </w:r>
          <w:r w:rsidR="00BC4507">
            <w:t xml:space="preserve"> verhogen</w:t>
          </w:r>
          <w:r w:rsidR="00F970B5">
            <w:t>.</w:t>
          </w:r>
          <w:r w:rsidR="00BD074B">
            <w:rPr>
              <w:rStyle w:val="Voetnootmarkering"/>
            </w:rPr>
            <w:footnoteReference w:id="15"/>
          </w:r>
          <w:r w:rsidRPr="00ED2D51" w:rsidR="00B910F3">
            <w:t xml:space="preserve"> </w:t>
          </w:r>
        </w:p>
        <w:p w:rsidR="000C548F" w:rsidP="005709E2" w:rsidRDefault="000C548F" w14:paraId="21E178F3" w14:textId="77777777"/>
        <w:p w:rsidRPr="00ED2D51" w:rsidR="00E475C8" w:rsidP="00E475C8" w:rsidRDefault="005E0346" w14:paraId="7158CFAB" w14:textId="633C4391">
          <w:r w:rsidRPr="00ED2D51">
            <w:t>D</w:t>
          </w:r>
          <w:r w:rsidRPr="00ED2D51" w:rsidR="006670E0">
            <w:t xml:space="preserve">e Afdeling </w:t>
          </w:r>
          <w:r w:rsidRPr="00ED2D51" w:rsidDel="0055081A" w:rsidR="006670E0">
            <w:t xml:space="preserve">begrijpt </w:t>
          </w:r>
          <w:r w:rsidRPr="00ED2D51" w:rsidDel="00AC7380" w:rsidR="006670E0">
            <w:t>dat</w:t>
          </w:r>
          <w:r w:rsidRPr="00ED2D51" w:rsidR="00666695">
            <w:t xml:space="preserve"> </w:t>
          </w:r>
          <w:r w:rsidRPr="00ED2D51" w:rsidR="006670E0">
            <w:t xml:space="preserve">de implementatie van de richtlijn </w:t>
          </w:r>
          <w:r w:rsidRPr="00ED2D51" w:rsidR="00666695">
            <w:t xml:space="preserve">niet de gelegenheid is om </w:t>
          </w:r>
          <w:r w:rsidRPr="00ED2D51" w:rsidR="00AF3F4D">
            <w:t xml:space="preserve">deze </w:t>
          </w:r>
          <w:r w:rsidRPr="00ED2D51" w:rsidR="00C51E2E">
            <w:t xml:space="preserve">meer fundamentele </w:t>
          </w:r>
          <w:r w:rsidRPr="00ED2D51" w:rsidR="00AF3F4D">
            <w:t>discussies te be</w:t>
          </w:r>
          <w:r w:rsidRPr="00ED2D51" w:rsidR="00C51E2E">
            <w:t>s</w:t>
          </w:r>
          <w:r w:rsidRPr="00ED2D51" w:rsidR="00AF3F4D">
            <w:t>lechten</w:t>
          </w:r>
          <w:r w:rsidRPr="00ED2D51" w:rsidR="00FF3EF2">
            <w:t xml:space="preserve"> </w:t>
          </w:r>
          <w:r w:rsidRPr="00ED2D51" w:rsidR="00883258">
            <w:t xml:space="preserve">en dat het </w:t>
          </w:r>
          <w:r w:rsidRPr="00ED2D51" w:rsidR="00FF3EF2">
            <w:t xml:space="preserve">daarom </w:t>
          </w:r>
          <w:r w:rsidRPr="00ED2D51" w:rsidR="00E475C8">
            <w:t xml:space="preserve">in de rede </w:t>
          </w:r>
          <w:r w:rsidRPr="00ED2D51" w:rsidR="00883258">
            <w:t xml:space="preserve">ligt </w:t>
          </w:r>
          <w:r w:rsidRPr="00ED2D51" w:rsidR="00E475C8">
            <w:t xml:space="preserve">om in </w:t>
          </w:r>
          <w:r w:rsidRPr="00ED2D51" w:rsidR="00C41712">
            <w:t xml:space="preserve">dit kader </w:t>
          </w:r>
          <w:r w:rsidRPr="00ED2D51" w:rsidR="00E475C8">
            <w:t xml:space="preserve">terughoudend te zijn met het doorvoeren van ingrijpende aanpassingen. Dat doet evenwel niet af aan het belang om de gedachtevorming en het debat, mede in het licht van de richtlijn, verder te voeren en de uitkomsten daarvan </w:t>
          </w:r>
          <w:r w:rsidR="001C6152">
            <w:t>zo nodig</w:t>
          </w:r>
          <w:r w:rsidRPr="00ED2D51" w:rsidR="001C6152">
            <w:t xml:space="preserve"> </w:t>
          </w:r>
          <w:r w:rsidRPr="00ED2D51" w:rsidR="00E475C8">
            <w:t xml:space="preserve">in wetgeving </w:t>
          </w:r>
          <w:r w:rsidRPr="00ED2D51" w:rsidR="00E2237C">
            <w:t>op te nemen</w:t>
          </w:r>
          <w:r w:rsidRPr="00ED2D51" w:rsidR="00E475C8">
            <w:t xml:space="preserve">. De Afdeling </w:t>
          </w:r>
          <w:r w:rsidRPr="00ED2D51" w:rsidR="00E14490">
            <w:t xml:space="preserve">adviseert deze punten </w:t>
          </w:r>
          <w:r w:rsidRPr="00ED2D51" w:rsidR="00FF3EF2">
            <w:t xml:space="preserve">in de toelichting </w:t>
          </w:r>
          <w:r w:rsidRPr="00ED2D51" w:rsidR="00E14490">
            <w:t xml:space="preserve">alsnog te benoemen en </w:t>
          </w:r>
          <w:r w:rsidRPr="00ED2D51" w:rsidR="00FF3EF2">
            <w:t xml:space="preserve">daarbij </w:t>
          </w:r>
          <w:r w:rsidRPr="00ED2D51" w:rsidR="000A2B63">
            <w:t xml:space="preserve">te vermelden op welke wijze de discussie hierover verder zal worden gevoerd. Zij </w:t>
          </w:r>
          <w:r w:rsidRPr="00ED2D51" w:rsidR="00E475C8">
            <w:t xml:space="preserve">wijst </w:t>
          </w:r>
          <w:r w:rsidRPr="00ED2D51" w:rsidR="00E14490">
            <w:t xml:space="preserve">daarbij </w:t>
          </w:r>
          <w:r w:rsidRPr="00ED2D51" w:rsidR="002B59AE">
            <w:t xml:space="preserve">in het bijzonder </w:t>
          </w:r>
          <w:r w:rsidRPr="00ED2D51" w:rsidR="00E475C8">
            <w:t>op een tweetal aandachtspunten.</w:t>
          </w:r>
        </w:p>
        <w:p w:rsidR="008F3EBB" w:rsidP="000A716F" w:rsidRDefault="008F3EBB" w14:paraId="56C61DB8" w14:textId="7723CCA7"/>
        <w:p w:rsidRPr="002578FC" w:rsidR="003502EB" w:rsidP="003502EB" w:rsidRDefault="00163033" w14:paraId="0DBB44A9" w14:textId="3AF5F4BC">
          <w:pPr>
            <w:rPr>
              <w:i/>
              <w:iCs/>
            </w:rPr>
          </w:pPr>
          <w:r w:rsidRPr="00ED2D51">
            <w:t xml:space="preserve">a. </w:t>
          </w:r>
          <w:r w:rsidRPr="00ED2D51">
            <w:tab/>
          </w:r>
          <w:r w:rsidRPr="00ED2D51" w:rsidR="008E3B4F">
            <w:rPr>
              <w:i/>
              <w:iCs/>
            </w:rPr>
            <w:t>Bevorderen van collectieve onderhandelingen</w:t>
          </w:r>
        </w:p>
        <w:p w:rsidR="003A3D01" w:rsidP="000A716F" w:rsidRDefault="008F3EBB" w14:paraId="660E2939" w14:textId="77777777">
          <w:r>
            <w:t xml:space="preserve">Een van de doelen van de richtlijn is het bevorderen van </w:t>
          </w:r>
          <w:r w:rsidR="005873BB">
            <w:t>co</w:t>
          </w:r>
          <w:r w:rsidR="00FB0033">
            <w:t>llectieve onderhandelingen over loonvaststelling.</w:t>
          </w:r>
          <w:r>
            <w:t xml:space="preserve"> </w:t>
          </w:r>
          <w:r w:rsidRPr="00ED2D51" w:rsidR="000D30B7">
            <w:t>In dat kader</w:t>
          </w:r>
          <w:r w:rsidRPr="00ED2D51" w:rsidR="008433AF">
            <w:t xml:space="preserve"> moeten lidstaten</w:t>
          </w:r>
          <w:r w:rsidR="00EB32F2">
            <w:t>,</w:t>
          </w:r>
          <w:r w:rsidRPr="00ED2D51" w:rsidR="00CB2B0C">
            <w:t xml:space="preserve"> onder </w:t>
          </w:r>
          <w:r w:rsidR="000A066B">
            <w:t>meer</w:t>
          </w:r>
          <w:r w:rsidR="00EB32F2">
            <w:t>,</w:t>
          </w:r>
          <w:r w:rsidRPr="00ED2D51" w:rsidR="008433AF">
            <w:t xml:space="preserve"> waar nodig </w:t>
          </w:r>
          <w:r w:rsidRPr="00ED2D51">
            <w:t>v</w:t>
          </w:r>
          <w:r w:rsidRPr="00ED2D51" w:rsidR="00680FBD">
            <w:t xml:space="preserve">akbonden en werkgeversorganisaties beschermen tegen </w:t>
          </w:r>
          <w:r w:rsidRPr="00ED2D51" w:rsidR="008433AF">
            <w:t xml:space="preserve">wederzijdse </w:t>
          </w:r>
          <w:r w:rsidRPr="00ED2D51" w:rsidR="00465396">
            <w:t>inmenging.</w:t>
          </w:r>
          <w:r w:rsidRPr="00ED2D51" w:rsidR="00465396">
            <w:rPr>
              <w:rStyle w:val="Voetnootmarkering"/>
            </w:rPr>
            <w:footnoteReference w:id="16"/>
          </w:r>
          <w:r w:rsidRPr="00ED2D51" w:rsidR="008D6C49">
            <w:t xml:space="preserve"> </w:t>
          </w:r>
          <w:r w:rsidRPr="00ED2D51" w:rsidR="000563E1">
            <w:t xml:space="preserve">De toelichting </w:t>
          </w:r>
          <w:r w:rsidRPr="00ED2D51" w:rsidR="00B83CBD">
            <w:t xml:space="preserve">volstaat </w:t>
          </w:r>
          <w:r w:rsidRPr="00ED2D51" w:rsidR="00DE29FC">
            <w:t xml:space="preserve">in dit verband </w:t>
          </w:r>
          <w:r w:rsidRPr="00ED2D51" w:rsidR="00B83CBD">
            <w:t>met de vermelding</w:t>
          </w:r>
          <w:r w:rsidR="00F27A4A">
            <w:t xml:space="preserve"> </w:t>
          </w:r>
          <w:r w:rsidR="003E65A3">
            <w:t>dat onafhankelijkheid een uitgangspunt is van het Nederlandse stelsel van collectieve arbeidsvoorwaardenvorming</w:t>
          </w:r>
          <w:r w:rsidRPr="00ED2D51" w:rsidR="00F27A4A">
            <w:t>.</w:t>
          </w:r>
          <w:r w:rsidRPr="00ED2D51" w:rsidR="003E65A3">
            <w:rPr>
              <w:rStyle w:val="Voetnootmarkering"/>
            </w:rPr>
            <w:footnoteReference w:id="17"/>
          </w:r>
          <w:r w:rsidRPr="00ED2D51" w:rsidR="009A711B">
            <w:t xml:space="preserve"> </w:t>
          </w:r>
        </w:p>
        <w:p w:rsidR="003A3D01" w:rsidP="000A716F" w:rsidRDefault="003A3D01" w14:paraId="2200F542" w14:textId="77777777"/>
        <w:p w:rsidR="00F27A4A" w:rsidP="000A716F" w:rsidRDefault="003B181B" w14:paraId="113CFA07" w14:textId="49B78F4A">
          <w:r w:rsidRPr="00ED2D51">
            <w:t>De</w:t>
          </w:r>
          <w:r w:rsidR="009A711B">
            <w:t xml:space="preserve"> Afdeling </w:t>
          </w:r>
          <w:r w:rsidRPr="00ED2D51" w:rsidR="00A66E5A">
            <w:t xml:space="preserve">wijst </w:t>
          </w:r>
          <w:r w:rsidRPr="00ED2D51" w:rsidR="00E667CD">
            <w:t xml:space="preserve">echter </w:t>
          </w:r>
          <w:r w:rsidR="009A711B">
            <w:t xml:space="preserve">op de zich wijzigende praktijk waarbij werkgevers </w:t>
          </w:r>
          <w:r w:rsidRPr="00ED2D51" w:rsidR="004C5D3E">
            <w:t xml:space="preserve">vaker </w:t>
          </w:r>
          <w:r w:rsidR="009A711B">
            <w:t>collec</w:t>
          </w:r>
          <w:r w:rsidR="00AF4CB0">
            <w:t>t</w:t>
          </w:r>
          <w:r w:rsidR="009A711B">
            <w:t xml:space="preserve">ieve </w:t>
          </w:r>
          <w:r w:rsidR="00AF4CB0">
            <w:t xml:space="preserve">afspraken maken met personeelsverenigingen en ondernemingsraden. </w:t>
          </w:r>
          <w:r w:rsidR="00AA70D3">
            <w:t xml:space="preserve">In het verlengde hiervan </w:t>
          </w:r>
          <w:r w:rsidRPr="00ED2D51" w:rsidR="00CA41F6">
            <w:t>vindt</w:t>
          </w:r>
          <w:r w:rsidR="00AF4CB0">
            <w:t xml:space="preserve"> discussie plaats</w:t>
          </w:r>
          <w:r w:rsidR="00925701">
            <w:t xml:space="preserve"> </w:t>
          </w:r>
          <w:r w:rsidR="00AF4CB0">
            <w:t>over de representativiteit van vakorganisaties</w:t>
          </w:r>
          <w:r w:rsidR="006F285C">
            <w:t xml:space="preserve"> </w:t>
          </w:r>
          <w:r w:rsidRPr="00ED2D51" w:rsidR="00825D55">
            <w:t>in relatie</w:t>
          </w:r>
          <w:r w:rsidR="006F285C">
            <w:t xml:space="preserve"> tot overleg over </w:t>
          </w:r>
          <w:r w:rsidR="006F285C">
            <w:lastRenderedPageBreak/>
            <w:t>arbeidsvoorwaarden</w:t>
          </w:r>
          <w:r w:rsidR="00266A5C">
            <w:t>.</w:t>
          </w:r>
          <w:r w:rsidRPr="00ED2D51" w:rsidR="007E6475">
            <w:rPr>
              <w:rStyle w:val="Voetnootmarkering"/>
            </w:rPr>
            <w:footnoteReference w:id="18"/>
          </w:r>
          <w:r w:rsidRPr="00ED2D51" w:rsidR="00AF4CB0">
            <w:t xml:space="preserve"> </w:t>
          </w:r>
          <w:r w:rsidR="007D1153">
            <w:t>De Afdeling</w:t>
          </w:r>
          <w:r w:rsidRPr="00ED2D51" w:rsidR="007D1153">
            <w:t xml:space="preserve"> </w:t>
          </w:r>
          <w:r w:rsidRPr="00ED2D51" w:rsidR="003E2E84">
            <w:t xml:space="preserve">adviseert in de toelichting op </w:t>
          </w:r>
          <w:r w:rsidRPr="00ED2D51" w:rsidR="0010595A">
            <w:t xml:space="preserve">deze problematiek </w:t>
          </w:r>
          <w:r w:rsidRPr="00ED2D51" w:rsidR="003E2E84">
            <w:t>in te gaan.</w:t>
          </w:r>
          <w:r w:rsidRPr="00ED2D51" w:rsidR="00E94947">
            <w:t xml:space="preserve"> </w:t>
          </w:r>
        </w:p>
        <w:p w:rsidR="003E65A3" w:rsidP="000A716F" w:rsidRDefault="003E65A3" w14:paraId="3015A640" w14:textId="77777777"/>
        <w:p w:rsidR="00AD717A" w:rsidP="000A716F" w:rsidRDefault="00354786" w14:paraId="01162D36" w14:textId="029B10B0">
          <w:pPr>
            <w:rPr>
              <w:i/>
              <w:iCs/>
            </w:rPr>
          </w:pPr>
          <w:r w:rsidRPr="00ED2D51">
            <w:t>b</w:t>
          </w:r>
          <w:r w:rsidR="005B389F">
            <w:t xml:space="preserve">. </w:t>
          </w:r>
          <w:r w:rsidR="005B389F">
            <w:tab/>
          </w:r>
          <w:r w:rsidR="00C30E5B">
            <w:rPr>
              <w:i/>
              <w:iCs/>
            </w:rPr>
            <w:t>Indicatieve r</w:t>
          </w:r>
          <w:r w:rsidR="00BE0C8F">
            <w:rPr>
              <w:i/>
              <w:iCs/>
            </w:rPr>
            <w:t>eferentiewaarden</w:t>
          </w:r>
          <w:r w:rsidR="00FD3F50">
            <w:rPr>
              <w:i/>
              <w:iCs/>
            </w:rPr>
            <w:t>: percentages brutolonen</w:t>
          </w:r>
          <w:r w:rsidR="00BE0C8F">
            <w:rPr>
              <w:i/>
              <w:iCs/>
            </w:rPr>
            <w:t xml:space="preserve"> </w:t>
          </w:r>
        </w:p>
        <w:p w:rsidR="00EE7D93" w:rsidP="00EE7D93" w:rsidRDefault="004952B6" w14:paraId="492F6E70" w14:textId="6F75FD8F">
          <w:r>
            <w:t>Met</w:t>
          </w:r>
          <w:r w:rsidR="00026C0D">
            <w:t xml:space="preserve"> betrekking tot de</w:t>
          </w:r>
          <w:r w:rsidR="007248C7">
            <w:t xml:space="preserve"> indicatieve refe</w:t>
          </w:r>
          <w:r w:rsidR="00E81B67">
            <w:t>rentiewaarden</w:t>
          </w:r>
          <w:r w:rsidR="00B41A3A">
            <w:t xml:space="preserve"> </w:t>
          </w:r>
          <w:r w:rsidR="004D07C6">
            <w:t xml:space="preserve">doet de richtlijn de suggestie om </w:t>
          </w:r>
          <w:r w:rsidR="00FB772D">
            <w:t>bepaalde</w:t>
          </w:r>
          <w:r w:rsidR="004D07C6">
            <w:t xml:space="preserve"> </w:t>
          </w:r>
          <w:r w:rsidR="009E7C0F">
            <w:t>percentages</w:t>
          </w:r>
          <w:r w:rsidR="001675BD">
            <w:t xml:space="preserve"> van brutolonen</w:t>
          </w:r>
          <w:r w:rsidR="009E7C0F">
            <w:t xml:space="preserve"> te </w:t>
          </w:r>
          <w:r w:rsidR="00506519">
            <w:t>hanteren</w:t>
          </w:r>
          <w:r w:rsidR="001675BD">
            <w:t>.</w:t>
          </w:r>
          <w:r w:rsidR="00E81B67">
            <w:rPr>
              <w:rStyle w:val="Voetnootmarkering"/>
            </w:rPr>
            <w:footnoteReference w:id="19"/>
          </w:r>
          <w:r w:rsidR="005461B5">
            <w:t xml:space="preserve"> </w:t>
          </w:r>
          <w:r w:rsidR="00400CE7">
            <w:t>Uit de toelichting blijkt dat de regering</w:t>
          </w:r>
          <w:r w:rsidR="009B6226">
            <w:t xml:space="preserve"> </w:t>
          </w:r>
          <w:r w:rsidR="00C43FA4">
            <w:t>het vergelijken</w:t>
          </w:r>
          <w:r w:rsidR="009B6226">
            <w:t xml:space="preserve"> </w:t>
          </w:r>
          <w:r w:rsidR="003E55F0">
            <w:t>van</w:t>
          </w:r>
          <w:r w:rsidR="009B6226">
            <w:t xml:space="preserve"> </w:t>
          </w:r>
          <w:r w:rsidR="00EE7D93">
            <w:t>brutoloonniveaus</w:t>
          </w:r>
          <w:r w:rsidR="00DF2D9C">
            <w:t xml:space="preserve"> </w:t>
          </w:r>
          <w:r w:rsidR="00D948E3">
            <w:t xml:space="preserve">niet </w:t>
          </w:r>
          <w:r w:rsidR="004D47AE">
            <w:t xml:space="preserve">de meest passende maatstaf </w:t>
          </w:r>
          <w:r>
            <w:t>vindt</w:t>
          </w:r>
          <w:r w:rsidR="00FB772D">
            <w:t xml:space="preserve"> voor de beoordeling van de </w:t>
          </w:r>
          <w:proofErr w:type="spellStart"/>
          <w:r w:rsidR="00FB772D">
            <w:t>toereikendheid</w:t>
          </w:r>
          <w:proofErr w:type="spellEnd"/>
          <w:r w:rsidR="00FB772D">
            <w:t xml:space="preserve"> van het wettelijke minimumloon.</w:t>
          </w:r>
          <w:r w:rsidR="00367CD5">
            <w:t xml:space="preserve"> </w:t>
          </w:r>
          <w:r w:rsidR="007346AD">
            <w:t>Zij wijst daarbij op de substantiële</w:t>
          </w:r>
          <w:r w:rsidR="00461F33">
            <w:t xml:space="preserve"> herverdeling die </w:t>
          </w:r>
          <w:r w:rsidR="00EB7CDB">
            <w:t>in Nederland</w:t>
          </w:r>
          <w:r w:rsidR="00461F33">
            <w:t xml:space="preserve"> </w:t>
          </w:r>
          <w:r w:rsidR="00AF2C10">
            <w:t xml:space="preserve">via </w:t>
          </w:r>
          <w:r w:rsidR="00EE7D93">
            <w:t>de fiscaliteit en door middel van toeslagen</w:t>
          </w:r>
          <w:r w:rsidR="00461F33">
            <w:t xml:space="preserve"> </w:t>
          </w:r>
          <w:r w:rsidR="00EE7D93">
            <w:t>plaatsvindt.</w:t>
          </w:r>
          <w:r w:rsidR="009F2874">
            <w:rPr>
              <w:rStyle w:val="Voetnootmarkering"/>
            </w:rPr>
            <w:footnoteReference w:id="20"/>
          </w:r>
        </w:p>
        <w:p w:rsidR="001210C1" w:rsidP="000A716F" w:rsidRDefault="001210C1" w14:paraId="5D9A897E" w14:textId="3BAC959B"/>
        <w:p w:rsidR="001978DD" w:rsidP="005709E2" w:rsidRDefault="00117168" w14:paraId="3AAD8752" w14:textId="62258770">
          <w:r>
            <w:t xml:space="preserve">De Afdeling begrijpt </w:t>
          </w:r>
          <w:r w:rsidR="005D1919">
            <w:t xml:space="preserve">dat de regering bij de </w:t>
          </w:r>
          <w:r>
            <w:t xml:space="preserve">beoordeling van de </w:t>
          </w:r>
          <w:proofErr w:type="spellStart"/>
          <w:r>
            <w:t>toereikendheid</w:t>
          </w:r>
          <w:proofErr w:type="spellEnd"/>
          <w:r>
            <w:t xml:space="preserve"> van het </w:t>
          </w:r>
          <w:r w:rsidR="005D1919">
            <w:t xml:space="preserve">wettelijk </w:t>
          </w:r>
          <w:r>
            <w:t xml:space="preserve">minimumloon </w:t>
          </w:r>
          <w:r w:rsidR="005D1919">
            <w:t>rekening wil houden met</w:t>
          </w:r>
          <w:r w:rsidR="00004297">
            <w:t xml:space="preserve"> de</w:t>
          </w:r>
          <w:r w:rsidR="006817A3">
            <w:t xml:space="preserve"> effecten van </w:t>
          </w:r>
          <w:r w:rsidR="00984F4B">
            <w:t>de uitgebreide</w:t>
          </w:r>
          <w:r w:rsidR="00DF10BD">
            <w:t xml:space="preserve"> </w:t>
          </w:r>
          <w:r w:rsidR="00B05F47">
            <w:t>herverdelings</w:t>
          </w:r>
          <w:r w:rsidR="004C5849">
            <w:t>mechanisme</w:t>
          </w:r>
          <w:r w:rsidR="00984F4B">
            <w:t>n die</w:t>
          </w:r>
          <w:r w:rsidR="00B05F47">
            <w:t xml:space="preserve"> Nederland kent.</w:t>
          </w:r>
          <w:r w:rsidR="00B17F3C">
            <w:t xml:space="preserve"> </w:t>
          </w:r>
          <w:r w:rsidR="00895DA6">
            <w:t xml:space="preserve">Mede gelet op de </w:t>
          </w:r>
          <w:r w:rsidR="006149DB">
            <w:t>doelen</w:t>
          </w:r>
          <w:r w:rsidR="00895DA6">
            <w:t xml:space="preserve"> van de richtlijn is </w:t>
          </w:r>
          <w:r w:rsidR="006A69AC">
            <w:t>t</w:t>
          </w:r>
          <w:r w:rsidR="00531B6B">
            <w:t>egelijk</w:t>
          </w:r>
          <w:r w:rsidR="00E54F6C">
            <w:t xml:space="preserve"> van belang dat</w:t>
          </w:r>
          <w:r w:rsidR="000061C7">
            <w:t xml:space="preserve"> </w:t>
          </w:r>
          <w:r w:rsidR="00984F4B">
            <w:t>werken loont en dat</w:t>
          </w:r>
          <w:r w:rsidR="004301F2">
            <w:t>, onver</w:t>
          </w:r>
          <w:r w:rsidR="00C464FB">
            <w:t>minderd het systeem van automatische indexering,</w:t>
          </w:r>
          <w:r w:rsidR="00984F4B">
            <w:t xml:space="preserve"> ook mensen die het minimumloon verdienen </w:t>
          </w:r>
          <w:r w:rsidR="008A6C35">
            <w:t xml:space="preserve">voldoende </w:t>
          </w:r>
          <w:r w:rsidR="00984F4B">
            <w:t xml:space="preserve">delen </w:t>
          </w:r>
          <w:r w:rsidR="000061C7">
            <w:t>in</w:t>
          </w:r>
          <w:r w:rsidR="00984F4B">
            <w:t xml:space="preserve"> de algemene</w:t>
          </w:r>
          <w:r w:rsidR="000061C7">
            <w:t xml:space="preserve"> </w:t>
          </w:r>
          <w:r w:rsidR="00E54F6C">
            <w:t>welvaartsontwikkeling</w:t>
          </w:r>
          <w:r w:rsidR="000061C7">
            <w:t>.</w:t>
          </w:r>
          <w:r w:rsidRPr="000061C7" w:rsidR="00AC2A9C">
            <w:rPr>
              <w:rStyle w:val="Voetnootmarkering"/>
            </w:rPr>
            <w:footnoteReference w:id="21"/>
          </w:r>
          <w:r w:rsidR="000061C7">
            <w:t xml:space="preserve"> </w:t>
          </w:r>
          <w:r w:rsidR="00412415">
            <w:t xml:space="preserve">In dit verband spelen </w:t>
          </w:r>
          <w:r w:rsidR="00BF0246">
            <w:t>arbeidsmarkteffecten tevens een rol.</w:t>
          </w:r>
          <w:r w:rsidR="000061C7">
            <w:t xml:space="preserve"> </w:t>
          </w:r>
          <w:r w:rsidR="00213743">
            <w:t>D</w:t>
          </w:r>
          <w:r w:rsidR="00E61881">
            <w:t xml:space="preserve">e Afdeling adviseert </w:t>
          </w:r>
          <w:r w:rsidR="006A0AEF">
            <w:t>hieraan</w:t>
          </w:r>
          <w:r w:rsidR="00A27E3F">
            <w:t xml:space="preserve"> </w:t>
          </w:r>
          <w:r w:rsidRPr="002C3219" w:rsidR="00F66732">
            <w:t xml:space="preserve">bij </w:t>
          </w:r>
          <w:r w:rsidR="002C3219">
            <w:t xml:space="preserve">de </w:t>
          </w:r>
          <w:r w:rsidRPr="002C3219" w:rsidR="0043437A">
            <w:t>uitwerking</w:t>
          </w:r>
          <w:r w:rsidRPr="002C3219" w:rsidR="00F66732">
            <w:t xml:space="preserve"> van </w:t>
          </w:r>
          <w:r w:rsidR="00AF4D6A">
            <w:t xml:space="preserve">de </w:t>
          </w:r>
          <w:r w:rsidRPr="002C3219" w:rsidR="0043437A">
            <w:t xml:space="preserve">indicatieve </w:t>
          </w:r>
          <w:r w:rsidRPr="002C3219" w:rsidR="00F66732">
            <w:t>referentiewaarden</w:t>
          </w:r>
          <w:r w:rsidRPr="002C3219" w:rsidR="0043437A">
            <w:t xml:space="preserve"> aandacht </w:t>
          </w:r>
          <w:r w:rsidR="002C3219">
            <w:t>te besteden.</w:t>
          </w:r>
          <w:r w:rsidRPr="002C3219" w:rsidR="0043437A">
            <w:t xml:space="preserve"> </w:t>
          </w:r>
        </w:p>
      </w:sdtContent>
    </w:sdt>
    <w:p w:rsidR="00306520" w:rsidP="005709E2" w:rsidRDefault="00306520" w14:paraId="4B63128C" w14:textId="77777777"/>
    <w:sdt>
      <w:sdtPr>
        <w:tag w:val="bmDictum"/>
        <w:id w:val="-1157375707"/>
        <w:lock w:val="sdtLocked"/>
        <w:placeholder>
          <w:docPart w:val="DefaultPlaceholder_-1854013440"/>
        </w:placeholder>
      </w:sdtPr>
      <w:sdtEndPr/>
      <w:sdtContent>
        <w:p w:rsidR="00217892" w:rsidP="005709E2" w:rsidRDefault="00A406BD" w14:paraId="081EF854" w14:textId="7729C1F1">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proofErr w:type="spellStart"/>
          <w:r>
            <w:t>vice-president</w:t>
          </w:r>
          <w:proofErr w:type="spellEnd"/>
          <w:r>
            <w:t xml:space="preserve"> van de Raad van State,</w:t>
          </w:r>
        </w:p>
      </w:sdtContent>
    </w:sdt>
    <w:sectPr w:rsidR="00217892" w:rsidSect="00392C11">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43CC" w14:textId="77777777" w:rsidR="00223713" w:rsidRDefault="00223713">
      <w:r>
        <w:separator/>
      </w:r>
    </w:p>
  </w:endnote>
  <w:endnote w:type="continuationSeparator" w:id="0">
    <w:p w14:paraId="6284A66E" w14:textId="77777777" w:rsidR="00223713" w:rsidRDefault="00223713">
      <w:r>
        <w:continuationSeparator/>
      </w:r>
    </w:p>
  </w:endnote>
  <w:endnote w:type="continuationNotice" w:id="1">
    <w:p w14:paraId="72BB3A6B" w14:textId="77777777" w:rsidR="00223713" w:rsidRDefault="00223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A657"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B74DF" w14:paraId="2186E537" w14:textId="77777777" w:rsidTr="00D90098">
      <w:tc>
        <w:tcPr>
          <w:tcW w:w="4815" w:type="dxa"/>
        </w:tcPr>
        <w:p w14:paraId="2186E535" w14:textId="77777777" w:rsidR="00D90098" w:rsidRDefault="00D90098" w:rsidP="00D90098">
          <w:pPr>
            <w:pStyle w:val="Voettekst"/>
          </w:pPr>
        </w:p>
      </w:tc>
      <w:tc>
        <w:tcPr>
          <w:tcW w:w="4247" w:type="dxa"/>
        </w:tcPr>
        <w:p w14:paraId="2186E536" w14:textId="77777777" w:rsidR="00D90098" w:rsidRDefault="00D90098" w:rsidP="00D90098">
          <w:pPr>
            <w:pStyle w:val="Voettekst"/>
            <w:jc w:val="right"/>
          </w:pPr>
        </w:p>
      </w:tc>
    </w:tr>
  </w:tbl>
  <w:p w14:paraId="2186E538"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D67C" w14:textId="0001FE25" w:rsidR="00783238" w:rsidRPr="00D92465" w:rsidRDefault="00D92465">
    <w:pPr>
      <w:pStyle w:val="Voettekst"/>
      <w:rPr>
        <w:rFonts w:ascii="Bembo" w:hAnsi="Bembo"/>
        <w:sz w:val="32"/>
      </w:rPr>
    </w:pPr>
    <w:r w:rsidRPr="00D92465">
      <w:rPr>
        <w:rFonts w:ascii="Bembo" w:hAnsi="Bembo"/>
        <w:sz w:val="32"/>
      </w:rPr>
      <w:t>AAN DE KONING</w:t>
    </w:r>
  </w:p>
  <w:p w14:paraId="79E97C4F" w14:textId="77777777" w:rsidR="00921780" w:rsidRDefault="009217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A7DF" w14:textId="77777777" w:rsidR="00223713" w:rsidRDefault="00223713">
      <w:r>
        <w:separator/>
      </w:r>
    </w:p>
  </w:footnote>
  <w:footnote w:type="continuationSeparator" w:id="0">
    <w:p w14:paraId="1A9B4CA7" w14:textId="77777777" w:rsidR="00223713" w:rsidRDefault="00223713">
      <w:r>
        <w:continuationSeparator/>
      </w:r>
    </w:p>
  </w:footnote>
  <w:footnote w:type="continuationNotice" w:id="1">
    <w:p w14:paraId="532AFB8F" w14:textId="77777777" w:rsidR="00223713" w:rsidRDefault="00223713"/>
  </w:footnote>
  <w:footnote w:id="2">
    <w:p w14:paraId="35B22330" w14:textId="2989B1AF" w:rsidR="00DA2523" w:rsidRDefault="00DA2523">
      <w:pPr>
        <w:pStyle w:val="Voetnoottekst"/>
      </w:pPr>
      <w:r>
        <w:rPr>
          <w:rStyle w:val="Voetnootmarkering"/>
        </w:rPr>
        <w:footnoteRef/>
      </w:r>
      <w:r>
        <w:t xml:space="preserve"> </w:t>
      </w:r>
      <w:r w:rsidR="00C94342" w:rsidRPr="00C94342">
        <w:t>Richtlijn (EU) 2022/2041 van het Europees Parlement en de Raad van 19 oktober 2022 betreffende toereikende minimumlonen in de Europese Unie (Pb EU 2022, L 275)</w:t>
      </w:r>
      <w:r w:rsidR="00C94342">
        <w:t>.</w:t>
      </w:r>
    </w:p>
  </w:footnote>
  <w:footnote w:id="3">
    <w:p w14:paraId="33926D91" w14:textId="5E04E9C0" w:rsidR="008D4471" w:rsidRDefault="008D4471">
      <w:pPr>
        <w:pStyle w:val="Voetnoottekst"/>
      </w:pPr>
      <w:r>
        <w:rPr>
          <w:rStyle w:val="Voetnootmarkering"/>
        </w:rPr>
        <w:footnoteRef/>
      </w:r>
      <w:r>
        <w:t xml:space="preserve"> </w:t>
      </w:r>
      <w:r w:rsidR="002643A2">
        <w:t>Zie overweging 1</w:t>
      </w:r>
      <w:r w:rsidR="00A14CF2">
        <w:t>7 en 1</w:t>
      </w:r>
      <w:r w:rsidR="002643A2">
        <w:t xml:space="preserve">8 van de richtlijn. </w:t>
      </w:r>
      <w:r w:rsidR="00A14CF2">
        <w:t xml:space="preserve">De richtlijn baseert zich op artikel 153, tweede lid, onder b, in samenhang met artikel 153, eerste lid, onder b, VWEU en dient zodoende de verwezenlijking van de sociaal-politieke doelstellingen van artikel 151 VWEU. </w:t>
      </w:r>
    </w:p>
  </w:footnote>
  <w:footnote w:id="4">
    <w:p w14:paraId="10D38C64" w14:textId="25A1E649" w:rsidR="004A7C28" w:rsidRDefault="004A7C28">
      <w:pPr>
        <w:pStyle w:val="Voetnoottekst"/>
      </w:pPr>
      <w:r>
        <w:rPr>
          <w:rStyle w:val="Voetnootmarkering"/>
        </w:rPr>
        <w:footnoteRef/>
      </w:r>
      <w:r>
        <w:t xml:space="preserve"> Artikel 1, eerste lid, van de richtlijn. </w:t>
      </w:r>
    </w:p>
  </w:footnote>
  <w:footnote w:id="5">
    <w:p w14:paraId="66E08CE1" w14:textId="5B1596A7" w:rsidR="00E90715" w:rsidRDefault="00E90715">
      <w:pPr>
        <w:pStyle w:val="Voetnoottekst"/>
      </w:pPr>
      <w:r>
        <w:rPr>
          <w:rStyle w:val="Voetnootmarkering"/>
        </w:rPr>
        <w:footnoteRef/>
      </w:r>
      <w:r>
        <w:t xml:space="preserve"> </w:t>
      </w:r>
      <w:r w:rsidR="00347577">
        <w:t>Artikel I, onderdeel B</w:t>
      </w:r>
      <w:r w:rsidR="005746AB">
        <w:t>, onder 2</w:t>
      </w:r>
      <w:r w:rsidR="00E168F2">
        <w:t>, van het wetvoorstel.</w:t>
      </w:r>
      <w:r>
        <w:t xml:space="preserve"> </w:t>
      </w:r>
      <w:r w:rsidR="0071090C">
        <w:t>Zie artikel 14</w:t>
      </w:r>
      <w:r w:rsidR="00B40576">
        <w:t xml:space="preserve">, </w:t>
      </w:r>
      <w:r w:rsidR="00E17724">
        <w:t xml:space="preserve">dertiende lid, </w:t>
      </w:r>
      <w:proofErr w:type="spellStart"/>
      <w:r w:rsidR="00E17724">
        <w:t>Wml</w:t>
      </w:r>
      <w:proofErr w:type="spellEnd"/>
      <w:r w:rsidR="00E17724">
        <w:t>.</w:t>
      </w:r>
    </w:p>
  </w:footnote>
  <w:footnote w:id="6">
    <w:p w14:paraId="26042FD1" w14:textId="06324ABF" w:rsidR="00E168F2" w:rsidRDefault="00E168F2">
      <w:pPr>
        <w:pStyle w:val="Voetnoottekst"/>
      </w:pPr>
      <w:r>
        <w:rPr>
          <w:rStyle w:val="Voetnootmarkering"/>
        </w:rPr>
        <w:footnoteRef/>
      </w:r>
      <w:r>
        <w:t xml:space="preserve"> Artikel I, onderdeel B</w:t>
      </w:r>
      <w:r w:rsidR="005746AB">
        <w:t>, onder 1</w:t>
      </w:r>
      <w:r>
        <w:t>, van het wetvoorstel</w:t>
      </w:r>
      <w:r w:rsidR="005746AB">
        <w:t>.</w:t>
      </w:r>
      <w:r w:rsidR="00E17724">
        <w:t xml:space="preserve"> Zie artikel 14, vijfde lid, </w:t>
      </w:r>
      <w:proofErr w:type="spellStart"/>
      <w:r w:rsidR="00E17724">
        <w:t>Wml</w:t>
      </w:r>
      <w:proofErr w:type="spellEnd"/>
      <w:r w:rsidR="00E17724">
        <w:t xml:space="preserve">. </w:t>
      </w:r>
    </w:p>
  </w:footnote>
  <w:footnote w:id="7">
    <w:p w14:paraId="0B1B371E" w14:textId="76AB506F" w:rsidR="00E6787D" w:rsidRDefault="00E6787D">
      <w:pPr>
        <w:pStyle w:val="Voetnoottekst"/>
      </w:pPr>
      <w:r>
        <w:rPr>
          <w:rStyle w:val="Voetnootmarkering"/>
        </w:rPr>
        <w:footnoteRef/>
      </w:r>
      <w:r>
        <w:t xml:space="preserve"> Artikel I, onderdeel B, onder 2, van het wetsvoorstel. </w:t>
      </w:r>
    </w:p>
  </w:footnote>
  <w:footnote w:id="8">
    <w:p w14:paraId="114945B9" w14:textId="22BFEF45" w:rsidR="00E6787D" w:rsidRDefault="00E6787D">
      <w:pPr>
        <w:pStyle w:val="Voetnoottekst"/>
      </w:pPr>
      <w:r>
        <w:rPr>
          <w:rStyle w:val="Voetnootmarkering"/>
        </w:rPr>
        <w:footnoteRef/>
      </w:r>
      <w:r>
        <w:t xml:space="preserve"> Artikel I, onderdeel A (voorgesteld artikel 6a), van het wetsvoorstel.</w:t>
      </w:r>
    </w:p>
  </w:footnote>
  <w:footnote w:id="9">
    <w:p w14:paraId="1654FD44" w14:textId="5AC50064" w:rsidR="00F6460D" w:rsidRDefault="00F6460D">
      <w:pPr>
        <w:pStyle w:val="Voetnoottekst"/>
      </w:pPr>
      <w:r>
        <w:rPr>
          <w:rStyle w:val="Voetnootmarkering"/>
        </w:rPr>
        <w:footnoteRef/>
      </w:r>
      <w:r>
        <w:t xml:space="preserve"> Artikelsgewijze toelichting op artikel </w:t>
      </w:r>
      <w:r w:rsidR="00D3627A">
        <w:t>I, onderdeel A</w:t>
      </w:r>
      <w:r w:rsidR="00C23194">
        <w:t xml:space="preserve">, van het wetsvoorstel. </w:t>
      </w:r>
    </w:p>
  </w:footnote>
  <w:footnote w:id="10">
    <w:p w14:paraId="657B8886" w14:textId="401F8D49" w:rsidR="0067453D" w:rsidRDefault="0067453D">
      <w:pPr>
        <w:pStyle w:val="Voetnoottekst"/>
      </w:pPr>
      <w:r>
        <w:rPr>
          <w:rStyle w:val="Voetnootmarkering"/>
        </w:rPr>
        <w:footnoteRef/>
      </w:r>
      <w:r>
        <w:t xml:space="preserve"> Memorie van toelichting, </w:t>
      </w:r>
      <w:r w:rsidR="00AB5F11">
        <w:t>paragraaf 3.4.1</w:t>
      </w:r>
      <w:r w:rsidR="004131CE">
        <w:t xml:space="preserve"> en de artikelsgewijze toelichting</w:t>
      </w:r>
      <w:r w:rsidR="00E5441B">
        <w:t xml:space="preserve"> op</w:t>
      </w:r>
      <w:r w:rsidR="00E01BBD">
        <w:t xml:space="preserve"> artikel I, onderdeel A. </w:t>
      </w:r>
    </w:p>
  </w:footnote>
  <w:footnote w:id="11">
    <w:p w14:paraId="665E179A" w14:textId="3CE5CC1E" w:rsidR="00247D0E" w:rsidRDefault="00247D0E">
      <w:pPr>
        <w:pStyle w:val="Voetnoottekst"/>
      </w:pPr>
      <w:r>
        <w:rPr>
          <w:rStyle w:val="Voetnootmarkering"/>
        </w:rPr>
        <w:footnoteRef/>
      </w:r>
      <w:r>
        <w:t xml:space="preserve"> Overweging 19 van de richtlijn.</w:t>
      </w:r>
    </w:p>
  </w:footnote>
  <w:footnote w:id="12">
    <w:p w14:paraId="17BBC278" w14:textId="2D7B0F11" w:rsidR="00765B7C" w:rsidRDefault="00765B7C">
      <w:pPr>
        <w:pStyle w:val="Voetnoottekst"/>
      </w:pPr>
      <w:r>
        <w:rPr>
          <w:rStyle w:val="Voetnootmarkering"/>
        </w:rPr>
        <w:footnoteRef/>
      </w:r>
      <w:r>
        <w:t xml:space="preserve"> Zie ook </w:t>
      </w:r>
      <w:r w:rsidR="00932A76">
        <w:t>overwegingen</w:t>
      </w:r>
      <w:r>
        <w:t xml:space="preserve"> 12</w:t>
      </w:r>
      <w:r w:rsidR="00932A76">
        <w:t xml:space="preserve"> en 24</w:t>
      </w:r>
      <w:r>
        <w:t xml:space="preserve"> van de richtlijn.</w:t>
      </w:r>
    </w:p>
  </w:footnote>
  <w:footnote w:id="13">
    <w:p w14:paraId="43C3869C" w14:textId="77777777" w:rsidR="00082EEC" w:rsidRDefault="00082EEC" w:rsidP="00082EEC">
      <w:pPr>
        <w:pStyle w:val="Voetnoottekst"/>
      </w:pPr>
      <w:r>
        <w:rPr>
          <w:rStyle w:val="Voetnootmarkering"/>
        </w:rPr>
        <w:footnoteRef/>
      </w:r>
      <w:r>
        <w:t xml:space="preserve"> Memorie van toelichting, paragraaf 2. </w:t>
      </w:r>
    </w:p>
  </w:footnote>
  <w:footnote w:id="14">
    <w:p w14:paraId="791FC438" w14:textId="353ABA4E" w:rsidR="00B025D6" w:rsidRDefault="00B025D6">
      <w:pPr>
        <w:pStyle w:val="Voetnoottekst"/>
      </w:pPr>
      <w:r>
        <w:rPr>
          <w:rStyle w:val="Voetnootmarkering"/>
        </w:rPr>
        <w:footnoteRef/>
      </w:r>
      <w:r>
        <w:t xml:space="preserve"> Zie in dit verband ook de transponeringstabel bij de memorie van toelichting</w:t>
      </w:r>
      <w:r w:rsidR="00337BF7">
        <w:t xml:space="preserve"> voor verwijzingen</w:t>
      </w:r>
      <w:r w:rsidR="00AF493C">
        <w:t xml:space="preserve"> naar bestaand recht.</w:t>
      </w:r>
    </w:p>
  </w:footnote>
  <w:footnote w:id="15">
    <w:p w14:paraId="1D24912A" w14:textId="7A3F9412" w:rsidR="00BD074B" w:rsidRDefault="00BD074B">
      <w:pPr>
        <w:pStyle w:val="Voetnoottekst"/>
      </w:pPr>
      <w:r>
        <w:rPr>
          <w:rStyle w:val="Voetnootmarkering"/>
        </w:rPr>
        <w:footnoteRef/>
      </w:r>
      <w:r>
        <w:t xml:space="preserve"> </w:t>
      </w:r>
      <w:r w:rsidR="00504890">
        <w:t>A</w:t>
      </w:r>
      <w:r>
        <w:t>rtikel 4, tweede lid, van de richtlijn.</w:t>
      </w:r>
    </w:p>
  </w:footnote>
  <w:footnote w:id="16">
    <w:p w14:paraId="5004C9D2" w14:textId="1D1D7303" w:rsidR="00465396" w:rsidRDefault="00465396">
      <w:pPr>
        <w:pStyle w:val="Voetnoottekst"/>
      </w:pPr>
      <w:r>
        <w:rPr>
          <w:rStyle w:val="Voetnootmarkering"/>
        </w:rPr>
        <w:footnoteRef/>
      </w:r>
      <w:r>
        <w:t xml:space="preserve"> Artikel 4, eerste lid, </w:t>
      </w:r>
      <w:r w:rsidR="007B5C7B">
        <w:t>onder</w:t>
      </w:r>
      <w:r w:rsidR="00643A28">
        <w:t>deel</w:t>
      </w:r>
      <w:r w:rsidR="00343A8A">
        <w:t xml:space="preserve"> c en</w:t>
      </w:r>
      <w:r w:rsidR="00643A28">
        <w:t xml:space="preserve"> d, van de richtlijn.</w:t>
      </w:r>
    </w:p>
  </w:footnote>
  <w:footnote w:id="17">
    <w:p w14:paraId="108577C0" w14:textId="2FD60D33" w:rsidR="003E65A3" w:rsidRPr="002369C3" w:rsidRDefault="003E65A3">
      <w:pPr>
        <w:pStyle w:val="Voetnoottekst"/>
      </w:pPr>
      <w:r>
        <w:rPr>
          <w:rStyle w:val="Voetnootmarkering"/>
        </w:rPr>
        <w:footnoteRef/>
      </w:r>
      <w:r>
        <w:t xml:space="preserve"> Memorie van </w:t>
      </w:r>
      <w:r w:rsidRPr="002369C3">
        <w:t>toelichting, paragraaf 3.5.</w:t>
      </w:r>
    </w:p>
  </w:footnote>
  <w:footnote w:id="18">
    <w:p w14:paraId="53B5EAC0" w14:textId="221E7466" w:rsidR="007E6475" w:rsidRPr="00D35538" w:rsidRDefault="007E6475" w:rsidP="004835AB">
      <w:pPr>
        <w:pStyle w:val="Kop2"/>
        <w:spacing w:before="0" w:beforeAutospacing="0" w:after="0" w:afterAutospacing="0"/>
      </w:pPr>
      <w:r w:rsidRPr="00D35538">
        <w:rPr>
          <w:rStyle w:val="Voetnootmarkering"/>
          <w:rFonts w:ascii="Univers" w:hAnsi="Univers"/>
          <w:b w:val="0"/>
          <w:bCs w:val="0"/>
          <w:sz w:val="20"/>
          <w:szCs w:val="20"/>
        </w:rPr>
        <w:footnoteRef/>
      </w:r>
      <w:r w:rsidRPr="00D35538">
        <w:rPr>
          <w:rFonts w:ascii="Univers" w:hAnsi="Univers"/>
          <w:b w:val="0"/>
          <w:bCs w:val="0"/>
          <w:sz w:val="20"/>
          <w:szCs w:val="20"/>
        </w:rPr>
        <w:t xml:space="preserve"> Zie </w:t>
      </w:r>
      <w:r w:rsidR="008E7480" w:rsidRPr="00D35538">
        <w:rPr>
          <w:rFonts w:ascii="Univers" w:hAnsi="Univers"/>
          <w:b w:val="0"/>
          <w:bCs w:val="0"/>
          <w:sz w:val="20"/>
          <w:szCs w:val="20"/>
        </w:rPr>
        <w:t xml:space="preserve">ook </w:t>
      </w:r>
      <w:r w:rsidRPr="00D35538">
        <w:rPr>
          <w:rFonts w:ascii="Univers" w:hAnsi="Univers"/>
          <w:b w:val="0"/>
          <w:bCs w:val="0"/>
          <w:sz w:val="20"/>
          <w:szCs w:val="20"/>
        </w:rPr>
        <w:t xml:space="preserve">de conclusie van </w:t>
      </w:r>
      <w:r w:rsidR="00F37618" w:rsidRPr="00D35538">
        <w:rPr>
          <w:rFonts w:ascii="Univers" w:hAnsi="Univers"/>
          <w:b w:val="0"/>
          <w:bCs w:val="0"/>
          <w:sz w:val="20"/>
          <w:szCs w:val="20"/>
        </w:rPr>
        <w:t>a</w:t>
      </w:r>
      <w:r w:rsidR="00DA716C" w:rsidRPr="00D35538">
        <w:rPr>
          <w:rFonts w:ascii="Univers" w:hAnsi="Univers"/>
          <w:b w:val="0"/>
          <w:bCs w:val="0"/>
          <w:sz w:val="20"/>
          <w:szCs w:val="20"/>
        </w:rPr>
        <w:t>dvocaat-</w:t>
      </w:r>
      <w:r w:rsidR="00F37618" w:rsidRPr="00D35538">
        <w:rPr>
          <w:rFonts w:ascii="Univers" w:hAnsi="Univers"/>
          <w:b w:val="0"/>
          <w:bCs w:val="0"/>
          <w:sz w:val="20"/>
          <w:szCs w:val="20"/>
        </w:rPr>
        <w:t>g</w:t>
      </w:r>
      <w:r w:rsidR="00DA716C" w:rsidRPr="00D35538">
        <w:rPr>
          <w:rFonts w:ascii="Univers" w:hAnsi="Univers"/>
          <w:b w:val="0"/>
          <w:bCs w:val="0"/>
          <w:sz w:val="20"/>
          <w:szCs w:val="20"/>
        </w:rPr>
        <w:t>ener</w:t>
      </w:r>
      <w:r w:rsidR="00821EF2" w:rsidRPr="00D35538">
        <w:rPr>
          <w:rFonts w:ascii="Univers" w:hAnsi="Univers"/>
          <w:b w:val="0"/>
          <w:bCs w:val="0"/>
          <w:sz w:val="20"/>
          <w:szCs w:val="20"/>
        </w:rPr>
        <w:t>a</w:t>
      </w:r>
      <w:r w:rsidR="00DA716C" w:rsidRPr="00D35538">
        <w:rPr>
          <w:rFonts w:ascii="Univers" w:hAnsi="Univers"/>
          <w:b w:val="0"/>
          <w:bCs w:val="0"/>
          <w:sz w:val="20"/>
          <w:szCs w:val="20"/>
        </w:rPr>
        <w:t xml:space="preserve">al </w:t>
      </w:r>
      <w:r w:rsidR="00DE680E" w:rsidRPr="00D35538">
        <w:rPr>
          <w:rFonts w:ascii="Univers" w:hAnsi="Univers"/>
          <w:b w:val="0"/>
          <w:bCs w:val="0"/>
          <w:sz w:val="20"/>
          <w:szCs w:val="20"/>
        </w:rPr>
        <w:t>R.H. d</w:t>
      </w:r>
      <w:r w:rsidRPr="00D35538">
        <w:rPr>
          <w:rFonts w:ascii="Univers" w:hAnsi="Univers"/>
          <w:b w:val="0"/>
          <w:bCs w:val="0"/>
          <w:sz w:val="20"/>
          <w:szCs w:val="20"/>
        </w:rPr>
        <w:t xml:space="preserve">e </w:t>
      </w:r>
      <w:r w:rsidR="00440AB5" w:rsidRPr="00D35538">
        <w:rPr>
          <w:rFonts w:ascii="Univers" w:hAnsi="Univers"/>
          <w:b w:val="0"/>
          <w:bCs w:val="0"/>
          <w:sz w:val="20"/>
          <w:szCs w:val="20"/>
        </w:rPr>
        <w:t>B</w:t>
      </w:r>
      <w:r w:rsidRPr="00D35538">
        <w:rPr>
          <w:rFonts w:ascii="Univers" w:hAnsi="Univers"/>
          <w:b w:val="0"/>
          <w:bCs w:val="0"/>
          <w:sz w:val="20"/>
          <w:szCs w:val="20"/>
        </w:rPr>
        <w:t>ock van 22 december 2023</w:t>
      </w:r>
      <w:r w:rsidR="00EF09CF" w:rsidRPr="00D35538">
        <w:rPr>
          <w:rFonts w:ascii="Univers" w:hAnsi="Univers"/>
          <w:b w:val="0"/>
          <w:bCs w:val="0"/>
          <w:sz w:val="20"/>
          <w:szCs w:val="20"/>
        </w:rPr>
        <w:t xml:space="preserve"> inzake de toelating van vakbonden tot de cao-onderhandelingen bij TUI</w:t>
      </w:r>
      <w:r w:rsidR="00DA716C" w:rsidRPr="00D35538">
        <w:rPr>
          <w:rFonts w:ascii="Univers" w:hAnsi="Univers"/>
          <w:b w:val="0"/>
          <w:bCs w:val="0"/>
          <w:sz w:val="20"/>
          <w:szCs w:val="20"/>
        </w:rPr>
        <w:t xml:space="preserve"> Airlines Nederland</w:t>
      </w:r>
      <w:r w:rsidR="00EF09CF" w:rsidRPr="00D35538">
        <w:rPr>
          <w:rFonts w:ascii="Univers" w:hAnsi="Univers"/>
          <w:b w:val="0"/>
          <w:bCs w:val="0"/>
          <w:sz w:val="20"/>
          <w:szCs w:val="20"/>
        </w:rPr>
        <w:t xml:space="preserve">, </w:t>
      </w:r>
      <w:r w:rsidRPr="00D35538">
        <w:rPr>
          <w:rFonts w:ascii="Univers" w:hAnsi="Univers"/>
          <w:b w:val="0"/>
          <w:sz w:val="20"/>
          <w:szCs w:val="20"/>
        </w:rPr>
        <w:t>ECLI:NL:PHR:2023:1211</w:t>
      </w:r>
      <w:r w:rsidR="00EF09CF" w:rsidRPr="00D35538">
        <w:rPr>
          <w:rFonts w:ascii="Univers" w:hAnsi="Univers"/>
          <w:b w:val="0"/>
          <w:bCs w:val="0"/>
          <w:sz w:val="20"/>
          <w:szCs w:val="20"/>
        </w:rPr>
        <w:t>.</w:t>
      </w:r>
    </w:p>
  </w:footnote>
  <w:footnote w:id="19">
    <w:p w14:paraId="46083740" w14:textId="5207C7DF" w:rsidR="00E81B67" w:rsidRDefault="00E81B67">
      <w:pPr>
        <w:pStyle w:val="Voetnoottekst"/>
      </w:pPr>
      <w:r>
        <w:rPr>
          <w:rStyle w:val="Voetnootmarkering"/>
        </w:rPr>
        <w:footnoteRef/>
      </w:r>
      <w:r>
        <w:t xml:space="preserve"> Artikel </w:t>
      </w:r>
      <w:r w:rsidR="00DE1C3E">
        <w:t>5, vierde lid, van de richtlijn.</w:t>
      </w:r>
      <w:r w:rsidR="00B407D7">
        <w:t xml:space="preserve"> </w:t>
      </w:r>
      <w:r w:rsidR="00445D27">
        <w:t xml:space="preserve">Genoemd </w:t>
      </w:r>
      <w:r w:rsidR="00A1789E">
        <w:t>worden</w:t>
      </w:r>
      <w:r w:rsidR="00445D27">
        <w:t xml:space="preserve"> 60% van het mediane brutoloon </w:t>
      </w:r>
      <w:r w:rsidR="00A1789E">
        <w:t xml:space="preserve">en </w:t>
      </w:r>
      <w:r w:rsidR="00445D27">
        <w:t>50% van het gemiddelde brutoloon.</w:t>
      </w:r>
      <w:r w:rsidR="00A1789E">
        <w:t xml:space="preserve"> Zie ook overweging </w:t>
      </w:r>
      <w:r w:rsidR="00405840">
        <w:t>28 van de richtlijn.</w:t>
      </w:r>
    </w:p>
  </w:footnote>
  <w:footnote w:id="20">
    <w:p w14:paraId="3D22736D" w14:textId="78DF43E8" w:rsidR="009F2874" w:rsidRDefault="009F2874">
      <w:pPr>
        <w:pStyle w:val="Voetnoottekst"/>
      </w:pPr>
      <w:r>
        <w:rPr>
          <w:rStyle w:val="Voetnootmarkering"/>
        </w:rPr>
        <w:footnoteRef/>
      </w:r>
      <w:r>
        <w:t xml:space="preserve"> Memorie van toelichting, paragraaf </w:t>
      </w:r>
      <w:r w:rsidR="00CD098F">
        <w:t>3.2.</w:t>
      </w:r>
    </w:p>
  </w:footnote>
  <w:footnote w:id="21">
    <w:p w14:paraId="3D058D97" w14:textId="1A132BA2" w:rsidR="00AC2A9C" w:rsidRPr="00350ED0" w:rsidRDefault="00AC2A9C">
      <w:pPr>
        <w:pStyle w:val="Voetnoottekst"/>
      </w:pPr>
      <w:r>
        <w:rPr>
          <w:rStyle w:val="Voetnootmarkering"/>
        </w:rPr>
        <w:footnoteRef/>
      </w:r>
      <w:r>
        <w:t xml:space="preserve"> </w:t>
      </w:r>
      <w:r w:rsidR="00984F4B" w:rsidRPr="00350ED0">
        <w:t xml:space="preserve">Zie </w:t>
      </w:r>
      <w:r w:rsidRPr="00350ED0">
        <w:t xml:space="preserve">W. </w:t>
      </w:r>
      <w:proofErr w:type="spellStart"/>
      <w:r w:rsidRPr="00350ED0">
        <w:t>Salverda</w:t>
      </w:r>
      <w:proofErr w:type="spellEnd"/>
      <w:r w:rsidRPr="00350ED0">
        <w:t xml:space="preserve">, ‘Welvaartswinst </w:t>
      </w:r>
      <w:r w:rsidR="006E623C" w:rsidRPr="00350ED0">
        <w:t>afgelopen</w:t>
      </w:r>
      <w:r w:rsidRPr="00350ED0">
        <w:t xml:space="preserve"> halve eeuw voorbijgegaan aan sociale minima’, </w:t>
      </w:r>
      <w:r w:rsidRPr="00350ED0">
        <w:rPr>
          <w:i/>
          <w:iCs/>
        </w:rPr>
        <w:t>ESB</w:t>
      </w:r>
      <w:r w:rsidRPr="00350ED0">
        <w:t xml:space="preserve"> </w:t>
      </w:r>
      <w:r w:rsidR="00F75391" w:rsidRPr="00350ED0">
        <w:t>(</w:t>
      </w:r>
      <w:r w:rsidRPr="00350ED0">
        <w:t>108</w:t>
      </w:r>
      <w:r w:rsidR="00F75391" w:rsidRPr="00350ED0">
        <w:t xml:space="preserve">) 2023, afl. </w:t>
      </w:r>
      <w:r w:rsidRPr="00350ED0">
        <w:t>4825</w:t>
      </w:r>
      <w:r w:rsidR="00F75391" w:rsidRPr="00350ED0">
        <w:t xml:space="preserve">, p. </w:t>
      </w:r>
      <w:r w:rsidR="00350ED0" w:rsidRPr="00350ED0">
        <w:t>414-416.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EB5B"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E533" w14:textId="77777777" w:rsidR="00FA7BCD" w:rsidRDefault="0090362A"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E539" w14:textId="77777777" w:rsidR="00DA0CDA" w:rsidRDefault="0090362A"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186E53A" w14:textId="77777777" w:rsidR="00993C75" w:rsidRDefault="0090362A">
    <w:pPr>
      <w:pStyle w:val="Koptekst"/>
    </w:pPr>
    <w:r>
      <w:rPr>
        <w:noProof/>
      </w:rPr>
      <w:drawing>
        <wp:anchor distT="0" distB="0" distL="114300" distR="114300" simplePos="0" relativeHeight="251658240" behindDoc="1" locked="0" layoutInCell="1" allowOverlap="1" wp14:anchorId="2186E545" wp14:editId="2186E54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DF"/>
    <w:rsid w:val="00000B6B"/>
    <w:rsid w:val="000034DC"/>
    <w:rsid w:val="000038F1"/>
    <w:rsid w:val="00003C10"/>
    <w:rsid w:val="00004297"/>
    <w:rsid w:val="000061C7"/>
    <w:rsid w:val="000066E8"/>
    <w:rsid w:val="00006E0C"/>
    <w:rsid w:val="00007B1C"/>
    <w:rsid w:val="0001076A"/>
    <w:rsid w:val="000125C5"/>
    <w:rsid w:val="000139F2"/>
    <w:rsid w:val="00015CFA"/>
    <w:rsid w:val="000164DF"/>
    <w:rsid w:val="00016D79"/>
    <w:rsid w:val="00017350"/>
    <w:rsid w:val="000177DF"/>
    <w:rsid w:val="00017C54"/>
    <w:rsid w:val="00017CEB"/>
    <w:rsid w:val="00017E6A"/>
    <w:rsid w:val="00020C7A"/>
    <w:rsid w:val="000234D8"/>
    <w:rsid w:val="000235FF"/>
    <w:rsid w:val="00023DD2"/>
    <w:rsid w:val="00025B6E"/>
    <w:rsid w:val="00025F2A"/>
    <w:rsid w:val="00026AA0"/>
    <w:rsid w:val="00026C0D"/>
    <w:rsid w:val="0002799F"/>
    <w:rsid w:val="00030C8D"/>
    <w:rsid w:val="00032178"/>
    <w:rsid w:val="00032A34"/>
    <w:rsid w:val="0003324C"/>
    <w:rsid w:val="00035D8C"/>
    <w:rsid w:val="00035EB6"/>
    <w:rsid w:val="00036427"/>
    <w:rsid w:val="00040DD9"/>
    <w:rsid w:val="000415A3"/>
    <w:rsid w:val="00042A21"/>
    <w:rsid w:val="00043BED"/>
    <w:rsid w:val="00047966"/>
    <w:rsid w:val="00050BE3"/>
    <w:rsid w:val="00053A13"/>
    <w:rsid w:val="0005564C"/>
    <w:rsid w:val="00056281"/>
    <w:rsid w:val="000563E1"/>
    <w:rsid w:val="00057B64"/>
    <w:rsid w:val="000614C7"/>
    <w:rsid w:val="000627EB"/>
    <w:rsid w:val="00063D59"/>
    <w:rsid w:val="00063E93"/>
    <w:rsid w:val="00064612"/>
    <w:rsid w:val="0006522B"/>
    <w:rsid w:val="00071D63"/>
    <w:rsid w:val="00073696"/>
    <w:rsid w:val="000745F8"/>
    <w:rsid w:val="0007464B"/>
    <w:rsid w:val="00074BD6"/>
    <w:rsid w:val="00074DA2"/>
    <w:rsid w:val="00074E11"/>
    <w:rsid w:val="0007620B"/>
    <w:rsid w:val="00076446"/>
    <w:rsid w:val="00077C80"/>
    <w:rsid w:val="00080E0B"/>
    <w:rsid w:val="00082EEC"/>
    <w:rsid w:val="0008318C"/>
    <w:rsid w:val="000834A9"/>
    <w:rsid w:val="0008604B"/>
    <w:rsid w:val="00086956"/>
    <w:rsid w:val="00093620"/>
    <w:rsid w:val="0009547B"/>
    <w:rsid w:val="0009727E"/>
    <w:rsid w:val="000A066B"/>
    <w:rsid w:val="000A2B63"/>
    <w:rsid w:val="000A30D4"/>
    <w:rsid w:val="000A372C"/>
    <w:rsid w:val="000A37AD"/>
    <w:rsid w:val="000A45DD"/>
    <w:rsid w:val="000A5978"/>
    <w:rsid w:val="000A7104"/>
    <w:rsid w:val="000A716F"/>
    <w:rsid w:val="000A7B08"/>
    <w:rsid w:val="000B0190"/>
    <w:rsid w:val="000B3021"/>
    <w:rsid w:val="000B6E3C"/>
    <w:rsid w:val="000C0682"/>
    <w:rsid w:val="000C1124"/>
    <w:rsid w:val="000C3BA8"/>
    <w:rsid w:val="000C3CD8"/>
    <w:rsid w:val="000C3DB4"/>
    <w:rsid w:val="000C4E4C"/>
    <w:rsid w:val="000C524E"/>
    <w:rsid w:val="000C52C2"/>
    <w:rsid w:val="000C548F"/>
    <w:rsid w:val="000C6649"/>
    <w:rsid w:val="000C68A2"/>
    <w:rsid w:val="000C762F"/>
    <w:rsid w:val="000C7FD9"/>
    <w:rsid w:val="000D03F0"/>
    <w:rsid w:val="000D1745"/>
    <w:rsid w:val="000D1A06"/>
    <w:rsid w:val="000D27AC"/>
    <w:rsid w:val="000D2FE2"/>
    <w:rsid w:val="000D30B7"/>
    <w:rsid w:val="000D4A8B"/>
    <w:rsid w:val="000D66A7"/>
    <w:rsid w:val="000D7D23"/>
    <w:rsid w:val="000E1DDF"/>
    <w:rsid w:val="000E306D"/>
    <w:rsid w:val="000E3EA1"/>
    <w:rsid w:val="000E417C"/>
    <w:rsid w:val="000E4708"/>
    <w:rsid w:val="000E65FB"/>
    <w:rsid w:val="000E7434"/>
    <w:rsid w:val="000E787D"/>
    <w:rsid w:val="000E7E4A"/>
    <w:rsid w:val="000F2782"/>
    <w:rsid w:val="000F2D77"/>
    <w:rsid w:val="000F30E1"/>
    <w:rsid w:val="000F5708"/>
    <w:rsid w:val="000F5C4E"/>
    <w:rsid w:val="000F79AE"/>
    <w:rsid w:val="001022DB"/>
    <w:rsid w:val="001031E8"/>
    <w:rsid w:val="00103E5B"/>
    <w:rsid w:val="0010595A"/>
    <w:rsid w:val="0010664B"/>
    <w:rsid w:val="001123F5"/>
    <w:rsid w:val="00112B0A"/>
    <w:rsid w:val="00113CB1"/>
    <w:rsid w:val="0011711D"/>
    <w:rsid w:val="00117168"/>
    <w:rsid w:val="00117B9F"/>
    <w:rsid w:val="00120DF5"/>
    <w:rsid w:val="00120F7E"/>
    <w:rsid w:val="001210C1"/>
    <w:rsid w:val="001237A6"/>
    <w:rsid w:val="00123E1E"/>
    <w:rsid w:val="00125076"/>
    <w:rsid w:val="001266EB"/>
    <w:rsid w:val="00127862"/>
    <w:rsid w:val="00127D32"/>
    <w:rsid w:val="00131025"/>
    <w:rsid w:val="0013165E"/>
    <w:rsid w:val="00133136"/>
    <w:rsid w:val="00134724"/>
    <w:rsid w:val="00136787"/>
    <w:rsid w:val="0013689A"/>
    <w:rsid w:val="00136BC8"/>
    <w:rsid w:val="00137F07"/>
    <w:rsid w:val="001454C4"/>
    <w:rsid w:val="0014693E"/>
    <w:rsid w:val="00146F33"/>
    <w:rsid w:val="00152BAA"/>
    <w:rsid w:val="001541D2"/>
    <w:rsid w:val="00156BC9"/>
    <w:rsid w:val="001575D0"/>
    <w:rsid w:val="001604A9"/>
    <w:rsid w:val="0016086C"/>
    <w:rsid w:val="00163033"/>
    <w:rsid w:val="001651B5"/>
    <w:rsid w:val="00165CD1"/>
    <w:rsid w:val="00165DF2"/>
    <w:rsid w:val="00167560"/>
    <w:rsid w:val="001675BD"/>
    <w:rsid w:val="00171261"/>
    <w:rsid w:val="00174275"/>
    <w:rsid w:val="001767CA"/>
    <w:rsid w:val="001769CF"/>
    <w:rsid w:val="00180A02"/>
    <w:rsid w:val="00182B96"/>
    <w:rsid w:val="0018334A"/>
    <w:rsid w:val="0019041E"/>
    <w:rsid w:val="001942F1"/>
    <w:rsid w:val="001952A4"/>
    <w:rsid w:val="001964EC"/>
    <w:rsid w:val="00196D8B"/>
    <w:rsid w:val="001970B1"/>
    <w:rsid w:val="001978DD"/>
    <w:rsid w:val="00197D79"/>
    <w:rsid w:val="001A1EFC"/>
    <w:rsid w:val="001A2FB7"/>
    <w:rsid w:val="001A2FFA"/>
    <w:rsid w:val="001A3381"/>
    <w:rsid w:val="001A3885"/>
    <w:rsid w:val="001A5F9F"/>
    <w:rsid w:val="001A64B0"/>
    <w:rsid w:val="001A7103"/>
    <w:rsid w:val="001B3A3F"/>
    <w:rsid w:val="001B5C17"/>
    <w:rsid w:val="001B65C8"/>
    <w:rsid w:val="001C5064"/>
    <w:rsid w:val="001C6152"/>
    <w:rsid w:val="001C6A9C"/>
    <w:rsid w:val="001D34B7"/>
    <w:rsid w:val="001D3DD4"/>
    <w:rsid w:val="001D51DA"/>
    <w:rsid w:val="001D5414"/>
    <w:rsid w:val="001D5C06"/>
    <w:rsid w:val="001D621B"/>
    <w:rsid w:val="001D71C3"/>
    <w:rsid w:val="001D76F3"/>
    <w:rsid w:val="001E0D84"/>
    <w:rsid w:val="001E3388"/>
    <w:rsid w:val="001E4029"/>
    <w:rsid w:val="001E4390"/>
    <w:rsid w:val="001E5A9B"/>
    <w:rsid w:val="001E6F3F"/>
    <w:rsid w:val="001E7C8E"/>
    <w:rsid w:val="001F5041"/>
    <w:rsid w:val="001F50D2"/>
    <w:rsid w:val="001F604E"/>
    <w:rsid w:val="001F6905"/>
    <w:rsid w:val="001F775E"/>
    <w:rsid w:val="001F784A"/>
    <w:rsid w:val="001F7DDD"/>
    <w:rsid w:val="0020037E"/>
    <w:rsid w:val="00203BA6"/>
    <w:rsid w:val="0020560E"/>
    <w:rsid w:val="00205657"/>
    <w:rsid w:val="00207BA3"/>
    <w:rsid w:val="00211FCB"/>
    <w:rsid w:val="00212A41"/>
    <w:rsid w:val="00212C6B"/>
    <w:rsid w:val="00212DD0"/>
    <w:rsid w:val="00213743"/>
    <w:rsid w:val="00215ECB"/>
    <w:rsid w:val="00216B11"/>
    <w:rsid w:val="00216B23"/>
    <w:rsid w:val="00216D14"/>
    <w:rsid w:val="00216F7A"/>
    <w:rsid w:val="00217892"/>
    <w:rsid w:val="00217DEF"/>
    <w:rsid w:val="00220C0E"/>
    <w:rsid w:val="00223713"/>
    <w:rsid w:val="00224FB3"/>
    <w:rsid w:val="00225C2F"/>
    <w:rsid w:val="00230ACD"/>
    <w:rsid w:val="00230CA8"/>
    <w:rsid w:val="00230D88"/>
    <w:rsid w:val="002312CA"/>
    <w:rsid w:val="0023385A"/>
    <w:rsid w:val="00235AE1"/>
    <w:rsid w:val="002369C3"/>
    <w:rsid w:val="00241C45"/>
    <w:rsid w:val="00243CEC"/>
    <w:rsid w:val="00245406"/>
    <w:rsid w:val="00245B40"/>
    <w:rsid w:val="00247CCD"/>
    <w:rsid w:val="00247D0E"/>
    <w:rsid w:val="00252FB8"/>
    <w:rsid w:val="00253000"/>
    <w:rsid w:val="00253B30"/>
    <w:rsid w:val="00254AFE"/>
    <w:rsid w:val="00255CBF"/>
    <w:rsid w:val="00256078"/>
    <w:rsid w:val="00256776"/>
    <w:rsid w:val="002578FC"/>
    <w:rsid w:val="00261225"/>
    <w:rsid w:val="00262B86"/>
    <w:rsid w:val="002643A2"/>
    <w:rsid w:val="00266A5C"/>
    <w:rsid w:val="0027065F"/>
    <w:rsid w:val="0027131A"/>
    <w:rsid w:val="00276F84"/>
    <w:rsid w:val="002779E3"/>
    <w:rsid w:val="00277BC1"/>
    <w:rsid w:val="00277C65"/>
    <w:rsid w:val="002803A5"/>
    <w:rsid w:val="00280FFE"/>
    <w:rsid w:val="00281D2F"/>
    <w:rsid w:val="00282B8B"/>
    <w:rsid w:val="00284239"/>
    <w:rsid w:val="00284A7F"/>
    <w:rsid w:val="00286F95"/>
    <w:rsid w:val="002872D2"/>
    <w:rsid w:val="0028783C"/>
    <w:rsid w:val="0029012B"/>
    <w:rsid w:val="00290C68"/>
    <w:rsid w:val="002934BE"/>
    <w:rsid w:val="00293EC7"/>
    <w:rsid w:val="00295870"/>
    <w:rsid w:val="00296AC6"/>
    <w:rsid w:val="002A25DE"/>
    <w:rsid w:val="002A4400"/>
    <w:rsid w:val="002A44BA"/>
    <w:rsid w:val="002A7503"/>
    <w:rsid w:val="002B0292"/>
    <w:rsid w:val="002B1642"/>
    <w:rsid w:val="002B18C2"/>
    <w:rsid w:val="002B2290"/>
    <w:rsid w:val="002B4420"/>
    <w:rsid w:val="002B59AE"/>
    <w:rsid w:val="002B6E9C"/>
    <w:rsid w:val="002C28EA"/>
    <w:rsid w:val="002C2E15"/>
    <w:rsid w:val="002C3219"/>
    <w:rsid w:val="002C3965"/>
    <w:rsid w:val="002C43FE"/>
    <w:rsid w:val="002C47C6"/>
    <w:rsid w:val="002C7409"/>
    <w:rsid w:val="002D0F7A"/>
    <w:rsid w:val="002D218F"/>
    <w:rsid w:val="002D35E2"/>
    <w:rsid w:val="002D3884"/>
    <w:rsid w:val="002D47A2"/>
    <w:rsid w:val="002E0652"/>
    <w:rsid w:val="002E25DE"/>
    <w:rsid w:val="002E2CDA"/>
    <w:rsid w:val="002E2F54"/>
    <w:rsid w:val="002E478F"/>
    <w:rsid w:val="002E5D6A"/>
    <w:rsid w:val="002E68F9"/>
    <w:rsid w:val="002E7698"/>
    <w:rsid w:val="002F0E6F"/>
    <w:rsid w:val="002F2482"/>
    <w:rsid w:val="002F4304"/>
    <w:rsid w:val="002F49C7"/>
    <w:rsid w:val="002F6C34"/>
    <w:rsid w:val="002F7173"/>
    <w:rsid w:val="00302301"/>
    <w:rsid w:val="00302CBE"/>
    <w:rsid w:val="003045EA"/>
    <w:rsid w:val="00305410"/>
    <w:rsid w:val="00306520"/>
    <w:rsid w:val="00306BC7"/>
    <w:rsid w:val="00310F14"/>
    <w:rsid w:val="00312088"/>
    <w:rsid w:val="00312572"/>
    <w:rsid w:val="00315DE5"/>
    <w:rsid w:val="00317AE4"/>
    <w:rsid w:val="00317C35"/>
    <w:rsid w:val="0032141B"/>
    <w:rsid w:val="00327502"/>
    <w:rsid w:val="00334212"/>
    <w:rsid w:val="00337BF7"/>
    <w:rsid w:val="00340F39"/>
    <w:rsid w:val="00343A8A"/>
    <w:rsid w:val="00344526"/>
    <w:rsid w:val="00344731"/>
    <w:rsid w:val="00347577"/>
    <w:rsid w:val="003502EB"/>
    <w:rsid w:val="00350EA0"/>
    <w:rsid w:val="00350ED0"/>
    <w:rsid w:val="00352335"/>
    <w:rsid w:val="003526CE"/>
    <w:rsid w:val="0035293C"/>
    <w:rsid w:val="00353099"/>
    <w:rsid w:val="00353D4A"/>
    <w:rsid w:val="00354786"/>
    <w:rsid w:val="00362500"/>
    <w:rsid w:val="00362971"/>
    <w:rsid w:val="00362F7E"/>
    <w:rsid w:val="00364587"/>
    <w:rsid w:val="00367CC7"/>
    <w:rsid w:val="00367CD5"/>
    <w:rsid w:val="00371741"/>
    <w:rsid w:val="00371E3E"/>
    <w:rsid w:val="00372467"/>
    <w:rsid w:val="00372CD6"/>
    <w:rsid w:val="00375EA8"/>
    <w:rsid w:val="00380DF7"/>
    <w:rsid w:val="00380EEC"/>
    <w:rsid w:val="00381F28"/>
    <w:rsid w:val="0038342F"/>
    <w:rsid w:val="00384B8A"/>
    <w:rsid w:val="00384F3B"/>
    <w:rsid w:val="0038639F"/>
    <w:rsid w:val="0039033D"/>
    <w:rsid w:val="00392C11"/>
    <w:rsid w:val="0039398D"/>
    <w:rsid w:val="00395BA0"/>
    <w:rsid w:val="0039681F"/>
    <w:rsid w:val="003A1F0E"/>
    <w:rsid w:val="003A2067"/>
    <w:rsid w:val="003A259F"/>
    <w:rsid w:val="003A2ACD"/>
    <w:rsid w:val="003A2C58"/>
    <w:rsid w:val="003A3D01"/>
    <w:rsid w:val="003A5833"/>
    <w:rsid w:val="003B181B"/>
    <w:rsid w:val="003B2EEB"/>
    <w:rsid w:val="003B4AC4"/>
    <w:rsid w:val="003B59F7"/>
    <w:rsid w:val="003B5B07"/>
    <w:rsid w:val="003B672A"/>
    <w:rsid w:val="003C06DC"/>
    <w:rsid w:val="003C4B7A"/>
    <w:rsid w:val="003C5C17"/>
    <w:rsid w:val="003C5D39"/>
    <w:rsid w:val="003C7783"/>
    <w:rsid w:val="003D0F68"/>
    <w:rsid w:val="003D1627"/>
    <w:rsid w:val="003D1904"/>
    <w:rsid w:val="003D37B9"/>
    <w:rsid w:val="003D3CBB"/>
    <w:rsid w:val="003D4E4E"/>
    <w:rsid w:val="003D6991"/>
    <w:rsid w:val="003E0543"/>
    <w:rsid w:val="003E2E84"/>
    <w:rsid w:val="003E3517"/>
    <w:rsid w:val="003E3AF8"/>
    <w:rsid w:val="003E4195"/>
    <w:rsid w:val="003E42E3"/>
    <w:rsid w:val="003E55F0"/>
    <w:rsid w:val="003E65A3"/>
    <w:rsid w:val="003E6729"/>
    <w:rsid w:val="003F3405"/>
    <w:rsid w:val="003F566B"/>
    <w:rsid w:val="003F64A4"/>
    <w:rsid w:val="003F7BCF"/>
    <w:rsid w:val="00400CE7"/>
    <w:rsid w:val="00401196"/>
    <w:rsid w:val="00402707"/>
    <w:rsid w:val="00405178"/>
    <w:rsid w:val="00405840"/>
    <w:rsid w:val="00406450"/>
    <w:rsid w:val="00412415"/>
    <w:rsid w:val="004131CE"/>
    <w:rsid w:val="00417310"/>
    <w:rsid w:val="0041765C"/>
    <w:rsid w:val="0042025C"/>
    <w:rsid w:val="00421F10"/>
    <w:rsid w:val="00422349"/>
    <w:rsid w:val="00422D7B"/>
    <w:rsid w:val="00423D2E"/>
    <w:rsid w:val="004259B4"/>
    <w:rsid w:val="00426337"/>
    <w:rsid w:val="004263DE"/>
    <w:rsid w:val="004301F2"/>
    <w:rsid w:val="00432398"/>
    <w:rsid w:val="00433816"/>
    <w:rsid w:val="00433C5F"/>
    <w:rsid w:val="0043437A"/>
    <w:rsid w:val="0043449C"/>
    <w:rsid w:val="00434995"/>
    <w:rsid w:val="00435274"/>
    <w:rsid w:val="00436278"/>
    <w:rsid w:val="004376EC"/>
    <w:rsid w:val="004377E7"/>
    <w:rsid w:val="004400AF"/>
    <w:rsid w:val="00440AB5"/>
    <w:rsid w:val="0044258D"/>
    <w:rsid w:val="00444811"/>
    <w:rsid w:val="00445D27"/>
    <w:rsid w:val="0044657D"/>
    <w:rsid w:val="00452820"/>
    <w:rsid w:val="00452A40"/>
    <w:rsid w:val="0045433E"/>
    <w:rsid w:val="00455278"/>
    <w:rsid w:val="00460979"/>
    <w:rsid w:val="004614D8"/>
    <w:rsid w:val="00461821"/>
    <w:rsid w:val="00461E10"/>
    <w:rsid w:val="00461F33"/>
    <w:rsid w:val="0046297B"/>
    <w:rsid w:val="004629DB"/>
    <w:rsid w:val="004637BA"/>
    <w:rsid w:val="00463BE6"/>
    <w:rsid w:val="00465396"/>
    <w:rsid w:val="004716CB"/>
    <w:rsid w:val="004722D6"/>
    <w:rsid w:val="00472412"/>
    <w:rsid w:val="00473C23"/>
    <w:rsid w:val="0047544E"/>
    <w:rsid w:val="00481518"/>
    <w:rsid w:val="00482AF0"/>
    <w:rsid w:val="004835AB"/>
    <w:rsid w:val="004843CE"/>
    <w:rsid w:val="0048579D"/>
    <w:rsid w:val="00486259"/>
    <w:rsid w:val="00486F06"/>
    <w:rsid w:val="0048748D"/>
    <w:rsid w:val="00490862"/>
    <w:rsid w:val="00490CC2"/>
    <w:rsid w:val="0049217C"/>
    <w:rsid w:val="00493BBA"/>
    <w:rsid w:val="004952B6"/>
    <w:rsid w:val="004A004A"/>
    <w:rsid w:val="004A0A4A"/>
    <w:rsid w:val="004A78CC"/>
    <w:rsid w:val="004A7C28"/>
    <w:rsid w:val="004B09AA"/>
    <w:rsid w:val="004B197D"/>
    <w:rsid w:val="004B1D83"/>
    <w:rsid w:val="004B5353"/>
    <w:rsid w:val="004B6FBD"/>
    <w:rsid w:val="004B7118"/>
    <w:rsid w:val="004B74DF"/>
    <w:rsid w:val="004C09EC"/>
    <w:rsid w:val="004C0B07"/>
    <w:rsid w:val="004C1A8B"/>
    <w:rsid w:val="004C46E4"/>
    <w:rsid w:val="004C5849"/>
    <w:rsid w:val="004C5D3E"/>
    <w:rsid w:val="004D07C6"/>
    <w:rsid w:val="004D090F"/>
    <w:rsid w:val="004D20B9"/>
    <w:rsid w:val="004D228B"/>
    <w:rsid w:val="004D3B6B"/>
    <w:rsid w:val="004D47AE"/>
    <w:rsid w:val="004D6E07"/>
    <w:rsid w:val="004D7788"/>
    <w:rsid w:val="004D7B83"/>
    <w:rsid w:val="004E0C4A"/>
    <w:rsid w:val="004E17B7"/>
    <w:rsid w:val="004E487B"/>
    <w:rsid w:val="004E52A6"/>
    <w:rsid w:val="004F0330"/>
    <w:rsid w:val="004F0795"/>
    <w:rsid w:val="004F31DE"/>
    <w:rsid w:val="004F31E1"/>
    <w:rsid w:val="004F350C"/>
    <w:rsid w:val="004F4FE5"/>
    <w:rsid w:val="004F5914"/>
    <w:rsid w:val="004F65E8"/>
    <w:rsid w:val="0050188A"/>
    <w:rsid w:val="005022B2"/>
    <w:rsid w:val="00502304"/>
    <w:rsid w:val="00503624"/>
    <w:rsid w:val="0050425B"/>
    <w:rsid w:val="005042E3"/>
    <w:rsid w:val="005044E8"/>
    <w:rsid w:val="00504890"/>
    <w:rsid w:val="00505CBA"/>
    <w:rsid w:val="00506519"/>
    <w:rsid w:val="0050695D"/>
    <w:rsid w:val="005104C2"/>
    <w:rsid w:val="00512144"/>
    <w:rsid w:val="00512DEB"/>
    <w:rsid w:val="005145FE"/>
    <w:rsid w:val="00514DF5"/>
    <w:rsid w:val="0052041E"/>
    <w:rsid w:val="00520CCD"/>
    <w:rsid w:val="005232E2"/>
    <w:rsid w:val="0052363B"/>
    <w:rsid w:val="00524EA9"/>
    <w:rsid w:val="005253A3"/>
    <w:rsid w:val="005267F0"/>
    <w:rsid w:val="00530A42"/>
    <w:rsid w:val="00531B6B"/>
    <w:rsid w:val="00531C49"/>
    <w:rsid w:val="005328F1"/>
    <w:rsid w:val="00535D2F"/>
    <w:rsid w:val="00540C85"/>
    <w:rsid w:val="00542783"/>
    <w:rsid w:val="005461B5"/>
    <w:rsid w:val="0055081A"/>
    <w:rsid w:val="00553683"/>
    <w:rsid w:val="0055525E"/>
    <w:rsid w:val="0055547C"/>
    <w:rsid w:val="00555868"/>
    <w:rsid w:val="00555F2E"/>
    <w:rsid w:val="00555F6A"/>
    <w:rsid w:val="00556459"/>
    <w:rsid w:val="00556C06"/>
    <w:rsid w:val="00557274"/>
    <w:rsid w:val="00557A8A"/>
    <w:rsid w:val="005604BA"/>
    <w:rsid w:val="00560956"/>
    <w:rsid w:val="00563B22"/>
    <w:rsid w:val="00563D85"/>
    <w:rsid w:val="005646D6"/>
    <w:rsid w:val="00565584"/>
    <w:rsid w:val="00570609"/>
    <w:rsid w:val="005709E2"/>
    <w:rsid w:val="005711A0"/>
    <w:rsid w:val="00574081"/>
    <w:rsid w:val="005746AB"/>
    <w:rsid w:val="00575C08"/>
    <w:rsid w:val="00581204"/>
    <w:rsid w:val="00581EA6"/>
    <w:rsid w:val="0058331D"/>
    <w:rsid w:val="00583936"/>
    <w:rsid w:val="00583B7A"/>
    <w:rsid w:val="00584CD0"/>
    <w:rsid w:val="00585474"/>
    <w:rsid w:val="00585EE1"/>
    <w:rsid w:val="00586D6F"/>
    <w:rsid w:val="005873BB"/>
    <w:rsid w:val="005924AB"/>
    <w:rsid w:val="005947FE"/>
    <w:rsid w:val="005A2753"/>
    <w:rsid w:val="005B09A6"/>
    <w:rsid w:val="005B371F"/>
    <w:rsid w:val="005B389F"/>
    <w:rsid w:val="005B3BD0"/>
    <w:rsid w:val="005B47ED"/>
    <w:rsid w:val="005B547F"/>
    <w:rsid w:val="005B594C"/>
    <w:rsid w:val="005B633A"/>
    <w:rsid w:val="005B65DC"/>
    <w:rsid w:val="005B7D9E"/>
    <w:rsid w:val="005C1AB6"/>
    <w:rsid w:val="005C2701"/>
    <w:rsid w:val="005C2B51"/>
    <w:rsid w:val="005C2FBB"/>
    <w:rsid w:val="005C4CDA"/>
    <w:rsid w:val="005C56C2"/>
    <w:rsid w:val="005C6203"/>
    <w:rsid w:val="005C65A4"/>
    <w:rsid w:val="005D02B4"/>
    <w:rsid w:val="005D0A87"/>
    <w:rsid w:val="005D102B"/>
    <w:rsid w:val="005D1919"/>
    <w:rsid w:val="005D56D0"/>
    <w:rsid w:val="005E0346"/>
    <w:rsid w:val="005E1B36"/>
    <w:rsid w:val="005E44D9"/>
    <w:rsid w:val="005E51AB"/>
    <w:rsid w:val="005E78D9"/>
    <w:rsid w:val="005E7E27"/>
    <w:rsid w:val="005F2413"/>
    <w:rsid w:val="005F370A"/>
    <w:rsid w:val="005F546B"/>
    <w:rsid w:val="005F6FB8"/>
    <w:rsid w:val="005F7294"/>
    <w:rsid w:val="00602F65"/>
    <w:rsid w:val="0060591B"/>
    <w:rsid w:val="00605ADB"/>
    <w:rsid w:val="0061216E"/>
    <w:rsid w:val="00614645"/>
    <w:rsid w:val="006147E3"/>
    <w:rsid w:val="006149DB"/>
    <w:rsid w:val="006239B4"/>
    <w:rsid w:val="0062504D"/>
    <w:rsid w:val="00625071"/>
    <w:rsid w:val="00625EE1"/>
    <w:rsid w:val="006268DD"/>
    <w:rsid w:val="00627A4E"/>
    <w:rsid w:val="006316B8"/>
    <w:rsid w:val="00631ADE"/>
    <w:rsid w:val="00632E12"/>
    <w:rsid w:val="00633106"/>
    <w:rsid w:val="006337BB"/>
    <w:rsid w:val="006353D4"/>
    <w:rsid w:val="006366B3"/>
    <w:rsid w:val="006370D1"/>
    <w:rsid w:val="00637F0B"/>
    <w:rsid w:val="00641CDF"/>
    <w:rsid w:val="006423AA"/>
    <w:rsid w:val="00642F10"/>
    <w:rsid w:val="00643A28"/>
    <w:rsid w:val="006466A1"/>
    <w:rsid w:val="00650B33"/>
    <w:rsid w:val="00650E28"/>
    <w:rsid w:val="006512CA"/>
    <w:rsid w:val="006516D0"/>
    <w:rsid w:val="006577A0"/>
    <w:rsid w:val="00662829"/>
    <w:rsid w:val="00663C1B"/>
    <w:rsid w:val="00665613"/>
    <w:rsid w:val="00665615"/>
    <w:rsid w:val="00666695"/>
    <w:rsid w:val="006670E0"/>
    <w:rsid w:val="00670338"/>
    <w:rsid w:val="00670B36"/>
    <w:rsid w:val="00671176"/>
    <w:rsid w:val="00673F5A"/>
    <w:rsid w:val="0067453D"/>
    <w:rsid w:val="006748E8"/>
    <w:rsid w:val="0067520B"/>
    <w:rsid w:val="00675453"/>
    <w:rsid w:val="0067676D"/>
    <w:rsid w:val="006776C6"/>
    <w:rsid w:val="0067788E"/>
    <w:rsid w:val="0068093F"/>
    <w:rsid w:val="00680FBD"/>
    <w:rsid w:val="006817A3"/>
    <w:rsid w:val="006819B8"/>
    <w:rsid w:val="006822E5"/>
    <w:rsid w:val="0068235E"/>
    <w:rsid w:val="00684284"/>
    <w:rsid w:val="00684328"/>
    <w:rsid w:val="006857DD"/>
    <w:rsid w:val="00686A68"/>
    <w:rsid w:val="00690875"/>
    <w:rsid w:val="00691C2E"/>
    <w:rsid w:val="00696723"/>
    <w:rsid w:val="006972FE"/>
    <w:rsid w:val="006A0AEF"/>
    <w:rsid w:val="006A20E5"/>
    <w:rsid w:val="006A2E81"/>
    <w:rsid w:val="006A341C"/>
    <w:rsid w:val="006A69AC"/>
    <w:rsid w:val="006B0089"/>
    <w:rsid w:val="006B0243"/>
    <w:rsid w:val="006B08AA"/>
    <w:rsid w:val="006B0DEF"/>
    <w:rsid w:val="006B220E"/>
    <w:rsid w:val="006B2493"/>
    <w:rsid w:val="006B4537"/>
    <w:rsid w:val="006B6525"/>
    <w:rsid w:val="006B6CCE"/>
    <w:rsid w:val="006C0660"/>
    <w:rsid w:val="006C0A32"/>
    <w:rsid w:val="006C2A89"/>
    <w:rsid w:val="006C31E6"/>
    <w:rsid w:val="006C3463"/>
    <w:rsid w:val="006C4E24"/>
    <w:rsid w:val="006D0152"/>
    <w:rsid w:val="006D0AD5"/>
    <w:rsid w:val="006D10A6"/>
    <w:rsid w:val="006D19FD"/>
    <w:rsid w:val="006D3D80"/>
    <w:rsid w:val="006D4D71"/>
    <w:rsid w:val="006D59E9"/>
    <w:rsid w:val="006D6CF4"/>
    <w:rsid w:val="006D6D94"/>
    <w:rsid w:val="006E0F3B"/>
    <w:rsid w:val="006E340B"/>
    <w:rsid w:val="006E623C"/>
    <w:rsid w:val="006F285C"/>
    <w:rsid w:val="006F298F"/>
    <w:rsid w:val="006F324E"/>
    <w:rsid w:val="006F7D4C"/>
    <w:rsid w:val="0070383F"/>
    <w:rsid w:val="00704AB5"/>
    <w:rsid w:val="007053DE"/>
    <w:rsid w:val="00707C0A"/>
    <w:rsid w:val="0071090C"/>
    <w:rsid w:val="00710E84"/>
    <w:rsid w:val="00710E93"/>
    <w:rsid w:val="00711339"/>
    <w:rsid w:val="00715E2C"/>
    <w:rsid w:val="007248C7"/>
    <w:rsid w:val="00725BEE"/>
    <w:rsid w:val="00730A5F"/>
    <w:rsid w:val="00731356"/>
    <w:rsid w:val="00731841"/>
    <w:rsid w:val="0073323E"/>
    <w:rsid w:val="007346AD"/>
    <w:rsid w:val="00734D31"/>
    <w:rsid w:val="007367A9"/>
    <w:rsid w:val="00736DA6"/>
    <w:rsid w:val="0073703E"/>
    <w:rsid w:val="007412EC"/>
    <w:rsid w:val="00741366"/>
    <w:rsid w:val="00741D10"/>
    <w:rsid w:val="00742892"/>
    <w:rsid w:val="00742DC4"/>
    <w:rsid w:val="007446A6"/>
    <w:rsid w:val="00745BC9"/>
    <w:rsid w:val="00746EF7"/>
    <w:rsid w:val="00747EEA"/>
    <w:rsid w:val="00751494"/>
    <w:rsid w:val="00752323"/>
    <w:rsid w:val="007534A3"/>
    <w:rsid w:val="007536F9"/>
    <w:rsid w:val="00754CAD"/>
    <w:rsid w:val="00755AC5"/>
    <w:rsid w:val="007565AC"/>
    <w:rsid w:val="007578A3"/>
    <w:rsid w:val="007605D2"/>
    <w:rsid w:val="00761714"/>
    <w:rsid w:val="007652F2"/>
    <w:rsid w:val="00765B7C"/>
    <w:rsid w:val="00766571"/>
    <w:rsid w:val="00767D73"/>
    <w:rsid w:val="00770471"/>
    <w:rsid w:val="00772120"/>
    <w:rsid w:val="00772272"/>
    <w:rsid w:val="00772634"/>
    <w:rsid w:val="00773715"/>
    <w:rsid w:val="00780161"/>
    <w:rsid w:val="0078035A"/>
    <w:rsid w:val="007806F0"/>
    <w:rsid w:val="0078132A"/>
    <w:rsid w:val="00782300"/>
    <w:rsid w:val="007824DB"/>
    <w:rsid w:val="007829A7"/>
    <w:rsid w:val="00783238"/>
    <w:rsid w:val="00783A67"/>
    <w:rsid w:val="007848C8"/>
    <w:rsid w:val="007875B6"/>
    <w:rsid w:val="00791BE9"/>
    <w:rsid w:val="0079334D"/>
    <w:rsid w:val="00797501"/>
    <w:rsid w:val="00797AA1"/>
    <w:rsid w:val="007A2A1B"/>
    <w:rsid w:val="007A2B00"/>
    <w:rsid w:val="007A3FE8"/>
    <w:rsid w:val="007A50CB"/>
    <w:rsid w:val="007B0C3B"/>
    <w:rsid w:val="007B1A9A"/>
    <w:rsid w:val="007B5C7B"/>
    <w:rsid w:val="007B6FFC"/>
    <w:rsid w:val="007C0A86"/>
    <w:rsid w:val="007C2BE3"/>
    <w:rsid w:val="007D1153"/>
    <w:rsid w:val="007D1E52"/>
    <w:rsid w:val="007D35B6"/>
    <w:rsid w:val="007D3B4A"/>
    <w:rsid w:val="007D54DC"/>
    <w:rsid w:val="007D7C15"/>
    <w:rsid w:val="007E08F7"/>
    <w:rsid w:val="007E446D"/>
    <w:rsid w:val="007E512F"/>
    <w:rsid w:val="007E6475"/>
    <w:rsid w:val="007E69ED"/>
    <w:rsid w:val="007F255D"/>
    <w:rsid w:val="007F6087"/>
    <w:rsid w:val="007F6F9E"/>
    <w:rsid w:val="00801B4F"/>
    <w:rsid w:val="00801C9D"/>
    <w:rsid w:val="0080331E"/>
    <w:rsid w:val="00806C84"/>
    <w:rsid w:val="00812A74"/>
    <w:rsid w:val="00814F19"/>
    <w:rsid w:val="008156E9"/>
    <w:rsid w:val="0081597A"/>
    <w:rsid w:val="00816616"/>
    <w:rsid w:val="00816D59"/>
    <w:rsid w:val="00820B24"/>
    <w:rsid w:val="00820BED"/>
    <w:rsid w:val="008217C5"/>
    <w:rsid w:val="00821EF2"/>
    <w:rsid w:val="00822C02"/>
    <w:rsid w:val="00825D55"/>
    <w:rsid w:val="00827EA8"/>
    <w:rsid w:val="0083047F"/>
    <w:rsid w:val="00831BD6"/>
    <w:rsid w:val="00831C2B"/>
    <w:rsid w:val="00837826"/>
    <w:rsid w:val="00841411"/>
    <w:rsid w:val="008420AB"/>
    <w:rsid w:val="00842640"/>
    <w:rsid w:val="008426FF"/>
    <w:rsid w:val="008433AF"/>
    <w:rsid w:val="00843FF1"/>
    <w:rsid w:val="00845427"/>
    <w:rsid w:val="008501DE"/>
    <w:rsid w:val="0085077E"/>
    <w:rsid w:val="008529A3"/>
    <w:rsid w:val="00854185"/>
    <w:rsid w:val="00854AB7"/>
    <w:rsid w:val="0085543A"/>
    <w:rsid w:val="00857EB9"/>
    <w:rsid w:val="008605E2"/>
    <w:rsid w:val="0086262D"/>
    <w:rsid w:val="008633C2"/>
    <w:rsid w:val="00863CC4"/>
    <w:rsid w:val="00865910"/>
    <w:rsid w:val="00867E43"/>
    <w:rsid w:val="00874446"/>
    <w:rsid w:val="00874851"/>
    <w:rsid w:val="00875EF3"/>
    <w:rsid w:val="00876CEB"/>
    <w:rsid w:val="00877AF4"/>
    <w:rsid w:val="0088244D"/>
    <w:rsid w:val="00882812"/>
    <w:rsid w:val="00882910"/>
    <w:rsid w:val="00883258"/>
    <w:rsid w:val="00885855"/>
    <w:rsid w:val="00887E50"/>
    <w:rsid w:val="00892168"/>
    <w:rsid w:val="008925AE"/>
    <w:rsid w:val="00892D05"/>
    <w:rsid w:val="00893B26"/>
    <w:rsid w:val="00893D4B"/>
    <w:rsid w:val="00895DA6"/>
    <w:rsid w:val="00896254"/>
    <w:rsid w:val="008A20B5"/>
    <w:rsid w:val="008A30E9"/>
    <w:rsid w:val="008A573C"/>
    <w:rsid w:val="008A5A8E"/>
    <w:rsid w:val="008A6C35"/>
    <w:rsid w:val="008A7637"/>
    <w:rsid w:val="008A7C44"/>
    <w:rsid w:val="008B0460"/>
    <w:rsid w:val="008B0DE2"/>
    <w:rsid w:val="008B145B"/>
    <w:rsid w:val="008B1818"/>
    <w:rsid w:val="008B19E0"/>
    <w:rsid w:val="008B2C9A"/>
    <w:rsid w:val="008B3435"/>
    <w:rsid w:val="008B4F13"/>
    <w:rsid w:val="008B571A"/>
    <w:rsid w:val="008B6067"/>
    <w:rsid w:val="008B67F4"/>
    <w:rsid w:val="008C068F"/>
    <w:rsid w:val="008C7B26"/>
    <w:rsid w:val="008D1878"/>
    <w:rsid w:val="008D24F0"/>
    <w:rsid w:val="008D2D07"/>
    <w:rsid w:val="008D3243"/>
    <w:rsid w:val="008D3664"/>
    <w:rsid w:val="008D3CFA"/>
    <w:rsid w:val="008D4471"/>
    <w:rsid w:val="008D55FE"/>
    <w:rsid w:val="008D6C49"/>
    <w:rsid w:val="008D6F54"/>
    <w:rsid w:val="008E1D87"/>
    <w:rsid w:val="008E30DD"/>
    <w:rsid w:val="008E3B4F"/>
    <w:rsid w:val="008E7480"/>
    <w:rsid w:val="008E7911"/>
    <w:rsid w:val="008F1E24"/>
    <w:rsid w:val="008F2BBB"/>
    <w:rsid w:val="008F3EBB"/>
    <w:rsid w:val="008F434B"/>
    <w:rsid w:val="008F6C1B"/>
    <w:rsid w:val="008F7BD1"/>
    <w:rsid w:val="00901083"/>
    <w:rsid w:val="00902A4A"/>
    <w:rsid w:val="00902D45"/>
    <w:rsid w:val="00902D94"/>
    <w:rsid w:val="0090362A"/>
    <w:rsid w:val="00904FA6"/>
    <w:rsid w:val="0090529E"/>
    <w:rsid w:val="00905834"/>
    <w:rsid w:val="00906652"/>
    <w:rsid w:val="00907A2D"/>
    <w:rsid w:val="00911212"/>
    <w:rsid w:val="009113A8"/>
    <w:rsid w:val="009124AC"/>
    <w:rsid w:val="00912721"/>
    <w:rsid w:val="00912A08"/>
    <w:rsid w:val="00912F78"/>
    <w:rsid w:val="00915469"/>
    <w:rsid w:val="00920AD4"/>
    <w:rsid w:val="00921780"/>
    <w:rsid w:val="00925654"/>
    <w:rsid w:val="00925701"/>
    <w:rsid w:val="00930BF5"/>
    <w:rsid w:val="009313D0"/>
    <w:rsid w:val="009321BC"/>
    <w:rsid w:val="00932A76"/>
    <w:rsid w:val="0093608F"/>
    <w:rsid w:val="0094172A"/>
    <w:rsid w:val="0094305A"/>
    <w:rsid w:val="00944292"/>
    <w:rsid w:val="009442F4"/>
    <w:rsid w:val="00945652"/>
    <w:rsid w:val="00946C51"/>
    <w:rsid w:val="00946E79"/>
    <w:rsid w:val="00947A63"/>
    <w:rsid w:val="00950E4F"/>
    <w:rsid w:val="0095298D"/>
    <w:rsid w:val="0095473E"/>
    <w:rsid w:val="00955124"/>
    <w:rsid w:val="009553D2"/>
    <w:rsid w:val="009559C0"/>
    <w:rsid w:val="00960239"/>
    <w:rsid w:val="00963120"/>
    <w:rsid w:val="00964B4D"/>
    <w:rsid w:val="00966A68"/>
    <w:rsid w:val="00967EF9"/>
    <w:rsid w:val="00970C01"/>
    <w:rsid w:val="0097240A"/>
    <w:rsid w:val="009730F0"/>
    <w:rsid w:val="00974172"/>
    <w:rsid w:val="00974449"/>
    <w:rsid w:val="009753EB"/>
    <w:rsid w:val="0097740F"/>
    <w:rsid w:val="009813C1"/>
    <w:rsid w:val="00981E97"/>
    <w:rsid w:val="0098279D"/>
    <w:rsid w:val="0098343F"/>
    <w:rsid w:val="00983C1F"/>
    <w:rsid w:val="00984F4B"/>
    <w:rsid w:val="00985F32"/>
    <w:rsid w:val="0098627E"/>
    <w:rsid w:val="009870FB"/>
    <w:rsid w:val="00987AF9"/>
    <w:rsid w:val="00987E7C"/>
    <w:rsid w:val="00991ECE"/>
    <w:rsid w:val="0099351A"/>
    <w:rsid w:val="00993C75"/>
    <w:rsid w:val="00995378"/>
    <w:rsid w:val="009969ED"/>
    <w:rsid w:val="009A25FE"/>
    <w:rsid w:val="009A5E39"/>
    <w:rsid w:val="009A5FF5"/>
    <w:rsid w:val="009A711B"/>
    <w:rsid w:val="009B01F5"/>
    <w:rsid w:val="009B04E2"/>
    <w:rsid w:val="009B081D"/>
    <w:rsid w:val="009B14A0"/>
    <w:rsid w:val="009B22D1"/>
    <w:rsid w:val="009B5FDA"/>
    <w:rsid w:val="009B6226"/>
    <w:rsid w:val="009C0087"/>
    <w:rsid w:val="009C0720"/>
    <w:rsid w:val="009C48E7"/>
    <w:rsid w:val="009C4DCD"/>
    <w:rsid w:val="009C6F71"/>
    <w:rsid w:val="009D0325"/>
    <w:rsid w:val="009D394E"/>
    <w:rsid w:val="009D4910"/>
    <w:rsid w:val="009D7540"/>
    <w:rsid w:val="009E0A46"/>
    <w:rsid w:val="009E14D1"/>
    <w:rsid w:val="009E653A"/>
    <w:rsid w:val="009E6FD1"/>
    <w:rsid w:val="009E7C0F"/>
    <w:rsid w:val="009F2874"/>
    <w:rsid w:val="009F41A7"/>
    <w:rsid w:val="009F4818"/>
    <w:rsid w:val="009F629E"/>
    <w:rsid w:val="009F66F3"/>
    <w:rsid w:val="009F79CF"/>
    <w:rsid w:val="00A009E0"/>
    <w:rsid w:val="00A0226F"/>
    <w:rsid w:val="00A0265E"/>
    <w:rsid w:val="00A03790"/>
    <w:rsid w:val="00A04D33"/>
    <w:rsid w:val="00A05149"/>
    <w:rsid w:val="00A106FD"/>
    <w:rsid w:val="00A12AE0"/>
    <w:rsid w:val="00A12B8C"/>
    <w:rsid w:val="00A14CF2"/>
    <w:rsid w:val="00A16E3B"/>
    <w:rsid w:val="00A1789E"/>
    <w:rsid w:val="00A24B72"/>
    <w:rsid w:val="00A259E4"/>
    <w:rsid w:val="00A26E2D"/>
    <w:rsid w:val="00A26F98"/>
    <w:rsid w:val="00A27A8A"/>
    <w:rsid w:val="00A27E3F"/>
    <w:rsid w:val="00A30FEB"/>
    <w:rsid w:val="00A329B5"/>
    <w:rsid w:val="00A34716"/>
    <w:rsid w:val="00A3482F"/>
    <w:rsid w:val="00A359D7"/>
    <w:rsid w:val="00A35A5E"/>
    <w:rsid w:val="00A35B50"/>
    <w:rsid w:val="00A36601"/>
    <w:rsid w:val="00A367B5"/>
    <w:rsid w:val="00A406BD"/>
    <w:rsid w:val="00A41693"/>
    <w:rsid w:val="00A43C45"/>
    <w:rsid w:val="00A44013"/>
    <w:rsid w:val="00A442FB"/>
    <w:rsid w:val="00A44D20"/>
    <w:rsid w:val="00A4505C"/>
    <w:rsid w:val="00A45A79"/>
    <w:rsid w:val="00A45DE5"/>
    <w:rsid w:val="00A5703E"/>
    <w:rsid w:val="00A578BB"/>
    <w:rsid w:val="00A611A1"/>
    <w:rsid w:val="00A61252"/>
    <w:rsid w:val="00A6383E"/>
    <w:rsid w:val="00A6575E"/>
    <w:rsid w:val="00A66E5A"/>
    <w:rsid w:val="00A676F0"/>
    <w:rsid w:val="00A703AA"/>
    <w:rsid w:val="00A725F4"/>
    <w:rsid w:val="00A7572A"/>
    <w:rsid w:val="00A762F4"/>
    <w:rsid w:val="00A80A33"/>
    <w:rsid w:val="00A81476"/>
    <w:rsid w:val="00A82769"/>
    <w:rsid w:val="00A82D1A"/>
    <w:rsid w:val="00A8345B"/>
    <w:rsid w:val="00A84A90"/>
    <w:rsid w:val="00A86A0F"/>
    <w:rsid w:val="00A9092E"/>
    <w:rsid w:val="00A91AD6"/>
    <w:rsid w:val="00A93F27"/>
    <w:rsid w:val="00A94190"/>
    <w:rsid w:val="00A94E45"/>
    <w:rsid w:val="00A97D64"/>
    <w:rsid w:val="00AA1BD8"/>
    <w:rsid w:val="00AA34DA"/>
    <w:rsid w:val="00AA44CC"/>
    <w:rsid w:val="00AA47BF"/>
    <w:rsid w:val="00AA48AF"/>
    <w:rsid w:val="00AA6610"/>
    <w:rsid w:val="00AA6B52"/>
    <w:rsid w:val="00AA70D3"/>
    <w:rsid w:val="00AB1788"/>
    <w:rsid w:val="00AB3D0A"/>
    <w:rsid w:val="00AB43D7"/>
    <w:rsid w:val="00AB4440"/>
    <w:rsid w:val="00AB4C72"/>
    <w:rsid w:val="00AB5F11"/>
    <w:rsid w:val="00AB6268"/>
    <w:rsid w:val="00AB6992"/>
    <w:rsid w:val="00AB6D06"/>
    <w:rsid w:val="00AC2054"/>
    <w:rsid w:val="00AC2A9C"/>
    <w:rsid w:val="00AC2B0B"/>
    <w:rsid w:val="00AC36DC"/>
    <w:rsid w:val="00AC573D"/>
    <w:rsid w:val="00AC7380"/>
    <w:rsid w:val="00AD042D"/>
    <w:rsid w:val="00AD13A7"/>
    <w:rsid w:val="00AD1793"/>
    <w:rsid w:val="00AD26FC"/>
    <w:rsid w:val="00AD5601"/>
    <w:rsid w:val="00AD717A"/>
    <w:rsid w:val="00AE02AD"/>
    <w:rsid w:val="00AE25D3"/>
    <w:rsid w:val="00AE39B7"/>
    <w:rsid w:val="00AE49D2"/>
    <w:rsid w:val="00AE5043"/>
    <w:rsid w:val="00AF010F"/>
    <w:rsid w:val="00AF1B9E"/>
    <w:rsid w:val="00AF24C2"/>
    <w:rsid w:val="00AF2C10"/>
    <w:rsid w:val="00AF3F4D"/>
    <w:rsid w:val="00AF3FE7"/>
    <w:rsid w:val="00AF424E"/>
    <w:rsid w:val="00AF493C"/>
    <w:rsid w:val="00AF4CB0"/>
    <w:rsid w:val="00AF4D6A"/>
    <w:rsid w:val="00AF5277"/>
    <w:rsid w:val="00AF6454"/>
    <w:rsid w:val="00B025D6"/>
    <w:rsid w:val="00B02F16"/>
    <w:rsid w:val="00B0320D"/>
    <w:rsid w:val="00B03978"/>
    <w:rsid w:val="00B04376"/>
    <w:rsid w:val="00B05F47"/>
    <w:rsid w:val="00B116E4"/>
    <w:rsid w:val="00B14087"/>
    <w:rsid w:val="00B14279"/>
    <w:rsid w:val="00B15604"/>
    <w:rsid w:val="00B17D12"/>
    <w:rsid w:val="00B17F3C"/>
    <w:rsid w:val="00B2158E"/>
    <w:rsid w:val="00B21B57"/>
    <w:rsid w:val="00B261BF"/>
    <w:rsid w:val="00B308BC"/>
    <w:rsid w:val="00B3601B"/>
    <w:rsid w:val="00B4029B"/>
    <w:rsid w:val="00B40576"/>
    <w:rsid w:val="00B40674"/>
    <w:rsid w:val="00B407D7"/>
    <w:rsid w:val="00B41A3A"/>
    <w:rsid w:val="00B4310C"/>
    <w:rsid w:val="00B47009"/>
    <w:rsid w:val="00B47CB6"/>
    <w:rsid w:val="00B52F26"/>
    <w:rsid w:val="00B530BB"/>
    <w:rsid w:val="00B56F9E"/>
    <w:rsid w:val="00B579E2"/>
    <w:rsid w:val="00B62662"/>
    <w:rsid w:val="00B64051"/>
    <w:rsid w:val="00B64777"/>
    <w:rsid w:val="00B728DE"/>
    <w:rsid w:val="00B80864"/>
    <w:rsid w:val="00B83CBD"/>
    <w:rsid w:val="00B85689"/>
    <w:rsid w:val="00B85CA2"/>
    <w:rsid w:val="00B86ED9"/>
    <w:rsid w:val="00B873E5"/>
    <w:rsid w:val="00B910F3"/>
    <w:rsid w:val="00B911F2"/>
    <w:rsid w:val="00B91305"/>
    <w:rsid w:val="00B92D12"/>
    <w:rsid w:val="00B93235"/>
    <w:rsid w:val="00B9450C"/>
    <w:rsid w:val="00B967F6"/>
    <w:rsid w:val="00B976E2"/>
    <w:rsid w:val="00B9779C"/>
    <w:rsid w:val="00BA1E3C"/>
    <w:rsid w:val="00BA207F"/>
    <w:rsid w:val="00BA2B9A"/>
    <w:rsid w:val="00BA5C24"/>
    <w:rsid w:val="00BA7ABA"/>
    <w:rsid w:val="00BA7BBF"/>
    <w:rsid w:val="00BB2C1C"/>
    <w:rsid w:val="00BB4722"/>
    <w:rsid w:val="00BB4F75"/>
    <w:rsid w:val="00BB60D2"/>
    <w:rsid w:val="00BB7BA8"/>
    <w:rsid w:val="00BC14D5"/>
    <w:rsid w:val="00BC3FFC"/>
    <w:rsid w:val="00BC4507"/>
    <w:rsid w:val="00BD074B"/>
    <w:rsid w:val="00BD5707"/>
    <w:rsid w:val="00BD5835"/>
    <w:rsid w:val="00BD6C9C"/>
    <w:rsid w:val="00BD6E99"/>
    <w:rsid w:val="00BD6F8B"/>
    <w:rsid w:val="00BE0C8F"/>
    <w:rsid w:val="00BE33AE"/>
    <w:rsid w:val="00BE56AE"/>
    <w:rsid w:val="00BF0246"/>
    <w:rsid w:val="00BF0502"/>
    <w:rsid w:val="00BF0E0D"/>
    <w:rsid w:val="00BF10DA"/>
    <w:rsid w:val="00BF3209"/>
    <w:rsid w:val="00BF3438"/>
    <w:rsid w:val="00BF6956"/>
    <w:rsid w:val="00C003E7"/>
    <w:rsid w:val="00C00DCE"/>
    <w:rsid w:val="00C061A6"/>
    <w:rsid w:val="00C064F9"/>
    <w:rsid w:val="00C065FC"/>
    <w:rsid w:val="00C069E7"/>
    <w:rsid w:val="00C07103"/>
    <w:rsid w:val="00C1054F"/>
    <w:rsid w:val="00C16AFF"/>
    <w:rsid w:val="00C16F0A"/>
    <w:rsid w:val="00C2212B"/>
    <w:rsid w:val="00C225B8"/>
    <w:rsid w:val="00C22DDB"/>
    <w:rsid w:val="00C23194"/>
    <w:rsid w:val="00C24436"/>
    <w:rsid w:val="00C245A6"/>
    <w:rsid w:val="00C24606"/>
    <w:rsid w:val="00C2677B"/>
    <w:rsid w:val="00C278DA"/>
    <w:rsid w:val="00C30E5B"/>
    <w:rsid w:val="00C31AE9"/>
    <w:rsid w:val="00C32374"/>
    <w:rsid w:val="00C32AAB"/>
    <w:rsid w:val="00C32ED8"/>
    <w:rsid w:val="00C346E0"/>
    <w:rsid w:val="00C349BB"/>
    <w:rsid w:val="00C35FC6"/>
    <w:rsid w:val="00C372BE"/>
    <w:rsid w:val="00C41119"/>
    <w:rsid w:val="00C41712"/>
    <w:rsid w:val="00C41F89"/>
    <w:rsid w:val="00C43FA4"/>
    <w:rsid w:val="00C44995"/>
    <w:rsid w:val="00C464FB"/>
    <w:rsid w:val="00C50CEC"/>
    <w:rsid w:val="00C51E2E"/>
    <w:rsid w:val="00C5391D"/>
    <w:rsid w:val="00C55C1F"/>
    <w:rsid w:val="00C618A6"/>
    <w:rsid w:val="00C6195D"/>
    <w:rsid w:val="00C62480"/>
    <w:rsid w:val="00C65C17"/>
    <w:rsid w:val="00C66137"/>
    <w:rsid w:val="00C7072E"/>
    <w:rsid w:val="00C71142"/>
    <w:rsid w:val="00C72E3D"/>
    <w:rsid w:val="00C732D4"/>
    <w:rsid w:val="00C738D6"/>
    <w:rsid w:val="00C76DE5"/>
    <w:rsid w:val="00C7764A"/>
    <w:rsid w:val="00C8028C"/>
    <w:rsid w:val="00C80DFE"/>
    <w:rsid w:val="00C8330F"/>
    <w:rsid w:val="00C8412C"/>
    <w:rsid w:val="00C84409"/>
    <w:rsid w:val="00C8447F"/>
    <w:rsid w:val="00C84646"/>
    <w:rsid w:val="00C91BBC"/>
    <w:rsid w:val="00C94342"/>
    <w:rsid w:val="00C94FFB"/>
    <w:rsid w:val="00C96E4E"/>
    <w:rsid w:val="00CA1B4C"/>
    <w:rsid w:val="00CA24DD"/>
    <w:rsid w:val="00CA25A7"/>
    <w:rsid w:val="00CA3EEA"/>
    <w:rsid w:val="00CA3FC4"/>
    <w:rsid w:val="00CA41F6"/>
    <w:rsid w:val="00CA783E"/>
    <w:rsid w:val="00CA7BF3"/>
    <w:rsid w:val="00CB13F8"/>
    <w:rsid w:val="00CB26BE"/>
    <w:rsid w:val="00CB2B0C"/>
    <w:rsid w:val="00CB745F"/>
    <w:rsid w:val="00CB7DD8"/>
    <w:rsid w:val="00CC0F6E"/>
    <w:rsid w:val="00CD0253"/>
    <w:rsid w:val="00CD098F"/>
    <w:rsid w:val="00CD137C"/>
    <w:rsid w:val="00CD3200"/>
    <w:rsid w:val="00CD4FB0"/>
    <w:rsid w:val="00CD52B5"/>
    <w:rsid w:val="00CD5446"/>
    <w:rsid w:val="00CD665F"/>
    <w:rsid w:val="00CE43CD"/>
    <w:rsid w:val="00CE6BA4"/>
    <w:rsid w:val="00CF22A3"/>
    <w:rsid w:val="00CF2AB8"/>
    <w:rsid w:val="00CF5821"/>
    <w:rsid w:val="00CF6B90"/>
    <w:rsid w:val="00CF7E77"/>
    <w:rsid w:val="00D01A0C"/>
    <w:rsid w:val="00D03F79"/>
    <w:rsid w:val="00D1041D"/>
    <w:rsid w:val="00D13BCE"/>
    <w:rsid w:val="00D149AD"/>
    <w:rsid w:val="00D1628A"/>
    <w:rsid w:val="00D16BCB"/>
    <w:rsid w:val="00D17770"/>
    <w:rsid w:val="00D177DB"/>
    <w:rsid w:val="00D202D1"/>
    <w:rsid w:val="00D22141"/>
    <w:rsid w:val="00D23FEE"/>
    <w:rsid w:val="00D24BA1"/>
    <w:rsid w:val="00D24DD2"/>
    <w:rsid w:val="00D25687"/>
    <w:rsid w:val="00D259D4"/>
    <w:rsid w:val="00D27311"/>
    <w:rsid w:val="00D30677"/>
    <w:rsid w:val="00D35538"/>
    <w:rsid w:val="00D3627A"/>
    <w:rsid w:val="00D36FA1"/>
    <w:rsid w:val="00D374DB"/>
    <w:rsid w:val="00D37833"/>
    <w:rsid w:val="00D40EB3"/>
    <w:rsid w:val="00D420B7"/>
    <w:rsid w:val="00D42C94"/>
    <w:rsid w:val="00D43A93"/>
    <w:rsid w:val="00D43D60"/>
    <w:rsid w:val="00D44436"/>
    <w:rsid w:val="00D458ED"/>
    <w:rsid w:val="00D4639D"/>
    <w:rsid w:val="00D47DB6"/>
    <w:rsid w:val="00D507F6"/>
    <w:rsid w:val="00D508A9"/>
    <w:rsid w:val="00D544A2"/>
    <w:rsid w:val="00D55F0D"/>
    <w:rsid w:val="00D57079"/>
    <w:rsid w:val="00D61318"/>
    <w:rsid w:val="00D6260A"/>
    <w:rsid w:val="00D62ACC"/>
    <w:rsid w:val="00D70CD1"/>
    <w:rsid w:val="00D716CA"/>
    <w:rsid w:val="00D716FD"/>
    <w:rsid w:val="00D74A30"/>
    <w:rsid w:val="00D76DA0"/>
    <w:rsid w:val="00D7704B"/>
    <w:rsid w:val="00D803F2"/>
    <w:rsid w:val="00D811F0"/>
    <w:rsid w:val="00D85BAE"/>
    <w:rsid w:val="00D90098"/>
    <w:rsid w:val="00D90467"/>
    <w:rsid w:val="00D90A5F"/>
    <w:rsid w:val="00D91519"/>
    <w:rsid w:val="00D92465"/>
    <w:rsid w:val="00D948E3"/>
    <w:rsid w:val="00D94927"/>
    <w:rsid w:val="00D9630F"/>
    <w:rsid w:val="00D9755D"/>
    <w:rsid w:val="00D97B86"/>
    <w:rsid w:val="00DA0CDA"/>
    <w:rsid w:val="00DA0FCD"/>
    <w:rsid w:val="00DA1CBA"/>
    <w:rsid w:val="00DA250E"/>
    <w:rsid w:val="00DA2523"/>
    <w:rsid w:val="00DA3F2C"/>
    <w:rsid w:val="00DA4C0C"/>
    <w:rsid w:val="00DA64C0"/>
    <w:rsid w:val="00DA716C"/>
    <w:rsid w:val="00DA7BF1"/>
    <w:rsid w:val="00DB2040"/>
    <w:rsid w:val="00DB21C8"/>
    <w:rsid w:val="00DB29E3"/>
    <w:rsid w:val="00DB46D0"/>
    <w:rsid w:val="00DB64A8"/>
    <w:rsid w:val="00DB7465"/>
    <w:rsid w:val="00DC0370"/>
    <w:rsid w:val="00DC543B"/>
    <w:rsid w:val="00DC5DCE"/>
    <w:rsid w:val="00DD0E5E"/>
    <w:rsid w:val="00DD1426"/>
    <w:rsid w:val="00DD2912"/>
    <w:rsid w:val="00DD3AF0"/>
    <w:rsid w:val="00DD48DD"/>
    <w:rsid w:val="00DD541B"/>
    <w:rsid w:val="00DD57C3"/>
    <w:rsid w:val="00DD6277"/>
    <w:rsid w:val="00DD62F6"/>
    <w:rsid w:val="00DE186F"/>
    <w:rsid w:val="00DE1C3E"/>
    <w:rsid w:val="00DE1E15"/>
    <w:rsid w:val="00DE22F5"/>
    <w:rsid w:val="00DE29FC"/>
    <w:rsid w:val="00DE680E"/>
    <w:rsid w:val="00DE6F6E"/>
    <w:rsid w:val="00DE706C"/>
    <w:rsid w:val="00DE753C"/>
    <w:rsid w:val="00DF0D1B"/>
    <w:rsid w:val="00DF10BD"/>
    <w:rsid w:val="00DF2909"/>
    <w:rsid w:val="00DF2D9C"/>
    <w:rsid w:val="00DF3F4E"/>
    <w:rsid w:val="00E010F0"/>
    <w:rsid w:val="00E01116"/>
    <w:rsid w:val="00E01BBD"/>
    <w:rsid w:val="00E045B8"/>
    <w:rsid w:val="00E049AF"/>
    <w:rsid w:val="00E110C1"/>
    <w:rsid w:val="00E14009"/>
    <w:rsid w:val="00E14263"/>
    <w:rsid w:val="00E14490"/>
    <w:rsid w:val="00E14AFB"/>
    <w:rsid w:val="00E15A62"/>
    <w:rsid w:val="00E168F2"/>
    <w:rsid w:val="00E172BE"/>
    <w:rsid w:val="00E17724"/>
    <w:rsid w:val="00E2069A"/>
    <w:rsid w:val="00E20FF4"/>
    <w:rsid w:val="00E21DE0"/>
    <w:rsid w:val="00E2237C"/>
    <w:rsid w:val="00E22F7A"/>
    <w:rsid w:val="00E23C62"/>
    <w:rsid w:val="00E26C26"/>
    <w:rsid w:val="00E27EB0"/>
    <w:rsid w:val="00E32EDD"/>
    <w:rsid w:val="00E33A70"/>
    <w:rsid w:val="00E34569"/>
    <w:rsid w:val="00E35166"/>
    <w:rsid w:val="00E3594C"/>
    <w:rsid w:val="00E35C6C"/>
    <w:rsid w:val="00E366DC"/>
    <w:rsid w:val="00E37A34"/>
    <w:rsid w:val="00E41D92"/>
    <w:rsid w:val="00E423D3"/>
    <w:rsid w:val="00E42D33"/>
    <w:rsid w:val="00E43D2E"/>
    <w:rsid w:val="00E4653F"/>
    <w:rsid w:val="00E475C8"/>
    <w:rsid w:val="00E47DF7"/>
    <w:rsid w:val="00E5237A"/>
    <w:rsid w:val="00E52DD8"/>
    <w:rsid w:val="00E53F60"/>
    <w:rsid w:val="00E5441B"/>
    <w:rsid w:val="00E54BD3"/>
    <w:rsid w:val="00E54F6C"/>
    <w:rsid w:val="00E565D7"/>
    <w:rsid w:val="00E61325"/>
    <w:rsid w:val="00E61881"/>
    <w:rsid w:val="00E61AB6"/>
    <w:rsid w:val="00E646EE"/>
    <w:rsid w:val="00E667CD"/>
    <w:rsid w:val="00E6684D"/>
    <w:rsid w:val="00E67025"/>
    <w:rsid w:val="00E6787D"/>
    <w:rsid w:val="00E703E2"/>
    <w:rsid w:val="00E719B1"/>
    <w:rsid w:val="00E72A10"/>
    <w:rsid w:val="00E74136"/>
    <w:rsid w:val="00E749B9"/>
    <w:rsid w:val="00E754AC"/>
    <w:rsid w:val="00E80C1A"/>
    <w:rsid w:val="00E81B67"/>
    <w:rsid w:val="00E8206D"/>
    <w:rsid w:val="00E83051"/>
    <w:rsid w:val="00E8334F"/>
    <w:rsid w:val="00E8417D"/>
    <w:rsid w:val="00E844DE"/>
    <w:rsid w:val="00E86041"/>
    <w:rsid w:val="00E86D9E"/>
    <w:rsid w:val="00E90715"/>
    <w:rsid w:val="00E91061"/>
    <w:rsid w:val="00E92055"/>
    <w:rsid w:val="00E92B13"/>
    <w:rsid w:val="00E93C3D"/>
    <w:rsid w:val="00E93EB9"/>
    <w:rsid w:val="00E94947"/>
    <w:rsid w:val="00E95500"/>
    <w:rsid w:val="00E9569D"/>
    <w:rsid w:val="00EA0D8C"/>
    <w:rsid w:val="00EA21B2"/>
    <w:rsid w:val="00EA545B"/>
    <w:rsid w:val="00EA6343"/>
    <w:rsid w:val="00EB0ECA"/>
    <w:rsid w:val="00EB0F37"/>
    <w:rsid w:val="00EB32F2"/>
    <w:rsid w:val="00EB394F"/>
    <w:rsid w:val="00EB7CDB"/>
    <w:rsid w:val="00EC1025"/>
    <w:rsid w:val="00EC1A9D"/>
    <w:rsid w:val="00EC26DF"/>
    <w:rsid w:val="00EC4181"/>
    <w:rsid w:val="00EC4696"/>
    <w:rsid w:val="00EC71D0"/>
    <w:rsid w:val="00EC74D7"/>
    <w:rsid w:val="00EC7614"/>
    <w:rsid w:val="00ED0719"/>
    <w:rsid w:val="00ED2BC3"/>
    <w:rsid w:val="00ED2D51"/>
    <w:rsid w:val="00ED423A"/>
    <w:rsid w:val="00ED4348"/>
    <w:rsid w:val="00EE1499"/>
    <w:rsid w:val="00EE15D8"/>
    <w:rsid w:val="00EE19C8"/>
    <w:rsid w:val="00EE3664"/>
    <w:rsid w:val="00EE39FF"/>
    <w:rsid w:val="00EE7D93"/>
    <w:rsid w:val="00EF09CF"/>
    <w:rsid w:val="00EF45FD"/>
    <w:rsid w:val="00EF4B44"/>
    <w:rsid w:val="00EF5F6B"/>
    <w:rsid w:val="00F0169B"/>
    <w:rsid w:val="00F02304"/>
    <w:rsid w:val="00F03D82"/>
    <w:rsid w:val="00F062C8"/>
    <w:rsid w:val="00F06311"/>
    <w:rsid w:val="00F06406"/>
    <w:rsid w:val="00F06716"/>
    <w:rsid w:val="00F07FD3"/>
    <w:rsid w:val="00F111E2"/>
    <w:rsid w:val="00F1231F"/>
    <w:rsid w:val="00F141A6"/>
    <w:rsid w:val="00F14366"/>
    <w:rsid w:val="00F161BC"/>
    <w:rsid w:val="00F22415"/>
    <w:rsid w:val="00F22501"/>
    <w:rsid w:val="00F24BB4"/>
    <w:rsid w:val="00F26B49"/>
    <w:rsid w:val="00F27A4A"/>
    <w:rsid w:val="00F34821"/>
    <w:rsid w:val="00F35A91"/>
    <w:rsid w:val="00F363AE"/>
    <w:rsid w:val="00F36D7C"/>
    <w:rsid w:val="00F37618"/>
    <w:rsid w:val="00F4182A"/>
    <w:rsid w:val="00F4324E"/>
    <w:rsid w:val="00F4705D"/>
    <w:rsid w:val="00F4720C"/>
    <w:rsid w:val="00F47393"/>
    <w:rsid w:val="00F47546"/>
    <w:rsid w:val="00F47DB0"/>
    <w:rsid w:val="00F500A5"/>
    <w:rsid w:val="00F5358D"/>
    <w:rsid w:val="00F56128"/>
    <w:rsid w:val="00F567EE"/>
    <w:rsid w:val="00F56A03"/>
    <w:rsid w:val="00F64252"/>
    <w:rsid w:val="00F6460D"/>
    <w:rsid w:val="00F66732"/>
    <w:rsid w:val="00F670AC"/>
    <w:rsid w:val="00F72877"/>
    <w:rsid w:val="00F7344E"/>
    <w:rsid w:val="00F73E04"/>
    <w:rsid w:val="00F75391"/>
    <w:rsid w:val="00F7546A"/>
    <w:rsid w:val="00F75535"/>
    <w:rsid w:val="00F75CBB"/>
    <w:rsid w:val="00F76315"/>
    <w:rsid w:val="00F76586"/>
    <w:rsid w:val="00F769DC"/>
    <w:rsid w:val="00F777DD"/>
    <w:rsid w:val="00F80B20"/>
    <w:rsid w:val="00F816AC"/>
    <w:rsid w:val="00F83065"/>
    <w:rsid w:val="00F861A1"/>
    <w:rsid w:val="00F86352"/>
    <w:rsid w:val="00F87621"/>
    <w:rsid w:val="00F90D16"/>
    <w:rsid w:val="00F93BDA"/>
    <w:rsid w:val="00F970B5"/>
    <w:rsid w:val="00F97B15"/>
    <w:rsid w:val="00FA11E7"/>
    <w:rsid w:val="00FA134A"/>
    <w:rsid w:val="00FA2B17"/>
    <w:rsid w:val="00FA4125"/>
    <w:rsid w:val="00FA74AE"/>
    <w:rsid w:val="00FA76BF"/>
    <w:rsid w:val="00FA7BCD"/>
    <w:rsid w:val="00FB0033"/>
    <w:rsid w:val="00FB14B1"/>
    <w:rsid w:val="00FB1DA9"/>
    <w:rsid w:val="00FB264A"/>
    <w:rsid w:val="00FB5EB2"/>
    <w:rsid w:val="00FB657F"/>
    <w:rsid w:val="00FB6B8B"/>
    <w:rsid w:val="00FB70D8"/>
    <w:rsid w:val="00FB7237"/>
    <w:rsid w:val="00FB772D"/>
    <w:rsid w:val="00FC1E4B"/>
    <w:rsid w:val="00FC2911"/>
    <w:rsid w:val="00FC5BD7"/>
    <w:rsid w:val="00FD17E2"/>
    <w:rsid w:val="00FD27B9"/>
    <w:rsid w:val="00FD2D21"/>
    <w:rsid w:val="00FD3F50"/>
    <w:rsid w:val="00FD7A63"/>
    <w:rsid w:val="00FE0577"/>
    <w:rsid w:val="00FE14CC"/>
    <w:rsid w:val="00FE1850"/>
    <w:rsid w:val="00FE2621"/>
    <w:rsid w:val="00FE32B8"/>
    <w:rsid w:val="00FE6B89"/>
    <w:rsid w:val="00FE7888"/>
    <w:rsid w:val="00FF16A1"/>
    <w:rsid w:val="00FF17E9"/>
    <w:rsid w:val="00FF3EF2"/>
    <w:rsid w:val="00FF433B"/>
    <w:rsid w:val="00FF4403"/>
    <w:rsid w:val="00FF5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2">
    <w:name w:val="heading 2"/>
    <w:basedOn w:val="Standaard"/>
    <w:link w:val="Kop2Char"/>
    <w:uiPriority w:val="9"/>
    <w:qFormat/>
    <w:rsid w:val="00E565D7"/>
    <w:pPr>
      <w:spacing w:before="100" w:beforeAutospacing="1" w:after="100" w:afterAutospacing="1"/>
      <w:outlineLvl w:val="1"/>
    </w:pPr>
    <w:rPr>
      <w:rFonts w:ascii="Times New Roman" w:hAnsi="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02F16"/>
    <w:rPr>
      <w:color w:val="808080"/>
    </w:rPr>
  </w:style>
  <w:style w:type="paragraph" w:styleId="Revisie">
    <w:name w:val="Revision"/>
    <w:hidden/>
    <w:uiPriority w:val="99"/>
    <w:semiHidden/>
    <w:rsid w:val="002B2290"/>
    <w:rPr>
      <w:rFonts w:ascii="Univers" w:hAnsi="Univers"/>
      <w:sz w:val="22"/>
      <w:szCs w:val="24"/>
    </w:rPr>
  </w:style>
  <w:style w:type="paragraph" w:styleId="Lijstalinea">
    <w:name w:val="List Paragraph"/>
    <w:basedOn w:val="Standaard"/>
    <w:uiPriority w:val="34"/>
    <w:qFormat/>
    <w:rsid w:val="005B633A"/>
    <w:pPr>
      <w:ind w:left="720"/>
      <w:contextualSpacing/>
    </w:pPr>
  </w:style>
  <w:style w:type="paragraph" w:styleId="Voetnoottekst">
    <w:name w:val="footnote text"/>
    <w:basedOn w:val="Standaard"/>
    <w:link w:val="VoetnoottekstChar"/>
    <w:uiPriority w:val="99"/>
    <w:unhideWhenUsed/>
    <w:rsid w:val="00DA2523"/>
    <w:rPr>
      <w:sz w:val="20"/>
      <w:szCs w:val="20"/>
    </w:rPr>
  </w:style>
  <w:style w:type="character" w:customStyle="1" w:styleId="VoetnoottekstChar">
    <w:name w:val="Voetnoottekst Char"/>
    <w:basedOn w:val="Standaardalinea-lettertype"/>
    <w:link w:val="Voetnoottekst"/>
    <w:uiPriority w:val="99"/>
    <w:rsid w:val="00DA2523"/>
    <w:rPr>
      <w:rFonts w:ascii="Univers" w:hAnsi="Univers"/>
    </w:rPr>
  </w:style>
  <w:style w:type="character" w:styleId="Voetnootmarkering">
    <w:name w:val="footnote reference"/>
    <w:basedOn w:val="Standaardalinea-lettertype"/>
    <w:uiPriority w:val="99"/>
    <w:semiHidden/>
    <w:unhideWhenUsed/>
    <w:rsid w:val="00DA2523"/>
    <w:rPr>
      <w:vertAlign w:val="superscript"/>
    </w:rPr>
  </w:style>
  <w:style w:type="character" w:styleId="Verwijzingopmerking">
    <w:name w:val="annotation reference"/>
    <w:basedOn w:val="Standaardalinea-lettertype"/>
    <w:uiPriority w:val="99"/>
    <w:semiHidden/>
    <w:unhideWhenUsed/>
    <w:rsid w:val="00254AFE"/>
    <w:rPr>
      <w:sz w:val="16"/>
      <w:szCs w:val="16"/>
    </w:rPr>
  </w:style>
  <w:style w:type="paragraph" w:styleId="Tekstopmerking">
    <w:name w:val="annotation text"/>
    <w:basedOn w:val="Standaard"/>
    <w:link w:val="TekstopmerkingChar"/>
    <w:uiPriority w:val="99"/>
    <w:unhideWhenUsed/>
    <w:rsid w:val="00254AFE"/>
    <w:rPr>
      <w:sz w:val="20"/>
      <w:szCs w:val="20"/>
    </w:rPr>
  </w:style>
  <w:style w:type="character" w:customStyle="1" w:styleId="TekstopmerkingChar">
    <w:name w:val="Tekst opmerking Char"/>
    <w:basedOn w:val="Standaardalinea-lettertype"/>
    <w:link w:val="Tekstopmerking"/>
    <w:uiPriority w:val="99"/>
    <w:rsid w:val="00254AFE"/>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54AFE"/>
    <w:rPr>
      <w:b/>
      <w:bCs/>
    </w:rPr>
  </w:style>
  <w:style w:type="character" w:customStyle="1" w:styleId="OnderwerpvanopmerkingChar">
    <w:name w:val="Onderwerp van opmerking Char"/>
    <w:basedOn w:val="TekstopmerkingChar"/>
    <w:link w:val="Onderwerpvanopmerking"/>
    <w:uiPriority w:val="99"/>
    <w:semiHidden/>
    <w:rsid w:val="00254AFE"/>
    <w:rPr>
      <w:rFonts w:ascii="Univers" w:hAnsi="Univers"/>
      <w:b/>
      <w:bCs/>
    </w:rPr>
  </w:style>
  <w:style w:type="character" w:customStyle="1" w:styleId="Kop2Char">
    <w:name w:val="Kop 2 Char"/>
    <w:basedOn w:val="Standaardalinea-lettertype"/>
    <w:link w:val="Kop2"/>
    <w:uiPriority w:val="9"/>
    <w:rsid w:val="00E565D7"/>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4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C1E09EC-683E-4BBF-B542-9B0716E3A1F8}"/>
      </w:docPartPr>
      <w:docPartBody>
        <w:p w:rsidR="00437008" w:rsidRDefault="00437008">
          <w:r w:rsidRPr="009649E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08"/>
    <w:rsid w:val="000D61A2"/>
    <w:rsid w:val="002C73C5"/>
    <w:rsid w:val="00437008"/>
    <w:rsid w:val="00543450"/>
    <w:rsid w:val="008E4B9B"/>
    <w:rsid w:val="00A35BFA"/>
    <w:rsid w:val="00E67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370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1155</ap:Words>
  <ap:Characters>7177</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2024-03-18T09:34:00.0000000Z</dcterms:created>
  <dcterms:modified xsi:type="dcterms:W3CDTF">2024-04-24T09:43:00.0000000Z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W12.23.00375/III</vt:lpwstr>
  </property>
  <property fmtid="{D5CDD505-2E9C-101B-9397-08002B2CF9AE}" pid="5" name="zaaktype">
    <vt:lpwstr>WET</vt:lpwstr>
  </property>
  <property fmtid="{D5CDD505-2E9C-101B-9397-08002B2CF9AE}" pid="6" name="ContentTypeId">
    <vt:lpwstr>0x010100FA5A77795FEADA4EA51227303613444600043899DB8E5722419CE6B8BC32F8A648</vt:lpwstr>
  </property>
  <property fmtid="{D5CDD505-2E9C-101B-9397-08002B2CF9AE}" pid="7" name="Bestemming">
    <vt:lpwstr>2;#Corsa|a7721b99-8166-4953-a37e-7c8574fb4b8b</vt:lpwstr>
  </property>
  <property fmtid="{D5CDD505-2E9C-101B-9397-08002B2CF9AE}" pid="8" name="_dlc_DocIdItemGuid">
    <vt:lpwstr>74d5963b-5064-4c82-ad80-1a756de8971e</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