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5EEF" w:rsidR="002E0A07" w:rsidRDefault="00603A71" w14:paraId="5D85B11E" w14:textId="25C448CE">
      <w:pPr>
        <w:rPr>
          <w:rFonts w:ascii="Verdana" w:hAnsi="Verdana"/>
          <w:b/>
          <w:bCs/>
          <w:sz w:val="18"/>
          <w:szCs w:val="18"/>
        </w:rPr>
      </w:pPr>
      <w:r w:rsidRPr="00A85EEF">
        <w:rPr>
          <w:rFonts w:ascii="Verdana" w:hAnsi="Verdana"/>
          <w:b/>
          <w:bCs/>
          <w:sz w:val="18"/>
          <w:szCs w:val="18"/>
        </w:rPr>
        <w:t>Kabinetsappreciatie</w:t>
      </w:r>
      <w:r w:rsidR="00C819BC">
        <w:rPr>
          <w:rFonts w:ascii="Verdana" w:hAnsi="Verdana"/>
          <w:b/>
          <w:bCs/>
          <w:sz w:val="18"/>
          <w:szCs w:val="18"/>
        </w:rPr>
        <w:t xml:space="preserve"> van het</w:t>
      </w:r>
      <w:r w:rsidRPr="00A85EEF" w:rsidR="008B2BAF">
        <w:rPr>
          <w:rFonts w:ascii="Verdana" w:hAnsi="Verdana"/>
          <w:b/>
          <w:bCs/>
          <w:sz w:val="18"/>
          <w:szCs w:val="18"/>
        </w:rPr>
        <w:t xml:space="preserve"> triloogakkoord </w:t>
      </w:r>
      <w:r w:rsidR="00C819BC">
        <w:rPr>
          <w:rFonts w:ascii="Verdana" w:hAnsi="Verdana"/>
          <w:b/>
          <w:bCs/>
          <w:sz w:val="18"/>
          <w:szCs w:val="18"/>
        </w:rPr>
        <w:t>over</w:t>
      </w:r>
      <w:r w:rsidRPr="00A85EEF" w:rsidR="008B2BAF">
        <w:rPr>
          <w:rFonts w:ascii="Verdana" w:hAnsi="Verdana"/>
          <w:b/>
          <w:bCs/>
          <w:sz w:val="18"/>
          <w:szCs w:val="18"/>
        </w:rPr>
        <w:t xml:space="preserve"> het Europees Begrotingsraamwerk</w:t>
      </w:r>
      <w:r w:rsidRPr="00A85EEF" w:rsidR="002E0A07">
        <w:rPr>
          <w:rFonts w:ascii="Verdana" w:hAnsi="Verdana"/>
          <w:b/>
          <w:bCs/>
          <w:sz w:val="18"/>
          <w:szCs w:val="18"/>
        </w:rPr>
        <w:t xml:space="preserve"> </w:t>
      </w:r>
    </w:p>
    <w:p w:rsidRPr="00A85EEF" w:rsidR="00E53289" w:rsidRDefault="00323AD6" w14:paraId="0D98BA60" w14:textId="46DEF8E6">
      <w:pPr>
        <w:rPr>
          <w:rFonts w:ascii="Verdana" w:hAnsi="Verdana"/>
          <w:sz w:val="18"/>
          <w:szCs w:val="18"/>
        </w:rPr>
      </w:pPr>
      <w:r w:rsidRPr="00A85EEF">
        <w:rPr>
          <w:rFonts w:ascii="Verdana" w:hAnsi="Verdana"/>
          <w:sz w:val="18"/>
          <w:szCs w:val="18"/>
        </w:rPr>
        <w:t xml:space="preserve">De Raad en het Europees Parlement </w:t>
      </w:r>
      <w:r w:rsidRPr="00A85EEF" w:rsidR="00B60844">
        <w:rPr>
          <w:rFonts w:ascii="Verdana" w:hAnsi="Verdana"/>
          <w:sz w:val="18"/>
          <w:szCs w:val="18"/>
        </w:rPr>
        <w:t xml:space="preserve">(EP) </w:t>
      </w:r>
      <w:r w:rsidRPr="00A85EEF" w:rsidR="004B0C57">
        <w:rPr>
          <w:rFonts w:ascii="Verdana" w:hAnsi="Verdana"/>
          <w:sz w:val="18"/>
          <w:szCs w:val="18"/>
        </w:rPr>
        <w:t>hebben</w:t>
      </w:r>
      <w:r w:rsidRPr="00A85EEF">
        <w:rPr>
          <w:rFonts w:ascii="Verdana" w:hAnsi="Verdana"/>
          <w:sz w:val="18"/>
          <w:szCs w:val="18"/>
        </w:rPr>
        <w:t xml:space="preserve"> op 10 februari een politiek akkoord</w:t>
      </w:r>
      <w:r w:rsidRPr="00A85EEF" w:rsidR="00C1226D">
        <w:rPr>
          <w:rFonts w:ascii="Verdana" w:hAnsi="Verdana"/>
          <w:sz w:val="18"/>
          <w:szCs w:val="18"/>
        </w:rPr>
        <w:t xml:space="preserve"> (triloogakkoord)</w:t>
      </w:r>
      <w:r w:rsidRPr="00A85EEF">
        <w:rPr>
          <w:rFonts w:ascii="Verdana" w:hAnsi="Verdana"/>
          <w:sz w:val="18"/>
          <w:szCs w:val="18"/>
        </w:rPr>
        <w:t xml:space="preserve"> </w:t>
      </w:r>
      <w:r w:rsidRPr="00A85EEF" w:rsidR="004B0C57">
        <w:rPr>
          <w:rFonts w:ascii="Verdana" w:hAnsi="Verdana"/>
          <w:sz w:val="18"/>
          <w:szCs w:val="18"/>
        </w:rPr>
        <w:t xml:space="preserve">bereikt </w:t>
      </w:r>
      <w:r w:rsidRPr="00A85EEF">
        <w:rPr>
          <w:rFonts w:ascii="Verdana" w:hAnsi="Verdana"/>
          <w:sz w:val="18"/>
          <w:szCs w:val="18"/>
        </w:rPr>
        <w:t>over de herziening van het Europees begrotingsraamwerk.</w:t>
      </w:r>
      <w:r w:rsidRPr="00A85EEF" w:rsidR="00166863">
        <w:rPr>
          <w:rFonts w:ascii="Verdana" w:hAnsi="Verdana"/>
          <w:sz w:val="18"/>
          <w:szCs w:val="18"/>
        </w:rPr>
        <w:t xml:space="preserve"> De</w:t>
      </w:r>
      <w:r w:rsidRPr="00A85EEF" w:rsidR="0055406F">
        <w:rPr>
          <w:rFonts w:ascii="Verdana" w:hAnsi="Verdana"/>
          <w:sz w:val="18"/>
          <w:szCs w:val="18"/>
        </w:rPr>
        <w:t xml:space="preserve"> Kamer is</w:t>
      </w:r>
      <w:r w:rsidRPr="00A85EEF" w:rsidR="00166863">
        <w:rPr>
          <w:rFonts w:ascii="Verdana" w:hAnsi="Verdana"/>
          <w:sz w:val="18"/>
          <w:szCs w:val="18"/>
        </w:rPr>
        <w:t xml:space="preserve"> over het Raadsakkoord</w:t>
      </w:r>
      <w:r w:rsidRPr="00A85EEF" w:rsidR="0055406F">
        <w:rPr>
          <w:rFonts w:ascii="Verdana" w:hAnsi="Verdana"/>
          <w:sz w:val="18"/>
          <w:szCs w:val="18"/>
        </w:rPr>
        <w:t xml:space="preserve"> geïnformeerd via </w:t>
      </w:r>
      <w:r w:rsidRPr="00A85EEF" w:rsidR="001E1C03">
        <w:rPr>
          <w:rFonts w:ascii="Verdana" w:hAnsi="Verdana"/>
          <w:sz w:val="18"/>
          <w:szCs w:val="18"/>
        </w:rPr>
        <w:t xml:space="preserve">de geannoteerde agenda en </w:t>
      </w:r>
      <w:r w:rsidRPr="00A85EEF" w:rsidR="0055406F">
        <w:rPr>
          <w:rFonts w:ascii="Verdana" w:hAnsi="Verdana"/>
          <w:sz w:val="18"/>
          <w:szCs w:val="18"/>
        </w:rPr>
        <w:t>het deelverslag van</w:t>
      </w:r>
      <w:r w:rsidRPr="00A85EEF" w:rsidR="00206DC2">
        <w:rPr>
          <w:rFonts w:ascii="Verdana" w:hAnsi="Verdana"/>
          <w:sz w:val="18"/>
          <w:szCs w:val="18"/>
        </w:rPr>
        <w:t xml:space="preserve"> de Ecofinraad van</w:t>
      </w:r>
      <w:r w:rsidRPr="00A85EEF" w:rsidR="0055406F">
        <w:rPr>
          <w:rFonts w:ascii="Verdana" w:hAnsi="Verdana"/>
          <w:sz w:val="18"/>
          <w:szCs w:val="18"/>
        </w:rPr>
        <w:t xml:space="preserve"> 20 december jl.</w:t>
      </w:r>
      <w:r w:rsidRPr="00A85EEF" w:rsidR="0055406F">
        <w:rPr>
          <w:rStyle w:val="Voetnootmarkering"/>
          <w:rFonts w:ascii="Verdana" w:hAnsi="Verdana"/>
          <w:sz w:val="18"/>
          <w:szCs w:val="18"/>
        </w:rPr>
        <w:footnoteReference w:id="1"/>
      </w:r>
      <w:r w:rsidRPr="00A85EEF" w:rsidR="0055406F">
        <w:rPr>
          <w:rFonts w:ascii="Verdana" w:hAnsi="Verdana"/>
          <w:sz w:val="18"/>
          <w:szCs w:val="18"/>
        </w:rPr>
        <w:t xml:space="preserve"> en de Kamerbrief van 7 februari jl</w:t>
      </w:r>
      <w:r w:rsidRPr="00A85EEF" w:rsidR="00824E11">
        <w:rPr>
          <w:rFonts w:ascii="Verdana" w:hAnsi="Verdana"/>
          <w:sz w:val="18"/>
          <w:szCs w:val="18"/>
        </w:rPr>
        <w:t>.</w:t>
      </w:r>
      <w:r w:rsidRPr="00A85EEF" w:rsidR="0055406F">
        <w:rPr>
          <w:rStyle w:val="Voetnootmarkering"/>
          <w:rFonts w:ascii="Verdana" w:hAnsi="Verdana"/>
          <w:sz w:val="18"/>
          <w:szCs w:val="18"/>
        </w:rPr>
        <w:footnoteReference w:id="2"/>
      </w:r>
      <w:r w:rsidRPr="00A85EEF" w:rsidR="007A431A">
        <w:rPr>
          <w:rFonts w:ascii="Verdana" w:hAnsi="Verdana"/>
          <w:sz w:val="18"/>
          <w:szCs w:val="18"/>
        </w:rPr>
        <w:t xml:space="preserve"> Het triloogakkoord is dichtbij het Raadsakkoord gebleven. Deze </w:t>
      </w:r>
      <w:r w:rsidRPr="00A85EEF" w:rsidR="00E53289">
        <w:rPr>
          <w:rFonts w:ascii="Verdana" w:hAnsi="Verdana"/>
          <w:sz w:val="18"/>
          <w:szCs w:val="18"/>
        </w:rPr>
        <w:t xml:space="preserve">brief gaat in op de belangrijkste </w:t>
      </w:r>
      <w:r w:rsidRPr="00A85EEF" w:rsidR="00824E11">
        <w:rPr>
          <w:rFonts w:ascii="Verdana" w:hAnsi="Verdana"/>
          <w:sz w:val="18"/>
          <w:szCs w:val="18"/>
        </w:rPr>
        <w:t>wijzigingen</w:t>
      </w:r>
      <w:r w:rsidRPr="00A85EEF" w:rsidR="0054579D">
        <w:rPr>
          <w:rFonts w:ascii="Verdana" w:hAnsi="Verdana"/>
          <w:sz w:val="18"/>
          <w:szCs w:val="18"/>
        </w:rPr>
        <w:t xml:space="preserve"> in het triloogakkoord ten opzichte van het Raadsakkoord</w:t>
      </w:r>
      <w:r w:rsidRPr="00A85EEF" w:rsidR="002E0A07">
        <w:rPr>
          <w:rFonts w:ascii="Verdana" w:hAnsi="Verdana"/>
          <w:sz w:val="18"/>
          <w:szCs w:val="18"/>
        </w:rPr>
        <w:t xml:space="preserve"> </w:t>
      </w:r>
      <w:r w:rsidRPr="00A85EEF" w:rsidR="00824E11">
        <w:rPr>
          <w:rFonts w:ascii="Verdana" w:hAnsi="Verdana"/>
          <w:sz w:val="18"/>
          <w:szCs w:val="18"/>
        </w:rPr>
        <w:t>en geeft</w:t>
      </w:r>
      <w:r w:rsidRPr="00A85EEF" w:rsidR="00E53289">
        <w:rPr>
          <w:rFonts w:ascii="Verdana" w:hAnsi="Verdana"/>
          <w:sz w:val="18"/>
          <w:szCs w:val="18"/>
        </w:rPr>
        <w:t xml:space="preserve"> per onderdeel </w:t>
      </w:r>
      <w:r w:rsidRPr="00A85EEF" w:rsidR="00F23D76">
        <w:rPr>
          <w:rFonts w:ascii="Verdana" w:hAnsi="Verdana"/>
          <w:sz w:val="18"/>
          <w:szCs w:val="18"/>
        </w:rPr>
        <w:t>een</w:t>
      </w:r>
      <w:r w:rsidRPr="00A85EEF" w:rsidR="002E0A07">
        <w:rPr>
          <w:rFonts w:ascii="Verdana" w:hAnsi="Verdana"/>
          <w:sz w:val="18"/>
          <w:szCs w:val="18"/>
        </w:rPr>
        <w:t xml:space="preserve"> kabinetsappreciatie.</w:t>
      </w:r>
      <w:r w:rsidRPr="00A85EEF" w:rsidR="002E5A91">
        <w:rPr>
          <w:rFonts w:ascii="Verdana" w:hAnsi="Verdana"/>
          <w:sz w:val="18"/>
          <w:szCs w:val="18"/>
        </w:rPr>
        <w:t xml:space="preserve">  </w:t>
      </w:r>
    </w:p>
    <w:p w:rsidRPr="00A85EEF" w:rsidR="00365CA1" w:rsidP="002E0A07" w:rsidRDefault="00365CA1" w14:paraId="7E507B07" w14:textId="34E3A643">
      <w:pPr>
        <w:rPr>
          <w:rFonts w:ascii="Verdana" w:hAnsi="Verdana"/>
          <w:sz w:val="18"/>
          <w:szCs w:val="18"/>
        </w:rPr>
      </w:pPr>
      <w:r w:rsidRPr="00A85EEF">
        <w:rPr>
          <w:rFonts w:ascii="Verdana" w:hAnsi="Verdana"/>
          <w:b/>
          <w:bCs/>
          <w:sz w:val="18"/>
          <w:szCs w:val="18"/>
        </w:rPr>
        <w:t>Voorgeschiedenis</w:t>
      </w:r>
    </w:p>
    <w:p w:rsidRPr="00A85EEF" w:rsidR="00294AB2" w:rsidRDefault="00294AB2" w14:paraId="5E9535C6" w14:textId="7209F865">
      <w:pPr>
        <w:rPr>
          <w:rFonts w:ascii="Verdana" w:hAnsi="Verdana"/>
          <w:sz w:val="18"/>
          <w:szCs w:val="18"/>
        </w:rPr>
      </w:pPr>
      <w:r w:rsidRPr="00A85EEF">
        <w:rPr>
          <w:rFonts w:ascii="Verdana" w:hAnsi="Verdana"/>
          <w:sz w:val="18"/>
          <w:szCs w:val="18"/>
        </w:rPr>
        <w:t>Het Europees begrotingsraamwerk heeft als doel om schuldhoudbaarheid te waarborgen en daarmee duurzame en inclusieve economische groei in lidstaten te bevorderen. Om dat doel in de toekomst beter te kunnen bereiken, heeft de Europese Commissie (de Commissie) op 26 april 2023 voorstellen gedaan om het raamwerk te herzien</w:t>
      </w:r>
      <w:r w:rsidRPr="00A85EEF" w:rsidR="001B3D78">
        <w:rPr>
          <w:rFonts w:ascii="Verdana" w:hAnsi="Verdana"/>
          <w:sz w:val="18"/>
          <w:szCs w:val="18"/>
        </w:rPr>
        <w:t>, waar</w:t>
      </w:r>
      <w:r w:rsidRPr="00A85EEF">
        <w:rPr>
          <w:rFonts w:ascii="Verdana" w:hAnsi="Verdana"/>
          <w:sz w:val="18"/>
          <w:szCs w:val="18"/>
        </w:rPr>
        <w:t xml:space="preserve">over de Kamer op 2 juni 2023 </w:t>
      </w:r>
      <w:r w:rsidRPr="00A85EEF" w:rsidR="001B3D78">
        <w:rPr>
          <w:rFonts w:ascii="Verdana" w:hAnsi="Verdana"/>
          <w:sz w:val="18"/>
          <w:szCs w:val="18"/>
        </w:rPr>
        <w:t xml:space="preserve">een </w:t>
      </w:r>
      <w:r w:rsidRPr="00A85EEF">
        <w:rPr>
          <w:rFonts w:ascii="Verdana" w:hAnsi="Verdana"/>
          <w:sz w:val="18"/>
          <w:szCs w:val="18"/>
        </w:rPr>
        <w:t xml:space="preserve">BNC-fiche </w:t>
      </w:r>
      <w:r w:rsidRPr="00A85EEF" w:rsidR="001B3D78">
        <w:rPr>
          <w:rFonts w:ascii="Verdana" w:hAnsi="Verdana"/>
          <w:sz w:val="18"/>
          <w:szCs w:val="18"/>
        </w:rPr>
        <w:t xml:space="preserve">heeft </w:t>
      </w:r>
      <w:r w:rsidRPr="00A85EEF">
        <w:rPr>
          <w:rFonts w:ascii="Verdana" w:hAnsi="Verdana"/>
          <w:sz w:val="18"/>
          <w:szCs w:val="18"/>
        </w:rPr>
        <w:t>ontvangen.</w:t>
      </w:r>
      <w:r w:rsidRPr="00A85EEF" w:rsidR="00206DC2">
        <w:rPr>
          <w:rStyle w:val="Voetnootmarkering"/>
          <w:rFonts w:ascii="Verdana" w:hAnsi="Verdana"/>
          <w:sz w:val="18"/>
          <w:szCs w:val="18"/>
        </w:rPr>
        <w:footnoteReference w:id="3"/>
      </w:r>
      <w:r w:rsidRPr="00A85EEF">
        <w:rPr>
          <w:rFonts w:ascii="Verdana" w:hAnsi="Verdana"/>
          <w:sz w:val="18"/>
          <w:szCs w:val="18"/>
        </w:rPr>
        <w:t xml:space="preserve"> De wetgevingsaanpassingen zien toe op: </w:t>
      </w:r>
    </w:p>
    <w:p w:rsidRPr="00A85EEF" w:rsidR="00294AB2" w:rsidP="00294AB2" w:rsidRDefault="00294AB2" w14:paraId="485AF110" w14:textId="240AE06B">
      <w:pPr>
        <w:pStyle w:val="Lijstalinea"/>
        <w:numPr>
          <w:ilvl w:val="0"/>
          <w:numId w:val="1"/>
        </w:numPr>
        <w:rPr>
          <w:rFonts w:ascii="Verdana" w:hAnsi="Verdana"/>
          <w:sz w:val="18"/>
          <w:szCs w:val="18"/>
        </w:rPr>
      </w:pPr>
      <w:r w:rsidRPr="00A85EEF">
        <w:rPr>
          <w:rFonts w:ascii="Verdana" w:hAnsi="Verdana"/>
          <w:sz w:val="18"/>
          <w:szCs w:val="18"/>
        </w:rPr>
        <w:t xml:space="preserve">Het vervangen van verordening 1466/97 die het toezicht op de begrotingssituatie in de lidstaten organiseert op basis van artikel 121 Verdrag betreffende de werking van de Europese Unie (VWEU). Dit wordt de preventieve arm genoemd. </w:t>
      </w:r>
    </w:p>
    <w:p w:rsidRPr="00A85EEF" w:rsidR="00294AB2" w:rsidP="00294AB2" w:rsidRDefault="00294AB2" w14:paraId="6E9A68B5" w14:textId="31B49672">
      <w:pPr>
        <w:pStyle w:val="Lijstalinea"/>
        <w:numPr>
          <w:ilvl w:val="0"/>
          <w:numId w:val="1"/>
        </w:numPr>
        <w:rPr>
          <w:rFonts w:ascii="Verdana" w:hAnsi="Verdana"/>
          <w:sz w:val="18"/>
          <w:szCs w:val="18"/>
        </w:rPr>
      </w:pPr>
      <w:r w:rsidRPr="00A85EEF">
        <w:rPr>
          <w:rFonts w:ascii="Verdana" w:hAnsi="Verdana"/>
          <w:sz w:val="18"/>
          <w:szCs w:val="18"/>
        </w:rPr>
        <w:t>Het wijzigen van verordening 1467/97 die de uitleg van de werking van de buitensporigtekortprocedure uit artikel 126 van het VWEU bevat. Dit wordt de correctieve arm genoemd.</w:t>
      </w:r>
      <w:r w:rsidRPr="00A85EEF" w:rsidR="002E7D6A">
        <w:rPr>
          <w:rFonts w:ascii="Verdana" w:hAnsi="Verdana"/>
          <w:sz w:val="18"/>
          <w:szCs w:val="18"/>
        </w:rPr>
        <w:t xml:space="preserve"> </w:t>
      </w:r>
    </w:p>
    <w:p w:rsidRPr="00A85EEF" w:rsidR="00365CA1" w:rsidP="00294AB2" w:rsidRDefault="00294AB2" w14:paraId="0C2D0113" w14:textId="77FC67B5">
      <w:pPr>
        <w:pStyle w:val="Lijstalinea"/>
        <w:numPr>
          <w:ilvl w:val="0"/>
          <w:numId w:val="1"/>
        </w:numPr>
        <w:rPr>
          <w:rFonts w:ascii="Verdana" w:hAnsi="Verdana"/>
          <w:sz w:val="18"/>
          <w:szCs w:val="18"/>
        </w:rPr>
      </w:pPr>
      <w:r w:rsidRPr="00A85EEF">
        <w:rPr>
          <w:rFonts w:ascii="Verdana" w:hAnsi="Verdana"/>
          <w:sz w:val="18"/>
          <w:szCs w:val="18"/>
        </w:rPr>
        <w:t>Een wijziging van richtlijn 2011/85 met voorschriften voor de begrotingskaders van de lidstaten.</w:t>
      </w:r>
      <w:r w:rsidRPr="00A85EEF" w:rsidR="002E7D6A">
        <w:rPr>
          <w:rFonts w:ascii="Verdana" w:hAnsi="Verdana"/>
          <w:sz w:val="18"/>
          <w:szCs w:val="18"/>
        </w:rPr>
        <w:t xml:space="preserve"> </w:t>
      </w:r>
    </w:p>
    <w:p w:rsidRPr="00A85EEF" w:rsidR="00362708" w:rsidP="00362708" w:rsidRDefault="00A112AB" w14:paraId="73B7CD73" w14:textId="1CF47FE9">
      <w:pPr>
        <w:rPr>
          <w:rFonts w:ascii="Verdana" w:hAnsi="Verdana"/>
          <w:sz w:val="18"/>
          <w:szCs w:val="18"/>
        </w:rPr>
      </w:pPr>
      <w:r w:rsidRPr="00A85EEF">
        <w:rPr>
          <w:rFonts w:ascii="Verdana" w:hAnsi="Verdana"/>
          <w:sz w:val="18"/>
          <w:szCs w:val="18"/>
        </w:rPr>
        <w:t xml:space="preserve">Het </w:t>
      </w:r>
      <w:r w:rsidRPr="00A85EEF" w:rsidR="00373752">
        <w:rPr>
          <w:rFonts w:ascii="Verdana" w:hAnsi="Verdana"/>
          <w:sz w:val="18"/>
          <w:szCs w:val="18"/>
        </w:rPr>
        <w:t xml:space="preserve">EP </w:t>
      </w:r>
      <w:r w:rsidRPr="00A85EEF">
        <w:rPr>
          <w:rFonts w:ascii="Verdana" w:hAnsi="Verdana"/>
          <w:sz w:val="18"/>
          <w:szCs w:val="18"/>
        </w:rPr>
        <w:t xml:space="preserve">is alleen medewetgever op de verordening die verordening 1466/97 vervangt (de preventieve arm). Het triloogakkoord </w:t>
      </w:r>
      <w:r w:rsidRPr="00A85EEF" w:rsidR="005B790F">
        <w:rPr>
          <w:rFonts w:ascii="Verdana" w:hAnsi="Verdana"/>
          <w:sz w:val="18"/>
          <w:szCs w:val="18"/>
        </w:rPr>
        <w:t xml:space="preserve">heeft zodoende alleen </w:t>
      </w:r>
      <w:r w:rsidRPr="00A85EEF" w:rsidR="00B60844">
        <w:rPr>
          <w:rFonts w:ascii="Verdana" w:hAnsi="Verdana"/>
          <w:sz w:val="18"/>
          <w:szCs w:val="18"/>
        </w:rPr>
        <w:t xml:space="preserve">hierop </w:t>
      </w:r>
      <w:r w:rsidRPr="00A85EEF" w:rsidR="005B790F">
        <w:rPr>
          <w:rFonts w:ascii="Verdana" w:hAnsi="Verdana"/>
          <w:sz w:val="18"/>
          <w:szCs w:val="18"/>
        </w:rPr>
        <w:t>betrekking</w:t>
      </w:r>
      <w:r w:rsidRPr="00A85EEF" w:rsidR="00FF0733">
        <w:rPr>
          <w:rFonts w:ascii="Verdana" w:hAnsi="Verdana"/>
          <w:sz w:val="18"/>
          <w:szCs w:val="18"/>
        </w:rPr>
        <w:t>.</w:t>
      </w:r>
      <w:r w:rsidRPr="00A85EEF" w:rsidR="00362708">
        <w:rPr>
          <w:rFonts w:ascii="Verdana" w:hAnsi="Verdana"/>
          <w:sz w:val="18"/>
          <w:szCs w:val="18"/>
        </w:rPr>
        <w:t xml:space="preserve"> De wijziging van de verordening voor de correctieve arm en de richtlijn waren geen onderdeel van de onderhandeling met het EP en blijven zodoende ongewijzigd als gevolg van het triloogakkoord (zie ook het kopje ‘Verder </w:t>
      </w:r>
      <w:r w:rsidR="007A431A">
        <w:rPr>
          <w:rFonts w:ascii="Verdana" w:hAnsi="Verdana"/>
          <w:sz w:val="18"/>
          <w:szCs w:val="18"/>
        </w:rPr>
        <w:t>p</w:t>
      </w:r>
      <w:r w:rsidRPr="00A85EEF" w:rsidR="00362708">
        <w:rPr>
          <w:rFonts w:ascii="Verdana" w:hAnsi="Verdana"/>
          <w:sz w:val="18"/>
          <w:szCs w:val="18"/>
        </w:rPr>
        <w:t xml:space="preserve">roces’). </w:t>
      </w:r>
    </w:p>
    <w:p w:rsidRPr="00A85EEF" w:rsidR="00B80BCC" w:rsidP="002E7D6A" w:rsidRDefault="002E5A91" w14:paraId="5F481347" w14:textId="66E47096">
      <w:pPr>
        <w:rPr>
          <w:rFonts w:ascii="Verdana" w:hAnsi="Verdana"/>
          <w:b/>
          <w:bCs/>
          <w:sz w:val="18"/>
          <w:szCs w:val="18"/>
        </w:rPr>
      </w:pPr>
      <w:r w:rsidRPr="00A85EEF">
        <w:rPr>
          <w:rFonts w:ascii="Verdana" w:hAnsi="Verdana"/>
          <w:b/>
          <w:bCs/>
          <w:sz w:val="18"/>
          <w:szCs w:val="18"/>
        </w:rPr>
        <w:t xml:space="preserve">Het </w:t>
      </w:r>
      <w:r w:rsidRPr="00A85EEF" w:rsidR="00F62986">
        <w:rPr>
          <w:rFonts w:ascii="Verdana" w:hAnsi="Verdana"/>
          <w:b/>
          <w:bCs/>
          <w:sz w:val="18"/>
          <w:szCs w:val="18"/>
        </w:rPr>
        <w:t>triloogakkoord ten opzichte van het Raadsakkoord</w:t>
      </w:r>
    </w:p>
    <w:p w:rsidRPr="00A85EEF" w:rsidR="001818F0" w:rsidP="002E7D6A" w:rsidRDefault="001818F0" w14:paraId="3C8DA188" w14:textId="5D5EFCEE">
      <w:pPr>
        <w:rPr>
          <w:rFonts w:ascii="Verdana" w:hAnsi="Verdana"/>
          <w:i/>
          <w:iCs/>
          <w:sz w:val="18"/>
          <w:szCs w:val="18"/>
        </w:rPr>
      </w:pPr>
      <w:r w:rsidRPr="00A85EEF">
        <w:rPr>
          <w:rFonts w:ascii="Verdana" w:hAnsi="Verdana"/>
          <w:i/>
          <w:iCs/>
          <w:sz w:val="18"/>
          <w:szCs w:val="18"/>
        </w:rPr>
        <w:t>Algehele appreciatie</w:t>
      </w:r>
    </w:p>
    <w:p w:rsidRPr="00A85EEF" w:rsidR="00150616" w:rsidP="002E7D6A" w:rsidRDefault="00BE5DCD" w14:paraId="57A9200C" w14:textId="01477ADD">
      <w:pPr>
        <w:rPr>
          <w:rFonts w:ascii="Verdana" w:hAnsi="Verdana"/>
          <w:sz w:val="18"/>
          <w:szCs w:val="18"/>
        </w:rPr>
      </w:pPr>
      <w:bookmarkStart w:name="_Hlk159420304" w:id="0"/>
      <w:r w:rsidRPr="00A85EEF">
        <w:rPr>
          <w:rFonts w:ascii="Verdana" w:hAnsi="Verdana"/>
          <w:sz w:val="18"/>
          <w:szCs w:val="18"/>
        </w:rPr>
        <w:t>Het kabinet is van mening dat</w:t>
      </w:r>
      <w:r w:rsidRPr="00A85EEF" w:rsidR="00C5049F">
        <w:rPr>
          <w:rFonts w:ascii="Verdana" w:hAnsi="Verdana"/>
          <w:sz w:val="18"/>
          <w:szCs w:val="18"/>
        </w:rPr>
        <w:t xml:space="preserve"> </w:t>
      </w:r>
      <w:r w:rsidRPr="00A85EEF">
        <w:rPr>
          <w:rFonts w:ascii="Verdana" w:hAnsi="Verdana"/>
          <w:sz w:val="18"/>
          <w:szCs w:val="18"/>
        </w:rPr>
        <w:t>het</w:t>
      </w:r>
      <w:r w:rsidRPr="00A85EEF" w:rsidR="00D95D9F">
        <w:rPr>
          <w:rFonts w:ascii="Verdana" w:hAnsi="Verdana"/>
          <w:sz w:val="18"/>
          <w:szCs w:val="18"/>
        </w:rPr>
        <w:t xml:space="preserve"> triloogakkoord </w:t>
      </w:r>
      <w:r w:rsidRPr="00A85EEF">
        <w:rPr>
          <w:rFonts w:ascii="Verdana" w:hAnsi="Verdana"/>
          <w:sz w:val="18"/>
          <w:szCs w:val="18"/>
        </w:rPr>
        <w:t xml:space="preserve">de balans </w:t>
      </w:r>
      <w:r w:rsidRPr="00A85EEF" w:rsidR="00314FE2">
        <w:rPr>
          <w:rFonts w:ascii="Verdana" w:hAnsi="Verdana"/>
          <w:sz w:val="18"/>
          <w:szCs w:val="18"/>
        </w:rPr>
        <w:t xml:space="preserve">uit het Raadsakkoord </w:t>
      </w:r>
      <w:r w:rsidRPr="00A85EEF" w:rsidR="00C5049F">
        <w:rPr>
          <w:rFonts w:ascii="Verdana" w:hAnsi="Verdana"/>
          <w:sz w:val="18"/>
          <w:szCs w:val="18"/>
        </w:rPr>
        <w:t>behoudt</w:t>
      </w:r>
      <w:r w:rsidRPr="00A85EEF" w:rsidR="007E3054">
        <w:rPr>
          <w:rFonts w:ascii="Verdana" w:hAnsi="Verdana"/>
          <w:sz w:val="18"/>
          <w:szCs w:val="18"/>
        </w:rPr>
        <w:t xml:space="preserve"> t</w:t>
      </w:r>
      <w:r w:rsidRPr="00A85EEF" w:rsidR="004678BA">
        <w:rPr>
          <w:rFonts w:ascii="Verdana" w:hAnsi="Verdana"/>
          <w:sz w:val="18"/>
          <w:szCs w:val="18"/>
        </w:rPr>
        <w:t xml:space="preserve">ussen </w:t>
      </w:r>
      <w:r w:rsidRPr="00A85EEF" w:rsidR="005C04BF">
        <w:rPr>
          <w:rFonts w:ascii="Verdana" w:hAnsi="Verdana"/>
          <w:sz w:val="18"/>
          <w:szCs w:val="18"/>
        </w:rPr>
        <w:t xml:space="preserve">nationaal eigenaarschap en flexibiliteit enerzijds en voldoende </w:t>
      </w:r>
      <w:r w:rsidRPr="00A85EEF" w:rsidR="00702E94">
        <w:rPr>
          <w:rFonts w:ascii="Verdana" w:hAnsi="Verdana"/>
          <w:sz w:val="18"/>
          <w:szCs w:val="18"/>
        </w:rPr>
        <w:t>ambitieuze schuldafbouw</w:t>
      </w:r>
      <w:r w:rsidRPr="00A85EEF" w:rsidR="005C04BF">
        <w:rPr>
          <w:rFonts w:ascii="Verdana" w:hAnsi="Verdana"/>
          <w:sz w:val="18"/>
          <w:szCs w:val="18"/>
        </w:rPr>
        <w:t xml:space="preserve"> en versterking van handhaving anderzijds. </w:t>
      </w:r>
      <w:bookmarkEnd w:id="0"/>
      <w:r w:rsidRPr="00A85EEF" w:rsidR="007E3054">
        <w:rPr>
          <w:rFonts w:ascii="Verdana" w:hAnsi="Verdana"/>
          <w:sz w:val="18"/>
          <w:szCs w:val="18"/>
        </w:rPr>
        <w:t xml:space="preserve">Het triloogakkoord </w:t>
      </w:r>
      <w:r w:rsidRPr="00A85EEF" w:rsidR="00702E94">
        <w:rPr>
          <w:rFonts w:ascii="Verdana" w:hAnsi="Verdana"/>
          <w:sz w:val="18"/>
          <w:szCs w:val="18"/>
        </w:rPr>
        <w:t xml:space="preserve">bevat </w:t>
      </w:r>
      <w:r w:rsidRPr="00A85EEF" w:rsidR="007E3054">
        <w:rPr>
          <w:rFonts w:ascii="Verdana" w:hAnsi="Verdana"/>
          <w:sz w:val="18"/>
          <w:szCs w:val="18"/>
        </w:rPr>
        <w:t xml:space="preserve">een aantal aanpassingen </w:t>
      </w:r>
      <w:r w:rsidRPr="00A85EEF" w:rsidR="00334F49">
        <w:rPr>
          <w:rFonts w:ascii="Verdana" w:hAnsi="Verdana"/>
          <w:sz w:val="18"/>
          <w:szCs w:val="18"/>
        </w:rPr>
        <w:t>dat</w:t>
      </w:r>
      <w:r w:rsidRPr="00A85EEF" w:rsidR="007E3054">
        <w:rPr>
          <w:rFonts w:ascii="Verdana" w:hAnsi="Verdana"/>
          <w:sz w:val="18"/>
          <w:szCs w:val="18"/>
        </w:rPr>
        <w:t xml:space="preserve"> in lijn </w:t>
      </w:r>
      <w:r w:rsidRPr="00A85EEF" w:rsidR="00334F49">
        <w:rPr>
          <w:rFonts w:ascii="Verdana" w:hAnsi="Verdana"/>
          <w:sz w:val="18"/>
          <w:szCs w:val="18"/>
        </w:rPr>
        <w:t>is</w:t>
      </w:r>
      <w:r w:rsidRPr="00A85EEF" w:rsidR="007E3054">
        <w:rPr>
          <w:rFonts w:ascii="Verdana" w:hAnsi="Verdana"/>
          <w:sz w:val="18"/>
          <w:szCs w:val="18"/>
        </w:rPr>
        <w:t xml:space="preserve"> met de </w:t>
      </w:r>
      <w:r w:rsidRPr="00A85EEF" w:rsidR="004A2DF7">
        <w:rPr>
          <w:rFonts w:ascii="Verdana" w:hAnsi="Verdana"/>
          <w:sz w:val="18"/>
          <w:szCs w:val="18"/>
        </w:rPr>
        <w:t>kabinets</w:t>
      </w:r>
      <w:r w:rsidRPr="00A85EEF" w:rsidR="007E3054">
        <w:rPr>
          <w:rFonts w:ascii="Verdana" w:hAnsi="Verdana"/>
          <w:sz w:val="18"/>
          <w:szCs w:val="18"/>
        </w:rPr>
        <w:t>inzet</w:t>
      </w:r>
      <w:r w:rsidRPr="00A85EEF" w:rsidR="008418D2">
        <w:rPr>
          <w:rFonts w:ascii="Verdana" w:hAnsi="Verdana"/>
          <w:sz w:val="18"/>
          <w:szCs w:val="18"/>
        </w:rPr>
        <w:t xml:space="preserve">. Het gaat </w:t>
      </w:r>
      <w:r w:rsidR="00A86A1E">
        <w:rPr>
          <w:rFonts w:ascii="Verdana" w:hAnsi="Verdana"/>
          <w:sz w:val="18"/>
          <w:szCs w:val="18"/>
        </w:rPr>
        <w:t>onder andere om de omschrijving</w:t>
      </w:r>
      <w:r w:rsidRPr="00A86A1E" w:rsidR="00A86A1E">
        <w:rPr>
          <w:rFonts w:ascii="Verdana" w:hAnsi="Verdana"/>
          <w:sz w:val="18"/>
          <w:szCs w:val="18"/>
        </w:rPr>
        <w:t xml:space="preserve"> in de wetgeving van de methode waarmee geloofwaardige schuldafbouw wordt berekend</w:t>
      </w:r>
      <w:r w:rsidRPr="00A85EEF" w:rsidR="0031367C">
        <w:rPr>
          <w:rFonts w:ascii="Verdana" w:hAnsi="Verdana"/>
          <w:sz w:val="18"/>
          <w:szCs w:val="18"/>
        </w:rPr>
        <w:t>,</w:t>
      </w:r>
      <w:r w:rsidRPr="00A85EEF" w:rsidR="007E3054">
        <w:rPr>
          <w:rFonts w:ascii="Verdana" w:hAnsi="Verdana"/>
          <w:sz w:val="18"/>
          <w:szCs w:val="18"/>
        </w:rPr>
        <w:t xml:space="preserve"> de </w:t>
      </w:r>
      <w:r w:rsidRPr="00A85EEF" w:rsidR="00826E72">
        <w:rPr>
          <w:rFonts w:ascii="Verdana" w:hAnsi="Verdana"/>
          <w:sz w:val="18"/>
          <w:szCs w:val="18"/>
        </w:rPr>
        <w:t>(beperkte) versterking van de</w:t>
      </w:r>
      <w:r w:rsidRPr="00A85EEF" w:rsidR="007E3054">
        <w:rPr>
          <w:rFonts w:ascii="Verdana" w:hAnsi="Verdana"/>
          <w:sz w:val="18"/>
          <w:szCs w:val="18"/>
        </w:rPr>
        <w:t xml:space="preserve"> rol van het Europees Begrotingscomité en Onafhankelijke Begrotingsautoriteiten</w:t>
      </w:r>
      <w:r w:rsidRPr="00A85EEF" w:rsidR="00591725">
        <w:rPr>
          <w:rFonts w:ascii="Verdana" w:hAnsi="Verdana"/>
          <w:sz w:val="18"/>
          <w:szCs w:val="18"/>
        </w:rPr>
        <w:t xml:space="preserve"> en aanvullende transparantie. </w:t>
      </w:r>
      <w:r w:rsidRPr="00A85EEF" w:rsidR="00077185">
        <w:rPr>
          <w:rFonts w:ascii="Verdana" w:hAnsi="Verdana"/>
          <w:sz w:val="18"/>
          <w:szCs w:val="18"/>
        </w:rPr>
        <w:t xml:space="preserve">Hoewel het kabinet zich eerder had uitgesproken tegen aanvullende uitzonderingen van het uitgavenpad, kan het kabinet de uitzondering van nationale cofinanciering van het uitgavenpad steunen. Doorslaggevend hierbij is dat de uitzondering geen gevolgen heeft voor de ambitie van de begrotingsopgave. </w:t>
      </w:r>
      <w:r w:rsidRPr="00A85EEF" w:rsidR="00D95D9F">
        <w:rPr>
          <w:rFonts w:ascii="Verdana" w:hAnsi="Verdana"/>
          <w:sz w:val="18"/>
          <w:szCs w:val="18"/>
        </w:rPr>
        <w:t xml:space="preserve">Daarbij weegt het kabinet </w:t>
      </w:r>
      <w:r w:rsidRPr="00A85EEF" w:rsidR="007C4E2D">
        <w:rPr>
          <w:rFonts w:ascii="Verdana" w:hAnsi="Verdana"/>
          <w:sz w:val="18"/>
          <w:szCs w:val="18"/>
        </w:rPr>
        <w:t xml:space="preserve">ook </w:t>
      </w:r>
      <w:r w:rsidRPr="00A85EEF" w:rsidR="00D95D9F">
        <w:rPr>
          <w:rFonts w:ascii="Verdana" w:hAnsi="Verdana"/>
          <w:sz w:val="18"/>
          <w:szCs w:val="18"/>
        </w:rPr>
        <w:t xml:space="preserve">mee dat een aantal cruciale elementen uit het Raadsakkoord ongewijzigd </w:t>
      </w:r>
      <w:r w:rsidRPr="00A85EEF" w:rsidR="00B60844">
        <w:rPr>
          <w:rFonts w:ascii="Verdana" w:hAnsi="Verdana"/>
          <w:sz w:val="18"/>
          <w:szCs w:val="18"/>
        </w:rPr>
        <w:t xml:space="preserve">is </w:t>
      </w:r>
      <w:r w:rsidRPr="00A85EEF" w:rsidR="00D95D9F">
        <w:rPr>
          <w:rFonts w:ascii="Verdana" w:hAnsi="Verdana"/>
          <w:sz w:val="18"/>
          <w:szCs w:val="18"/>
        </w:rPr>
        <w:t>gebleven</w:t>
      </w:r>
      <w:r w:rsidRPr="00A85EEF" w:rsidR="00440684">
        <w:rPr>
          <w:rFonts w:ascii="Verdana" w:hAnsi="Verdana"/>
          <w:sz w:val="18"/>
          <w:szCs w:val="18"/>
        </w:rPr>
        <w:t xml:space="preserve">. </w:t>
      </w:r>
      <w:r w:rsidRPr="00A85EEF" w:rsidR="003354BE">
        <w:rPr>
          <w:rFonts w:ascii="Verdana" w:hAnsi="Verdana"/>
          <w:sz w:val="18"/>
          <w:szCs w:val="18"/>
        </w:rPr>
        <w:t xml:space="preserve">Het gaat hier om onder andere om </w:t>
      </w:r>
      <w:r w:rsidRPr="00A85EEF" w:rsidR="004A2DF7">
        <w:rPr>
          <w:rFonts w:ascii="Verdana" w:hAnsi="Verdana"/>
          <w:sz w:val="18"/>
          <w:szCs w:val="18"/>
        </w:rPr>
        <w:t>de doelstellingen van het raamwerk, de waarborgen ten behoeve van voldoende schuld- en tekortreductie en</w:t>
      </w:r>
      <w:r w:rsidRPr="00A85EEF" w:rsidR="00826E72">
        <w:rPr>
          <w:rFonts w:ascii="Verdana" w:hAnsi="Verdana"/>
          <w:sz w:val="18"/>
          <w:szCs w:val="18"/>
        </w:rPr>
        <w:t xml:space="preserve"> </w:t>
      </w:r>
      <w:r w:rsidRPr="00A85EEF" w:rsidR="00F37CFD">
        <w:rPr>
          <w:rFonts w:ascii="Verdana" w:hAnsi="Verdana"/>
          <w:sz w:val="18"/>
          <w:szCs w:val="18"/>
        </w:rPr>
        <w:t xml:space="preserve">de </w:t>
      </w:r>
      <w:r w:rsidRPr="00A85EEF" w:rsidR="00702E94">
        <w:rPr>
          <w:rFonts w:ascii="Verdana" w:hAnsi="Verdana"/>
          <w:sz w:val="18"/>
          <w:szCs w:val="18"/>
        </w:rPr>
        <w:t xml:space="preserve">versterkte </w:t>
      </w:r>
      <w:r w:rsidRPr="00A85EEF" w:rsidR="004A2DF7">
        <w:rPr>
          <w:rFonts w:ascii="Verdana" w:hAnsi="Verdana"/>
          <w:sz w:val="18"/>
          <w:szCs w:val="18"/>
        </w:rPr>
        <w:t>handhaving.</w:t>
      </w:r>
      <w:r w:rsidRPr="00A85EEF" w:rsidR="00491F63">
        <w:rPr>
          <w:rFonts w:ascii="Verdana" w:hAnsi="Verdana"/>
          <w:sz w:val="18"/>
          <w:szCs w:val="18"/>
        </w:rPr>
        <w:t xml:space="preserve"> </w:t>
      </w:r>
      <w:r w:rsidRPr="00A85EEF" w:rsidR="002E4123">
        <w:rPr>
          <w:rFonts w:ascii="Verdana" w:hAnsi="Verdana"/>
          <w:sz w:val="18"/>
          <w:szCs w:val="18"/>
        </w:rPr>
        <w:t xml:space="preserve">Het kabinet oordeelt </w:t>
      </w:r>
      <w:r w:rsidRPr="00A85EEF" w:rsidR="00B60844">
        <w:rPr>
          <w:rFonts w:ascii="Verdana" w:hAnsi="Verdana"/>
          <w:sz w:val="18"/>
          <w:szCs w:val="18"/>
        </w:rPr>
        <w:t xml:space="preserve">daarmee </w:t>
      </w:r>
      <w:r w:rsidRPr="00A85EEF" w:rsidR="00F37CFD">
        <w:rPr>
          <w:rFonts w:ascii="Verdana" w:hAnsi="Verdana"/>
          <w:sz w:val="18"/>
          <w:szCs w:val="18"/>
        </w:rPr>
        <w:t xml:space="preserve">alles overziend </w:t>
      </w:r>
      <w:r w:rsidRPr="00A85EEF" w:rsidR="002E4123">
        <w:rPr>
          <w:rFonts w:ascii="Verdana" w:hAnsi="Verdana"/>
          <w:sz w:val="18"/>
          <w:szCs w:val="18"/>
        </w:rPr>
        <w:t>positief over het</w:t>
      </w:r>
      <w:r w:rsidRPr="00A85EEF" w:rsidR="004678BA">
        <w:rPr>
          <w:rFonts w:ascii="Verdana" w:hAnsi="Verdana"/>
          <w:sz w:val="18"/>
          <w:szCs w:val="18"/>
        </w:rPr>
        <w:t xml:space="preserve"> triloogakkoord. </w:t>
      </w:r>
      <w:r w:rsidRPr="00A85EEF" w:rsidR="00F4541A">
        <w:rPr>
          <w:rFonts w:ascii="Verdana" w:hAnsi="Verdana"/>
          <w:sz w:val="18"/>
          <w:szCs w:val="18"/>
        </w:rPr>
        <w:t xml:space="preserve">Eerder oordeelde het kabinet al positief over de in het Raadsakkoord overeengekomen wijzigingen </w:t>
      </w:r>
      <w:r w:rsidRPr="00A85EEF" w:rsidR="003E3BB8">
        <w:rPr>
          <w:rFonts w:ascii="Verdana" w:hAnsi="Verdana"/>
          <w:sz w:val="18"/>
          <w:szCs w:val="18"/>
        </w:rPr>
        <w:t>v</w:t>
      </w:r>
      <w:r w:rsidRPr="00A85EEF" w:rsidR="00F4541A">
        <w:rPr>
          <w:rFonts w:ascii="Verdana" w:hAnsi="Verdana"/>
          <w:sz w:val="18"/>
          <w:szCs w:val="18"/>
        </w:rPr>
        <w:t xml:space="preserve">an de correctieve arm en de richtlijn voor nationale begrotingsraamwerken. Het kabinet is zodoende </w:t>
      </w:r>
      <w:r w:rsidRPr="00A85EEF" w:rsidR="0010123E">
        <w:rPr>
          <w:rFonts w:ascii="Verdana" w:hAnsi="Verdana"/>
          <w:sz w:val="18"/>
          <w:szCs w:val="18"/>
        </w:rPr>
        <w:t xml:space="preserve">voornemens in te stemmen met het eindakkoord wanneer </w:t>
      </w:r>
      <w:r w:rsidRPr="00A85EEF" w:rsidR="0018198C">
        <w:rPr>
          <w:rFonts w:ascii="Verdana" w:hAnsi="Verdana"/>
          <w:sz w:val="18"/>
          <w:szCs w:val="18"/>
        </w:rPr>
        <w:t>het gehele</w:t>
      </w:r>
      <w:r w:rsidRPr="00A85EEF" w:rsidR="006E2ACF">
        <w:rPr>
          <w:rFonts w:ascii="Verdana" w:hAnsi="Verdana"/>
          <w:sz w:val="18"/>
          <w:szCs w:val="18"/>
        </w:rPr>
        <w:t xml:space="preserve"> wetgevingspakket </w:t>
      </w:r>
      <w:r w:rsidR="007F0E53">
        <w:rPr>
          <w:rFonts w:ascii="Verdana" w:hAnsi="Verdana"/>
          <w:sz w:val="18"/>
          <w:szCs w:val="18"/>
        </w:rPr>
        <w:t>formeel wordt voorgelegd in de Raad.</w:t>
      </w:r>
      <w:r w:rsidRPr="00A85EEF" w:rsidR="0010123E">
        <w:rPr>
          <w:rFonts w:ascii="Verdana" w:hAnsi="Verdana"/>
          <w:sz w:val="18"/>
          <w:szCs w:val="18"/>
        </w:rPr>
        <w:t xml:space="preserve"> </w:t>
      </w:r>
    </w:p>
    <w:p w:rsidR="00A85EEF" w:rsidP="002E7D6A" w:rsidRDefault="00A85EEF" w14:paraId="3CE360A7" w14:textId="77777777">
      <w:pPr>
        <w:rPr>
          <w:rFonts w:ascii="Verdana" w:hAnsi="Verdana"/>
          <w:i/>
          <w:iCs/>
          <w:sz w:val="18"/>
          <w:szCs w:val="18"/>
        </w:rPr>
      </w:pPr>
    </w:p>
    <w:p w:rsidR="004138FC" w:rsidP="002E7D6A" w:rsidRDefault="004138FC" w14:paraId="00C24488" w14:textId="77777777">
      <w:pPr>
        <w:rPr>
          <w:rFonts w:ascii="Verdana" w:hAnsi="Verdana"/>
          <w:i/>
          <w:iCs/>
          <w:sz w:val="18"/>
          <w:szCs w:val="18"/>
        </w:rPr>
      </w:pPr>
    </w:p>
    <w:p w:rsidRPr="00A85EEF" w:rsidR="001818F0" w:rsidP="002E7D6A" w:rsidRDefault="001818F0" w14:paraId="58EA4C9B" w14:textId="000E3A68">
      <w:pPr>
        <w:rPr>
          <w:rFonts w:ascii="Verdana" w:hAnsi="Verdana"/>
          <w:i/>
          <w:iCs/>
          <w:sz w:val="18"/>
          <w:szCs w:val="18"/>
        </w:rPr>
      </w:pPr>
      <w:r w:rsidRPr="00A85EEF">
        <w:rPr>
          <w:rFonts w:ascii="Verdana" w:hAnsi="Verdana"/>
          <w:i/>
          <w:iCs/>
          <w:sz w:val="18"/>
          <w:szCs w:val="18"/>
        </w:rPr>
        <w:lastRenderedPageBreak/>
        <w:t>Appreciatie per deelonderwerp</w:t>
      </w:r>
    </w:p>
    <w:p w:rsidRPr="00A85EEF" w:rsidR="00DB2AA6" w:rsidP="002E7D6A" w:rsidRDefault="00526CC3" w14:paraId="583D8248" w14:textId="213333BA">
      <w:pPr>
        <w:rPr>
          <w:rFonts w:ascii="Verdana" w:hAnsi="Verdana"/>
          <w:sz w:val="18"/>
          <w:szCs w:val="18"/>
        </w:rPr>
      </w:pPr>
      <w:r w:rsidRPr="00A85EEF">
        <w:rPr>
          <w:rFonts w:ascii="Verdana" w:hAnsi="Verdana"/>
          <w:sz w:val="18"/>
          <w:szCs w:val="18"/>
        </w:rPr>
        <w:t>Hieronder word</w:t>
      </w:r>
      <w:r w:rsidRPr="00A85EEF" w:rsidR="00A72917">
        <w:rPr>
          <w:rFonts w:ascii="Verdana" w:hAnsi="Verdana"/>
          <w:sz w:val="18"/>
          <w:szCs w:val="18"/>
        </w:rPr>
        <w:t xml:space="preserve">en de belangrijkste wijzigingen beschreven in het triloogakkoord ten opzichte van het Raadsakkoord, met per onderdeel </w:t>
      </w:r>
      <w:r w:rsidRPr="00A85EEF" w:rsidR="00E7278A">
        <w:rPr>
          <w:rFonts w:ascii="Verdana" w:hAnsi="Verdana"/>
          <w:sz w:val="18"/>
          <w:szCs w:val="18"/>
        </w:rPr>
        <w:t xml:space="preserve">een </w:t>
      </w:r>
      <w:r w:rsidRPr="00A85EEF" w:rsidR="00A72917">
        <w:rPr>
          <w:rFonts w:ascii="Verdana" w:hAnsi="Verdana"/>
          <w:sz w:val="18"/>
          <w:szCs w:val="18"/>
        </w:rPr>
        <w:t xml:space="preserve">kabinetsappreciatie. </w:t>
      </w:r>
    </w:p>
    <w:p w:rsidRPr="00A85EEF" w:rsidR="001271A5" w:rsidP="001271A5" w:rsidRDefault="00B64C2D" w14:paraId="0BA8CB30" w14:textId="7A3EF955">
      <w:pPr>
        <w:pStyle w:val="Lijstalinea"/>
        <w:numPr>
          <w:ilvl w:val="0"/>
          <w:numId w:val="4"/>
        </w:numPr>
        <w:rPr>
          <w:rFonts w:ascii="Verdana" w:hAnsi="Verdana"/>
          <w:sz w:val="18"/>
          <w:szCs w:val="18"/>
          <w:u w:val="single"/>
        </w:rPr>
      </w:pPr>
      <w:bookmarkStart w:name="_Hlk159260316" w:id="1"/>
      <w:r>
        <w:rPr>
          <w:rFonts w:ascii="Verdana" w:hAnsi="Verdana"/>
          <w:sz w:val="18"/>
          <w:szCs w:val="18"/>
          <w:u w:val="single"/>
        </w:rPr>
        <w:t>Omschrijving</w:t>
      </w:r>
      <w:r w:rsidR="000C00E8">
        <w:rPr>
          <w:rFonts w:ascii="Verdana" w:hAnsi="Verdana"/>
          <w:sz w:val="18"/>
          <w:szCs w:val="18"/>
          <w:u w:val="single"/>
        </w:rPr>
        <w:t xml:space="preserve"> in wetgeving</w:t>
      </w:r>
      <w:r>
        <w:rPr>
          <w:rFonts w:ascii="Verdana" w:hAnsi="Verdana"/>
          <w:sz w:val="18"/>
          <w:szCs w:val="18"/>
          <w:u w:val="single"/>
        </w:rPr>
        <w:t xml:space="preserve"> van de method</w:t>
      </w:r>
      <w:r w:rsidR="007C7F74">
        <w:rPr>
          <w:rFonts w:ascii="Verdana" w:hAnsi="Verdana"/>
          <w:sz w:val="18"/>
          <w:szCs w:val="18"/>
          <w:u w:val="single"/>
        </w:rPr>
        <w:t>ologie</w:t>
      </w:r>
      <w:r>
        <w:rPr>
          <w:rFonts w:ascii="Verdana" w:hAnsi="Verdana"/>
          <w:sz w:val="18"/>
          <w:szCs w:val="18"/>
          <w:u w:val="single"/>
        </w:rPr>
        <w:t xml:space="preserve"> waarmee geloofwaardige schuldafbouw wordt berekend </w:t>
      </w:r>
    </w:p>
    <w:bookmarkEnd w:id="1"/>
    <w:p w:rsidRPr="00A85EEF" w:rsidR="00B65B1C" w:rsidP="00B65B1C" w:rsidRDefault="00B65B1C" w14:paraId="611786F7" w14:textId="434EC395">
      <w:pPr>
        <w:rPr>
          <w:rFonts w:ascii="Verdana" w:hAnsi="Verdana"/>
          <w:i/>
          <w:iCs/>
          <w:sz w:val="18"/>
          <w:szCs w:val="18"/>
        </w:rPr>
      </w:pPr>
      <w:r w:rsidRPr="00A85EEF">
        <w:rPr>
          <w:rFonts w:ascii="Verdana" w:hAnsi="Verdana"/>
          <w:i/>
          <w:iCs/>
          <w:sz w:val="18"/>
          <w:szCs w:val="18"/>
        </w:rPr>
        <w:t xml:space="preserve">Beschrijving: </w:t>
      </w:r>
      <w:r w:rsidRPr="00A85EEF">
        <w:rPr>
          <w:rFonts w:ascii="Verdana" w:hAnsi="Verdana"/>
          <w:sz w:val="18"/>
          <w:szCs w:val="18"/>
        </w:rPr>
        <w:t xml:space="preserve">In het Raadsakkoord was eerder afgesproken dat voor de eerste ronde plannen gebruik gemaakt zal worden van de methodologie uit de </w:t>
      </w:r>
      <w:r w:rsidRPr="001C7486">
        <w:rPr>
          <w:rFonts w:ascii="Verdana" w:hAnsi="Verdana"/>
          <w:i/>
          <w:iCs/>
          <w:sz w:val="18"/>
          <w:szCs w:val="18"/>
        </w:rPr>
        <w:t>Debt Sustainability Monitor</w:t>
      </w:r>
      <w:r w:rsidRPr="00A85EEF">
        <w:rPr>
          <w:rFonts w:ascii="Verdana" w:hAnsi="Verdana"/>
          <w:sz w:val="18"/>
          <w:szCs w:val="18"/>
        </w:rPr>
        <w:t xml:space="preserve"> (DSM) van de Commissie voor het vaststellen van een geloofwaardige schulddaling, waarna de Raad eventuele wijzigingen van de methodologie zou vaststellen door middel van een Uitvoeringshandeling van de Raad. In het triloogakkoord is de methodologie die de Commissie gebruikt om te bepalen of er sprake is van een geloofwaardige schulddaling nader beschreven in de wetstekst. Daarbij worden twee elementen van de bestaande DSM expliciet benoemd, namelijk dat de methodologie </w:t>
      </w:r>
      <w:r w:rsidR="00B64C2D">
        <w:rPr>
          <w:rFonts w:ascii="Verdana" w:hAnsi="Verdana"/>
          <w:sz w:val="18"/>
          <w:szCs w:val="18"/>
        </w:rPr>
        <w:t xml:space="preserve">zich baseert </w:t>
      </w:r>
      <w:r w:rsidRPr="00A85EEF">
        <w:rPr>
          <w:rFonts w:ascii="Verdana" w:hAnsi="Verdana"/>
          <w:sz w:val="18"/>
          <w:szCs w:val="18"/>
        </w:rPr>
        <w:t>op</w:t>
      </w:r>
      <w:r w:rsidR="00B64C2D">
        <w:rPr>
          <w:rFonts w:ascii="Verdana" w:hAnsi="Verdana"/>
          <w:sz w:val="18"/>
          <w:szCs w:val="18"/>
        </w:rPr>
        <w:t xml:space="preserve"> aanhoudende schulddaling bij</w:t>
      </w:r>
      <w:r w:rsidRPr="00A85EEF">
        <w:rPr>
          <w:rFonts w:ascii="Verdana" w:hAnsi="Verdana"/>
          <w:sz w:val="18"/>
          <w:szCs w:val="18"/>
        </w:rPr>
        <w:t xml:space="preserve"> tegenvallende economische scenario’s en </w:t>
      </w:r>
      <w:r w:rsidR="00B64C2D">
        <w:rPr>
          <w:rFonts w:ascii="Verdana" w:hAnsi="Verdana"/>
          <w:sz w:val="18"/>
          <w:szCs w:val="18"/>
        </w:rPr>
        <w:t xml:space="preserve">een voldoende lage </w:t>
      </w:r>
      <w:r w:rsidRPr="00A85EEF">
        <w:rPr>
          <w:rFonts w:ascii="Verdana" w:hAnsi="Verdana"/>
          <w:sz w:val="18"/>
          <w:szCs w:val="18"/>
        </w:rPr>
        <w:t xml:space="preserve">kans op stijging van de schuld </w:t>
      </w:r>
      <w:r w:rsidR="00B64C2D">
        <w:rPr>
          <w:rFonts w:ascii="Verdana" w:hAnsi="Verdana"/>
          <w:sz w:val="18"/>
          <w:szCs w:val="18"/>
        </w:rPr>
        <w:t>bij een waaier</w:t>
      </w:r>
      <w:r w:rsidRPr="00A85EEF">
        <w:rPr>
          <w:rFonts w:ascii="Verdana" w:hAnsi="Verdana"/>
          <w:sz w:val="18"/>
          <w:szCs w:val="18"/>
        </w:rPr>
        <w:t xml:space="preserve"> van landspecifieke schokken. Een nieuwe werkgroep van de Raad zal aanbevelingen doen aan de Commissie over mogelijke verbeteringen van de methodologie, waarbij deze moeten passen binnen de </w:t>
      </w:r>
      <w:r w:rsidR="00595BD2">
        <w:rPr>
          <w:rFonts w:ascii="Verdana" w:hAnsi="Verdana"/>
          <w:sz w:val="18"/>
          <w:szCs w:val="18"/>
        </w:rPr>
        <w:t xml:space="preserve">omschrijving </w:t>
      </w:r>
      <w:r w:rsidRPr="00A85EEF">
        <w:rPr>
          <w:rFonts w:ascii="Verdana" w:hAnsi="Verdana"/>
          <w:sz w:val="18"/>
          <w:szCs w:val="18"/>
        </w:rPr>
        <w:t xml:space="preserve">zoals vastgelegd in de wetstekst. </w:t>
      </w:r>
    </w:p>
    <w:p w:rsidRPr="00A85EEF" w:rsidR="00B65B1C" w:rsidP="00B65B1C" w:rsidRDefault="00B65B1C" w14:paraId="0BC74491" w14:textId="5C88F507">
      <w:pPr>
        <w:rPr>
          <w:rFonts w:ascii="Verdana" w:hAnsi="Verdana"/>
          <w:i/>
          <w:iCs/>
          <w:sz w:val="18"/>
          <w:szCs w:val="18"/>
        </w:rPr>
      </w:pPr>
      <w:r w:rsidRPr="00A85EEF">
        <w:rPr>
          <w:rFonts w:ascii="Verdana" w:hAnsi="Verdana"/>
          <w:i/>
          <w:iCs/>
          <w:sz w:val="18"/>
          <w:szCs w:val="18"/>
        </w:rPr>
        <w:t xml:space="preserve">Appreciatie: </w:t>
      </w:r>
      <w:r w:rsidRPr="00A85EEF">
        <w:rPr>
          <w:rFonts w:ascii="Verdana" w:hAnsi="Verdana"/>
          <w:sz w:val="18"/>
          <w:szCs w:val="18"/>
        </w:rPr>
        <w:t xml:space="preserve">Het kabinet staat positief tegenover de aanpassing in het triloogakkoord, omdat een </w:t>
      </w:r>
      <w:r w:rsidR="00891F4F">
        <w:rPr>
          <w:rFonts w:ascii="Verdana" w:hAnsi="Verdana"/>
          <w:sz w:val="18"/>
          <w:szCs w:val="18"/>
        </w:rPr>
        <w:t>om</w:t>
      </w:r>
      <w:r w:rsidRPr="00A85EEF">
        <w:rPr>
          <w:rFonts w:ascii="Verdana" w:hAnsi="Verdana"/>
          <w:sz w:val="18"/>
          <w:szCs w:val="18"/>
        </w:rPr>
        <w:t xml:space="preserve">schrijving van de methodologie in de wetstekst de voorspelbaarheid en stabiliteit van het raamwerk verder vergroot. Eventuele aanpassingen van de methodologie </w:t>
      </w:r>
      <w:r w:rsidR="007152A2">
        <w:rPr>
          <w:rFonts w:ascii="Verdana" w:hAnsi="Verdana"/>
          <w:sz w:val="18"/>
          <w:szCs w:val="18"/>
        </w:rPr>
        <w:t>moeten immers passen binnen d</w:t>
      </w:r>
      <w:r w:rsidRPr="00A85EEF">
        <w:rPr>
          <w:rFonts w:ascii="Verdana" w:hAnsi="Verdana"/>
          <w:sz w:val="18"/>
          <w:szCs w:val="18"/>
        </w:rPr>
        <w:t xml:space="preserve">e beschrijving in de wettekst. Het kabinet kan zich ook vinden in het feit dat de methodologie niet langer wordt gewijzigd via een </w:t>
      </w:r>
      <w:r w:rsidR="007152A2">
        <w:rPr>
          <w:rFonts w:ascii="Verdana" w:hAnsi="Verdana"/>
          <w:sz w:val="18"/>
          <w:szCs w:val="18"/>
        </w:rPr>
        <w:t xml:space="preserve">Uitvoeringshandeling </w:t>
      </w:r>
      <w:r w:rsidRPr="00A85EEF">
        <w:rPr>
          <w:rFonts w:ascii="Verdana" w:hAnsi="Verdana"/>
          <w:sz w:val="18"/>
          <w:szCs w:val="18"/>
        </w:rPr>
        <w:t xml:space="preserve">van de Raad, omdat de uitkomsten daarvan gezien het krachtenveld binnen de </w:t>
      </w:r>
      <w:r w:rsidR="007A431A">
        <w:rPr>
          <w:rFonts w:ascii="Verdana" w:hAnsi="Verdana"/>
          <w:sz w:val="18"/>
          <w:szCs w:val="18"/>
        </w:rPr>
        <w:t>R</w:t>
      </w:r>
      <w:r w:rsidRPr="00A85EEF">
        <w:rPr>
          <w:rFonts w:ascii="Verdana" w:hAnsi="Verdana"/>
          <w:sz w:val="18"/>
          <w:szCs w:val="18"/>
        </w:rPr>
        <w:t>aad onzeker zouden zijn.</w:t>
      </w:r>
    </w:p>
    <w:p w:rsidRPr="00A85EEF" w:rsidR="00530860" w:rsidP="00B65B1C" w:rsidRDefault="00530860" w14:paraId="3E23D895" w14:textId="52ED7A63">
      <w:pPr>
        <w:pStyle w:val="Lijstalinea"/>
        <w:numPr>
          <w:ilvl w:val="0"/>
          <w:numId w:val="4"/>
        </w:numPr>
        <w:rPr>
          <w:rFonts w:ascii="Verdana" w:hAnsi="Verdana"/>
          <w:sz w:val="18"/>
          <w:szCs w:val="18"/>
          <w:u w:val="single"/>
        </w:rPr>
      </w:pPr>
      <w:r w:rsidRPr="00A85EEF">
        <w:rPr>
          <w:rFonts w:ascii="Verdana" w:hAnsi="Verdana"/>
          <w:sz w:val="18"/>
          <w:szCs w:val="18"/>
          <w:u w:val="single"/>
        </w:rPr>
        <w:t>Uitzondering van nationale uitgaven aan cofinanciering van het netto-uitgavenpad</w:t>
      </w:r>
    </w:p>
    <w:p w:rsidRPr="00A85EEF" w:rsidR="00FC33F6" w:rsidP="00530860" w:rsidRDefault="00530860" w14:paraId="69475F79" w14:textId="0FCD623B">
      <w:pPr>
        <w:rPr>
          <w:rFonts w:ascii="Verdana" w:hAnsi="Verdana"/>
          <w:sz w:val="18"/>
          <w:szCs w:val="18"/>
        </w:rPr>
      </w:pPr>
      <w:r w:rsidRPr="00A85EEF">
        <w:rPr>
          <w:rFonts w:ascii="Verdana" w:hAnsi="Verdana"/>
          <w:i/>
          <w:iCs/>
          <w:sz w:val="18"/>
          <w:szCs w:val="18"/>
        </w:rPr>
        <w:t xml:space="preserve">Beschrijving: </w:t>
      </w:r>
      <w:r w:rsidRPr="00A85EEF" w:rsidR="009A78EB">
        <w:rPr>
          <w:rFonts w:ascii="Verdana" w:hAnsi="Verdana"/>
          <w:sz w:val="18"/>
          <w:szCs w:val="18"/>
        </w:rPr>
        <w:t xml:space="preserve">In het triloogakkoord is overeengekomen dat </w:t>
      </w:r>
      <w:r w:rsidRPr="00A85EEF" w:rsidR="00850F0C">
        <w:rPr>
          <w:rFonts w:ascii="Verdana" w:hAnsi="Verdana"/>
          <w:sz w:val="18"/>
          <w:szCs w:val="18"/>
        </w:rPr>
        <w:t xml:space="preserve">uitgaven aan </w:t>
      </w:r>
      <w:r w:rsidRPr="00A85EEF" w:rsidR="00805521">
        <w:rPr>
          <w:rFonts w:ascii="Verdana" w:hAnsi="Verdana"/>
          <w:sz w:val="18"/>
          <w:szCs w:val="18"/>
        </w:rPr>
        <w:t xml:space="preserve">de (verplichte) nationale </w:t>
      </w:r>
      <w:r w:rsidRPr="00A85EEF" w:rsidR="00850F0C">
        <w:rPr>
          <w:rFonts w:ascii="Verdana" w:hAnsi="Verdana"/>
          <w:sz w:val="18"/>
          <w:szCs w:val="18"/>
        </w:rPr>
        <w:t>cofinanciering van programma’s die worden gefinancierd door de EU worden uitgezonderd van het uitgavenpad.</w:t>
      </w:r>
      <w:r w:rsidRPr="00A85EEF" w:rsidR="00805521">
        <w:rPr>
          <w:rStyle w:val="Voetnootmarkering"/>
          <w:rFonts w:ascii="Verdana" w:hAnsi="Verdana"/>
          <w:sz w:val="18"/>
          <w:szCs w:val="18"/>
        </w:rPr>
        <w:footnoteReference w:id="4"/>
      </w:r>
      <w:r w:rsidRPr="00A85EEF" w:rsidR="00850F0C">
        <w:rPr>
          <w:rFonts w:ascii="Verdana" w:hAnsi="Verdana"/>
          <w:sz w:val="18"/>
          <w:szCs w:val="18"/>
        </w:rPr>
        <w:t xml:space="preserve"> </w:t>
      </w:r>
      <w:r w:rsidRPr="00A85EEF" w:rsidR="00FC33F6">
        <w:rPr>
          <w:rFonts w:ascii="Verdana" w:hAnsi="Verdana"/>
          <w:sz w:val="18"/>
          <w:szCs w:val="18"/>
        </w:rPr>
        <w:t xml:space="preserve">De aanpassing houdt in dat </w:t>
      </w:r>
      <w:r w:rsidRPr="00A85EEF" w:rsidR="006E58AB">
        <w:rPr>
          <w:rFonts w:ascii="Verdana" w:hAnsi="Verdana"/>
          <w:sz w:val="18"/>
          <w:szCs w:val="18"/>
        </w:rPr>
        <w:t>fluctuaties in de uitgaven aan nationale cofinanciering gedurende de</w:t>
      </w:r>
      <w:r w:rsidRPr="00A85EEF" w:rsidR="004D7E21">
        <w:rPr>
          <w:rFonts w:ascii="Verdana" w:hAnsi="Verdana"/>
          <w:sz w:val="18"/>
          <w:szCs w:val="18"/>
        </w:rPr>
        <w:t xml:space="preserve"> uitvoering van een plan</w:t>
      </w:r>
      <w:r w:rsidRPr="00A85EEF" w:rsidR="005C5E4B">
        <w:rPr>
          <w:rFonts w:ascii="Verdana" w:hAnsi="Verdana"/>
          <w:sz w:val="18"/>
          <w:szCs w:val="18"/>
        </w:rPr>
        <w:t xml:space="preserve"> </w:t>
      </w:r>
      <w:r w:rsidRPr="00A85EEF" w:rsidR="00FC33F6">
        <w:rPr>
          <w:rFonts w:ascii="Verdana" w:hAnsi="Verdana"/>
          <w:sz w:val="18"/>
          <w:szCs w:val="18"/>
        </w:rPr>
        <w:t xml:space="preserve">niet </w:t>
      </w:r>
      <w:r w:rsidRPr="00A85EEF" w:rsidR="008D27A7">
        <w:rPr>
          <w:rFonts w:ascii="Verdana" w:hAnsi="Verdana"/>
          <w:sz w:val="18"/>
          <w:szCs w:val="18"/>
        </w:rPr>
        <w:t>tellen als</w:t>
      </w:r>
      <w:r w:rsidRPr="00A85EEF" w:rsidR="00FC33F6">
        <w:rPr>
          <w:rFonts w:ascii="Verdana" w:hAnsi="Verdana"/>
          <w:sz w:val="18"/>
          <w:szCs w:val="18"/>
        </w:rPr>
        <w:t xml:space="preserve"> overschrijdin</w:t>
      </w:r>
      <w:r w:rsidRPr="00A85EEF" w:rsidR="008D27A7">
        <w:rPr>
          <w:rFonts w:ascii="Verdana" w:hAnsi="Verdana"/>
          <w:sz w:val="18"/>
          <w:szCs w:val="18"/>
        </w:rPr>
        <w:t>g</w:t>
      </w:r>
      <w:r w:rsidRPr="00A85EEF" w:rsidR="00FC33F6">
        <w:rPr>
          <w:rFonts w:ascii="Verdana" w:hAnsi="Verdana"/>
          <w:sz w:val="18"/>
          <w:szCs w:val="18"/>
        </w:rPr>
        <w:t xml:space="preserve"> (</w:t>
      </w:r>
      <w:r w:rsidRPr="00A85EEF" w:rsidR="00F84EC9">
        <w:rPr>
          <w:rFonts w:ascii="Verdana" w:hAnsi="Verdana"/>
          <w:sz w:val="18"/>
          <w:szCs w:val="18"/>
        </w:rPr>
        <w:t>of</w:t>
      </w:r>
      <w:r w:rsidRPr="00A85EEF" w:rsidR="00B774A8">
        <w:rPr>
          <w:rFonts w:ascii="Verdana" w:hAnsi="Verdana"/>
          <w:sz w:val="18"/>
          <w:szCs w:val="18"/>
        </w:rPr>
        <w:t xml:space="preserve"> </w:t>
      </w:r>
      <w:r w:rsidRPr="00A85EEF" w:rsidR="00FC33F6">
        <w:rPr>
          <w:rFonts w:ascii="Verdana" w:hAnsi="Verdana"/>
          <w:sz w:val="18"/>
          <w:szCs w:val="18"/>
        </w:rPr>
        <w:t xml:space="preserve">onderschrijding) van </w:t>
      </w:r>
      <w:r w:rsidRPr="00A85EEF" w:rsidR="008D27A7">
        <w:rPr>
          <w:rFonts w:ascii="Verdana" w:hAnsi="Verdana"/>
          <w:sz w:val="18"/>
          <w:szCs w:val="18"/>
        </w:rPr>
        <w:t>het uitgavenpad.</w:t>
      </w:r>
      <w:r w:rsidRPr="00A85EEF" w:rsidR="00180BBC">
        <w:rPr>
          <w:rFonts w:ascii="Verdana" w:hAnsi="Verdana"/>
          <w:sz w:val="18"/>
          <w:szCs w:val="18"/>
        </w:rPr>
        <w:t xml:space="preserve"> </w:t>
      </w:r>
      <w:r w:rsidRPr="00A85EEF" w:rsidR="00E7278A">
        <w:rPr>
          <w:rFonts w:ascii="Verdana" w:hAnsi="Verdana"/>
          <w:sz w:val="18"/>
          <w:szCs w:val="18"/>
        </w:rPr>
        <w:t xml:space="preserve">Dit betekent dat hoger dan verwachte uitgaven aan cofinanciering (door </w:t>
      </w:r>
      <w:r w:rsidRPr="00A85EEF" w:rsidR="008963D3">
        <w:rPr>
          <w:rFonts w:ascii="Verdana" w:hAnsi="Verdana"/>
          <w:sz w:val="18"/>
          <w:szCs w:val="18"/>
        </w:rPr>
        <w:t>bijv</w:t>
      </w:r>
      <w:r w:rsidRPr="00A85EEF" w:rsidR="00E7278A">
        <w:rPr>
          <w:rFonts w:ascii="Verdana" w:hAnsi="Verdana"/>
          <w:sz w:val="18"/>
          <w:szCs w:val="18"/>
        </w:rPr>
        <w:t xml:space="preserve">oorbeeld een snelle implementatie van </w:t>
      </w:r>
      <w:r w:rsidRPr="00A85EEF" w:rsidR="008963D3">
        <w:rPr>
          <w:rFonts w:ascii="Verdana" w:hAnsi="Verdana"/>
          <w:sz w:val="18"/>
          <w:szCs w:val="18"/>
        </w:rPr>
        <w:t>investerings</w:t>
      </w:r>
      <w:r w:rsidRPr="00A85EEF" w:rsidR="00E7278A">
        <w:rPr>
          <w:rFonts w:ascii="Verdana" w:hAnsi="Verdana"/>
          <w:sz w:val="18"/>
          <w:szCs w:val="18"/>
        </w:rPr>
        <w:t>projecten</w:t>
      </w:r>
      <w:r w:rsidRPr="00A85EEF" w:rsidR="008963D3">
        <w:rPr>
          <w:rFonts w:ascii="Verdana" w:hAnsi="Verdana"/>
          <w:sz w:val="18"/>
          <w:szCs w:val="18"/>
        </w:rPr>
        <w:t xml:space="preserve"> die met EU-geld worden gefinancierd</w:t>
      </w:r>
      <w:r w:rsidRPr="00A85EEF" w:rsidR="00E7278A">
        <w:rPr>
          <w:rFonts w:ascii="Verdana" w:hAnsi="Verdana"/>
          <w:sz w:val="18"/>
          <w:szCs w:val="18"/>
        </w:rPr>
        <w:t>) niet hoeven te worden gecompenseerd door bezuinigingen elders</w:t>
      </w:r>
      <w:r w:rsidR="007A431A">
        <w:rPr>
          <w:rFonts w:ascii="Verdana" w:hAnsi="Verdana"/>
          <w:sz w:val="18"/>
          <w:szCs w:val="18"/>
        </w:rPr>
        <w:t xml:space="preserve"> en</w:t>
      </w:r>
      <w:r w:rsidR="00A85EEF">
        <w:rPr>
          <w:rFonts w:ascii="Verdana" w:hAnsi="Verdana"/>
          <w:sz w:val="18"/>
          <w:szCs w:val="18"/>
        </w:rPr>
        <w:t xml:space="preserve"> </w:t>
      </w:r>
      <w:r w:rsidRPr="00A85EEF" w:rsidR="00E7278A">
        <w:rPr>
          <w:rFonts w:ascii="Verdana" w:hAnsi="Verdana"/>
          <w:sz w:val="18"/>
          <w:szCs w:val="18"/>
        </w:rPr>
        <w:t xml:space="preserve">dat lager dan verwachte uitgaven </w:t>
      </w:r>
      <w:r w:rsidRPr="00A85EEF" w:rsidR="008963D3">
        <w:rPr>
          <w:rFonts w:ascii="Verdana" w:hAnsi="Verdana"/>
          <w:sz w:val="18"/>
          <w:szCs w:val="18"/>
        </w:rPr>
        <w:t xml:space="preserve">aan cofinanciering </w:t>
      </w:r>
      <w:r w:rsidRPr="00A85EEF" w:rsidR="00E7278A">
        <w:rPr>
          <w:rFonts w:ascii="Verdana" w:hAnsi="Verdana"/>
          <w:sz w:val="18"/>
          <w:szCs w:val="18"/>
        </w:rPr>
        <w:t xml:space="preserve">ook geen ruimte geven voor hogere uitgaven elders. </w:t>
      </w:r>
      <w:r w:rsidRPr="00A85EEF" w:rsidR="001E1C03">
        <w:rPr>
          <w:rFonts w:ascii="Verdana" w:hAnsi="Verdana"/>
          <w:sz w:val="18"/>
          <w:szCs w:val="18"/>
        </w:rPr>
        <w:t xml:space="preserve">De uitgaven aan de nationale cofinanciering </w:t>
      </w:r>
      <w:r w:rsidRPr="00A85EEF" w:rsidR="00B774A8">
        <w:rPr>
          <w:rFonts w:ascii="Verdana" w:hAnsi="Verdana"/>
          <w:sz w:val="18"/>
          <w:szCs w:val="18"/>
        </w:rPr>
        <w:t>tellen wel gewoon mee in de</w:t>
      </w:r>
      <w:r w:rsidRPr="00A85EEF" w:rsidR="00B9122A">
        <w:rPr>
          <w:rFonts w:ascii="Verdana" w:hAnsi="Verdana"/>
          <w:sz w:val="18"/>
          <w:szCs w:val="18"/>
        </w:rPr>
        <w:t xml:space="preserve"> berekening van de</w:t>
      </w:r>
      <w:r w:rsidRPr="00A85EEF" w:rsidR="00B774A8">
        <w:rPr>
          <w:rFonts w:ascii="Verdana" w:hAnsi="Verdana"/>
          <w:sz w:val="18"/>
          <w:szCs w:val="18"/>
        </w:rPr>
        <w:t xml:space="preserve"> begrotingsinspanning die lidstaten moeten leveren</w:t>
      </w:r>
      <w:r w:rsidRPr="00A85EEF" w:rsidR="00DF316A">
        <w:rPr>
          <w:rFonts w:ascii="Verdana" w:hAnsi="Verdana"/>
          <w:sz w:val="18"/>
          <w:szCs w:val="18"/>
        </w:rPr>
        <w:t xml:space="preserve"> </w:t>
      </w:r>
      <w:r w:rsidRPr="00A85EEF" w:rsidR="00DF316A">
        <w:rPr>
          <w:rFonts w:ascii="Verdana" w:hAnsi="Verdana"/>
          <w:sz w:val="18"/>
          <w:szCs w:val="18"/>
          <w14:ligatures w14:val="none"/>
        </w:rPr>
        <w:t>om tot een geloofwaardige afbouw van schuld te komen</w:t>
      </w:r>
      <w:r w:rsidRPr="00A85EEF" w:rsidR="00F84EC9">
        <w:rPr>
          <w:rFonts w:ascii="Verdana" w:hAnsi="Verdana"/>
          <w:sz w:val="18"/>
          <w:szCs w:val="18"/>
        </w:rPr>
        <w:t xml:space="preserve">, </w:t>
      </w:r>
      <w:r w:rsidRPr="00A85EEF" w:rsidR="00225690">
        <w:rPr>
          <w:rFonts w:ascii="Verdana" w:hAnsi="Verdana"/>
          <w:sz w:val="18"/>
          <w:szCs w:val="18"/>
        </w:rPr>
        <w:t>zodat de ambitie van het raamwerk gelijk blijft.</w:t>
      </w:r>
      <w:r w:rsidRPr="00A85EEF" w:rsidR="00F84EC9">
        <w:rPr>
          <w:rFonts w:ascii="Verdana" w:hAnsi="Verdana"/>
          <w:sz w:val="18"/>
          <w:szCs w:val="18"/>
        </w:rPr>
        <w:t xml:space="preserve"> </w:t>
      </w:r>
      <w:r w:rsidRPr="00A85EEF" w:rsidR="001E1C03">
        <w:rPr>
          <w:rFonts w:ascii="Verdana" w:hAnsi="Verdana"/>
          <w:sz w:val="18"/>
          <w:szCs w:val="18"/>
        </w:rPr>
        <w:t xml:space="preserve"> </w:t>
      </w:r>
    </w:p>
    <w:p w:rsidRPr="00A85EEF" w:rsidR="00373752" w:rsidP="00530860" w:rsidRDefault="00850F0C" w14:paraId="784EE690" w14:textId="6DA22C10">
      <w:pPr>
        <w:rPr>
          <w:rFonts w:ascii="Verdana" w:hAnsi="Verdana"/>
          <w:sz w:val="18"/>
          <w:szCs w:val="18"/>
        </w:rPr>
      </w:pPr>
      <w:r w:rsidRPr="00A85EEF">
        <w:rPr>
          <w:rFonts w:ascii="Verdana" w:hAnsi="Verdana"/>
          <w:i/>
          <w:iCs/>
          <w:sz w:val="18"/>
          <w:szCs w:val="18"/>
        </w:rPr>
        <w:t>Appreciatie:</w:t>
      </w:r>
      <w:r w:rsidRPr="00A85EEF" w:rsidR="00373752">
        <w:rPr>
          <w:rFonts w:ascii="Verdana" w:hAnsi="Verdana"/>
          <w:sz w:val="18"/>
          <w:szCs w:val="18"/>
        </w:rPr>
        <w:t xml:space="preserve"> </w:t>
      </w:r>
      <w:r w:rsidRPr="00A85EEF" w:rsidR="00702E94">
        <w:rPr>
          <w:rFonts w:ascii="Verdana" w:hAnsi="Verdana"/>
          <w:sz w:val="18"/>
          <w:szCs w:val="18"/>
        </w:rPr>
        <w:t xml:space="preserve">Hoewel het kabinet </w:t>
      </w:r>
      <w:r w:rsidRPr="00A85EEF" w:rsidR="00133920">
        <w:rPr>
          <w:rFonts w:ascii="Verdana" w:hAnsi="Verdana"/>
          <w:sz w:val="18"/>
          <w:szCs w:val="18"/>
        </w:rPr>
        <w:t>zich eerder had uitgesproken tegen</w:t>
      </w:r>
      <w:r w:rsidRPr="00A85EEF" w:rsidR="00702E94">
        <w:rPr>
          <w:rFonts w:ascii="Verdana" w:hAnsi="Verdana"/>
          <w:sz w:val="18"/>
          <w:szCs w:val="18"/>
        </w:rPr>
        <w:t xml:space="preserve"> </w:t>
      </w:r>
      <w:r w:rsidRPr="00A85EEF" w:rsidR="00126B6A">
        <w:rPr>
          <w:rFonts w:ascii="Verdana" w:hAnsi="Verdana"/>
          <w:sz w:val="18"/>
          <w:szCs w:val="18"/>
        </w:rPr>
        <w:t xml:space="preserve">aanvullende </w:t>
      </w:r>
      <w:r w:rsidRPr="00A85EEF" w:rsidR="00702E94">
        <w:rPr>
          <w:rFonts w:ascii="Verdana" w:hAnsi="Verdana"/>
          <w:sz w:val="18"/>
          <w:szCs w:val="18"/>
        </w:rPr>
        <w:t>uitzonderingen van het uitgavenpad, kan het kabinet</w:t>
      </w:r>
      <w:r w:rsidRPr="00A85EEF" w:rsidR="00896D32">
        <w:rPr>
          <w:rFonts w:ascii="Verdana" w:hAnsi="Verdana"/>
          <w:sz w:val="18"/>
          <w:szCs w:val="18"/>
        </w:rPr>
        <w:t xml:space="preserve"> de uitzondering van nationale cofinanciering </w:t>
      </w:r>
      <w:r w:rsidRPr="00A85EEF" w:rsidR="00702E94">
        <w:rPr>
          <w:rFonts w:ascii="Verdana" w:hAnsi="Verdana"/>
          <w:sz w:val="18"/>
          <w:szCs w:val="18"/>
        </w:rPr>
        <w:t xml:space="preserve">van het uitgavenpad </w:t>
      </w:r>
      <w:r w:rsidRPr="00A85EEF" w:rsidR="00896D32">
        <w:rPr>
          <w:rFonts w:ascii="Verdana" w:hAnsi="Verdana"/>
          <w:sz w:val="18"/>
          <w:szCs w:val="18"/>
        </w:rPr>
        <w:t xml:space="preserve">steunen. </w:t>
      </w:r>
      <w:r w:rsidRPr="00A85EEF" w:rsidR="00E7278A">
        <w:rPr>
          <w:rFonts w:ascii="Verdana" w:hAnsi="Verdana"/>
          <w:sz w:val="18"/>
          <w:szCs w:val="18"/>
        </w:rPr>
        <w:t xml:space="preserve">Doorslaggevend </w:t>
      </w:r>
      <w:r w:rsidRPr="00A85EEF" w:rsidR="00896D32">
        <w:rPr>
          <w:rFonts w:ascii="Verdana" w:hAnsi="Verdana"/>
          <w:sz w:val="18"/>
          <w:szCs w:val="18"/>
        </w:rPr>
        <w:t>hierbij</w:t>
      </w:r>
      <w:r w:rsidRPr="00A85EEF" w:rsidR="00E7278A">
        <w:rPr>
          <w:rFonts w:ascii="Verdana" w:hAnsi="Verdana"/>
          <w:sz w:val="18"/>
          <w:szCs w:val="18"/>
        </w:rPr>
        <w:t xml:space="preserve"> is dat</w:t>
      </w:r>
      <w:r w:rsidRPr="00A85EEF" w:rsidR="00B9122A">
        <w:rPr>
          <w:rFonts w:ascii="Verdana" w:hAnsi="Verdana"/>
          <w:sz w:val="18"/>
          <w:szCs w:val="18"/>
        </w:rPr>
        <w:t xml:space="preserve"> de uitzondering </w:t>
      </w:r>
      <w:r w:rsidRPr="00A85EEF" w:rsidR="007A0C9C">
        <w:rPr>
          <w:rFonts w:ascii="Verdana" w:hAnsi="Verdana"/>
          <w:sz w:val="18"/>
          <w:szCs w:val="18"/>
        </w:rPr>
        <w:t xml:space="preserve">geen gevolgen heeft voor de ambitie van de begrotingsopgave. De uitzondering </w:t>
      </w:r>
      <w:r w:rsidRPr="00A85EEF" w:rsidR="001C4801">
        <w:rPr>
          <w:rFonts w:ascii="Verdana" w:hAnsi="Verdana"/>
          <w:sz w:val="18"/>
          <w:szCs w:val="18"/>
        </w:rPr>
        <w:t>zorgt</w:t>
      </w:r>
      <w:r w:rsidRPr="00A85EEF" w:rsidR="007A0C9C">
        <w:rPr>
          <w:rFonts w:ascii="Verdana" w:hAnsi="Verdana"/>
          <w:sz w:val="18"/>
          <w:szCs w:val="18"/>
        </w:rPr>
        <w:t xml:space="preserve"> </w:t>
      </w:r>
      <w:r w:rsidRPr="00A85EEF" w:rsidR="00B9122A">
        <w:rPr>
          <w:rFonts w:ascii="Verdana" w:hAnsi="Verdana"/>
          <w:sz w:val="18"/>
          <w:szCs w:val="18"/>
        </w:rPr>
        <w:t>alleen</w:t>
      </w:r>
      <w:r w:rsidRPr="00A85EEF" w:rsidR="007A0C9C">
        <w:rPr>
          <w:rFonts w:ascii="Verdana" w:hAnsi="Verdana"/>
          <w:sz w:val="18"/>
          <w:szCs w:val="18"/>
        </w:rPr>
        <w:t xml:space="preserve"> tijdelijk</w:t>
      </w:r>
      <w:r w:rsidRPr="00A85EEF" w:rsidR="00B9122A">
        <w:rPr>
          <w:rFonts w:ascii="Verdana" w:hAnsi="Verdana"/>
          <w:sz w:val="18"/>
          <w:szCs w:val="18"/>
        </w:rPr>
        <w:t xml:space="preserve"> </w:t>
      </w:r>
      <w:r w:rsidRPr="00A85EEF" w:rsidR="00344482">
        <w:rPr>
          <w:rFonts w:ascii="Verdana" w:hAnsi="Verdana"/>
          <w:sz w:val="18"/>
          <w:szCs w:val="18"/>
        </w:rPr>
        <w:t>en gedurende</w:t>
      </w:r>
      <w:r w:rsidRPr="00A85EEF" w:rsidR="001C4801">
        <w:rPr>
          <w:rFonts w:ascii="Verdana" w:hAnsi="Verdana"/>
          <w:sz w:val="18"/>
          <w:szCs w:val="18"/>
        </w:rPr>
        <w:t xml:space="preserve"> de uitvoering</w:t>
      </w:r>
      <w:r w:rsidRPr="00A85EEF" w:rsidR="00FE721D">
        <w:rPr>
          <w:rFonts w:ascii="Verdana" w:hAnsi="Verdana"/>
          <w:sz w:val="18"/>
          <w:szCs w:val="18"/>
        </w:rPr>
        <w:t xml:space="preserve"> van</w:t>
      </w:r>
      <w:r w:rsidRPr="00A85EEF" w:rsidR="00344482">
        <w:rPr>
          <w:rFonts w:ascii="Verdana" w:hAnsi="Verdana"/>
          <w:sz w:val="18"/>
          <w:szCs w:val="18"/>
        </w:rPr>
        <w:t xml:space="preserve"> het plan </w:t>
      </w:r>
      <w:r w:rsidRPr="00A85EEF" w:rsidR="001C4801">
        <w:rPr>
          <w:rFonts w:ascii="Verdana" w:hAnsi="Verdana"/>
          <w:sz w:val="18"/>
          <w:szCs w:val="18"/>
        </w:rPr>
        <w:t xml:space="preserve">voor </w:t>
      </w:r>
      <w:r w:rsidRPr="00A85EEF" w:rsidR="004A4014">
        <w:rPr>
          <w:rFonts w:ascii="Verdana" w:hAnsi="Verdana"/>
          <w:sz w:val="18"/>
          <w:szCs w:val="18"/>
        </w:rPr>
        <w:t xml:space="preserve">enige ruimte </w:t>
      </w:r>
      <w:r w:rsidRPr="00A85EEF" w:rsidR="001C4801">
        <w:rPr>
          <w:rFonts w:ascii="Verdana" w:hAnsi="Verdana"/>
          <w:sz w:val="18"/>
          <w:szCs w:val="18"/>
        </w:rPr>
        <w:t>wanneer lidstaten</w:t>
      </w:r>
      <w:r w:rsidRPr="00A85EEF" w:rsidR="00DE2C67">
        <w:rPr>
          <w:rFonts w:ascii="Verdana" w:hAnsi="Verdana"/>
          <w:sz w:val="18"/>
          <w:szCs w:val="18"/>
        </w:rPr>
        <w:t xml:space="preserve"> te maken krijgen met hogere uitgaven</w:t>
      </w:r>
      <w:r w:rsidRPr="00A85EEF" w:rsidR="0010483A">
        <w:rPr>
          <w:rFonts w:ascii="Verdana" w:hAnsi="Verdana"/>
          <w:sz w:val="18"/>
          <w:szCs w:val="18"/>
        </w:rPr>
        <w:t xml:space="preserve"> aan nationale cofinanciering</w:t>
      </w:r>
      <w:r w:rsidRPr="00A85EEF" w:rsidR="00B9122A">
        <w:rPr>
          <w:rFonts w:ascii="Verdana" w:hAnsi="Verdana"/>
          <w:sz w:val="18"/>
          <w:szCs w:val="18"/>
        </w:rPr>
        <w:t xml:space="preserve">. </w:t>
      </w:r>
      <w:r w:rsidRPr="00A85EEF" w:rsidR="00B774A8">
        <w:rPr>
          <w:rFonts w:ascii="Verdana" w:hAnsi="Verdana"/>
          <w:sz w:val="18"/>
          <w:szCs w:val="18"/>
        </w:rPr>
        <w:t>Zodoende</w:t>
      </w:r>
      <w:r w:rsidRPr="00A85EEF" w:rsidR="007B19EA">
        <w:rPr>
          <w:rFonts w:ascii="Verdana" w:hAnsi="Verdana"/>
          <w:sz w:val="18"/>
          <w:szCs w:val="18"/>
        </w:rPr>
        <w:t xml:space="preserve"> ziet het kabinet deze beperkte uitzondering als redelijk compromis in reactie op de inzet van het EP voor meer ruimte voor investeringen.</w:t>
      </w:r>
    </w:p>
    <w:p w:rsidRPr="00A85EEF" w:rsidR="00373752" w:rsidP="00373752" w:rsidRDefault="008E3FF4" w14:paraId="66D69158" w14:textId="49DFCE0E">
      <w:pPr>
        <w:pStyle w:val="Lijstalinea"/>
        <w:numPr>
          <w:ilvl w:val="0"/>
          <w:numId w:val="4"/>
        </w:numPr>
        <w:rPr>
          <w:rFonts w:ascii="Verdana" w:hAnsi="Verdana"/>
          <w:sz w:val="18"/>
          <w:szCs w:val="18"/>
        </w:rPr>
      </w:pPr>
      <w:r w:rsidRPr="00A85EEF">
        <w:rPr>
          <w:rFonts w:ascii="Verdana" w:hAnsi="Verdana"/>
          <w:sz w:val="18"/>
          <w:szCs w:val="18"/>
          <w:u w:val="single"/>
        </w:rPr>
        <w:t>Investeringen en hervormingen als voorwaarde voor een verlenging van de aanpassingsperiode</w:t>
      </w:r>
    </w:p>
    <w:p w:rsidRPr="00A85EEF" w:rsidR="008E3FF4" w:rsidP="008E3FF4" w:rsidRDefault="008E3FF4" w14:paraId="1644B32B" w14:textId="0895DE92">
      <w:pPr>
        <w:rPr>
          <w:rFonts w:ascii="Verdana" w:hAnsi="Verdana"/>
          <w:sz w:val="18"/>
          <w:szCs w:val="18"/>
        </w:rPr>
      </w:pPr>
      <w:r w:rsidRPr="00A85EEF">
        <w:rPr>
          <w:rFonts w:ascii="Verdana" w:hAnsi="Verdana"/>
          <w:i/>
          <w:iCs/>
          <w:sz w:val="18"/>
          <w:szCs w:val="18"/>
        </w:rPr>
        <w:t>Beschrijving:</w:t>
      </w:r>
      <w:r w:rsidRPr="00A85EEF" w:rsidR="00517EAA">
        <w:rPr>
          <w:rFonts w:ascii="Verdana" w:hAnsi="Verdana"/>
          <w:sz w:val="18"/>
          <w:szCs w:val="18"/>
        </w:rPr>
        <w:t xml:space="preserve"> </w:t>
      </w:r>
      <w:r w:rsidRPr="00A85EEF" w:rsidR="00B82AAF">
        <w:rPr>
          <w:rFonts w:ascii="Verdana" w:hAnsi="Verdana"/>
          <w:sz w:val="18"/>
          <w:szCs w:val="18"/>
        </w:rPr>
        <w:t xml:space="preserve">In het triloogakkoord is </w:t>
      </w:r>
      <w:r w:rsidRPr="000853D7" w:rsidR="00B82AAF">
        <w:rPr>
          <w:rFonts w:ascii="Verdana" w:hAnsi="Verdana"/>
          <w:sz w:val="18"/>
          <w:szCs w:val="18"/>
        </w:rPr>
        <w:t xml:space="preserve">afgesproken dat </w:t>
      </w:r>
      <w:r w:rsidRPr="000853D7" w:rsidR="009840B9">
        <w:rPr>
          <w:rFonts w:ascii="Verdana" w:hAnsi="Verdana"/>
          <w:sz w:val="18"/>
          <w:szCs w:val="18"/>
        </w:rPr>
        <w:t>in het geval dat</w:t>
      </w:r>
      <w:r w:rsidRPr="000853D7" w:rsidR="00BB05BB">
        <w:rPr>
          <w:rFonts w:ascii="Verdana" w:hAnsi="Verdana"/>
          <w:sz w:val="18"/>
          <w:szCs w:val="18"/>
        </w:rPr>
        <w:t xml:space="preserve"> een lidstaat in aanmerking wil komen voor een verlenging van de </w:t>
      </w:r>
      <w:r w:rsidRPr="000853D7" w:rsidR="00896D32">
        <w:rPr>
          <w:rFonts w:ascii="Verdana" w:hAnsi="Verdana"/>
          <w:sz w:val="18"/>
          <w:szCs w:val="18"/>
        </w:rPr>
        <w:t xml:space="preserve">budgettaire </w:t>
      </w:r>
      <w:r w:rsidRPr="000853D7" w:rsidR="00BB05BB">
        <w:rPr>
          <w:rFonts w:ascii="Verdana" w:hAnsi="Verdana"/>
          <w:sz w:val="18"/>
          <w:szCs w:val="18"/>
        </w:rPr>
        <w:t>aanpassingsperiode</w:t>
      </w:r>
      <w:r w:rsidRPr="000853D7" w:rsidR="003104FB">
        <w:rPr>
          <w:rFonts w:ascii="Verdana" w:hAnsi="Verdana"/>
          <w:sz w:val="18"/>
          <w:szCs w:val="18"/>
        </w:rPr>
        <w:t xml:space="preserve"> van vier naar maximaal zeven jaar</w:t>
      </w:r>
      <w:r w:rsidRPr="000853D7" w:rsidR="00BB05BB">
        <w:rPr>
          <w:rFonts w:ascii="Verdana" w:hAnsi="Verdana"/>
          <w:sz w:val="18"/>
          <w:szCs w:val="18"/>
        </w:rPr>
        <w:t xml:space="preserve">, </w:t>
      </w:r>
      <w:r w:rsidRPr="000853D7" w:rsidR="00896D32">
        <w:rPr>
          <w:rFonts w:ascii="Verdana" w:hAnsi="Verdana"/>
          <w:sz w:val="18"/>
          <w:szCs w:val="18"/>
        </w:rPr>
        <w:t>de Commissie beoordeelt of de totale set</w:t>
      </w:r>
      <w:r w:rsidRPr="000853D7" w:rsidR="00B82AAF">
        <w:rPr>
          <w:rFonts w:ascii="Verdana" w:hAnsi="Verdana"/>
          <w:sz w:val="18"/>
          <w:szCs w:val="18"/>
        </w:rPr>
        <w:t xml:space="preserve"> van hervormingen en investeringstoezeggingen</w:t>
      </w:r>
      <w:r w:rsidRPr="000853D7" w:rsidR="00DC6F19">
        <w:rPr>
          <w:rFonts w:ascii="Verdana" w:hAnsi="Verdana"/>
          <w:sz w:val="18"/>
          <w:szCs w:val="18"/>
        </w:rPr>
        <w:t xml:space="preserve"> </w:t>
      </w:r>
      <w:r w:rsidRPr="000853D7" w:rsidR="00B82AAF">
        <w:rPr>
          <w:rFonts w:ascii="Verdana" w:hAnsi="Verdana"/>
          <w:sz w:val="18"/>
          <w:szCs w:val="18"/>
        </w:rPr>
        <w:t xml:space="preserve">als algemene regel </w:t>
      </w:r>
      <w:r w:rsidRPr="000853D7" w:rsidR="00896D32">
        <w:rPr>
          <w:rFonts w:ascii="Verdana" w:hAnsi="Verdana"/>
          <w:sz w:val="18"/>
          <w:szCs w:val="18"/>
        </w:rPr>
        <w:t xml:space="preserve">voldoet </w:t>
      </w:r>
      <w:r w:rsidRPr="000853D7" w:rsidR="00B82AAF">
        <w:rPr>
          <w:rFonts w:ascii="Verdana" w:hAnsi="Verdana"/>
          <w:sz w:val="18"/>
          <w:szCs w:val="18"/>
        </w:rPr>
        <w:t>aan bepaalde criteria</w:t>
      </w:r>
      <w:r w:rsidRPr="000853D7" w:rsidR="00BB05BB">
        <w:rPr>
          <w:rFonts w:ascii="Verdana" w:hAnsi="Verdana"/>
          <w:sz w:val="18"/>
          <w:szCs w:val="18"/>
        </w:rPr>
        <w:t>.</w:t>
      </w:r>
      <w:r w:rsidRPr="000853D7" w:rsidR="003104FB">
        <w:rPr>
          <w:rFonts w:ascii="Verdana" w:hAnsi="Verdana"/>
          <w:sz w:val="18"/>
          <w:szCs w:val="18"/>
        </w:rPr>
        <w:t xml:space="preserve"> </w:t>
      </w:r>
      <w:r w:rsidRPr="000853D7" w:rsidR="00896D32">
        <w:rPr>
          <w:rFonts w:ascii="Verdana" w:hAnsi="Verdana"/>
          <w:sz w:val="18"/>
          <w:szCs w:val="18"/>
        </w:rPr>
        <w:t xml:space="preserve">“Als algemene regel” betreft een toevoeging ten opzichte van het Raadsakkoord. </w:t>
      </w:r>
      <w:r w:rsidRPr="000853D7" w:rsidR="003104FB">
        <w:rPr>
          <w:rFonts w:ascii="Verdana" w:hAnsi="Verdana"/>
          <w:sz w:val="18"/>
          <w:szCs w:val="18"/>
        </w:rPr>
        <w:t xml:space="preserve">De criteria </w:t>
      </w:r>
      <w:r w:rsidRPr="000853D7" w:rsidR="00F55B0E">
        <w:rPr>
          <w:rFonts w:ascii="Verdana" w:hAnsi="Verdana"/>
          <w:sz w:val="18"/>
          <w:szCs w:val="18"/>
        </w:rPr>
        <w:t>zijn beschreven in de verordening</w:t>
      </w:r>
      <w:r w:rsidRPr="000853D7" w:rsidR="004631CD">
        <w:rPr>
          <w:rFonts w:ascii="Verdana" w:hAnsi="Verdana"/>
          <w:sz w:val="18"/>
          <w:szCs w:val="18"/>
        </w:rPr>
        <w:t xml:space="preserve"> en zien </w:t>
      </w:r>
      <w:r w:rsidRPr="000853D7" w:rsidR="00A95F90">
        <w:rPr>
          <w:rFonts w:ascii="Verdana" w:hAnsi="Verdana"/>
          <w:sz w:val="18"/>
          <w:szCs w:val="18"/>
        </w:rPr>
        <w:t xml:space="preserve">er </w:t>
      </w:r>
      <w:r w:rsidRPr="000853D7" w:rsidR="004631CD">
        <w:rPr>
          <w:rFonts w:ascii="Verdana" w:hAnsi="Verdana"/>
          <w:sz w:val="18"/>
          <w:szCs w:val="18"/>
        </w:rPr>
        <w:t xml:space="preserve">onder andere </w:t>
      </w:r>
      <w:r w:rsidRPr="000853D7" w:rsidR="00A95F90">
        <w:rPr>
          <w:rFonts w:ascii="Verdana" w:hAnsi="Verdana"/>
          <w:sz w:val="18"/>
          <w:szCs w:val="18"/>
        </w:rPr>
        <w:t xml:space="preserve">op </w:t>
      </w:r>
      <w:r w:rsidRPr="000853D7" w:rsidR="004631CD">
        <w:rPr>
          <w:rFonts w:ascii="Verdana" w:hAnsi="Verdana"/>
          <w:sz w:val="18"/>
          <w:szCs w:val="18"/>
        </w:rPr>
        <w:t xml:space="preserve">toe </w:t>
      </w:r>
      <w:r w:rsidRPr="000853D7" w:rsidR="00A95F90">
        <w:rPr>
          <w:rFonts w:ascii="Verdana" w:hAnsi="Verdana"/>
          <w:sz w:val="18"/>
          <w:szCs w:val="18"/>
        </w:rPr>
        <w:t xml:space="preserve">dat de hervormingen en investeringstoezeggingen </w:t>
      </w:r>
      <w:r w:rsidRPr="000853D7" w:rsidR="00A95F90">
        <w:rPr>
          <w:rFonts w:ascii="Verdana" w:hAnsi="Verdana"/>
          <w:sz w:val="18"/>
          <w:szCs w:val="18"/>
        </w:rPr>
        <w:lastRenderedPageBreak/>
        <w:t xml:space="preserve">moeten bijdragen aan </w:t>
      </w:r>
      <w:r w:rsidRPr="000853D7" w:rsidR="004631CD">
        <w:rPr>
          <w:rFonts w:ascii="Verdana" w:hAnsi="Verdana"/>
          <w:sz w:val="18"/>
          <w:szCs w:val="18"/>
        </w:rPr>
        <w:t>het verbeteren van de schuldhoudbaarheid</w:t>
      </w:r>
      <w:r w:rsidRPr="00A85EEF" w:rsidR="00896D32">
        <w:rPr>
          <w:rFonts w:ascii="Verdana" w:hAnsi="Verdana"/>
          <w:sz w:val="18"/>
          <w:szCs w:val="18"/>
        </w:rPr>
        <w:t xml:space="preserve">, </w:t>
      </w:r>
      <w:r w:rsidRPr="00A85EEF" w:rsidR="004631CD">
        <w:rPr>
          <w:rFonts w:ascii="Verdana" w:hAnsi="Verdana"/>
          <w:sz w:val="18"/>
          <w:szCs w:val="18"/>
        </w:rPr>
        <w:t>economische groei</w:t>
      </w:r>
      <w:r w:rsidRPr="00A85EEF" w:rsidR="00896D32">
        <w:rPr>
          <w:rFonts w:ascii="Verdana" w:hAnsi="Verdana"/>
          <w:sz w:val="18"/>
          <w:szCs w:val="18"/>
        </w:rPr>
        <w:t xml:space="preserve"> en EU prioriteiten zoals de groene en digitale transities</w:t>
      </w:r>
      <w:r w:rsidRPr="00A85EEF" w:rsidR="00F55B0E">
        <w:rPr>
          <w:rFonts w:ascii="Verdana" w:hAnsi="Verdana"/>
          <w:sz w:val="18"/>
          <w:szCs w:val="18"/>
        </w:rPr>
        <w:t xml:space="preserve">. </w:t>
      </w:r>
      <w:r w:rsidRPr="00A85EEF" w:rsidR="00896D32">
        <w:rPr>
          <w:rFonts w:ascii="Verdana" w:hAnsi="Verdana"/>
          <w:sz w:val="18"/>
          <w:szCs w:val="18"/>
        </w:rPr>
        <w:t xml:space="preserve">Deze criteria zijn onveranderd gebleven ten opzichte van het Raadsakkoord. </w:t>
      </w:r>
      <w:r w:rsidRPr="00A85EEF" w:rsidR="00D42D6B">
        <w:rPr>
          <w:rFonts w:ascii="Verdana" w:hAnsi="Verdana"/>
          <w:sz w:val="18"/>
          <w:szCs w:val="18"/>
        </w:rPr>
        <w:t xml:space="preserve">Daarnaast is behouden gebleven dat de Commissie bij de beoordeling ook rekening kan houden met hervormingen en investeringen uit de Herstel- en Veerkrachtfaciliteit. </w:t>
      </w:r>
      <w:r w:rsidRPr="00A85EEF" w:rsidR="001C4801">
        <w:rPr>
          <w:rFonts w:ascii="Verdana" w:hAnsi="Verdana"/>
          <w:sz w:val="18"/>
          <w:szCs w:val="18"/>
        </w:rPr>
        <w:t>In het triloogakkoord blijft</w:t>
      </w:r>
      <w:r w:rsidRPr="00A85EEF" w:rsidR="00896D32">
        <w:rPr>
          <w:rFonts w:ascii="Verdana" w:hAnsi="Verdana"/>
          <w:sz w:val="18"/>
          <w:szCs w:val="18"/>
        </w:rPr>
        <w:t xml:space="preserve"> </w:t>
      </w:r>
      <w:r w:rsidRPr="00A85EEF" w:rsidR="0003458B">
        <w:rPr>
          <w:rFonts w:ascii="Verdana" w:hAnsi="Verdana"/>
          <w:sz w:val="18"/>
          <w:szCs w:val="18"/>
        </w:rPr>
        <w:t xml:space="preserve">daarnaast </w:t>
      </w:r>
      <w:r w:rsidRPr="00A85EEF" w:rsidR="00896D32">
        <w:rPr>
          <w:rFonts w:ascii="Verdana" w:hAnsi="Verdana"/>
          <w:sz w:val="18"/>
          <w:szCs w:val="18"/>
        </w:rPr>
        <w:t xml:space="preserve">onveranderd dat de Raad uiteindelijk de hervormingen en investeringen onderliggend aan verlenging bekrachtigt. </w:t>
      </w:r>
    </w:p>
    <w:p w:rsidRPr="00A85EEF" w:rsidR="00DC1ABE" w:rsidP="008E3FF4" w:rsidRDefault="00BB05BB" w14:paraId="3BADA07C" w14:textId="67BC7A1E">
      <w:pPr>
        <w:rPr>
          <w:rFonts w:ascii="Verdana" w:hAnsi="Verdana"/>
          <w:sz w:val="18"/>
          <w:szCs w:val="18"/>
        </w:rPr>
      </w:pPr>
      <w:r w:rsidRPr="00A85EEF">
        <w:rPr>
          <w:rFonts w:ascii="Verdana" w:hAnsi="Verdana"/>
          <w:i/>
          <w:iCs/>
          <w:sz w:val="18"/>
          <w:szCs w:val="18"/>
        </w:rPr>
        <w:t>Appreciatie:</w:t>
      </w:r>
      <w:r w:rsidRPr="00A85EEF">
        <w:rPr>
          <w:rFonts w:ascii="Verdana" w:hAnsi="Verdana"/>
          <w:sz w:val="18"/>
          <w:szCs w:val="18"/>
        </w:rPr>
        <w:t xml:space="preserve"> </w:t>
      </w:r>
      <w:r w:rsidRPr="00A85EEF" w:rsidR="00B153B9">
        <w:rPr>
          <w:rFonts w:ascii="Verdana" w:hAnsi="Verdana"/>
          <w:sz w:val="18"/>
          <w:szCs w:val="18"/>
        </w:rPr>
        <w:t xml:space="preserve">Het kabinet steunt dat hervormingen en investeringen een integraal onderdeel worden van de landspecifieke begrotingsplannen. Hierdoor ligt er, naast budgettaire maatregelen, een focus op het verbeteren van schuldhoudbaarheid </w:t>
      </w:r>
      <w:r w:rsidRPr="00A85EEF" w:rsidR="00B80BCC">
        <w:rPr>
          <w:rFonts w:ascii="Verdana" w:hAnsi="Verdana"/>
          <w:sz w:val="18"/>
          <w:szCs w:val="18"/>
        </w:rPr>
        <w:t>door middel van</w:t>
      </w:r>
      <w:r w:rsidRPr="00A85EEF" w:rsidR="00B153B9">
        <w:rPr>
          <w:rFonts w:ascii="Verdana" w:hAnsi="Verdana"/>
          <w:sz w:val="18"/>
          <w:szCs w:val="18"/>
        </w:rPr>
        <w:t xml:space="preserve"> verhoogde economische groei. </w:t>
      </w:r>
      <w:r w:rsidRPr="00A85EEF" w:rsidR="001F335E">
        <w:rPr>
          <w:rFonts w:ascii="Verdana" w:hAnsi="Verdana"/>
          <w:sz w:val="18"/>
          <w:szCs w:val="18"/>
        </w:rPr>
        <w:t xml:space="preserve">Het kabinet </w:t>
      </w:r>
      <w:r w:rsidRPr="00A85EEF" w:rsidR="0003458B">
        <w:rPr>
          <w:rFonts w:ascii="Verdana" w:hAnsi="Verdana"/>
          <w:sz w:val="18"/>
          <w:szCs w:val="18"/>
        </w:rPr>
        <w:t>heeft twijfels bij de</w:t>
      </w:r>
      <w:r w:rsidRPr="00A85EEF" w:rsidR="001F335E">
        <w:rPr>
          <w:rFonts w:ascii="Verdana" w:hAnsi="Verdana"/>
          <w:sz w:val="18"/>
          <w:szCs w:val="18"/>
        </w:rPr>
        <w:t xml:space="preserve"> toevoeging </w:t>
      </w:r>
      <w:r w:rsidRPr="00A85EEF" w:rsidR="00A95F90">
        <w:rPr>
          <w:rFonts w:ascii="Verdana" w:hAnsi="Verdana"/>
          <w:sz w:val="18"/>
          <w:szCs w:val="18"/>
        </w:rPr>
        <w:t xml:space="preserve">“als algemene regel” </w:t>
      </w:r>
      <w:r w:rsidRPr="00A85EEF" w:rsidR="001F335E">
        <w:rPr>
          <w:rFonts w:ascii="Verdana" w:hAnsi="Verdana"/>
          <w:sz w:val="18"/>
          <w:szCs w:val="18"/>
        </w:rPr>
        <w:t xml:space="preserve">uit het triloogakkoord, omdat </w:t>
      </w:r>
      <w:r w:rsidRPr="00A85EEF" w:rsidR="00DA3E7E">
        <w:rPr>
          <w:rFonts w:ascii="Verdana" w:hAnsi="Verdana"/>
          <w:sz w:val="18"/>
          <w:szCs w:val="18"/>
        </w:rPr>
        <w:t xml:space="preserve">het Raadsakkoord voor </w:t>
      </w:r>
      <w:r w:rsidRPr="00A85EEF" w:rsidR="00AC5D3D">
        <w:rPr>
          <w:rFonts w:ascii="Verdana" w:hAnsi="Verdana"/>
          <w:sz w:val="18"/>
          <w:szCs w:val="18"/>
        </w:rPr>
        <w:t xml:space="preserve">de </w:t>
      </w:r>
      <w:r w:rsidRPr="00A85EEF" w:rsidR="00F032C8">
        <w:rPr>
          <w:rFonts w:ascii="Verdana" w:hAnsi="Verdana"/>
          <w:sz w:val="18"/>
          <w:szCs w:val="18"/>
        </w:rPr>
        <w:t xml:space="preserve">Commissie en de Raad reeds voldoende </w:t>
      </w:r>
      <w:r w:rsidRPr="00A85EEF" w:rsidR="00413CE7">
        <w:rPr>
          <w:rFonts w:ascii="Verdana" w:hAnsi="Verdana"/>
          <w:sz w:val="18"/>
          <w:szCs w:val="18"/>
        </w:rPr>
        <w:t>flexibiliteit</w:t>
      </w:r>
      <w:r w:rsidRPr="00A85EEF" w:rsidR="00DA3E7E">
        <w:rPr>
          <w:rFonts w:ascii="Verdana" w:hAnsi="Verdana"/>
          <w:sz w:val="18"/>
          <w:szCs w:val="18"/>
        </w:rPr>
        <w:t xml:space="preserve"> bevatte </w:t>
      </w:r>
      <w:r w:rsidRPr="00A85EEF" w:rsidR="00F032C8">
        <w:rPr>
          <w:rFonts w:ascii="Verdana" w:hAnsi="Verdana"/>
          <w:sz w:val="18"/>
          <w:szCs w:val="18"/>
        </w:rPr>
        <w:t>om een brede set aan hervormingen en investeringen mee te wegen bij een verleng</w:t>
      </w:r>
      <w:r w:rsidRPr="00A85EEF" w:rsidR="00D9776A">
        <w:rPr>
          <w:rFonts w:ascii="Verdana" w:hAnsi="Verdana"/>
          <w:sz w:val="18"/>
          <w:szCs w:val="18"/>
        </w:rPr>
        <w:t xml:space="preserve">ing van de </w:t>
      </w:r>
      <w:r w:rsidRPr="00A85EEF" w:rsidR="00F032C8">
        <w:rPr>
          <w:rFonts w:ascii="Verdana" w:hAnsi="Verdana"/>
          <w:sz w:val="18"/>
          <w:szCs w:val="18"/>
        </w:rPr>
        <w:t>aanpassingsperiod</w:t>
      </w:r>
      <w:r w:rsidRPr="00A85EEF" w:rsidR="00CE1970">
        <w:rPr>
          <w:rFonts w:ascii="Verdana" w:hAnsi="Verdana"/>
          <w:sz w:val="18"/>
          <w:szCs w:val="18"/>
        </w:rPr>
        <w:t>e e</w:t>
      </w:r>
      <w:r w:rsidRPr="00A85EEF" w:rsidR="00514740">
        <w:rPr>
          <w:rFonts w:ascii="Verdana" w:hAnsi="Verdana"/>
          <w:sz w:val="18"/>
          <w:szCs w:val="18"/>
        </w:rPr>
        <w:t>n het onduidelijk is hoe deze toevoeging moet worden toegepast in de uitvoering</w:t>
      </w:r>
      <w:r w:rsidRPr="00A85EEF" w:rsidR="001F335E">
        <w:rPr>
          <w:rFonts w:ascii="Verdana" w:hAnsi="Verdana"/>
          <w:sz w:val="18"/>
          <w:szCs w:val="18"/>
        </w:rPr>
        <w:t xml:space="preserve">. </w:t>
      </w:r>
      <w:r w:rsidRPr="00A85EEF" w:rsidR="007B770F">
        <w:rPr>
          <w:rFonts w:ascii="Verdana" w:hAnsi="Verdana"/>
          <w:sz w:val="18"/>
          <w:szCs w:val="18"/>
        </w:rPr>
        <w:t xml:space="preserve">Voor het kabinet is het belangrijk dat de prikkel voor lidstaten om </w:t>
      </w:r>
      <w:r w:rsidRPr="00A85EEF" w:rsidR="00A95F90">
        <w:rPr>
          <w:rFonts w:ascii="Verdana" w:hAnsi="Verdana"/>
          <w:sz w:val="18"/>
          <w:szCs w:val="18"/>
        </w:rPr>
        <w:t xml:space="preserve">ambitieuze </w:t>
      </w:r>
      <w:r w:rsidRPr="00A85EEF" w:rsidR="007B770F">
        <w:rPr>
          <w:rFonts w:ascii="Verdana" w:hAnsi="Verdana"/>
          <w:sz w:val="18"/>
          <w:szCs w:val="18"/>
        </w:rPr>
        <w:t xml:space="preserve">hervormingen en investeringen in het plan op te nemen blijft behouden. </w:t>
      </w:r>
      <w:r w:rsidRPr="00A85EEF" w:rsidR="00E0220C">
        <w:rPr>
          <w:rFonts w:ascii="Verdana" w:hAnsi="Verdana"/>
          <w:sz w:val="18"/>
          <w:szCs w:val="18"/>
        </w:rPr>
        <w:t xml:space="preserve">In dat kader steunt het kabinet dat de criteria voor verlenging van de aanpassingsperiode ongewijzigd zijn gebleven. </w:t>
      </w:r>
      <w:r w:rsidRPr="00A85EEF" w:rsidR="008E7490">
        <w:rPr>
          <w:rFonts w:ascii="Verdana" w:hAnsi="Verdana"/>
          <w:sz w:val="18"/>
          <w:szCs w:val="18"/>
        </w:rPr>
        <w:t xml:space="preserve">In de uitwerking van de wetgeving en de beoordeling van de </w:t>
      </w:r>
      <w:r w:rsidRPr="00A85EEF" w:rsidR="00A739B3">
        <w:rPr>
          <w:rFonts w:ascii="Verdana" w:hAnsi="Verdana"/>
          <w:sz w:val="18"/>
          <w:szCs w:val="18"/>
        </w:rPr>
        <w:t>begrotings</w:t>
      </w:r>
      <w:r w:rsidRPr="00A85EEF" w:rsidR="008E7490">
        <w:rPr>
          <w:rFonts w:ascii="Verdana" w:hAnsi="Verdana"/>
          <w:sz w:val="18"/>
          <w:szCs w:val="18"/>
        </w:rPr>
        <w:t xml:space="preserve">plannen zal het kabinet </w:t>
      </w:r>
      <w:r w:rsidRPr="00A85EEF" w:rsidR="002D3AD5">
        <w:rPr>
          <w:rFonts w:ascii="Verdana" w:hAnsi="Verdana"/>
          <w:sz w:val="18"/>
          <w:szCs w:val="18"/>
        </w:rPr>
        <w:t>erop inzetten</w:t>
      </w:r>
      <w:r w:rsidRPr="00A85EEF" w:rsidR="008E7490">
        <w:rPr>
          <w:rFonts w:ascii="Verdana" w:hAnsi="Verdana"/>
          <w:sz w:val="18"/>
          <w:szCs w:val="18"/>
        </w:rPr>
        <w:t xml:space="preserve"> dat</w:t>
      </w:r>
      <w:r w:rsidRPr="00A85EEF" w:rsidR="005227BA">
        <w:rPr>
          <w:rFonts w:ascii="Verdana" w:hAnsi="Verdana"/>
          <w:sz w:val="18"/>
          <w:szCs w:val="18"/>
        </w:rPr>
        <w:t xml:space="preserve"> een gedegen set aan hervormingen en investeringen ten grondslag ligt aan een verlenging van het aanpassingspad</w:t>
      </w:r>
      <w:r w:rsidRPr="00A85EEF" w:rsidR="000E62DE">
        <w:rPr>
          <w:rFonts w:ascii="Verdana" w:hAnsi="Verdana"/>
          <w:sz w:val="18"/>
          <w:szCs w:val="18"/>
        </w:rPr>
        <w:t xml:space="preserve">, in lijn met </w:t>
      </w:r>
      <w:r w:rsidRPr="00A85EEF" w:rsidR="00A95F90">
        <w:rPr>
          <w:rFonts w:ascii="Verdana" w:hAnsi="Verdana"/>
          <w:sz w:val="18"/>
          <w:szCs w:val="18"/>
        </w:rPr>
        <w:t xml:space="preserve">de </w:t>
      </w:r>
      <w:r w:rsidRPr="00A85EEF" w:rsidR="000E62DE">
        <w:rPr>
          <w:rFonts w:ascii="Verdana" w:hAnsi="Verdana"/>
          <w:sz w:val="18"/>
          <w:szCs w:val="18"/>
        </w:rPr>
        <w:t>inzet uit het BNC-fiche.</w:t>
      </w:r>
      <w:r w:rsidRPr="00A85EEF" w:rsidR="005227BA">
        <w:rPr>
          <w:rFonts w:ascii="Verdana" w:hAnsi="Verdana"/>
          <w:sz w:val="18"/>
          <w:szCs w:val="18"/>
        </w:rPr>
        <w:t xml:space="preserve"> </w:t>
      </w:r>
    </w:p>
    <w:p w:rsidRPr="00A85EEF" w:rsidR="003D0511" w:rsidP="003D0511" w:rsidRDefault="003D0511" w14:paraId="4B3D1AD6" w14:textId="5ADBCBF8">
      <w:pPr>
        <w:pStyle w:val="Lijstalinea"/>
        <w:numPr>
          <w:ilvl w:val="0"/>
          <w:numId w:val="4"/>
        </w:numPr>
        <w:rPr>
          <w:rFonts w:ascii="Verdana" w:hAnsi="Verdana"/>
          <w:sz w:val="18"/>
          <w:szCs w:val="18"/>
        </w:rPr>
      </w:pPr>
      <w:r w:rsidRPr="00A85EEF">
        <w:rPr>
          <w:rFonts w:ascii="Verdana" w:hAnsi="Verdana"/>
          <w:sz w:val="18"/>
          <w:szCs w:val="18"/>
          <w:u w:val="single"/>
        </w:rPr>
        <w:t xml:space="preserve">Rol van </w:t>
      </w:r>
      <w:r w:rsidRPr="00A85EEF" w:rsidR="008916BE">
        <w:rPr>
          <w:rFonts w:ascii="Verdana" w:hAnsi="Verdana"/>
          <w:sz w:val="18"/>
          <w:szCs w:val="18"/>
          <w:u w:val="single"/>
        </w:rPr>
        <w:t xml:space="preserve">het </w:t>
      </w:r>
      <w:r w:rsidRPr="00A85EEF">
        <w:rPr>
          <w:rFonts w:ascii="Verdana" w:hAnsi="Verdana"/>
          <w:sz w:val="18"/>
          <w:szCs w:val="18"/>
          <w:u w:val="single"/>
        </w:rPr>
        <w:t xml:space="preserve">Europees Begrotingscomité en </w:t>
      </w:r>
      <w:r w:rsidRPr="00A85EEF" w:rsidR="008916BE">
        <w:rPr>
          <w:rFonts w:ascii="Verdana" w:hAnsi="Verdana"/>
          <w:sz w:val="18"/>
          <w:szCs w:val="18"/>
          <w:u w:val="single"/>
        </w:rPr>
        <w:t xml:space="preserve">de </w:t>
      </w:r>
      <w:r w:rsidRPr="00A85EEF">
        <w:rPr>
          <w:rFonts w:ascii="Verdana" w:hAnsi="Verdana"/>
          <w:sz w:val="18"/>
          <w:szCs w:val="18"/>
          <w:u w:val="single"/>
        </w:rPr>
        <w:t>Onafhankelijke Begrotingsautoriteiten</w:t>
      </w:r>
    </w:p>
    <w:p w:rsidRPr="00A85EEF" w:rsidR="008916BE" w:rsidP="001818F0" w:rsidRDefault="000F5912" w14:paraId="07C82FB6" w14:textId="5D3FB596">
      <w:pPr>
        <w:rPr>
          <w:rFonts w:ascii="Verdana" w:hAnsi="Verdana"/>
          <w:sz w:val="18"/>
          <w:szCs w:val="18"/>
        </w:rPr>
      </w:pPr>
      <w:r w:rsidRPr="00A85EEF">
        <w:rPr>
          <w:rFonts w:ascii="Verdana" w:hAnsi="Verdana"/>
          <w:i/>
          <w:iCs/>
          <w:sz w:val="18"/>
          <w:szCs w:val="18"/>
        </w:rPr>
        <w:t>Beschrijving</w:t>
      </w:r>
      <w:r w:rsidRPr="00A85EEF">
        <w:rPr>
          <w:rFonts w:ascii="Verdana" w:hAnsi="Verdana"/>
          <w:sz w:val="18"/>
          <w:szCs w:val="18"/>
        </w:rPr>
        <w:t>: In het triloogakkoord is overeengekomen dat het Europees Begrotingscomité (</w:t>
      </w:r>
      <w:r w:rsidRPr="00A85EEF">
        <w:rPr>
          <w:rFonts w:ascii="Verdana" w:hAnsi="Verdana"/>
          <w:i/>
          <w:iCs/>
          <w:sz w:val="18"/>
          <w:szCs w:val="18"/>
        </w:rPr>
        <w:t xml:space="preserve">European Fiscal board, </w:t>
      </w:r>
      <w:r w:rsidRPr="00A85EEF">
        <w:rPr>
          <w:rFonts w:ascii="Verdana" w:hAnsi="Verdana"/>
          <w:sz w:val="18"/>
          <w:szCs w:val="18"/>
        </w:rPr>
        <w:t>EFB) een opinie zal schrijven wanneer de Raad op aanbeveling van de Commissie zal besluiten over een verlenging van de algemene ontsnappingsclausule</w:t>
      </w:r>
      <w:r w:rsidRPr="00A85EEF" w:rsidR="001E38B0">
        <w:rPr>
          <w:rFonts w:ascii="Verdana" w:hAnsi="Verdana"/>
          <w:sz w:val="18"/>
          <w:szCs w:val="18"/>
        </w:rPr>
        <w:t xml:space="preserve"> (</w:t>
      </w:r>
      <w:r w:rsidRPr="00A85EEF" w:rsidR="00562C76">
        <w:rPr>
          <w:rFonts w:ascii="Verdana" w:hAnsi="Verdana"/>
          <w:sz w:val="18"/>
          <w:szCs w:val="18"/>
        </w:rPr>
        <w:t xml:space="preserve">waardoor lidstaten </w:t>
      </w:r>
      <w:r w:rsidRPr="00A85EEF" w:rsidR="00702E94">
        <w:rPr>
          <w:rFonts w:ascii="Verdana" w:hAnsi="Verdana"/>
          <w:sz w:val="18"/>
          <w:szCs w:val="18"/>
        </w:rPr>
        <w:t xml:space="preserve">bij uitzonderlijke omstandigheden buiten de controle van de lidstaat en met grote impact op de overheidsfinanciën </w:t>
      </w:r>
      <w:r w:rsidRPr="00A85EEF" w:rsidR="00562C76">
        <w:rPr>
          <w:rFonts w:ascii="Verdana" w:hAnsi="Verdana"/>
          <w:sz w:val="18"/>
          <w:szCs w:val="18"/>
        </w:rPr>
        <w:t>tijdelijk mogen afwijken van hun uitgavenpad</w:t>
      </w:r>
      <w:r w:rsidRPr="00A85EEF" w:rsidR="001E38B0">
        <w:rPr>
          <w:rFonts w:ascii="Verdana" w:hAnsi="Verdana"/>
          <w:sz w:val="18"/>
          <w:szCs w:val="18"/>
        </w:rPr>
        <w:t>)</w:t>
      </w:r>
      <w:r w:rsidRPr="00A85EEF">
        <w:rPr>
          <w:rFonts w:ascii="Verdana" w:hAnsi="Verdana"/>
          <w:sz w:val="18"/>
          <w:szCs w:val="18"/>
        </w:rPr>
        <w:t xml:space="preserve">. Dit is een aanscherping </w:t>
      </w:r>
      <w:r w:rsidRPr="00A85EEF" w:rsidR="008916BE">
        <w:rPr>
          <w:rFonts w:ascii="Verdana" w:hAnsi="Verdana"/>
          <w:sz w:val="18"/>
          <w:szCs w:val="18"/>
        </w:rPr>
        <w:t>van het</w:t>
      </w:r>
      <w:r w:rsidRPr="00A85EEF">
        <w:rPr>
          <w:rFonts w:ascii="Verdana" w:hAnsi="Verdana"/>
          <w:sz w:val="18"/>
          <w:szCs w:val="18"/>
        </w:rPr>
        <w:t xml:space="preserve"> Raadsakkoord, waarin was beschreven dat de</w:t>
      </w:r>
      <w:r w:rsidRPr="00A85EEF" w:rsidR="008916BE">
        <w:rPr>
          <w:rFonts w:ascii="Verdana" w:hAnsi="Verdana"/>
          <w:sz w:val="18"/>
          <w:szCs w:val="18"/>
        </w:rPr>
        <w:t xml:space="preserve"> Raad een verzoek mag indienen bij de EFB voor het schrijven van een opinie bij verlenging van de algemene ontsnappingsclausule. </w:t>
      </w:r>
      <w:r w:rsidRPr="00A85EEF" w:rsidR="00562C76">
        <w:rPr>
          <w:rFonts w:ascii="Verdana" w:hAnsi="Verdana"/>
          <w:sz w:val="18"/>
          <w:szCs w:val="18"/>
        </w:rPr>
        <w:t xml:space="preserve">Daarnaast is behouden gebleven dat de EFB een meer open mandaat krijgt om, op verzoek van de Raad, advies te geven over de implementatie van de regels. </w:t>
      </w:r>
      <w:r w:rsidRPr="00A85EEF" w:rsidR="008916BE">
        <w:rPr>
          <w:rFonts w:ascii="Verdana" w:hAnsi="Verdana"/>
          <w:sz w:val="18"/>
          <w:szCs w:val="18"/>
        </w:rPr>
        <w:t>Verder is in het triloogakkoord overeengekomen dat Onafhankelijke Begrotingsautoriteiten (</w:t>
      </w:r>
      <w:r w:rsidRPr="00A85EEF" w:rsidR="008916BE">
        <w:rPr>
          <w:rFonts w:ascii="Verdana" w:hAnsi="Verdana"/>
          <w:i/>
          <w:iCs/>
          <w:sz w:val="18"/>
          <w:szCs w:val="18"/>
        </w:rPr>
        <w:t xml:space="preserve">Independent Fiscal Institutions, </w:t>
      </w:r>
      <w:r w:rsidRPr="00A85EEF" w:rsidR="008916BE">
        <w:rPr>
          <w:rFonts w:ascii="Verdana" w:hAnsi="Verdana"/>
          <w:sz w:val="18"/>
          <w:szCs w:val="18"/>
        </w:rPr>
        <w:t xml:space="preserve">IFI’s), zodra zij voldoende capaciteit hebben opgebouwd, een opinie uitbrengen over de macro-economische ramingen en aannames van de uitgavenpaden die lidstaten voorstellen. </w:t>
      </w:r>
      <w:r w:rsidRPr="00A85EEF" w:rsidR="00234F06">
        <w:rPr>
          <w:rFonts w:ascii="Verdana" w:hAnsi="Verdana"/>
          <w:sz w:val="18"/>
          <w:szCs w:val="18"/>
        </w:rPr>
        <w:t xml:space="preserve">In het triloogakkoord is </w:t>
      </w:r>
      <w:r w:rsidRPr="00A85EEF" w:rsidR="00E37483">
        <w:rPr>
          <w:rFonts w:ascii="Verdana" w:hAnsi="Verdana"/>
          <w:sz w:val="18"/>
          <w:szCs w:val="18"/>
        </w:rPr>
        <w:t>daarentegen wel de bepaling vervallen</w:t>
      </w:r>
      <w:r w:rsidRPr="00A85EEF" w:rsidR="00234F06">
        <w:rPr>
          <w:rFonts w:ascii="Verdana" w:hAnsi="Verdana"/>
          <w:sz w:val="18"/>
          <w:szCs w:val="18"/>
        </w:rPr>
        <w:t xml:space="preserve"> dat nationale begrotingsautoriteiten, op verzoek van de Raad, een opinie kunnen geven over verlenging van de nationale ontsnappingsclausule. </w:t>
      </w:r>
    </w:p>
    <w:p w:rsidRPr="00A85EEF" w:rsidR="00002471" w:rsidP="00002471" w:rsidRDefault="000F5912" w14:paraId="1A4C526C" w14:textId="30E6848C">
      <w:pPr>
        <w:rPr>
          <w:rFonts w:ascii="Verdana" w:hAnsi="Verdana"/>
          <w:sz w:val="18"/>
          <w:szCs w:val="18"/>
        </w:rPr>
      </w:pPr>
      <w:r w:rsidRPr="00A85EEF">
        <w:rPr>
          <w:rFonts w:ascii="Verdana" w:hAnsi="Verdana"/>
          <w:i/>
          <w:iCs/>
          <w:sz w:val="18"/>
          <w:szCs w:val="18"/>
        </w:rPr>
        <w:t>Appreciatie</w:t>
      </w:r>
      <w:r w:rsidRPr="00A85EEF">
        <w:rPr>
          <w:rFonts w:ascii="Verdana" w:hAnsi="Verdana"/>
          <w:sz w:val="18"/>
          <w:szCs w:val="18"/>
        </w:rPr>
        <w:t xml:space="preserve">: </w:t>
      </w:r>
      <w:r w:rsidRPr="00A85EEF" w:rsidR="008916BE">
        <w:rPr>
          <w:rFonts w:ascii="Verdana" w:hAnsi="Verdana"/>
          <w:sz w:val="18"/>
          <w:szCs w:val="18"/>
        </w:rPr>
        <w:t xml:space="preserve">De </w:t>
      </w:r>
      <w:r w:rsidRPr="00A85EEF" w:rsidR="00BF0877">
        <w:rPr>
          <w:rFonts w:ascii="Verdana" w:hAnsi="Verdana"/>
          <w:sz w:val="18"/>
          <w:szCs w:val="18"/>
        </w:rPr>
        <w:t xml:space="preserve">voorziene opinie van de </w:t>
      </w:r>
      <w:r w:rsidRPr="00A85EEF" w:rsidR="008916BE">
        <w:rPr>
          <w:rFonts w:ascii="Verdana" w:hAnsi="Verdana"/>
          <w:sz w:val="18"/>
          <w:szCs w:val="18"/>
        </w:rPr>
        <w:t xml:space="preserve">EFB bij verlenging van de </w:t>
      </w:r>
      <w:r w:rsidRPr="00A85EEF" w:rsidR="00562C76">
        <w:rPr>
          <w:rFonts w:ascii="Verdana" w:hAnsi="Verdana"/>
          <w:sz w:val="18"/>
          <w:szCs w:val="18"/>
        </w:rPr>
        <w:t xml:space="preserve">algemene </w:t>
      </w:r>
      <w:r w:rsidRPr="00A85EEF" w:rsidR="008916BE">
        <w:rPr>
          <w:rFonts w:ascii="Verdana" w:hAnsi="Verdana"/>
          <w:sz w:val="18"/>
          <w:szCs w:val="18"/>
        </w:rPr>
        <w:t xml:space="preserve">ontsnappingsclausule sluit </w:t>
      </w:r>
      <w:r w:rsidRPr="00A85EEF" w:rsidR="00BF0877">
        <w:rPr>
          <w:rFonts w:ascii="Verdana" w:hAnsi="Verdana"/>
          <w:sz w:val="18"/>
          <w:szCs w:val="18"/>
        </w:rPr>
        <w:t xml:space="preserve">goed </w:t>
      </w:r>
      <w:r w:rsidRPr="00A85EEF" w:rsidR="008916BE">
        <w:rPr>
          <w:rFonts w:ascii="Verdana" w:hAnsi="Verdana"/>
          <w:sz w:val="18"/>
          <w:szCs w:val="18"/>
        </w:rPr>
        <w:t>aan bij de kabinetsinzet</w:t>
      </w:r>
      <w:r w:rsidRPr="00A85EEF" w:rsidR="00BF0877">
        <w:rPr>
          <w:rFonts w:ascii="Verdana" w:hAnsi="Verdana"/>
          <w:sz w:val="18"/>
          <w:szCs w:val="18"/>
        </w:rPr>
        <w:t xml:space="preserve"> voor een nadrukkelijkere rol van de EFB in het raamwerk, omdat dit de besluitvorming kan versterken. Het kabinet heeft zich daarnaast in de onderhandelingen ingespannen voor een grotere rol van onafhankelijke nationale begrotingsautoriteiten, omdat dit kan bijdragen aan het nationaal eigenaarschap van lidstaten. Het kabinet erkent dat de </w:t>
      </w:r>
      <w:r w:rsidRPr="00A85EEF" w:rsidR="00562C76">
        <w:rPr>
          <w:rFonts w:ascii="Verdana" w:hAnsi="Verdana"/>
          <w:sz w:val="18"/>
          <w:szCs w:val="18"/>
        </w:rPr>
        <w:t xml:space="preserve">capaciteit </w:t>
      </w:r>
      <w:r w:rsidRPr="00A85EEF" w:rsidR="00BF0877">
        <w:rPr>
          <w:rFonts w:ascii="Verdana" w:hAnsi="Verdana"/>
          <w:sz w:val="18"/>
          <w:szCs w:val="18"/>
        </w:rPr>
        <w:t>van de onafhankelijke begrotingscomités per lidstaat sterk verschil</w:t>
      </w:r>
      <w:r w:rsidR="007824A2">
        <w:rPr>
          <w:rFonts w:ascii="Verdana" w:hAnsi="Verdana"/>
          <w:sz w:val="18"/>
          <w:szCs w:val="18"/>
        </w:rPr>
        <w:t>t</w:t>
      </w:r>
      <w:r w:rsidRPr="00A85EEF" w:rsidR="00BF0877">
        <w:rPr>
          <w:rFonts w:ascii="Verdana" w:hAnsi="Verdana"/>
          <w:sz w:val="18"/>
          <w:szCs w:val="18"/>
        </w:rPr>
        <w:t xml:space="preserve">, en dat het essentieel is dat deze </w:t>
      </w:r>
      <w:r w:rsidR="007824A2">
        <w:rPr>
          <w:rFonts w:ascii="Verdana" w:hAnsi="Verdana"/>
          <w:sz w:val="18"/>
          <w:szCs w:val="18"/>
        </w:rPr>
        <w:t>op niveau wordt gebracht</w:t>
      </w:r>
      <w:r w:rsidRPr="00A85EEF" w:rsidR="00BF0877">
        <w:rPr>
          <w:rFonts w:ascii="Verdana" w:hAnsi="Verdana"/>
          <w:sz w:val="18"/>
          <w:szCs w:val="18"/>
        </w:rPr>
        <w:t xml:space="preserve"> en</w:t>
      </w:r>
      <w:r w:rsidR="007824A2">
        <w:rPr>
          <w:rFonts w:ascii="Verdana" w:hAnsi="Verdana"/>
          <w:sz w:val="18"/>
          <w:szCs w:val="18"/>
        </w:rPr>
        <w:t xml:space="preserve"> dat het belangrijk is dat de onafhankelijke begrotingscomités</w:t>
      </w:r>
      <w:r w:rsidRPr="00A85EEF" w:rsidR="00BF0877">
        <w:rPr>
          <w:rFonts w:ascii="Verdana" w:hAnsi="Verdana"/>
          <w:sz w:val="18"/>
          <w:szCs w:val="18"/>
        </w:rPr>
        <w:t xml:space="preserve"> voldoende onafhankelijk zijn. </w:t>
      </w:r>
      <w:r w:rsidRPr="00A85EEF" w:rsidR="000F44E5">
        <w:rPr>
          <w:rFonts w:ascii="Verdana" w:hAnsi="Verdana"/>
          <w:sz w:val="18"/>
          <w:szCs w:val="18"/>
        </w:rPr>
        <w:t xml:space="preserve">Hoewel de toevoeging in het triloogakkoord geen verplichting inhoudt, verwelkomt het kabinet de nadruk op het opbouwen van de capaciteit van IFI’s in het raamwerk. </w:t>
      </w:r>
      <w:r w:rsidRPr="00A85EEF" w:rsidR="005152A0">
        <w:rPr>
          <w:rFonts w:ascii="Verdana" w:hAnsi="Verdana"/>
          <w:sz w:val="18"/>
          <w:szCs w:val="18"/>
        </w:rPr>
        <w:t>De gevolgen van het vervallen van de</w:t>
      </w:r>
      <w:r w:rsidRPr="00A85EEF" w:rsidR="00002471">
        <w:rPr>
          <w:rFonts w:ascii="Verdana" w:hAnsi="Verdana"/>
          <w:sz w:val="18"/>
          <w:szCs w:val="18"/>
        </w:rPr>
        <w:t xml:space="preserve"> bepaling dat nationale begrotingsautoriteiten een opinie kunnen geven over verlenging van de nationale ontsnappingsclausule</w:t>
      </w:r>
      <w:r w:rsidRPr="00A85EEF" w:rsidR="005152A0">
        <w:rPr>
          <w:rFonts w:ascii="Verdana" w:hAnsi="Verdana"/>
          <w:sz w:val="18"/>
          <w:szCs w:val="18"/>
        </w:rPr>
        <w:t xml:space="preserve"> lijken gering, </w:t>
      </w:r>
      <w:r w:rsidRPr="00A85EEF" w:rsidR="00496241">
        <w:rPr>
          <w:rFonts w:ascii="Verdana" w:hAnsi="Verdana"/>
          <w:sz w:val="18"/>
          <w:szCs w:val="18"/>
        </w:rPr>
        <w:t xml:space="preserve">omdat het hier </w:t>
      </w:r>
      <w:r w:rsidRPr="00A85EEF" w:rsidR="00D03856">
        <w:rPr>
          <w:rFonts w:ascii="Verdana" w:hAnsi="Verdana"/>
          <w:sz w:val="18"/>
          <w:szCs w:val="18"/>
        </w:rPr>
        <w:t xml:space="preserve">al </w:t>
      </w:r>
      <w:r w:rsidRPr="00A85EEF" w:rsidR="00496241">
        <w:rPr>
          <w:rFonts w:ascii="Verdana" w:hAnsi="Verdana"/>
          <w:sz w:val="18"/>
          <w:szCs w:val="18"/>
        </w:rPr>
        <w:t xml:space="preserve">niet ging om een verplichting. </w:t>
      </w:r>
    </w:p>
    <w:p w:rsidRPr="00A85EEF" w:rsidR="001818F0" w:rsidP="001818F0" w:rsidRDefault="001818F0" w14:paraId="5920B29A" w14:textId="4A0E2D7E">
      <w:pPr>
        <w:pStyle w:val="Lijstalinea"/>
        <w:numPr>
          <w:ilvl w:val="0"/>
          <w:numId w:val="4"/>
        </w:numPr>
        <w:rPr>
          <w:rFonts w:ascii="Verdana" w:hAnsi="Verdana"/>
          <w:sz w:val="18"/>
          <w:szCs w:val="18"/>
        </w:rPr>
      </w:pPr>
      <w:r w:rsidRPr="00A85EEF">
        <w:rPr>
          <w:rFonts w:ascii="Verdana" w:hAnsi="Verdana"/>
          <w:sz w:val="18"/>
          <w:szCs w:val="18"/>
          <w:u w:val="single"/>
        </w:rPr>
        <w:t xml:space="preserve">Sociale dimensie in de verordeningen </w:t>
      </w:r>
    </w:p>
    <w:p w:rsidRPr="00A85EEF" w:rsidR="002100AC" w:rsidP="002100AC" w:rsidRDefault="002100AC" w14:paraId="08117BFD" w14:textId="43729D86">
      <w:pPr>
        <w:rPr>
          <w:rFonts w:ascii="Verdana" w:hAnsi="Verdana"/>
          <w:i/>
          <w:iCs/>
          <w:sz w:val="18"/>
          <w:szCs w:val="18"/>
        </w:rPr>
      </w:pPr>
      <w:r w:rsidRPr="00A85EEF">
        <w:rPr>
          <w:rFonts w:ascii="Verdana" w:hAnsi="Verdana"/>
          <w:i/>
          <w:iCs/>
          <w:sz w:val="18"/>
          <w:szCs w:val="18"/>
        </w:rPr>
        <w:t xml:space="preserve">Beschrijving: </w:t>
      </w:r>
      <w:r w:rsidRPr="00A85EEF">
        <w:rPr>
          <w:rFonts w:ascii="Verdana" w:hAnsi="Verdana"/>
          <w:sz w:val="18"/>
          <w:szCs w:val="18"/>
        </w:rPr>
        <w:t>Het triloogakkoord bevat een aantal verwijzingen d</w:t>
      </w:r>
      <w:r w:rsidRPr="00A85EEF" w:rsidR="00EC3CFE">
        <w:rPr>
          <w:rFonts w:ascii="Verdana" w:hAnsi="Verdana"/>
          <w:sz w:val="18"/>
          <w:szCs w:val="18"/>
        </w:rPr>
        <w:t>at</w:t>
      </w:r>
      <w:r w:rsidRPr="00A85EEF">
        <w:rPr>
          <w:rFonts w:ascii="Verdana" w:hAnsi="Verdana"/>
          <w:sz w:val="18"/>
          <w:szCs w:val="18"/>
        </w:rPr>
        <w:t xml:space="preserve"> </w:t>
      </w:r>
      <w:r w:rsidRPr="00A85EEF" w:rsidR="00EC3CFE">
        <w:rPr>
          <w:rFonts w:ascii="Verdana" w:hAnsi="Verdana"/>
          <w:sz w:val="18"/>
          <w:szCs w:val="18"/>
        </w:rPr>
        <w:t>zorgt vo</w:t>
      </w:r>
      <w:r w:rsidRPr="00A85EEF">
        <w:rPr>
          <w:rFonts w:ascii="Verdana" w:hAnsi="Verdana"/>
          <w:sz w:val="18"/>
          <w:szCs w:val="18"/>
        </w:rPr>
        <w:t>or een nauwere aansluiting tussen de sociale dimensie van het Europees Semester en het begrotingsraamwerk. In de triloog is, op voorstel van het Europees Parlement, overeengekomen dat de Commissie, als onderdeel van bestaande Semesterprocessen, risico’s ten aanzien van opwaartse sociale convergentie zal beoordelen en de voortgang van de implementatie van de principes van de Europese Pijler van Sociale Rechten zal monitoren. De Commissie zal dit doen door middel van het (bestaande) Sociale Scorebord en het Raamwerk voor Sociale Convergentie (</w:t>
      </w:r>
      <w:r w:rsidRPr="00A85EEF">
        <w:rPr>
          <w:rFonts w:ascii="Verdana" w:hAnsi="Verdana"/>
          <w:i/>
          <w:iCs/>
          <w:sz w:val="18"/>
          <w:szCs w:val="18"/>
        </w:rPr>
        <w:t xml:space="preserve">Social Convergence </w:t>
      </w:r>
      <w:r w:rsidRPr="00A85EEF">
        <w:rPr>
          <w:rFonts w:ascii="Verdana" w:hAnsi="Verdana"/>
          <w:i/>
          <w:iCs/>
          <w:sz w:val="18"/>
          <w:szCs w:val="18"/>
        </w:rPr>
        <w:lastRenderedPageBreak/>
        <w:t>Framework</w:t>
      </w:r>
      <w:r w:rsidRPr="00A85EEF">
        <w:rPr>
          <w:rFonts w:ascii="Verdana" w:hAnsi="Verdana"/>
          <w:sz w:val="18"/>
          <w:szCs w:val="18"/>
        </w:rPr>
        <w:t>, SCF).</w:t>
      </w:r>
      <w:r w:rsidRPr="00A85EEF">
        <w:rPr>
          <w:rStyle w:val="Voetnootmarkering"/>
          <w:rFonts w:ascii="Verdana" w:hAnsi="Verdana"/>
          <w:sz w:val="18"/>
          <w:szCs w:val="18"/>
        </w:rPr>
        <w:footnoteReference w:id="5"/>
      </w:r>
      <w:r w:rsidRPr="00A85EEF">
        <w:rPr>
          <w:rFonts w:ascii="Verdana" w:hAnsi="Verdana"/>
          <w:sz w:val="18"/>
          <w:szCs w:val="18"/>
        </w:rPr>
        <w:t xml:space="preserve"> Daarnaast zullen lidstaten in hun plannen moeten toelichten hoe hervormingen en investeringen bijdragen aan de Europese Pijler van Sociale Rechten.</w:t>
      </w:r>
      <w:r w:rsidRPr="00A85EEF">
        <w:rPr>
          <w:rFonts w:ascii="Verdana" w:hAnsi="Verdana"/>
          <w:i/>
          <w:iCs/>
          <w:sz w:val="18"/>
          <w:szCs w:val="18"/>
        </w:rPr>
        <w:t xml:space="preserve"> </w:t>
      </w:r>
    </w:p>
    <w:p w:rsidRPr="00A85EEF" w:rsidR="002100AC" w:rsidP="002100AC" w:rsidRDefault="002100AC" w14:paraId="28BAA205" w14:textId="10BCE196">
      <w:pPr>
        <w:rPr>
          <w:rFonts w:ascii="Verdana" w:hAnsi="Verdana"/>
          <w:i/>
          <w:iCs/>
          <w:sz w:val="18"/>
          <w:szCs w:val="18"/>
        </w:rPr>
      </w:pPr>
      <w:r w:rsidRPr="00A85EEF">
        <w:rPr>
          <w:rFonts w:ascii="Verdana" w:hAnsi="Verdana"/>
          <w:i/>
          <w:iCs/>
          <w:sz w:val="18"/>
          <w:szCs w:val="18"/>
        </w:rPr>
        <w:t>Appreciatie</w:t>
      </w:r>
      <w:r w:rsidRPr="00A85EEF">
        <w:rPr>
          <w:rFonts w:ascii="Verdana" w:hAnsi="Verdana"/>
          <w:sz w:val="18"/>
          <w:szCs w:val="18"/>
        </w:rPr>
        <w:t>: Het kabinet steunt opwaartse sociaaleconomische convergentie en hecht waarde aan voldoende aandacht voor werkgelegenheid en sociale aspecten binnen het Semester. Hoewel het kabinet enige twijfels heeft of de verordening ter vervanging van de preventieve arm de beste plek is voor de verwijzingen naar sociale convergentie, ziet het kabinet op inhoud geen bezwaar tegen de toevoegingen. Het kabinet vindt het positief dat er zoveel mogelijk gebruik wordt gemaakt van bestaande processen en instrumenten, zoals het Sociale Scorebord. Het Raamwerk voor Sociale Convergentie bevindt zich nog in de pilotfase en het is nog niet besloten dat deze wordt toegepast. Het kabinet is van mening dat een eventueel SCF zoveel mogelijk zou moeten voorbouwen op de bestaande methodologie en dat aanvullende administratieve lasten beperkt moeten blijven.</w:t>
      </w:r>
    </w:p>
    <w:p w:rsidRPr="00A85EEF" w:rsidR="001818F0" w:rsidP="00006C60" w:rsidRDefault="00EE41DB" w14:paraId="44DA7E28" w14:textId="2919ED50">
      <w:pPr>
        <w:pStyle w:val="Lijstalinea"/>
        <w:numPr>
          <w:ilvl w:val="0"/>
          <w:numId w:val="4"/>
        </w:numPr>
        <w:rPr>
          <w:rFonts w:ascii="Verdana" w:hAnsi="Verdana"/>
          <w:i/>
          <w:iCs/>
          <w:sz w:val="18"/>
          <w:szCs w:val="18"/>
        </w:rPr>
      </w:pPr>
      <w:r w:rsidRPr="00A85EEF">
        <w:rPr>
          <w:rFonts w:ascii="Verdana" w:hAnsi="Verdana"/>
          <w:sz w:val="18"/>
          <w:szCs w:val="18"/>
          <w:u w:val="single"/>
        </w:rPr>
        <w:t>De rol van het Europees Parlement</w:t>
      </w:r>
    </w:p>
    <w:p w:rsidRPr="00A85EEF" w:rsidR="00C50DBC" w:rsidP="001818F0" w:rsidRDefault="00EE41DB" w14:paraId="68AEE6F5" w14:textId="02A390A1">
      <w:pPr>
        <w:rPr>
          <w:rFonts w:ascii="Verdana" w:hAnsi="Verdana"/>
          <w:i/>
          <w:iCs/>
          <w:sz w:val="18"/>
          <w:szCs w:val="18"/>
        </w:rPr>
      </w:pPr>
      <w:r w:rsidRPr="00A85EEF">
        <w:rPr>
          <w:rFonts w:ascii="Verdana" w:hAnsi="Verdana"/>
          <w:i/>
          <w:iCs/>
          <w:sz w:val="18"/>
          <w:szCs w:val="18"/>
        </w:rPr>
        <w:t xml:space="preserve">Beschrijving: </w:t>
      </w:r>
      <w:r w:rsidRPr="00A85EEF" w:rsidR="00C50DBC">
        <w:rPr>
          <w:rFonts w:ascii="Verdana" w:hAnsi="Verdana"/>
          <w:sz w:val="18"/>
          <w:szCs w:val="18"/>
        </w:rPr>
        <w:t xml:space="preserve">Het triloogakkoord bevat een </w:t>
      </w:r>
      <w:r w:rsidRPr="00A85EEF" w:rsidR="00E0220C">
        <w:rPr>
          <w:rFonts w:ascii="Verdana" w:hAnsi="Verdana"/>
          <w:sz w:val="18"/>
          <w:szCs w:val="18"/>
        </w:rPr>
        <w:t xml:space="preserve">nieuw </w:t>
      </w:r>
      <w:r w:rsidRPr="00A85EEF" w:rsidR="00C50DBC">
        <w:rPr>
          <w:rFonts w:ascii="Verdana" w:hAnsi="Verdana"/>
          <w:sz w:val="18"/>
          <w:szCs w:val="18"/>
        </w:rPr>
        <w:t xml:space="preserve">artikel </w:t>
      </w:r>
      <w:r w:rsidRPr="00A85EEF" w:rsidR="00E0220C">
        <w:rPr>
          <w:rFonts w:ascii="Verdana" w:hAnsi="Verdana"/>
          <w:sz w:val="18"/>
          <w:szCs w:val="18"/>
        </w:rPr>
        <w:t xml:space="preserve">ten opzichte van het Raadsakkoord </w:t>
      </w:r>
      <w:r w:rsidRPr="00A85EEF" w:rsidR="00C50DBC">
        <w:rPr>
          <w:rFonts w:ascii="Verdana" w:hAnsi="Verdana"/>
          <w:sz w:val="18"/>
          <w:szCs w:val="18"/>
        </w:rPr>
        <w:t>met een beschrijving van de rol van het EP</w:t>
      </w:r>
      <w:r w:rsidRPr="00A85EEF" w:rsidR="00F00C69">
        <w:rPr>
          <w:rFonts w:ascii="Verdana" w:hAnsi="Verdana"/>
          <w:sz w:val="18"/>
          <w:szCs w:val="18"/>
        </w:rPr>
        <w:t xml:space="preserve">, dat met name gaat over </w:t>
      </w:r>
      <w:r w:rsidRPr="00A85EEF" w:rsidR="00C50DBC">
        <w:rPr>
          <w:rFonts w:ascii="Verdana" w:hAnsi="Verdana"/>
          <w:sz w:val="18"/>
          <w:szCs w:val="18"/>
        </w:rPr>
        <w:t>informatievoorziening</w:t>
      </w:r>
      <w:r w:rsidRPr="00A85EEF" w:rsidR="00F00C69">
        <w:rPr>
          <w:rFonts w:ascii="Verdana" w:hAnsi="Verdana"/>
          <w:sz w:val="18"/>
          <w:szCs w:val="18"/>
        </w:rPr>
        <w:t xml:space="preserve"> aan het EP</w:t>
      </w:r>
      <w:r w:rsidRPr="00A85EEF" w:rsidR="00C50DBC">
        <w:rPr>
          <w:rFonts w:ascii="Verdana" w:hAnsi="Verdana"/>
          <w:sz w:val="18"/>
          <w:szCs w:val="18"/>
        </w:rPr>
        <w:t>. Zo wordt verduidelijkt dat het EP de plannen van de lidstaten ontvangt wanneer deze worden ingediend bij de Commissie</w:t>
      </w:r>
      <w:r w:rsidRPr="00A85EEF" w:rsidR="00E0220C">
        <w:rPr>
          <w:rFonts w:ascii="Verdana" w:hAnsi="Verdana"/>
          <w:sz w:val="18"/>
          <w:szCs w:val="18"/>
        </w:rPr>
        <w:t xml:space="preserve">, </w:t>
      </w:r>
      <w:r w:rsidRPr="00A85EEF" w:rsidR="00C50DBC">
        <w:rPr>
          <w:rFonts w:ascii="Verdana" w:hAnsi="Verdana"/>
          <w:sz w:val="18"/>
          <w:szCs w:val="18"/>
        </w:rPr>
        <w:t>dat het EP wordt geïnformeerd over de schuldhoudbaarheidsanalyses</w:t>
      </w:r>
      <w:r w:rsidRPr="00A85EEF" w:rsidR="00E0220C">
        <w:rPr>
          <w:rFonts w:ascii="Verdana" w:hAnsi="Verdana"/>
          <w:sz w:val="18"/>
          <w:szCs w:val="18"/>
        </w:rPr>
        <w:t xml:space="preserve"> zodra deze zijn gepubliceerd</w:t>
      </w:r>
      <w:r w:rsidRPr="00A85EEF" w:rsidR="00C50DBC">
        <w:rPr>
          <w:rFonts w:ascii="Verdana" w:hAnsi="Verdana"/>
          <w:sz w:val="18"/>
          <w:szCs w:val="18"/>
        </w:rPr>
        <w:t xml:space="preserve">, </w:t>
      </w:r>
      <w:r w:rsidRPr="00A85EEF" w:rsidR="00E0220C">
        <w:rPr>
          <w:rFonts w:ascii="Verdana" w:hAnsi="Verdana"/>
          <w:sz w:val="18"/>
          <w:szCs w:val="18"/>
        </w:rPr>
        <w:t xml:space="preserve">over </w:t>
      </w:r>
      <w:r w:rsidRPr="00A85EEF" w:rsidR="00C50DBC">
        <w:rPr>
          <w:rFonts w:ascii="Verdana" w:hAnsi="Verdana"/>
          <w:sz w:val="18"/>
          <w:szCs w:val="18"/>
        </w:rPr>
        <w:t xml:space="preserve">de </w:t>
      </w:r>
      <w:r w:rsidRPr="00A85EEF" w:rsidR="003A6C23">
        <w:rPr>
          <w:rFonts w:ascii="Verdana" w:hAnsi="Verdana"/>
          <w:sz w:val="18"/>
          <w:szCs w:val="18"/>
        </w:rPr>
        <w:t xml:space="preserve">beoordeling van de plannen door de Commissie, over de verdere </w:t>
      </w:r>
      <w:r w:rsidRPr="00A85EEF" w:rsidR="00C50DBC">
        <w:rPr>
          <w:rFonts w:ascii="Verdana" w:hAnsi="Verdana"/>
          <w:sz w:val="18"/>
          <w:szCs w:val="18"/>
        </w:rPr>
        <w:t xml:space="preserve">uitvoering van het raamwerk en </w:t>
      </w:r>
      <w:r w:rsidRPr="00A85EEF" w:rsidR="00E0220C">
        <w:rPr>
          <w:rFonts w:ascii="Verdana" w:hAnsi="Verdana"/>
          <w:sz w:val="18"/>
          <w:szCs w:val="18"/>
        </w:rPr>
        <w:t xml:space="preserve">over </w:t>
      </w:r>
      <w:r w:rsidRPr="00A85EEF" w:rsidR="00C50DBC">
        <w:rPr>
          <w:rFonts w:ascii="Verdana" w:hAnsi="Verdana"/>
          <w:sz w:val="18"/>
          <w:szCs w:val="18"/>
        </w:rPr>
        <w:t>het multilaterale toezicht en analys</w:t>
      </w:r>
      <w:r w:rsidR="007824A2">
        <w:rPr>
          <w:rFonts w:ascii="Verdana" w:hAnsi="Verdana"/>
          <w:sz w:val="18"/>
          <w:szCs w:val="18"/>
        </w:rPr>
        <w:t>e</w:t>
      </w:r>
      <w:r w:rsidRPr="00A85EEF" w:rsidR="00C50DBC">
        <w:rPr>
          <w:rFonts w:ascii="Verdana" w:hAnsi="Verdana"/>
          <w:sz w:val="18"/>
          <w:szCs w:val="18"/>
        </w:rPr>
        <w:t xml:space="preserve"> die ten grondslag liggen aan een activatie </w:t>
      </w:r>
      <w:r w:rsidRPr="00A85EEF" w:rsidR="001C7A5A">
        <w:rPr>
          <w:rFonts w:ascii="Verdana" w:hAnsi="Verdana"/>
          <w:sz w:val="18"/>
          <w:szCs w:val="18"/>
        </w:rPr>
        <w:t xml:space="preserve">van de ontsnappingsclausules. </w:t>
      </w:r>
      <w:r w:rsidRPr="00A85EEF" w:rsidR="00F84E36">
        <w:rPr>
          <w:rFonts w:ascii="Verdana" w:hAnsi="Verdana"/>
          <w:sz w:val="18"/>
          <w:szCs w:val="18"/>
        </w:rPr>
        <w:t xml:space="preserve">Daarnaast kan het EP de voorzitter van de Raad, de Commissie en waar relevant de voorzitter van de Eurogroep uitnodigen om een toelichting te geven </w:t>
      </w:r>
      <w:r w:rsidRPr="00A85EEF" w:rsidR="00B14766">
        <w:rPr>
          <w:rFonts w:ascii="Verdana" w:hAnsi="Verdana"/>
          <w:sz w:val="18"/>
          <w:szCs w:val="18"/>
        </w:rPr>
        <w:t xml:space="preserve">bij de uitvoering van het raamwerk. </w:t>
      </w:r>
    </w:p>
    <w:p w:rsidRPr="00A85EEF" w:rsidR="001818F0" w:rsidP="001818F0" w:rsidRDefault="001C7A5A" w14:paraId="339EC0E0" w14:textId="5716CFEA">
      <w:pPr>
        <w:rPr>
          <w:rFonts w:ascii="Verdana" w:hAnsi="Verdana"/>
          <w:sz w:val="18"/>
          <w:szCs w:val="18"/>
        </w:rPr>
      </w:pPr>
      <w:r w:rsidRPr="00A85EEF">
        <w:rPr>
          <w:rFonts w:ascii="Verdana" w:hAnsi="Verdana"/>
          <w:i/>
          <w:iCs/>
          <w:sz w:val="18"/>
          <w:szCs w:val="18"/>
        </w:rPr>
        <w:t>Appreciatie</w:t>
      </w:r>
      <w:r w:rsidRPr="00A85EEF">
        <w:rPr>
          <w:rFonts w:ascii="Verdana" w:hAnsi="Verdana"/>
          <w:sz w:val="18"/>
          <w:szCs w:val="18"/>
        </w:rPr>
        <w:t xml:space="preserve">: Het kabinet </w:t>
      </w:r>
      <w:r w:rsidRPr="00A85EEF" w:rsidR="003A6C23">
        <w:rPr>
          <w:rFonts w:ascii="Verdana" w:hAnsi="Verdana"/>
          <w:sz w:val="18"/>
          <w:szCs w:val="18"/>
        </w:rPr>
        <w:t>kan</w:t>
      </w:r>
      <w:r w:rsidRPr="00A85EEF" w:rsidR="0013476C">
        <w:rPr>
          <w:rFonts w:ascii="Verdana" w:hAnsi="Verdana"/>
          <w:sz w:val="18"/>
          <w:szCs w:val="18"/>
        </w:rPr>
        <w:t xml:space="preserve"> </w:t>
      </w:r>
      <w:r w:rsidRPr="00A85EEF" w:rsidR="00B14766">
        <w:rPr>
          <w:rFonts w:ascii="Verdana" w:hAnsi="Verdana"/>
          <w:sz w:val="18"/>
          <w:szCs w:val="18"/>
        </w:rPr>
        <w:t>de toevoeging van dit artikel</w:t>
      </w:r>
      <w:r w:rsidRPr="00A85EEF" w:rsidR="003A6C23">
        <w:rPr>
          <w:rFonts w:ascii="Verdana" w:hAnsi="Verdana"/>
          <w:sz w:val="18"/>
          <w:szCs w:val="18"/>
        </w:rPr>
        <w:t xml:space="preserve"> steunen</w:t>
      </w:r>
      <w:r w:rsidRPr="00A85EEF" w:rsidR="008F4BC4">
        <w:rPr>
          <w:rFonts w:ascii="Verdana" w:hAnsi="Verdana"/>
          <w:sz w:val="18"/>
          <w:szCs w:val="18"/>
        </w:rPr>
        <w:t xml:space="preserve">, </w:t>
      </w:r>
      <w:r w:rsidRPr="00A85EEF" w:rsidR="00F6012B">
        <w:rPr>
          <w:rFonts w:ascii="Verdana" w:hAnsi="Verdana"/>
          <w:sz w:val="18"/>
          <w:szCs w:val="18"/>
        </w:rPr>
        <w:t xml:space="preserve">aangezien het hier </w:t>
      </w:r>
      <w:r w:rsidRPr="00A85EEF" w:rsidR="00AB4120">
        <w:rPr>
          <w:rFonts w:ascii="Verdana" w:hAnsi="Verdana"/>
          <w:sz w:val="18"/>
          <w:szCs w:val="18"/>
        </w:rPr>
        <w:t xml:space="preserve">alleen gaat </w:t>
      </w:r>
      <w:r w:rsidRPr="00A85EEF" w:rsidR="00F6012B">
        <w:rPr>
          <w:rFonts w:ascii="Verdana" w:hAnsi="Verdana"/>
          <w:sz w:val="18"/>
          <w:szCs w:val="18"/>
        </w:rPr>
        <w:t xml:space="preserve">om informatievoorziening </w:t>
      </w:r>
      <w:r w:rsidRPr="00A85EEF" w:rsidR="00AB4120">
        <w:rPr>
          <w:rFonts w:ascii="Verdana" w:hAnsi="Verdana"/>
          <w:sz w:val="18"/>
          <w:szCs w:val="18"/>
        </w:rPr>
        <w:t xml:space="preserve">aan het EP </w:t>
      </w:r>
      <w:r w:rsidRPr="00A85EEF" w:rsidR="00F6012B">
        <w:rPr>
          <w:rFonts w:ascii="Verdana" w:hAnsi="Verdana"/>
          <w:sz w:val="18"/>
          <w:szCs w:val="18"/>
        </w:rPr>
        <w:t xml:space="preserve">en het EP geen aanvullende rol in de uitvoering van het raamwerk </w:t>
      </w:r>
      <w:r w:rsidRPr="00A85EEF" w:rsidR="00087567">
        <w:rPr>
          <w:rFonts w:ascii="Verdana" w:hAnsi="Verdana"/>
          <w:sz w:val="18"/>
          <w:szCs w:val="18"/>
        </w:rPr>
        <w:t xml:space="preserve">toebedeeld </w:t>
      </w:r>
      <w:r w:rsidRPr="00A85EEF" w:rsidR="00F6012B">
        <w:rPr>
          <w:rFonts w:ascii="Verdana" w:hAnsi="Verdana"/>
          <w:sz w:val="18"/>
          <w:szCs w:val="18"/>
        </w:rPr>
        <w:t xml:space="preserve">krijgt. </w:t>
      </w:r>
      <w:r w:rsidRPr="00A85EEF" w:rsidR="00723840">
        <w:rPr>
          <w:rFonts w:ascii="Verdana" w:hAnsi="Verdana"/>
          <w:sz w:val="18"/>
          <w:szCs w:val="18"/>
        </w:rPr>
        <w:t xml:space="preserve">Het kabinet ziet </w:t>
      </w:r>
      <w:r w:rsidRPr="00A85EEF" w:rsidR="00F6012B">
        <w:rPr>
          <w:rFonts w:ascii="Verdana" w:hAnsi="Verdana"/>
          <w:sz w:val="18"/>
          <w:szCs w:val="18"/>
        </w:rPr>
        <w:t>informatiedeling met het EP ook als kans om</w:t>
      </w:r>
      <w:r w:rsidRPr="00A85EEF" w:rsidR="00723840">
        <w:rPr>
          <w:rFonts w:ascii="Verdana" w:hAnsi="Verdana"/>
          <w:sz w:val="18"/>
          <w:szCs w:val="18"/>
        </w:rPr>
        <w:t xml:space="preserve"> transparantie in het raamwerk verder te vergroten met oog op gelijke behandeling van lidstaten onder het nieuwe raamwerk. H</w:t>
      </w:r>
      <w:r w:rsidRPr="00A85EEF" w:rsidR="00F84E36">
        <w:rPr>
          <w:rFonts w:ascii="Verdana" w:hAnsi="Verdana"/>
          <w:sz w:val="18"/>
          <w:szCs w:val="18"/>
        </w:rPr>
        <w:t xml:space="preserve">et </w:t>
      </w:r>
      <w:r w:rsidRPr="00A85EEF" w:rsidR="001E38B0">
        <w:rPr>
          <w:rFonts w:ascii="Verdana" w:hAnsi="Verdana"/>
          <w:sz w:val="18"/>
          <w:szCs w:val="18"/>
        </w:rPr>
        <w:t xml:space="preserve">triloogakkoord </w:t>
      </w:r>
      <w:r w:rsidRPr="00A85EEF" w:rsidR="00F84E36">
        <w:rPr>
          <w:rFonts w:ascii="Verdana" w:hAnsi="Verdana"/>
          <w:sz w:val="18"/>
          <w:szCs w:val="18"/>
        </w:rPr>
        <w:t>bevat</w:t>
      </w:r>
      <w:r w:rsidRPr="00A85EEF" w:rsidR="00723840">
        <w:rPr>
          <w:rFonts w:ascii="Verdana" w:hAnsi="Verdana"/>
          <w:sz w:val="18"/>
          <w:szCs w:val="18"/>
        </w:rPr>
        <w:t>, conform de motie van het Tweede Kamerlid Alkaya</w:t>
      </w:r>
      <w:r w:rsidRPr="00A85EEF" w:rsidR="00723840">
        <w:rPr>
          <w:rStyle w:val="Voetnootmarkering"/>
          <w:rFonts w:ascii="Verdana" w:hAnsi="Verdana"/>
          <w:sz w:val="18"/>
          <w:szCs w:val="18"/>
        </w:rPr>
        <w:footnoteReference w:id="6"/>
      </w:r>
      <w:r w:rsidRPr="00A85EEF" w:rsidR="00723840">
        <w:rPr>
          <w:rFonts w:ascii="Verdana" w:hAnsi="Verdana"/>
          <w:sz w:val="18"/>
          <w:szCs w:val="18"/>
        </w:rPr>
        <w:t xml:space="preserve">, </w:t>
      </w:r>
      <w:r w:rsidRPr="00A85EEF" w:rsidR="00F84E36">
        <w:rPr>
          <w:rFonts w:ascii="Verdana" w:hAnsi="Verdana"/>
          <w:sz w:val="18"/>
          <w:szCs w:val="18"/>
        </w:rPr>
        <w:t>geen</w:t>
      </w:r>
      <w:r w:rsidRPr="00A85EEF" w:rsidR="0013476C">
        <w:rPr>
          <w:rFonts w:ascii="Verdana" w:hAnsi="Verdana"/>
          <w:sz w:val="18"/>
          <w:szCs w:val="18"/>
        </w:rPr>
        <w:t xml:space="preserve"> </w:t>
      </w:r>
      <w:r w:rsidRPr="00A85EEF" w:rsidR="00EE41DB">
        <w:rPr>
          <w:rFonts w:ascii="Verdana" w:hAnsi="Verdana"/>
          <w:sz w:val="18"/>
          <w:szCs w:val="18"/>
        </w:rPr>
        <w:t xml:space="preserve">bevoegdheid voor het </w:t>
      </w:r>
      <w:r w:rsidRPr="00A85EEF" w:rsidR="0013476C">
        <w:rPr>
          <w:rFonts w:ascii="Verdana" w:hAnsi="Verdana"/>
          <w:sz w:val="18"/>
          <w:szCs w:val="18"/>
        </w:rPr>
        <w:t>EP</w:t>
      </w:r>
      <w:r w:rsidRPr="00A85EEF" w:rsidR="00EE41DB">
        <w:rPr>
          <w:rFonts w:ascii="Verdana" w:hAnsi="Verdana"/>
          <w:sz w:val="18"/>
          <w:szCs w:val="18"/>
        </w:rPr>
        <w:t xml:space="preserve"> om lidstaten in een buitensporigtekortprocedure ter verantwoording te roepen om corrigerende maatregelen toe te lichten</w:t>
      </w:r>
      <w:r w:rsidRPr="00A85EEF" w:rsidR="00723840">
        <w:rPr>
          <w:rFonts w:ascii="Verdana" w:hAnsi="Verdana"/>
          <w:sz w:val="18"/>
          <w:szCs w:val="18"/>
        </w:rPr>
        <w:t xml:space="preserve">. </w:t>
      </w:r>
    </w:p>
    <w:p w:rsidRPr="00A85EEF" w:rsidR="00A76F33" w:rsidP="003D0511" w:rsidRDefault="00A76F33" w14:paraId="724D7D56" w14:textId="57D1EF3B">
      <w:pPr>
        <w:rPr>
          <w:rFonts w:ascii="Verdana" w:hAnsi="Verdana"/>
          <w:b/>
          <w:bCs/>
          <w:sz w:val="18"/>
          <w:szCs w:val="18"/>
        </w:rPr>
      </w:pPr>
      <w:bookmarkStart w:name="_Hlk159436151" w:id="2"/>
      <w:r w:rsidRPr="00A85EEF">
        <w:rPr>
          <w:rFonts w:ascii="Verdana" w:hAnsi="Verdana"/>
          <w:b/>
          <w:bCs/>
          <w:sz w:val="18"/>
          <w:szCs w:val="18"/>
        </w:rPr>
        <w:t>Verder proces</w:t>
      </w:r>
    </w:p>
    <w:p w:rsidRPr="00A85EEF" w:rsidR="004A08B8" w:rsidP="004A08B8" w:rsidRDefault="004A08B8" w14:paraId="71F15589" w14:textId="3C1FA097">
      <w:pPr>
        <w:rPr>
          <w:rFonts w:ascii="Verdana" w:hAnsi="Verdana"/>
          <w:sz w:val="18"/>
          <w:szCs w:val="18"/>
        </w:rPr>
      </w:pPr>
      <w:r w:rsidRPr="00A85EEF">
        <w:rPr>
          <w:rFonts w:ascii="Verdana" w:hAnsi="Verdana"/>
          <w:sz w:val="18"/>
          <w:szCs w:val="18"/>
        </w:rPr>
        <w:t xml:space="preserve">Voordat de wetgeving definitief in werking kan treden, </w:t>
      </w:r>
      <w:r w:rsidR="007B3EA7">
        <w:rPr>
          <w:rFonts w:ascii="Verdana" w:hAnsi="Verdana"/>
          <w:sz w:val="18"/>
          <w:szCs w:val="18"/>
        </w:rPr>
        <w:t>wordt het akkoord nog formeel voorgelegd in het EP en de Raad</w:t>
      </w:r>
      <w:r w:rsidRPr="00A85EEF">
        <w:rPr>
          <w:rFonts w:ascii="Verdana" w:hAnsi="Verdana"/>
          <w:sz w:val="18"/>
          <w:szCs w:val="18"/>
        </w:rPr>
        <w:t xml:space="preserve">. Naar verwachting </w:t>
      </w:r>
      <w:r w:rsidR="007B3EA7">
        <w:rPr>
          <w:rFonts w:ascii="Verdana" w:hAnsi="Verdana"/>
          <w:sz w:val="18"/>
          <w:szCs w:val="18"/>
        </w:rPr>
        <w:t>gebeurt dit</w:t>
      </w:r>
      <w:r w:rsidRPr="00A85EEF">
        <w:rPr>
          <w:rFonts w:ascii="Verdana" w:hAnsi="Verdana"/>
          <w:sz w:val="18"/>
          <w:szCs w:val="18"/>
        </w:rPr>
        <w:t xml:space="preserve"> in april (EP) en mei (Raad). Het EP zal stemmen over de preventieve arm (</w:t>
      </w:r>
      <w:r w:rsidR="007B3EA7">
        <w:rPr>
          <w:rFonts w:ascii="Verdana" w:hAnsi="Verdana"/>
          <w:sz w:val="18"/>
          <w:szCs w:val="18"/>
        </w:rPr>
        <w:t xml:space="preserve">het deel van het wetgevingspakket </w:t>
      </w:r>
      <w:r w:rsidRPr="00A85EEF">
        <w:rPr>
          <w:rFonts w:ascii="Verdana" w:hAnsi="Verdana"/>
          <w:sz w:val="18"/>
          <w:szCs w:val="18"/>
        </w:rPr>
        <w:t xml:space="preserve">waar het </w:t>
      </w:r>
      <w:r w:rsidR="007B3EA7">
        <w:rPr>
          <w:rFonts w:ascii="Verdana" w:hAnsi="Verdana"/>
          <w:sz w:val="18"/>
          <w:szCs w:val="18"/>
        </w:rPr>
        <w:t xml:space="preserve">EP </w:t>
      </w:r>
      <w:r w:rsidRPr="00A85EEF">
        <w:rPr>
          <w:rFonts w:ascii="Verdana" w:hAnsi="Verdana"/>
          <w:sz w:val="18"/>
          <w:szCs w:val="18"/>
        </w:rPr>
        <w:t>medewetgever op is)</w:t>
      </w:r>
      <w:r w:rsidR="007B3EA7">
        <w:rPr>
          <w:rFonts w:ascii="Verdana" w:hAnsi="Verdana"/>
          <w:sz w:val="18"/>
          <w:szCs w:val="18"/>
        </w:rPr>
        <w:t>. De</w:t>
      </w:r>
      <w:r w:rsidRPr="00A85EEF">
        <w:rPr>
          <w:rFonts w:ascii="Verdana" w:hAnsi="Verdana"/>
          <w:sz w:val="18"/>
          <w:szCs w:val="18"/>
        </w:rPr>
        <w:t xml:space="preserve"> Raad zal </w:t>
      </w:r>
      <w:r w:rsidR="007B3EA7">
        <w:rPr>
          <w:rFonts w:ascii="Verdana" w:hAnsi="Verdana"/>
          <w:sz w:val="18"/>
          <w:szCs w:val="18"/>
        </w:rPr>
        <w:t xml:space="preserve">formeel goedkeuring moeten verlenen over </w:t>
      </w:r>
      <w:r w:rsidRPr="00A85EEF">
        <w:rPr>
          <w:rFonts w:ascii="Verdana" w:hAnsi="Verdana"/>
          <w:sz w:val="18"/>
          <w:szCs w:val="18"/>
        </w:rPr>
        <w:t xml:space="preserve">zowel de preventieve arm </w:t>
      </w:r>
      <w:r w:rsidR="007B3EA7">
        <w:rPr>
          <w:rFonts w:ascii="Verdana" w:hAnsi="Verdana"/>
          <w:sz w:val="18"/>
          <w:szCs w:val="18"/>
        </w:rPr>
        <w:t xml:space="preserve">zoals overeengekomen in het triloogakkoord </w:t>
      </w:r>
      <w:r w:rsidRPr="00A85EEF">
        <w:rPr>
          <w:rFonts w:ascii="Verdana" w:hAnsi="Verdana"/>
          <w:sz w:val="18"/>
          <w:szCs w:val="18"/>
        </w:rPr>
        <w:t xml:space="preserve">als de correctieve arm en de richtlijn zoals overeengekomen in het Raadsakkoord. </w:t>
      </w:r>
      <w:r w:rsidRPr="007B3EA7" w:rsidR="007B3EA7">
        <w:rPr>
          <w:rFonts w:ascii="Verdana" w:hAnsi="Verdana"/>
          <w:sz w:val="18"/>
          <w:szCs w:val="18"/>
        </w:rPr>
        <w:t xml:space="preserve">Het gehele wetgevingspakket kan op breed draagvlak rekenen </w:t>
      </w:r>
      <w:r w:rsidR="007F0E53">
        <w:rPr>
          <w:rFonts w:ascii="Verdana" w:hAnsi="Verdana"/>
          <w:sz w:val="18"/>
          <w:szCs w:val="18"/>
        </w:rPr>
        <w:t>onder lidstaten</w:t>
      </w:r>
      <w:r w:rsidRPr="007B3EA7" w:rsidR="007B3EA7">
        <w:rPr>
          <w:rFonts w:ascii="Verdana" w:hAnsi="Verdana"/>
          <w:sz w:val="18"/>
          <w:szCs w:val="18"/>
        </w:rPr>
        <w:t xml:space="preserve">, waardoor de benodigde steun </w:t>
      </w:r>
      <w:r w:rsidR="007F0E53">
        <w:rPr>
          <w:rFonts w:ascii="Verdana" w:hAnsi="Verdana"/>
          <w:sz w:val="18"/>
          <w:szCs w:val="18"/>
        </w:rPr>
        <w:t xml:space="preserve">in de Raad </w:t>
      </w:r>
      <w:r w:rsidRPr="007B3EA7" w:rsidR="007B3EA7">
        <w:rPr>
          <w:rFonts w:ascii="Verdana" w:hAnsi="Verdana"/>
          <w:sz w:val="18"/>
          <w:szCs w:val="18"/>
        </w:rPr>
        <w:t>naar verwachting wordt behaald.</w:t>
      </w:r>
    </w:p>
    <w:p w:rsidRPr="00A85EEF" w:rsidR="004A08B8" w:rsidP="004A08B8" w:rsidRDefault="004A08B8" w14:paraId="526B5258" w14:textId="5E9CC674">
      <w:pPr>
        <w:rPr>
          <w:rFonts w:ascii="Verdana" w:hAnsi="Verdana"/>
          <w:sz w:val="18"/>
          <w:szCs w:val="18"/>
        </w:rPr>
      </w:pPr>
      <w:r w:rsidRPr="00A85EEF">
        <w:rPr>
          <w:rFonts w:ascii="Verdana" w:hAnsi="Verdana"/>
          <w:sz w:val="18"/>
          <w:szCs w:val="18"/>
        </w:rPr>
        <w:t xml:space="preserve">Na inwerkingtreding van de nieuwe regels, zal de Commissie </w:t>
      </w:r>
      <w:r w:rsidRPr="00A85EEF" w:rsidR="00FF2317">
        <w:rPr>
          <w:rFonts w:ascii="Verdana" w:hAnsi="Verdana"/>
          <w:sz w:val="18"/>
          <w:szCs w:val="18"/>
        </w:rPr>
        <w:t>naar verwachting in juni</w:t>
      </w:r>
      <w:r w:rsidRPr="00A85EEF">
        <w:rPr>
          <w:rFonts w:ascii="Verdana" w:hAnsi="Verdana"/>
          <w:sz w:val="18"/>
          <w:szCs w:val="18"/>
        </w:rPr>
        <w:t xml:space="preserve"> 2024 </w:t>
      </w:r>
      <w:r w:rsidRPr="00A85EEF">
        <w:rPr>
          <w:rFonts w:ascii="Verdana" w:hAnsi="Verdana"/>
          <w:i/>
          <w:iCs/>
          <w:sz w:val="18"/>
          <w:szCs w:val="18"/>
        </w:rPr>
        <w:t>guidance</w:t>
      </w:r>
      <w:r w:rsidRPr="00A85EEF">
        <w:rPr>
          <w:rFonts w:ascii="Verdana" w:hAnsi="Verdana"/>
          <w:sz w:val="18"/>
          <w:szCs w:val="18"/>
        </w:rPr>
        <w:t xml:space="preserve"> aan lidstaten verstrekken ten behoeve van het opstellen van het plan en zullen lidstaten </w:t>
      </w:r>
      <w:r w:rsidRPr="00A85EEF" w:rsidR="00FF2317">
        <w:rPr>
          <w:rFonts w:ascii="Verdana" w:hAnsi="Verdana"/>
          <w:sz w:val="18"/>
          <w:szCs w:val="18"/>
        </w:rPr>
        <w:t xml:space="preserve">in september hun </w:t>
      </w:r>
      <w:r w:rsidR="00B93F73">
        <w:rPr>
          <w:rFonts w:ascii="Verdana" w:hAnsi="Verdana"/>
          <w:sz w:val="18"/>
          <w:szCs w:val="18"/>
        </w:rPr>
        <w:t>nationaal begrotings</w:t>
      </w:r>
      <w:r w:rsidRPr="00A85EEF" w:rsidR="00FF2317">
        <w:rPr>
          <w:rFonts w:ascii="Verdana" w:hAnsi="Verdana"/>
          <w:sz w:val="18"/>
          <w:szCs w:val="18"/>
        </w:rPr>
        <w:t xml:space="preserve">plan moeten indienen. </w:t>
      </w:r>
      <w:r w:rsidRPr="00A85EEF">
        <w:rPr>
          <w:rFonts w:ascii="Verdana" w:hAnsi="Verdana"/>
          <w:sz w:val="18"/>
          <w:szCs w:val="18"/>
        </w:rPr>
        <w:t xml:space="preserve"> </w:t>
      </w:r>
    </w:p>
    <w:bookmarkEnd w:id="2"/>
    <w:p w:rsidRPr="00A85EEF" w:rsidR="004A08B8" w:rsidP="003D0511" w:rsidRDefault="004A08B8" w14:paraId="26284525" w14:textId="77777777">
      <w:pPr>
        <w:rPr>
          <w:rFonts w:ascii="Verdana" w:hAnsi="Verdana"/>
          <w:b/>
          <w:bCs/>
          <w:sz w:val="18"/>
          <w:szCs w:val="18"/>
        </w:rPr>
      </w:pPr>
    </w:p>
    <w:sectPr w:rsidRPr="00A85EEF" w:rsidR="004A08B8">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5A65" w14:textId="77777777" w:rsidR="005E2F96" w:rsidRDefault="005E2F96" w:rsidP="007E4B9E">
      <w:pPr>
        <w:spacing w:after="0" w:line="240" w:lineRule="auto"/>
      </w:pPr>
      <w:r>
        <w:separator/>
      </w:r>
    </w:p>
  </w:endnote>
  <w:endnote w:type="continuationSeparator" w:id="0">
    <w:p w14:paraId="65013A68" w14:textId="77777777" w:rsidR="005E2F96" w:rsidRDefault="005E2F96" w:rsidP="007E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213203"/>
      <w:docPartObj>
        <w:docPartGallery w:val="Page Numbers (Bottom of Page)"/>
        <w:docPartUnique/>
      </w:docPartObj>
    </w:sdtPr>
    <w:sdtContent>
      <w:p w14:paraId="55721BF7" w14:textId="3E79284F" w:rsidR="00B36F36" w:rsidRDefault="00B36F36">
        <w:pPr>
          <w:pStyle w:val="Voettekst"/>
          <w:jc w:val="right"/>
        </w:pPr>
        <w:r>
          <w:fldChar w:fldCharType="begin"/>
        </w:r>
        <w:r>
          <w:instrText>PAGE   \* MERGEFORMAT</w:instrText>
        </w:r>
        <w:r>
          <w:fldChar w:fldCharType="separate"/>
        </w:r>
        <w:r>
          <w:t>2</w:t>
        </w:r>
        <w:r>
          <w:fldChar w:fldCharType="end"/>
        </w:r>
      </w:p>
    </w:sdtContent>
  </w:sdt>
  <w:p w14:paraId="19D0BEF5" w14:textId="77777777" w:rsidR="00B36F36" w:rsidRDefault="00B36F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48BC" w14:textId="77777777" w:rsidR="005E2F96" w:rsidRDefault="005E2F96" w:rsidP="007E4B9E">
      <w:pPr>
        <w:spacing w:after="0" w:line="240" w:lineRule="auto"/>
      </w:pPr>
      <w:r>
        <w:separator/>
      </w:r>
    </w:p>
  </w:footnote>
  <w:footnote w:type="continuationSeparator" w:id="0">
    <w:p w14:paraId="4F0D5A90" w14:textId="77777777" w:rsidR="005E2F96" w:rsidRDefault="005E2F96" w:rsidP="007E4B9E">
      <w:pPr>
        <w:spacing w:after="0" w:line="240" w:lineRule="auto"/>
      </w:pPr>
      <w:r>
        <w:continuationSeparator/>
      </w:r>
    </w:p>
  </w:footnote>
  <w:footnote w:id="1">
    <w:p w14:paraId="197012E7" w14:textId="6ABFD039" w:rsidR="0055406F" w:rsidRPr="004138FC" w:rsidRDefault="0055406F" w:rsidP="0055406F">
      <w:pPr>
        <w:pStyle w:val="Voetnoottekst"/>
        <w:rPr>
          <w:rFonts w:ascii="Verdana" w:hAnsi="Verdana"/>
          <w:sz w:val="16"/>
          <w:szCs w:val="16"/>
        </w:rPr>
      </w:pPr>
      <w:r w:rsidRPr="004138FC">
        <w:rPr>
          <w:rStyle w:val="Voetnootmarkering"/>
          <w:rFonts w:ascii="Verdana" w:hAnsi="Verdana"/>
          <w:sz w:val="16"/>
          <w:szCs w:val="16"/>
        </w:rPr>
        <w:footnoteRef/>
      </w:r>
      <w:r w:rsidRPr="004138FC">
        <w:rPr>
          <w:rFonts w:ascii="Verdana" w:hAnsi="Verdana"/>
          <w:sz w:val="16"/>
          <w:szCs w:val="16"/>
        </w:rPr>
        <w:t xml:space="preserve"> Kamerstukken II 2023-2024, 21 501, nr. 2000</w:t>
      </w:r>
    </w:p>
  </w:footnote>
  <w:footnote w:id="2">
    <w:p w14:paraId="064625DD" w14:textId="57A06167" w:rsidR="0055406F" w:rsidRPr="004138FC" w:rsidRDefault="0055406F" w:rsidP="0055406F">
      <w:pPr>
        <w:pStyle w:val="Voetnoottekst"/>
        <w:rPr>
          <w:rFonts w:ascii="Verdana" w:hAnsi="Verdana"/>
          <w:sz w:val="16"/>
          <w:szCs w:val="16"/>
        </w:rPr>
      </w:pPr>
      <w:r w:rsidRPr="004138FC">
        <w:rPr>
          <w:rStyle w:val="Voetnootmarkering"/>
          <w:rFonts w:ascii="Verdana" w:hAnsi="Verdana"/>
          <w:sz w:val="16"/>
          <w:szCs w:val="16"/>
        </w:rPr>
        <w:footnoteRef/>
      </w:r>
      <w:r w:rsidRPr="004138FC">
        <w:rPr>
          <w:rFonts w:ascii="Verdana" w:hAnsi="Verdana"/>
          <w:sz w:val="16"/>
          <w:szCs w:val="16"/>
        </w:rPr>
        <w:t xml:space="preserve"> Kamerstukken I</w:t>
      </w:r>
      <w:r w:rsidR="009809FD" w:rsidRPr="004138FC">
        <w:rPr>
          <w:rFonts w:ascii="Verdana" w:hAnsi="Verdana"/>
          <w:sz w:val="16"/>
          <w:szCs w:val="16"/>
        </w:rPr>
        <w:t>I</w:t>
      </w:r>
      <w:r w:rsidRPr="004138FC">
        <w:rPr>
          <w:rFonts w:ascii="Verdana" w:hAnsi="Verdana"/>
          <w:sz w:val="16"/>
          <w:szCs w:val="16"/>
        </w:rPr>
        <w:t xml:space="preserve"> 2023-2024, 21501, nr. 2004</w:t>
      </w:r>
    </w:p>
  </w:footnote>
  <w:footnote w:id="3">
    <w:p w14:paraId="258584E8" w14:textId="3EC587AE" w:rsidR="00206DC2" w:rsidRPr="004138FC" w:rsidRDefault="00206DC2" w:rsidP="00206DC2">
      <w:pPr>
        <w:pStyle w:val="Voetnoottekst"/>
        <w:rPr>
          <w:rFonts w:ascii="Verdana" w:hAnsi="Verdana"/>
          <w:sz w:val="16"/>
          <w:szCs w:val="16"/>
        </w:rPr>
      </w:pPr>
      <w:r w:rsidRPr="004138FC">
        <w:rPr>
          <w:rStyle w:val="Voetnootmarkering"/>
          <w:rFonts w:ascii="Verdana" w:hAnsi="Verdana"/>
          <w:sz w:val="16"/>
          <w:szCs w:val="16"/>
        </w:rPr>
        <w:footnoteRef/>
      </w:r>
      <w:r w:rsidRPr="004138FC">
        <w:rPr>
          <w:rFonts w:ascii="Verdana" w:hAnsi="Verdana"/>
          <w:sz w:val="16"/>
          <w:szCs w:val="16"/>
        </w:rPr>
        <w:t xml:space="preserve"> Kamerstukken II 2022-2023, 22 112 nr. 3699</w:t>
      </w:r>
    </w:p>
  </w:footnote>
  <w:footnote w:id="4">
    <w:p w14:paraId="44AD534E" w14:textId="7103164B" w:rsidR="00805521" w:rsidRPr="004138FC" w:rsidRDefault="00805521">
      <w:pPr>
        <w:pStyle w:val="Voetnoottekst"/>
        <w:rPr>
          <w:rFonts w:ascii="Verdana" w:hAnsi="Verdana"/>
          <w:sz w:val="16"/>
          <w:szCs w:val="16"/>
        </w:rPr>
      </w:pPr>
      <w:r w:rsidRPr="004138FC">
        <w:rPr>
          <w:rStyle w:val="Voetnootmarkering"/>
          <w:rFonts w:ascii="Verdana" w:hAnsi="Verdana"/>
          <w:sz w:val="16"/>
          <w:szCs w:val="16"/>
        </w:rPr>
        <w:footnoteRef/>
      </w:r>
      <w:r w:rsidRPr="004138FC">
        <w:rPr>
          <w:rFonts w:ascii="Verdana" w:hAnsi="Verdana"/>
          <w:sz w:val="16"/>
          <w:szCs w:val="16"/>
        </w:rPr>
        <w:t xml:space="preserve"> De verplichting tot nationale cofinanciering van EU-middelen geldt onder meer voor de Europese Structuur- en Investeringsfondsen.</w:t>
      </w:r>
    </w:p>
  </w:footnote>
  <w:footnote w:id="5">
    <w:p w14:paraId="6901BD97" w14:textId="18698B91" w:rsidR="002100AC" w:rsidRPr="004138FC" w:rsidRDefault="002100AC">
      <w:pPr>
        <w:pStyle w:val="Voetnoottekst"/>
        <w:rPr>
          <w:rFonts w:ascii="Verdana" w:hAnsi="Verdana"/>
          <w:sz w:val="16"/>
          <w:szCs w:val="16"/>
        </w:rPr>
      </w:pPr>
      <w:r w:rsidRPr="004138FC">
        <w:rPr>
          <w:rStyle w:val="Voetnootmarkering"/>
          <w:rFonts w:ascii="Verdana" w:hAnsi="Verdana"/>
          <w:sz w:val="16"/>
          <w:szCs w:val="16"/>
        </w:rPr>
        <w:footnoteRef/>
      </w:r>
      <w:r w:rsidRPr="004138FC">
        <w:rPr>
          <w:rFonts w:ascii="Verdana" w:hAnsi="Verdana"/>
          <w:sz w:val="16"/>
          <w:szCs w:val="16"/>
        </w:rPr>
        <w:t xml:space="preserve"> Zie Kamerstuk 21 501-20 nr. 2006 voor een andere toelichting over het Raamwerk voor Sociale Convergentie.</w:t>
      </w:r>
    </w:p>
  </w:footnote>
  <w:footnote w:id="6">
    <w:p w14:paraId="1292530F" w14:textId="3AF30131" w:rsidR="00723840" w:rsidRPr="004138FC" w:rsidRDefault="00723840" w:rsidP="00723840">
      <w:pPr>
        <w:pStyle w:val="Voetnoottekst"/>
        <w:rPr>
          <w:rFonts w:ascii="Verdana" w:hAnsi="Verdana"/>
          <w:sz w:val="16"/>
          <w:szCs w:val="16"/>
        </w:rPr>
      </w:pPr>
      <w:r w:rsidRPr="004138FC">
        <w:rPr>
          <w:rStyle w:val="Voetnootmarkering"/>
          <w:rFonts w:ascii="Verdana" w:hAnsi="Verdana"/>
          <w:sz w:val="16"/>
          <w:szCs w:val="16"/>
        </w:rPr>
        <w:footnoteRef/>
      </w:r>
      <w:r w:rsidRPr="004138FC">
        <w:rPr>
          <w:rFonts w:ascii="Verdana" w:hAnsi="Verdana"/>
          <w:sz w:val="16"/>
          <w:szCs w:val="16"/>
        </w:rPr>
        <w:t xml:space="preserve"> Kamerstu</w:t>
      </w:r>
      <w:r w:rsidR="00D36C73" w:rsidRPr="004138FC">
        <w:rPr>
          <w:rFonts w:ascii="Verdana" w:hAnsi="Verdana"/>
          <w:sz w:val="16"/>
          <w:szCs w:val="16"/>
        </w:rPr>
        <w:t>k II 2023-2024,</w:t>
      </w:r>
      <w:r w:rsidRPr="004138FC">
        <w:rPr>
          <w:rFonts w:ascii="Verdana" w:hAnsi="Verdana"/>
          <w:sz w:val="16"/>
          <w:szCs w:val="16"/>
        </w:rPr>
        <w:t xml:space="preserve"> 21501</w:t>
      </w:r>
      <w:r w:rsidR="00D36C73" w:rsidRPr="004138FC">
        <w:rPr>
          <w:rFonts w:ascii="Verdana" w:hAnsi="Verdana"/>
          <w:sz w:val="16"/>
          <w:szCs w:val="16"/>
        </w:rPr>
        <w:t xml:space="preserve"> nr. </w:t>
      </w:r>
      <w:r w:rsidRPr="004138FC">
        <w:rPr>
          <w:rFonts w:ascii="Verdana" w:hAnsi="Verdana"/>
          <w:sz w:val="16"/>
          <w:szCs w:val="16"/>
        </w:rPr>
        <w:t>1926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AC9"/>
    <w:multiLevelType w:val="hybridMultilevel"/>
    <w:tmpl w:val="5EDA4D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912414"/>
    <w:multiLevelType w:val="hybridMultilevel"/>
    <w:tmpl w:val="F392D2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6D6156"/>
    <w:multiLevelType w:val="hybridMultilevel"/>
    <w:tmpl w:val="3E743718"/>
    <w:lvl w:ilvl="0" w:tplc="E604BA90">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851814"/>
    <w:multiLevelType w:val="hybridMultilevel"/>
    <w:tmpl w:val="CB10B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0487690">
    <w:abstractNumId w:val="3"/>
  </w:num>
  <w:num w:numId="2" w16cid:durableId="406924910">
    <w:abstractNumId w:val="1"/>
  </w:num>
  <w:num w:numId="3" w16cid:durableId="188690882">
    <w:abstractNumId w:val="0"/>
  </w:num>
  <w:num w:numId="4" w16cid:durableId="1087651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D6"/>
    <w:rsid w:val="00002471"/>
    <w:rsid w:val="00006C60"/>
    <w:rsid w:val="00015CED"/>
    <w:rsid w:val="0003458B"/>
    <w:rsid w:val="00035F4A"/>
    <w:rsid w:val="00044899"/>
    <w:rsid w:val="00077185"/>
    <w:rsid w:val="000853D7"/>
    <w:rsid w:val="00085D8A"/>
    <w:rsid w:val="00087567"/>
    <w:rsid w:val="000903C7"/>
    <w:rsid w:val="000A5C37"/>
    <w:rsid w:val="000B1BB9"/>
    <w:rsid w:val="000C00E8"/>
    <w:rsid w:val="000C2C5C"/>
    <w:rsid w:val="000D3506"/>
    <w:rsid w:val="000D6BAD"/>
    <w:rsid w:val="000D797E"/>
    <w:rsid w:val="000E450D"/>
    <w:rsid w:val="000E62DE"/>
    <w:rsid w:val="000F2834"/>
    <w:rsid w:val="000F44E5"/>
    <w:rsid w:val="000F5912"/>
    <w:rsid w:val="0010123E"/>
    <w:rsid w:val="0010483A"/>
    <w:rsid w:val="00126B6A"/>
    <w:rsid w:val="001271A5"/>
    <w:rsid w:val="00133058"/>
    <w:rsid w:val="00133920"/>
    <w:rsid w:val="00133B9B"/>
    <w:rsid w:val="0013476C"/>
    <w:rsid w:val="001421DC"/>
    <w:rsid w:val="00150616"/>
    <w:rsid w:val="00166863"/>
    <w:rsid w:val="0017015E"/>
    <w:rsid w:val="001712E9"/>
    <w:rsid w:val="00180BBC"/>
    <w:rsid w:val="001818F0"/>
    <w:rsid w:val="0018198C"/>
    <w:rsid w:val="00181FE7"/>
    <w:rsid w:val="001B3D78"/>
    <w:rsid w:val="001C4801"/>
    <w:rsid w:val="001C50B7"/>
    <w:rsid w:val="001C66F5"/>
    <w:rsid w:val="001C7486"/>
    <w:rsid w:val="001C7A5A"/>
    <w:rsid w:val="001E1C03"/>
    <w:rsid w:val="001E38B0"/>
    <w:rsid w:val="001E76A5"/>
    <w:rsid w:val="001F335E"/>
    <w:rsid w:val="00200969"/>
    <w:rsid w:val="00202887"/>
    <w:rsid w:val="00205C29"/>
    <w:rsid w:val="00206DC2"/>
    <w:rsid w:val="002100AC"/>
    <w:rsid w:val="00225690"/>
    <w:rsid w:val="00234F06"/>
    <w:rsid w:val="00242BF3"/>
    <w:rsid w:val="00256DC3"/>
    <w:rsid w:val="002736D5"/>
    <w:rsid w:val="0027784C"/>
    <w:rsid w:val="00283DE5"/>
    <w:rsid w:val="00287A88"/>
    <w:rsid w:val="00294AB2"/>
    <w:rsid w:val="002A0E06"/>
    <w:rsid w:val="002B1052"/>
    <w:rsid w:val="002B4100"/>
    <w:rsid w:val="002B7A04"/>
    <w:rsid w:val="002C1B2F"/>
    <w:rsid w:val="002D3AD5"/>
    <w:rsid w:val="002E0A07"/>
    <w:rsid w:val="002E4123"/>
    <w:rsid w:val="002E5A91"/>
    <w:rsid w:val="002E7D6A"/>
    <w:rsid w:val="002F499F"/>
    <w:rsid w:val="002F65BD"/>
    <w:rsid w:val="003104FB"/>
    <w:rsid w:val="003107A7"/>
    <w:rsid w:val="0031367C"/>
    <w:rsid w:val="00314FE2"/>
    <w:rsid w:val="00315DFE"/>
    <w:rsid w:val="003229BE"/>
    <w:rsid w:val="00323AD6"/>
    <w:rsid w:val="00327582"/>
    <w:rsid w:val="00334F49"/>
    <w:rsid w:val="003354BE"/>
    <w:rsid w:val="003416E5"/>
    <w:rsid w:val="00342D9C"/>
    <w:rsid w:val="00344482"/>
    <w:rsid w:val="0035526A"/>
    <w:rsid w:val="00362708"/>
    <w:rsid w:val="00365CA1"/>
    <w:rsid w:val="003720E5"/>
    <w:rsid w:val="00372DC6"/>
    <w:rsid w:val="00373752"/>
    <w:rsid w:val="00386E10"/>
    <w:rsid w:val="0039696F"/>
    <w:rsid w:val="003A336B"/>
    <w:rsid w:val="003A6C23"/>
    <w:rsid w:val="003B0D35"/>
    <w:rsid w:val="003B230C"/>
    <w:rsid w:val="003C466C"/>
    <w:rsid w:val="003D0511"/>
    <w:rsid w:val="003E3BB8"/>
    <w:rsid w:val="003E41F9"/>
    <w:rsid w:val="003E6D4A"/>
    <w:rsid w:val="004022FF"/>
    <w:rsid w:val="004138FC"/>
    <w:rsid w:val="00413CE7"/>
    <w:rsid w:val="0041439A"/>
    <w:rsid w:val="00433062"/>
    <w:rsid w:val="004359A5"/>
    <w:rsid w:val="00440684"/>
    <w:rsid w:val="00453AED"/>
    <w:rsid w:val="004631CD"/>
    <w:rsid w:val="00464274"/>
    <w:rsid w:val="00464417"/>
    <w:rsid w:val="004678BA"/>
    <w:rsid w:val="004825D2"/>
    <w:rsid w:val="00491F63"/>
    <w:rsid w:val="00496241"/>
    <w:rsid w:val="004A08B8"/>
    <w:rsid w:val="004A0AC9"/>
    <w:rsid w:val="004A1582"/>
    <w:rsid w:val="004A2DF7"/>
    <w:rsid w:val="004A4014"/>
    <w:rsid w:val="004B0252"/>
    <w:rsid w:val="004B0C57"/>
    <w:rsid w:val="004B46D9"/>
    <w:rsid w:val="004D7CCA"/>
    <w:rsid w:val="004D7E21"/>
    <w:rsid w:val="004E3D1A"/>
    <w:rsid w:val="004E761C"/>
    <w:rsid w:val="004F2BD3"/>
    <w:rsid w:val="00505E06"/>
    <w:rsid w:val="00511496"/>
    <w:rsid w:val="00512CEA"/>
    <w:rsid w:val="00514740"/>
    <w:rsid w:val="005152A0"/>
    <w:rsid w:val="00517EAA"/>
    <w:rsid w:val="005227BA"/>
    <w:rsid w:val="005262CA"/>
    <w:rsid w:val="00526CC3"/>
    <w:rsid w:val="00530860"/>
    <w:rsid w:val="00541625"/>
    <w:rsid w:val="0054579D"/>
    <w:rsid w:val="0054702A"/>
    <w:rsid w:val="00547686"/>
    <w:rsid w:val="00553763"/>
    <w:rsid w:val="0055406F"/>
    <w:rsid w:val="00562C76"/>
    <w:rsid w:val="00564FC2"/>
    <w:rsid w:val="005839E8"/>
    <w:rsid w:val="00591725"/>
    <w:rsid w:val="00594C9A"/>
    <w:rsid w:val="00595BD2"/>
    <w:rsid w:val="005B790F"/>
    <w:rsid w:val="005C04BF"/>
    <w:rsid w:val="005C478D"/>
    <w:rsid w:val="005C5E4B"/>
    <w:rsid w:val="005D456D"/>
    <w:rsid w:val="005D543D"/>
    <w:rsid w:val="005E2F96"/>
    <w:rsid w:val="00600A55"/>
    <w:rsid w:val="006037DD"/>
    <w:rsid w:val="00603A71"/>
    <w:rsid w:val="006062B0"/>
    <w:rsid w:val="006143B4"/>
    <w:rsid w:val="00622186"/>
    <w:rsid w:val="00625A6D"/>
    <w:rsid w:val="00634305"/>
    <w:rsid w:val="00635A02"/>
    <w:rsid w:val="00673176"/>
    <w:rsid w:val="0068030C"/>
    <w:rsid w:val="0068404F"/>
    <w:rsid w:val="00694EC2"/>
    <w:rsid w:val="006A2E0A"/>
    <w:rsid w:val="006C34FF"/>
    <w:rsid w:val="006C3937"/>
    <w:rsid w:val="006D69AA"/>
    <w:rsid w:val="006E2ACF"/>
    <w:rsid w:val="006E58AB"/>
    <w:rsid w:val="006F1D78"/>
    <w:rsid w:val="006F577F"/>
    <w:rsid w:val="00702E94"/>
    <w:rsid w:val="00706972"/>
    <w:rsid w:val="00712B83"/>
    <w:rsid w:val="007152A2"/>
    <w:rsid w:val="00723840"/>
    <w:rsid w:val="007302BD"/>
    <w:rsid w:val="00735BFC"/>
    <w:rsid w:val="00754E16"/>
    <w:rsid w:val="007710DB"/>
    <w:rsid w:val="007824A2"/>
    <w:rsid w:val="00783FCD"/>
    <w:rsid w:val="007879B8"/>
    <w:rsid w:val="00797945"/>
    <w:rsid w:val="007A0C9C"/>
    <w:rsid w:val="007A0E1B"/>
    <w:rsid w:val="007A431A"/>
    <w:rsid w:val="007A7E5B"/>
    <w:rsid w:val="007B19EA"/>
    <w:rsid w:val="007B3EA7"/>
    <w:rsid w:val="007B770F"/>
    <w:rsid w:val="007C1A52"/>
    <w:rsid w:val="007C4E2D"/>
    <w:rsid w:val="007C78C4"/>
    <w:rsid w:val="007C7F74"/>
    <w:rsid w:val="007D5402"/>
    <w:rsid w:val="007E3054"/>
    <w:rsid w:val="007E4B9E"/>
    <w:rsid w:val="007E6F22"/>
    <w:rsid w:val="007E794E"/>
    <w:rsid w:val="007F0E53"/>
    <w:rsid w:val="007F2168"/>
    <w:rsid w:val="007F26B5"/>
    <w:rsid w:val="007F69FC"/>
    <w:rsid w:val="008054A5"/>
    <w:rsid w:val="00805521"/>
    <w:rsid w:val="00814A7D"/>
    <w:rsid w:val="00816865"/>
    <w:rsid w:val="00824AD5"/>
    <w:rsid w:val="00824E11"/>
    <w:rsid w:val="00826E72"/>
    <w:rsid w:val="00836987"/>
    <w:rsid w:val="008418D2"/>
    <w:rsid w:val="00850F0C"/>
    <w:rsid w:val="0087292C"/>
    <w:rsid w:val="00886EE0"/>
    <w:rsid w:val="008916BE"/>
    <w:rsid w:val="00891AAE"/>
    <w:rsid w:val="00891F4F"/>
    <w:rsid w:val="00893342"/>
    <w:rsid w:val="008963D3"/>
    <w:rsid w:val="00896D32"/>
    <w:rsid w:val="008B2BAF"/>
    <w:rsid w:val="008C1D22"/>
    <w:rsid w:val="008C3AB7"/>
    <w:rsid w:val="008C7984"/>
    <w:rsid w:val="008C7AAC"/>
    <w:rsid w:val="008D27A7"/>
    <w:rsid w:val="008D4F9B"/>
    <w:rsid w:val="008D61B3"/>
    <w:rsid w:val="008E2DCF"/>
    <w:rsid w:val="008E3FF4"/>
    <w:rsid w:val="008E7490"/>
    <w:rsid w:val="008F108C"/>
    <w:rsid w:val="008F4BC4"/>
    <w:rsid w:val="00901924"/>
    <w:rsid w:val="00901F32"/>
    <w:rsid w:val="00910957"/>
    <w:rsid w:val="009137AF"/>
    <w:rsid w:val="00920072"/>
    <w:rsid w:val="00920FD7"/>
    <w:rsid w:val="00957144"/>
    <w:rsid w:val="009621BA"/>
    <w:rsid w:val="00972DCF"/>
    <w:rsid w:val="009809FD"/>
    <w:rsid w:val="009840B9"/>
    <w:rsid w:val="009A78EB"/>
    <w:rsid w:val="009B3E46"/>
    <w:rsid w:val="009B4E4E"/>
    <w:rsid w:val="009B7196"/>
    <w:rsid w:val="009C16C1"/>
    <w:rsid w:val="009C3324"/>
    <w:rsid w:val="009C571E"/>
    <w:rsid w:val="009D4BD6"/>
    <w:rsid w:val="009D55C3"/>
    <w:rsid w:val="009E0142"/>
    <w:rsid w:val="009E1445"/>
    <w:rsid w:val="009F39C1"/>
    <w:rsid w:val="00A112AB"/>
    <w:rsid w:val="00A44689"/>
    <w:rsid w:val="00A5367A"/>
    <w:rsid w:val="00A72917"/>
    <w:rsid w:val="00A739B3"/>
    <w:rsid w:val="00A76F33"/>
    <w:rsid w:val="00A82926"/>
    <w:rsid w:val="00A839AB"/>
    <w:rsid w:val="00A85EEF"/>
    <w:rsid w:val="00A86A1E"/>
    <w:rsid w:val="00A879D6"/>
    <w:rsid w:val="00A906D5"/>
    <w:rsid w:val="00A92ED1"/>
    <w:rsid w:val="00A95F90"/>
    <w:rsid w:val="00AA3686"/>
    <w:rsid w:val="00AB4120"/>
    <w:rsid w:val="00AB5F2D"/>
    <w:rsid w:val="00AC594A"/>
    <w:rsid w:val="00AC5D3D"/>
    <w:rsid w:val="00AD1A4D"/>
    <w:rsid w:val="00AD6BD5"/>
    <w:rsid w:val="00AF2EDC"/>
    <w:rsid w:val="00AF4400"/>
    <w:rsid w:val="00B14766"/>
    <w:rsid w:val="00B153B9"/>
    <w:rsid w:val="00B3006E"/>
    <w:rsid w:val="00B33781"/>
    <w:rsid w:val="00B36F36"/>
    <w:rsid w:val="00B44EBA"/>
    <w:rsid w:val="00B5148D"/>
    <w:rsid w:val="00B60844"/>
    <w:rsid w:val="00B64C2D"/>
    <w:rsid w:val="00B65B1C"/>
    <w:rsid w:val="00B75944"/>
    <w:rsid w:val="00B774A8"/>
    <w:rsid w:val="00B80BCC"/>
    <w:rsid w:val="00B8283D"/>
    <w:rsid w:val="00B82AAF"/>
    <w:rsid w:val="00B84075"/>
    <w:rsid w:val="00B87304"/>
    <w:rsid w:val="00B87473"/>
    <w:rsid w:val="00B9122A"/>
    <w:rsid w:val="00B93F73"/>
    <w:rsid w:val="00B9602B"/>
    <w:rsid w:val="00BA1B21"/>
    <w:rsid w:val="00BA4AF2"/>
    <w:rsid w:val="00BB05BB"/>
    <w:rsid w:val="00BB3CF0"/>
    <w:rsid w:val="00BB5774"/>
    <w:rsid w:val="00BB7EBE"/>
    <w:rsid w:val="00BC2862"/>
    <w:rsid w:val="00BC72DF"/>
    <w:rsid w:val="00BD67B2"/>
    <w:rsid w:val="00BE5DCD"/>
    <w:rsid w:val="00BE6E37"/>
    <w:rsid w:val="00BF0877"/>
    <w:rsid w:val="00BF383F"/>
    <w:rsid w:val="00C0059D"/>
    <w:rsid w:val="00C074C7"/>
    <w:rsid w:val="00C1226D"/>
    <w:rsid w:val="00C42B5A"/>
    <w:rsid w:val="00C4312F"/>
    <w:rsid w:val="00C5049F"/>
    <w:rsid w:val="00C50DBC"/>
    <w:rsid w:val="00C5542F"/>
    <w:rsid w:val="00C819BC"/>
    <w:rsid w:val="00C8262D"/>
    <w:rsid w:val="00C86DD2"/>
    <w:rsid w:val="00CA3B5E"/>
    <w:rsid w:val="00CB3303"/>
    <w:rsid w:val="00CD45DD"/>
    <w:rsid w:val="00CE1970"/>
    <w:rsid w:val="00CF508D"/>
    <w:rsid w:val="00D00280"/>
    <w:rsid w:val="00D00D51"/>
    <w:rsid w:val="00D03856"/>
    <w:rsid w:val="00D07FA3"/>
    <w:rsid w:val="00D1657E"/>
    <w:rsid w:val="00D2212E"/>
    <w:rsid w:val="00D241B1"/>
    <w:rsid w:val="00D2644E"/>
    <w:rsid w:val="00D358F8"/>
    <w:rsid w:val="00D35EDF"/>
    <w:rsid w:val="00D36C73"/>
    <w:rsid w:val="00D421AB"/>
    <w:rsid w:val="00D42D6B"/>
    <w:rsid w:val="00D44C30"/>
    <w:rsid w:val="00D46DAE"/>
    <w:rsid w:val="00D657FB"/>
    <w:rsid w:val="00D72F52"/>
    <w:rsid w:val="00D74E79"/>
    <w:rsid w:val="00D81E76"/>
    <w:rsid w:val="00D84A8B"/>
    <w:rsid w:val="00D9243F"/>
    <w:rsid w:val="00D92457"/>
    <w:rsid w:val="00D95D9F"/>
    <w:rsid w:val="00D9776A"/>
    <w:rsid w:val="00DA01D5"/>
    <w:rsid w:val="00DA19BB"/>
    <w:rsid w:val="00DA3E7E"/>
    <w:rsid w:val="00DA771B"/>
    <w:rsid w:val="00DB2AA6"/>
    <w:rsid w:val="00DB36D8"/>
    <w:rsid w:val="00DB6D10"/>
    <w:rsid w:val="00DC1ABE"/>
    <w:rsid w:val="00DC21BD"/>
    <w:rsid w:val="00DC2BB1"/>
    <w:rsid w:val="00DC6F19"/>
    <w:rsid w:val="00DD587F"/>
    <w:rsid w:val="00DE2C67"/>
    <w:rsid w:val="00DF316A"/>
    <w:rsid w:val="00E0220C"/>
    <w:rsid w:val="00E271F7"/>
    <w:rsid w:val="00E37483"/>
    <w:rsid w:val="00E378B3"/>
    <w:rsid w:val="00E37922"/>
    <w:rsid w:val="00E41B3D"/>
    <w:rsid w:val="00E5051F"/>
    <w:rsid w:val="00E50993"/>
    <w:rsid w:val="00E53289"/>
    <w:rsid w:val="00E66376"/>
    <w:rsid w:val="00E709AC"/>
    <w:rsid w:val="00E7278A"/>
    <w:rsid w:val="00E74317"/>
    <w:rsid w:val="00E74E55"/>
    <w:rsid w:val="00E80EC2"/>
    <w:rsid w:val="00E97B8F"/>
    <w:rsid w:val="00EA774D"/>
    <w:rsid w:val="00EB453C"/>
    <w:rsid w:val="00EC3CFE"/>
    <w:rsid w:val="00EC3EA2"/>
    <w:rsid w:val="00EE41DB"/>
    <w:rsid w:val="00EF3791"/>
    <w:rsid w:val="00F00C69"/>
    <w:rsid w:val="00F032C8"/>
    <w:rsid w:val="00F0550A"/>
    <w:rsid w:val="00F16056"/>
    <w:rsid w:val="00F23D76"/>
    <w:rsid w:val="00F30DCD"/>
    <w:rsid w:val="00F33A7E"/>
    <w:rsid w:val="00F37CFD"/>
    <w:rsid w:val="00F4541A"/>
    <w:rsid w:val="00F46EC9"/>
    <w:rsid w:val="00F55B0E"/>
    <w:rsid w:val="00F560B3"/>
    <w:rsid w:val="00F6012B"/>
    <w:rsid w:val="00F62986"/>
    <w:rsid w:val="00F62A81"/>
    <w:rsid w:val="00F65D16"/>
    <w:rsid w:val="00F76856"/>
    <w:rsid w:val="00F84E36"/>
    <w:rsid w:val="00F84EC9"/>
    <w:rsid w:val="00FB63DC"/>
    <w:rsid w:val="00FC33F6"/>
    <w:rsid w:val="00FD2A8F"/>
    <w:rsid w:val="00FD3270"/>
    <w:rsid w:val="00FE5718"/>
    <w:rsid w:val="00FE6366"/>
    <w:rsid w:val="00FE721D"/>
    <w:rsid w:val="00FF0733"/>
    <w:rsid w:val="00FF2317"/>
    <w:rsid w:val="00FF2B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EF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E4B9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E4B9E"/>
    <w:rPr>
      <w:sz w:val="20"/>
      <w:szCs w:val="20"/>
    </w:rPr>
  </w:style>
  <w:style w:type="character" w:styleId="Voetnootmarkering">
    <w:name w:val="footnote reference"/>
    <w:basedOn w:val="Standaardalinea-lettertype"/>
    <w:uiPriority w:val="99"/>
    <w:semiHidden/>
    <w:unhideWhenUsed/>
    <w:rsid w:val="007E4B9E"/>
    <w:rPr>
      <w:vertAlign w:val="superscript"/>
    </w:rPr>
  </w:style>
  <w:style w:type="paragraph" w:styleId="Lijstalinea">
    <w:name w:val="List Paragraph"/>
    <w:basedOn w:val="Standaard"/>
    <w:uiPriority w:val="34"/>
    <w:qFormat/>
    <w:rsid w:val="00294AB2"/>
    <w:pPr>
      <w:ind w:left="720"/>
      <w:contextualSpacing/>
    </w:pPr>
  </w:style>
  <w:style w:type="paragraph" w:styleId="Koptekst">
    <w:name w:val="header"/>
    <w:basedOn w:val="Standaard"/>
    <w:link w:val="KoptekstChar"/>
    <w:uiPriority w:val="99"/>
    <w:unhideWhenUsed/>
    <w:rsid w:val="00F629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2986"/>
  </w:style>
  <w:style w:type="paragraph" w:styleId="Voettekst">
    <w:name w:val="footer"/>
    <w:basedOn w:val="Standaard"/>
    <w:link w:val="VoettekstChar"/>
    <w:uiPriority w:val="99"/>
    <w:unhideWhenUsed/>
    <w:rsid w:val="00F629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2986"/>
  </w:style>
  <w:style w:type="paragraph" w:styleId="Revisie">
    <w:name w:val="Revision"/>
    <w:hidden/>
    <w:uiPriority w:val="99"/>
    <w:semiHidden/>
    <w:rsid w:val="00BB5774"/>
    <w:pPr>
      <w:spacing w:after="0" w:line="240" w:lineRule="auto"/>
    </w:pPr>
  </w:style>
  <w:style w:type="character" w:styleId="Verwijzingopmerking">
    <w:name w:val="annotation reference"/>
    <w:basedOn w:val="Standaardalinea-lettertype"/>
    <w:uiPriority w:val="99"/>
    <w:semiHidden/>
    <w:unhideWhenUsed/>
    <w:rsid w:val="00E7278A"/>
    <w:rPr>
      <w:sz w:val="16"/>
      <w:szCs w:val="16"/>
    </w:rPr>
  </w:style>
  <w:style w:type="paragraph" w:styleId="Tekstopmerking">
    <w:name w:val="annotation text"/>
    <w:basedOn w:val="Standaard"/>
    <w:link w:val="TekstopmerkingChar"/>
    <w:uiPriority w:val="99"/>
    <w:unhideWhenUsed/>
    <w:rsid w:val="00E7278A"/>
    <w:pPr>
      <w:spacing w:line="240" w:lineRule="auto"/>
    </w:pPr>
    <w:rPr>
      <w:sz w:val="20"/>
      <w:szCs w:val="20"/>
    </w:rPr>
  </w:style>
  <w:style w:type="character" w:customStyle="1" w:styleId="TekstopmerkingChar">
    <w:name w:val="Tekst opmerking Char"/>
    <w:basedOn w:val="Standaardalinea-lettertype"/>
    <w:link w:val="Tekstopmerking"/>
    <w:uiPriority w:val="99"/>
    <w:rsid w:val="00E7278A"/>
    <w:rPr>
      <w:sz w:val="20"/>
      <w:szCs w:val="20"/>
    </w:rPr>
  </w:style>
  <w:style w:type="paragraph" w:styleId="Onderwerpvanopmerking">
    <w:name w:val="annotation subject"/>
    <w:basedOn w:val="Tekstopmerking"/>
    <w:next w:val="Tekstopmerking"/>
    <w:link w:val="OnderwerpvanopmerkingChar"/>
    <w:uiPriority w:val="99"/>
    <w:semiHidden/>
    <w:unhideWhenUsed/>
    <w:rsid w:val="00E7278A"/>
    <w:rPr>
      <w:b/>
      <w:bCs/>
    </w:rPr>
  </w:style>
  <w:style w:type="character" w:customStyle="1" w:styleId="OnderwerpvanopmerkingChar">
    <w:name w:val="Onderwerp van opmerking Char"/>
    <w:basedOn w:val="TekstopmerkingChar"/>
    <w:link w:val="Onderwerpvanopmerking"/>
    <w:uiPriority w:val="99"/>
    <w:semiHidden/>
    <w:rsid w:val="00E727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19825">
      <w:bodyDiv w:val="1"/>
      <w:marLeft w:val="0"/>
      <w:marRight w:val="0"/>
      <w:marTop w:val="0"/>
      <w:marBottom w:val="0"/>
      <w:divBdr>
        <w:top w:val="none" w:sz="0" w:space="0" w:color="auto"/>
        <w:left w:val="none" w:sz="0" w:space="0" w:color="auto"/>
        <w:bottom w:val="none" w:sz="0" w:space="0" w:color="auto"/>
        <w:right w:val="none" w:sz="0" w:space="0" w:color="auto"/>
      </w:divBdr>
    </w:div>
    <w:div w:id="11977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2470</ap:Words>
  <ap:Characters>13587</ap:Characters>
  <ap:DocSecurity>0</ap:DocSecurity>
  <ap:Lines>113</ap:Lines>
  <ap:Paragraphs>32</ap:Paragraphs>
  <ap:ScaleCrop>false</ap:ScaleCrop>
  <ap:LinksUpToDate>false</ap:LinksUpToDate>
  <ap:CharactersWithSpaces>16025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2024-02-26T11:27:00.0000000Z</dcterms:created>
  <dcterms:modified xsi:type="dcterms:W3CDTF">2024-02-26T11:38:00.0000000Z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2024-02-26T11:27:31Z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717c65ba-a352-4181-9552-b19da464daaf</vt:lpwstr>
  </property>
  <property fmtid="{D5CDD505-2E9C-101B-9397-08002B2CF9AE}" pid="8" name="MSIP_Label_6800fede-0e59-47ad-af95-4e63bbdb932d_ContentBits">
    <vt:lpwstr>0</vt:lpwstr>
  </property>
</Properties>
</file>