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798297"/>
        <w:docPartObj>
          <w:docPartGallery w:val="Cover Pages"/>
          <w:docPartUnique/>
        </w:docPartObj>
      </w:sdtPr>
      <w:sdtEndPr/>
      <w:sdtContent>
        <w:p w:rsidRPr="00E563AF" w:rsidR="00EE2A9D" w:rsidP="00970E37" w:rsidRDefault="00EE2A9D" w14:paraId="6A4858FD" w14:textId="77777777"/>
        <w:p w:rsidRPr="00E563AF" w:rsidR="00241BB9" w:rsidP="00970E37" w:rsidRDefault="00900801" w14:paraId="748ADA51" w14:textId="77777777">
          <w:pPr>
            <w:spacing w:line="240" w:lineRule="auto"/>
          </w:pPr>
        </w:p>
      </w:sdtContent>
    </w:sdt>
    <w:p w:rsidRPr="00E563AF" w:rsidR="00CD5856" w:rsidP="00970E37" w:rsidRDefault="00CD5856" w14:paraId="0DE651A9" w14:textId="77777777">
      <w:pPr>
        <w:spacing w:line="240" w:lineRule="auto"/>
      </w:pPr>
    </w:p>
    <w:p w:rsidRPr="00E563AF" w:rsidR="00CD5856" w:rsidP="00970E37" w:rsidRDefault="00CD5856" w14:paraId="57D77A2A" w14:textId="77777777"/>
    <w:p w:rsidRPr="00E563AF" w:rsidR="00CD5856" w:rsidP="00970E37" w:rsidRDefault="00CD5856" w14:paraId="007678D3" w14:textId="77777777"/>
    <w:p w:rsidRPr="00E563AF" w:rsidR="00CD5856" w:rsidP="00970E37" w:rsidRDefault="00CD5856" w14:paraId="5C05E8C7" w14:textId="77777777">
      <w:pPr>
        <w:sectPr w:rsidRPr="00E563AF" w:rsidR="00CD5856" w:rsidSect="003C472B">
          <w:headerReference w:type="default" r:id="rId9"/>
          <w:footerReference w:type="default" r:id="rId10"/>
          <w:type w:val="continuous"/>
          <w:pgSz w:w="11905" w:h="16837"/>
          <w:pgMar w:top="2948" w:right="2778" w:bottom="1049" w:left="1588" w:header="6521" w:footer="709" w:gutter="0"/>
          <w:pgNumType w:start="1"/>
          <w:cols w:space="708"/>
          <w:docGrid w:linePitch="326"/>
        </w:sectPr>
      </w:pPr>
    </w:p>
    <w:p w:rsidRPr="00E563AF" w:rsidR="00CD5856" w:rsidP="00970E37" w:rsidRDefault="00900801" w14:paraId="69C007FD" w14:textId="77777777">
      <w:pPr>
        <w:pStyle w:val="Huisstijl-Aanhef"/>
      </w:pPr>
      <w:r w:rsidRPr="00E563AF">
        <w:t>Geachte voorzitter,</w:t>
      </w:r>
    </w:p>
    <w:p w:rsidRPr="00E563AF" w:rsidR="00E563AF" w:rsidP="00970E37" w:rsidRDefault="00900801" w14:paraId="06FF5738" w14:textId="77777777">
      <w:pPr>
        <w:pStyle w:val="StandaardAanhef"/>
        <w:suppressAutoHyphens/>
      </w:pPr>
      <w:r w:rsidRPr="00E563AF">
        <w:t xml:space="preserve">In de beantwoording van uw vragen in het </w:t>
      </w:r>
      <w:r w:rsidRPr="00E563AF">
        <w:rPr>
          <w:i/>
          <w:iCs/>
        </w:rPr>
        <w:t xml:space="preserve">Verslag van een schriftelijk overleg over de </w:t>
      </w:r>
      <w:r w:rsidRPr="00E563AF">
        <w:rPr>
          <w:i/>
          <w:iCs/>
        </w:rPr>
        <w:t>deelrapporten onderzoek inkoop persoonlijke beschermingsmiddelen</w:t>
      </w:r>
      <w:r w:rsidRPr="00E563AF">
        <w:t xml:space="preserve"> van 13 december 2023 heb ik uw Kamer onder andere laten weten dat ik u zal informeren over de opvolging van het onderzoek.</w:t>
      </w:r>
      <w:r>
        <w:rPr>
          <w:rStyle w:val="Voetnootmarkering"/>
        </w:rPr>
        <w:footnoteReference w:id="1"/>
      </w:r>
      <w:r w:rsidRPr="00E563AF">
        <w:t xml:space="preserve"> Ook heb ik toegezegd uw Kamer op de hoogte te houden van de juridi</w:t>
      </w:r>
      <w:r w:rsidRPr="00E563AF">
        <w:t>sche procedure inzake de transacties met Relief Goods Alliance B.V. Hierbij informeer ik u over de laatste stand van zaken.</w:t>
      </w:r>
    </w:p>
    <w:p w:rsidRPr="00E563AF" w:rsidR="00E563AF" w:rsidP="00970E37" w:rsidRDefault="00900801" w14:paraId="0CC1BED0" w14:textId="77777777">
      <w:pPr>
        <w:rPr>
          <w:b/>
          <w:bCs/>
        </w:rPr>
      </w:pPr>
      <w:r w:rsidRPr="00E563AF">
        <w:rPr>
          <w:b/>
          <w:bCs/>
        </w:rPr>
        <w:t>Stand van zaken juridische procedure inzake de transacties met Relief Goods Alliance B.V.</w:t>
      </w:r>
      <w:r>
        <w:rPr>
          <w:b/>
          <w:bCs/>
        </w:rPr>
        <w:br/>
      </w:r>
      <w:r w:rsidRPr="00E563AF">
        <w:rPr>
          <w:szCs w:val="18"/>
        </w:rPr>
        <w:t>Over mijn besluit tot het uitbrengen van d</w:t>
      </w:r>
      <w:r w:rsidRPr="00E563AF">
        <w:rPr>
          <w:szCs w:val="18"/>
        </w:rPr>
        <w:t>e dagvaarding in deze kwestie heb ik uw Kamer op 19 oktober 2023 geïnformeerd.</w:t>
      </w:r>
      <w:r>
        <w:rPr>
          <w:rStyle w:val="Voetnootmarkering"/>
          <w:szCs w:val="18"/>
        </w:rPr>
        <w:footnoteReference w:id="2"/>
      </w:r>
      <w:r w:rsidRPr="00E563AF">
        <w:rPr>
          <w:szCs w:val="18"/>
        </w:rPr>
        <w:t xml:space="preserve"> Ik kan u melden dat de eerste mondelinge behandeling bij de rechtbank van de juridische procedure inzake de transacties met Relief Goods Alliance B.V. (hierna: RGA) gepland st</w:t>
      </w:r>
      <w:r w:rsidRPr="00E563AF">
        <w:rPr>
          <w:szCs w:val="18"/>
        </w:rPr>
        <w:t xml:space="preserve">aat op 22 april aanstaande. </w:t>
      </w:r>
    </w:p>
    <w:p w:rsidR="000A372E" w:rsidP="00970E37" w:rsidRDefault="000A372E" w14:paraId="7FC1DF44" w14:textId="77777777"/>
    <w:p w:rsidRPr="00E563AF" w:rsidR="00E563AF" w:rsidP="00970E37" w:rsidRDefault="00900801" w14:paraId="4B9F2C43" w14:textId="77777777">
      <w:r w:rsidRPr="00E563AF">
        <w:t>Verder kan ik u melden dat de procedures van de Staat en de Stichting Hulptroepen Alliantie/ Hulptroepen Alliantie B.V. (hierna: SHA) op verzoek van de Staat gevoegd worden behandeld door de rechtbank.</w:t>
      </w:r>
      <w:r>
        <w:rPr>
          <w:rStyle w:val="Voetnootmarkering"/>
        </w:rPr>
        <w:footnoteReference w:id="3"/>
      </w:r>
      <w:r w:rsidRPr="00E563AF">
        <w:t xml:space="preserve"> Dat wil zeggen dat de </w:t>
      </w:r>
      <w:r w:rsidRPr="00E563AF">
        <w:t>rechtbank de procedure van SHA-RGA en de Staat-RGA gelijktijdig behandelt. Daarnaast hebben zowel SHA als de Staat een vordering tot tussenkomst in elkaars procedures bij de rechtbank ingediend. Hiermee hebben de Staat en SHA de rechtbank verzocht om proce</w:t>
      </w:r>
      <w:r w:rsidRPr="00E563AF">
        <w:t xml:space="preserve">spartij in elkaars procedure te mogen worden, zodat zij vorderingen kunnen instellen, verweer kunnen voeren en stukken kunnen inbrengen in elkaars procedure. Ik heb hiertoe besloten nadat SHA mij te kennen had gegeven te willen tussenkomen in de procedure </w:t>
      </w:r>
      <w:r w:rsidRPr="00E563AF">
        <w:t>van de Staat.</w:t>
      </w:r>
    </w:p>
    <w:p w:rsidR="00E563AF" w:rsidP="00970E37" w:rsidRDefault="00E563AF" w14:paraId="3471EA38" w14:textId="77777777"/>
    <w:p w:rsidRPr="00E563AF" w:rsidR="00E563AF" w:rsidP="00970E37" w:rsidRDefault="00900801" w14:paraId="1133450E" w14:textId="77777777">
      <w:pPr>
        <w:rPr>
          <w:b/>
          <w:bCs/>
        </w:rPr>
      </w:pPr>
      <w:r w:rsidRPr="00E563AF">
        <w:rPr>
          <w:b/>
          <w:bCs/>
        </w:rPr>
        <w:lastRenderedPageBreak/>
        <w:t>Overige transacties, niet zijnde RGA</w:t>
      </w:r>
      <w:r>
        <w:rPr>
          <w:b/>
          <w:bCs/>
        </w:rPr>
        <w:br/>
      </w:r>
      <w:r w:rsidRPr="00E563AF">
        <w:t>Ten aanzien van de overige onderzochte transacties, niet zijnde die met RGA, heeft de landsadvocaat alle deelrapporten geanalyseerd en de juridische positie van de Staat beoordeeld. Hierbij is onder ander</w:t>
      </w:r>
      <w:r w:rsidRPr="00E563AF">
        <w:t xml:space="preserve">e gekeken of er bij transacties sprake was van omstandigheden </w:t>
      </w:r>
      <w:r w:rsidRPr="00E563AF">
        <w:rPr>
          <w:rStyle w:val="cf01"/>
          <w:rFonts w:ascii="Verdana" w:hAnsi="Verdana"/>
        </w:rPr>
        <w:t xml:space="preserve">die nopen tot het nemen van (juridische) stappen om de eventuele onregelmatigheden recht te zetten. </w:t>
      </w:r>
      <w:r w:rsidRPr="00E563AF">
        <w:t xml:space="preserve">Op basis van deze beoordeling zijn er drie opties mogelijk: </w:t>
      </w:r>
    </w:p>
    <w:p w:rsidRPr="00E563AF" w:rsidR="00E563AF" w:rsidP="00970E37" w:rsidRDefault="00900801" w14:paraId="76ECF456" w14:textId="77777777">
      <w:pPr>
        <w:pStyle w:val="Lijstalinea"/>
        <w:numPr>
          <w:ilvl w:val="0"/>
          <w:numId w:val="2"/>
        </w:numPr>
        <w:suppressAutoHyphens/>
      </w:pPr>
      <w:r w:rsidRPr="00E563AF">
        <w:t xml:space="preserve">Geen (juridische) </w:t>
      </w:r>
      <w:r w:rsidRPr="00E563AF">
        <w:t>stappen, omdat er geen (aanvullende) omstandigheden zijn die vervolgstappen jegens partijen noodzakelijk of mogelijk maken;</w:t>
      </w:r>
    </w:p>
    <w:p w:rsidRPr="00E563AF" w:rsidR="00E563AF" w:rsidP="00970E37" w:rsidRDefault="00900801" w14:paraId="7B6687AA" w14:textId="77777777">
      <w:pPr>
        <w:pStyle w:val="Lijstalinea"/>
        <w:numPr>
          <w:ilvl w:val="0"/>
          <w:numId w:val="2"/>
        </w:numPr>
        <w:suppressAutoHyphens/>
        <w:rPr>
          <w:rStyle w:val="cf01"/>
          <w:rFonts w:ascii="Verdana" w:hAnsi="Verdana"/>
        </w:rPr>
      </w:pPr>
      <w:r w:rsidRPr="00E563AF">
        <w:t xml:space="preserve">Juridische vervolgstappen ondernemen om partijen de kans te geven om </w:t>
      </w:r>
      <w:r w:rsidRPr="00E563AF">
        <w:rPr>
          <w:rStyle w:val="cf01"/>
          <w:rFonts w:ascii="Verdana" w:hAnsi="Verdana"/>
        </w:rPr>
        <w:t>de geconstateerde onregelmatigheden recht te zetten en zo nodig</w:t>
      </w:r>
      <w:r w:rsidRPr="00E563AF">
        <w:rPr>
          <w:rStyle w:val="cf01"/>
          <w:rFonts w:ascii="Verdana" w:hAnsi="Verdana"/>
        </w:rPr>
        <w:t xml:space="preserve"> het geschil voor te leggen aan een rechter;</w:t>
      </w:r>
    </w:p>
    <w:p w:rsidRPr="00E563AF" w:rsidR="00E563AF" w:rsidP="00970E37" w:rsidRDefault="00900801" w14:paraId="276F91DA" w14:textId="77777777">
      <w:pPr>
        <w:pStyle w:val="Lijstalinea"/>
        <w:numPr>
          <w:ilvl w:val="0"/>
          <w:numId w:val="2"/>
        </w:numPr>
        <w:suppressAutoHyphens/>
      </w:pPr>
      <w:r w:rsidRPr="00E563AF">
        <w:rPr>
          <w:rStyle w:val="cf01"/>
          <w:rFonts w:ascii="Verdana" w:hAnsi="Verdana"/>
        </w:rPr>
        <w:t xml:space="preserve">Rechtstreeks voorleggen aan de rechter. </w:t>
      </w:r>
    </w:p>
    <w:p w:rsidRPr="00E563AF" w:rsidR="00E563AF" w:rsidP="00970E37" w:rsidRDefault="00900801" w14:paraId="7E3B0CDE" w14:textId="77777777">
      <w:pPr>
        <w:pStyle w:val="pf0"/>
        <w:suppressAutoHyphens/>
        <w:rPr>
          <w:rFonts w:ascii="Verdana" w:hAnsi="Verdana"/>
          <w:sz w:val="18"/>
          <w:szCs w:val="18"/>
        </w:rPr>
      </w:pPr>
      <w:r w:rsidRPr="00E563AF">
        <w:rPr>
          <w:rFonts w:ascii="Verdana" w:hAnsi="Verdana"/>
          <w:sz w:val="18"/>
          <w:szCs w:val="18"/>
        </w:rPr>
        <w:t>Mede op basis van het advies van de landsadvocaat heb ik ervoor gekozen om (juridische) stappen te zetten bij enkele transacties. Waar mogelijk treed ik (via de landsadvo</w:t>
      </w:r>
      <w:r w:rsidRPr="00E563AF">
        <w:rPr>
          <w:rFonts w:ascii="Verdana" w:hAnsi="Verdana"/>
          <w:sz w:val="18"/>
          <w:szCs w:val="18"/>
        </w:rPr>
        <w:t>caat) met de verschillende betrokken partijen in gesprek om het onrecht dat is ontstaan, recht te zetten. Dit zal grotendeels tot doel hebben om teveel betaalde bedragen terug te vorderen. Wanneer het niet lukt om gezamenlijk tot een oplossing te komen, za</w:t>
      </w:r>
      <w:r w:rsidRPr="00E563AF">
        <w:rPr>
          <w:rFonts w:ascii="Verdana" w:hAnsi="Verdana"/>
          <w:sz w:val="18"/>
          <w:szCs w:val="18"/>
        </w:rPr>
        <w:t>l ik zo nodig de kwestie voorleggen aan de rechtbank. Soms kan het wenselijk zijn om deze processen parallel aan elkaar te laten lopen in verband met het veiligstellen van alle rechten zoals het voorkomen van verjaring.</w:t>
      </w:r>
    </w:p>
    <w:p w:rsidRPr="00E563AF" w:rsidR="00E563AF" w:rsidP="00970E37" w:rsidRDefault="00900801" w14:paraId="3A699516" w14:textId="77777777">
      <w:pPr>
        <w:pStyle w:val="pf0"/>
        <w:suppressAutoHyphens/>
        <w:rPr>
          <w:rFonts w:ascii="Verdana" w:hAnsi="Verdana"/>
        </w:rPr>
      </w:pPr>
      <w:r w:rsidRPr="00E563AF">
        <w:rPr>
          <w:rFonts w:ascii="Verdana" w:hAnsi="Verdana"/>
          <w:sz w:val="18"/>
          <w:szCs w:val="18"/>
        </w:rPr>
        <w:t xml:space="preserve">In verband met de procespositie van </w:t>
      </w:r>
      <w:r w:rsidRPr="00E563AF">
        <w:rPr>
          <w:rFonts w:ascii="Verdana" w:hAnsi="Verdana"/>
          <w:sz w:val="18"/>
          <w:szCs w:val="18"/>
        </w:rPr>
        <w:t xml:space="preserve">de Staat kan ik geen mededelingen doen over welke vervolgacties er worden ondernomen en op welke transacties deze betrekking hebben. </w:t>
      </w:r>
    </w:p>
    <w:p w:rsidRPr="00E563AF" w:rsidR="00E563AF" w:rsidP="00970E37" w:rsidRDefault="00900801" w14:paraId="7F895151" w14:textId="77777777">
      <w:pPr>
        <w:rPr>
          <w:b/>
          <w:bCs/>
        </w:rPr>
      </w:pPr>
      <w:r w:rsidRPr="00E563AF">
        <w:rPr>
          <w:b/>
          <w:bCs/>
        </w:rPr>
        <w:t>Tot slot</w:t>
      </w:r>
    </w:p>
    <w:p w:rsidRPr="00E563AF" w:rsidR="00E563AF" w:rsidP="00970E37" w:rsidRDefault="00900801" w14:paraId="520198F2" w14:textId="77777777">
      <w:r w:rsidRPr="00E563AF">
        <w:t>Zodra de gelegenheid zich voordoet</w:t>
      </w:r>
      <w:r w:rsidR="00FA2E49">
        <w:t>,</w:t>
      </w:r>
      <w:r w:rsidRPr="00E563AF">
        <w:t xml:space="preserve"> zal ik uw Kamer informeren over de verdere juridische opvolging van het onder</w:t>
      </w:r>
      <w:r w:rsidRPr="00E563AF">
        <w:t xml:space="preserve">zoek naar de inkoop van persoonlijke beschermingsmiddelen. </w:t>
      </w:r>
    </w:p>
    <w:p w:rsidRPr="00E563AF" w:rsidR="00CD5856" w:rsidP="00970E37" w:rsidRDefault="00900801" w14:paraId="225553F5" w14:textId="77777777">
      <w:pPr>
        <w:pStyle w:val="Huisstijl-Slotzin"/>
      </w:pPr>
      <w:r w:rsidRPr="00E563AF">
        <w:t>Hoogachtend,</w:t>
      </w:r>
    </w:p>
    <w:p w:rsidRPr="00E563AF" w:rsidR="00BC481F" w:rsidP="00970E37" w:rsidRDefault="00BC481F" w14:paraId="3E82A1E4" w14:textId="77777777">
      <w:pPr>
        <w:spacing w:line="240" w:lineRule="auto"/>
        <w:rPr>
          <w:noProof/>
        </w:rPr>
      </w:pPr>
    </w:p>
    <w:p w:rsidR="00970E37" w:rsidP="00970E37" w:rsidRDefault="00900801" w14:paraId="34897109" w14:textId="77777777">
      <w:pPr>
        <w:spacing w:line="240" w:lineRule="atLeast"/>
        <w:jc w:val="both"/>
      </w:pPr>
      <w:r>
        <w:t>de</w:t>
      </w:r>
      <w:r w:rsidRPr="00E563AF">
        <w:t xml:space="preserve"> </w:t>
      </w:r>
      <w:r>
        <w:t>m</w:t>
      </w:r>
      <w:r w:rsidRPr="00E563AF">
        <w:t>inister van Volksgezondheid,</w:t>
      </w:r>
    </w:p>
    <w:p w:rsidRPr="00E563AF" w:rsidR="00C62B6C" w:rsidP="00970E37" w:rsidRDefault="00900801" w14:paraId="17C22B82" w14:textId="77777777">
      <w:pPr>
        <w:spacing w:line="240" w:lineRule="atLeast"/>
        <w:jc w:val="both"/>
        <w:rPr>
          <w:szCs w:val="18"/>
        </w:rPr>
      </w:pPr>
      <w:r w:rsidRPr="00E563AF">
        <w:t>Welzijn en Sport</w:t>
      </w:r>
      <w:r w:rsidRPr="00E563AF">
        <w:rPr>
          <w:szCs w:val="18"/>
        </w:rPr>
        <w:t>,</w:t>
      </w:r>
    </w:p>
    <w:p w:rsidRPr="00E563AF" w:rsidR="00C62B6C" w:rsidP="00970E37" w:rsidRDefault="00C62B6C" w14:paraId="0F0BC769" w14:textId="77777777">
      <w:pPr>
        <w:spacing w:line="240" w:lineRule="atLeast"/>
        <w:rPr>
          <w:szCs w:val="18"/>
        </w:rPr>
      </w:pPr>
      <w:bookmarkStart w:name="bmkHandtekening" w:id="1"/>
    </w:p>
    <w:bookmarkEnd w:id="1"/>
    <w:p w:rsidR="00970E37" w:rsidP="00970E37" w:rsidRDefault="00900801" w14:paraId="51EDCEED" w14:textId="77777777">
      <w:pPr>
        <w:spacing w:line="240" w:lineRule="atLeast"/>
      </w:pPr>
      <w:r>
        <w:cr/>
      </w:r>
    </w:p>
    <w:p w:rsidR="00970E37" w:rsidP="00970E37" w:rsidRDefault="00970E37" w14:paraId="2B283463" w14:textId="77777777">
      <w:pPr>
        <w:spacing w:line="240" w:lineRule="atLeast"/>
      </w:pPr>
    </w:p>
    <w:p w:rsidRPr="00E563AF" w:rsidR="00C62B6C" w:rsidP="00970E37" w:rsidRDefault="00900801" w14:paraId="406E8F15" w14:textId="77777777">
      <w:pPr>
        <w:spacing w:line="240" w:lineRule="atLeast"/>
        <w:rPr>
          <w:szCs w:val="18"/>
        </w:rPr>
      </w:pPr>
      <w:r>
        <w:cr/>
      </w:r>
    </w:p>
    <w:p w:rsidRPr="00E563AF" w:rsidR="00C62B6C" w:rsidP="00970E37" w:rsidRDefault="00900801" w14:paraId="6C73FFA7" w14:textId="77777777">
      <w:pPr>
        <w:spacing w:line="240" w:lineRule="atLeast"/>
        <w:jc w:val="both"/>
        <w:rPr>
          <w:szCs w:val="18"/>
        </w:rPr>
      </w:pPr>
      <w:r>
        <w:t>Conny Helder</w:t>
      </w:r>
    </w:p>
    <w:p w:rsidRPr="00E563AF" w:rsidR="00235AED" w:rsidP="00970E37" w:rsidRDefault="00235AED" w14:paraId="3923A081" w14:textId="77777777">
      <w:pPr>
        <w:spacing w:line="240" w:lineRule="auto"/>
        <w:rPr>
          <w:noProof/>
        </w:rPr>
      </w:pPr>
    </w:p>
    <w:sectPr w:rsidRPr="00E563AF" w:rsidR="00235AED" w:rsidSect="008D59C5">
      <w:headerReference w:type="default" r:id="rId11"/>
      <w:headerReference w:type="first" r:id="rId12"/>
      <w:type w:val="continuous"/>
      <w:pgSz w:w="11905" w:h="16837"/>
      <w:pgMar w:top="2948" w:right="2778" w:bottom="1049" w:left="1588" w:header="2750" w:footer="709" w:gutter="0"/>
      <w:pgNumType w:start="1"/>
      <w:cols w:space="708"/>
      <w:titlePg/>
      <w:docGrid w:linePitch="326"/>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4FFE3" w14:textId="77777777" w:rsidR="00900801" w:rsidRDefault="00900801">
      <w:pPr>
        <w:spacing w:line="240" w:lineRule="auto"/>
      </w:pPr>
      <w:r>
        <w:separator/>
      </w:r>
    </w:p>
  </w:endnote>
  <w:endnote w:type="continuationSeparator" w:id="0">
    <w:p w14:paraId="014DDE7F" w14:textId="77777777" w:rsidR="00900801" w:rsidRDefault="009008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panose1 w:val="00000000000000000000"/>
    <w:charset w:val="00"/>
    <w:family w:val="roman"/>
    <w:notTrueType/>
    <w:pitch w:val="default"/>
    <w:sig w:usb0="00000000" w:usb1="00000000" w:usb2="00000000" w:usb3="00000000" w:csb0="00000001" w:csb1="00000000"/>
  </w:font>
  <w:font w:name="Lohit Hindi">
    <w:altName w:val="Times New Roman"/>
    <w:panose1 w:val="00000000000000000000"/>
    <w:charset w:val="00"/>
    <w:family w:val="roman"/>
    <w:notTrueType/>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3A07" w14:textId="77777777" w:rsidR="00DC7639" w:rsidRDefault="00900801">
    <w:pPr>
      <w:pStyle w:val="Voettekst"/>
    </w:pPr>
    <w:r>
      <w:rPr>
        <w:noProof/>
        <w:lang w:val="en-US" w:eastAsia="en-US" w:bidi="ar-SA"/>
      </w:rPr>
      <w:pict w14:anchorId="40AD4253">
        <v:shapetype id="_x0000_t202" coordsize="21600,21600" o:spt="202" path="m,l,21600r21600,l21600,xe">
          <v:stroke joinstyle="miter"/>
          <v:path gradientshapeok="t" o:connecttype="rect"/>
        </v:shapetype>
        <v:shape id="Text Box 25" o:spid="_x0000_s2054" type="#_x0000_t202" style="position:absolute;margin-left:466.35pt;margin-top:805.15pt;width:99.2pt;height:14.6pt;z-index:251653120;visibility:visible;mso-position-horizontal-relative:page;mso-position-vertical-relative:page;mso-width-relative:margin;mso-height-relative:margin" strokecolor="white">
          <v:textbox inset="0,0,0,0">
            <w:txbxContent>
              <w:p w14:paraId="7B4ED439" w14:textId="77777777" w:rsidR="00DC7639" w:rsidRDefault="00900801" w:rsidP="00DC7639">
                <w:pPr>
                  <w:pStyle w:val="Huisstijl-Paginanummer"/>
                </w:pPr>
                <w:r>
                  <w:t xml:space="preserve">Pagina </w:t>
                </w:r>
                <w:r w:rsidR="00C62B6C">
                  <w:fldChar w:fldCharType="begin"/>
                </w:r>
                <w:r w:rsidR="00C62B6C">
                  <w:instrText xml:space="preserve"> PAGE    \* MERGEFORMAT </w:instrText>
                </w:r>
                <w:r w:rsidR="00C62B6C">
                  <w:fldChar w:fldCharType="separate"/>
                </w:r>
                <w:r w:rsidR="004509BE">
                  <w:rPr>
                    <w:noProof/>
                  </w:rPr>
                  <w:t>1</w:t>
                </w:r>
                <w:r w:rsidR="00C62B6C">
                  <w:rPr>
                    <w:noProof/>
                  </w:rPr>
                  <w:fldChar w:fldCharType="end"/>
                </w:r>
                <w:r>
                  <w:t xml:space="preserve"> van </w:t>
                </w:r>
                <w:r w:rsidR="004509BE">
                  <w:fldChar w:fldCharType="begin"/>
                </w:r>
                <w:r>
                  <w:instrText xml:space="preserve"> NUMPAGES   \* MERGEFORMAT </w:instrText>
                </w:r>
                <w:r w:rsidR="004509BE">
                  <w:fldChar w:fldCharType="separate"/>
                </w:r>
                <w:r w:rsidR="004509BE">
                  <w:rPr>
                    <w:noProof/>
                  </w:rPr>
                  <w:t>1</w:t>
                </w:r>
                <w:r w:rsidR="004509BE">
                  <w:rPr>
                    <w:noProof/>
                  </w:rPr>
                  <w:fldChar w:fldCharType="end"/>
                </w:r>
              </w:p>
            </w:txbxContent>
          </v:textbox>
          <w10:wrap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15200" w14:textId="77777777" w:rsidR="00987DE2" w:rsidRDefault="00900801">
      <w:pPr>
        <w:spacing w:line="240" w:lineRule="auto"/>
      </w:pPr>
      <w:r>
        <w:separator/>
      </w:r>
    </w:p>
  </w:footnote>
  <w:footnote w:type="continuationSeparator" w:id="0">
    <w:p w14:paraId="07AC6F65" w14:textId="77777777" w:rsidR="00987DE2" w:rsidRDefault="00900801">
      <w:pPr>
        <w:spacing w:line="240" w:lineRule="auto"/>
      </w:pPr>
      <w:r>
        <w:continuationSeparator/>
      </w:r>
    </w:p>
  </w:footnote>
  <w:footnote w:id="1">
    <w:p w14:paraId="5FC5580D" w14:textId="77777777" w:rsidR="00E563AF" w:rsidRPr="00276E71" w:rsidRDefault="00900801" w:rsidP="00E563AF">
      <w:pPr>
        <w:pStyle w:val="Voetnoottekst"/>
        <w:rPr>
          <w:sz w:val="16"/>
          <w:szCs w:val="16"/>
        </w:rPr>
      </w:pPr>
      <w:r w:rsidRPr="00276E71">
        <w:rPr>
          <w:rStyle w:val="Voetnootmarkering"/>
          <w:sz w:val="16"/>
          <w:szCs w:val="16"/>
        </w:rPr>
        <w:footnoteRef/>
      </w:r>
      <w:r w:rsidRPr="00276E71">
        <w:rPr>
          <w:sz w:val="16"/>
          <w:szCs w:val="16"/>
        </w:rPr>
        <w:t xml:space="preserve"> Tweede Kamer, vergaderjaar 2023–2024, 32 805, nr. 172</w:t>
      </w:r>
    </w:p>
  </w:footnote>
  <w:footnote w:id="2">
    <w:p w14:paraId="30CFE3BC" w14:textId="77777777" w:rsidR="00E563AF" w:rsidRPr="00276E71" w:rsidRDefault="00900801" w:rsidP="00E563AF">
      <w:pPr>
        <w:pStyle w:val="Voetnoottekst"/>
        <w:rPr>
          <w:sz w:val="16"/>
          <w:szCs w:val="16"/>
        </w:rPr>
      </w:pPr>
      <w:r w:rsidRPr="00276E71">
        <w:rPr>
          <w:rStyle w:val="Voetnootmarkering"/>
          <w:sz w:val="16"/>
          <w:szCs w:val="16"/>
        </w:rPr>
        <w:footnoteRef/>
      </w:r>
      <w:r w:rsidRPr="00276E71">
        <w:rPr>
          <w:sz w:val="16"/>
          <w:szCs w:val="16"/>
        </w:rPr>
        <w:t xml:space="preserve"> Tweede Kamer, vergaderjaar 2023-2024, 32805, nr. 171.</w:t>
      </w:r>
    </w:p>
  </w:footnote>
  <w:footnote w:id="3">
    <w:p w14:paraId="32606430" w14:textId="77777777" w:rsidR="00E563AF" w:rsidRDefault="00900801" w:rsidP="00E563AF">
      <w:pPr>
        <w:pStyle w:val="Voetnoottekst"/>
      </w:pPr>
      <w:r w:rsidRPr="00276E71">
        <w:rPr>
          <w:rStyle w:val="Voetnootmarkering"/>
          <w:sz w:val="16"/>
          <w:szCs w:val="16"/>
        </w:rPr>
        <w:footnoteRef/>
      </w:r>
      <w:r w:rsidRPr="00276E71">
        <w:rPr>
          <w:sz w:val="16"/>
          <w:szCs w:val="16"/>
        </w:rPr>
        <w:t xml:space="preserve"> De mondelinge behandeling staat gepland op 22 april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F2EF" w14:textId="77777777" w:rsidR="00CD5856" w:rsidRDefault="00900801">
    <w:pPr>
      <w:pStyle w:val="Koptekst"/>
    </w:pPr>
    <w:r>
      <w:rPr>
        <w:noProof/>
        <w:lang w:eastAsia="nl-NL" w:bidi="ar-SA"/>
      </w:rPr>
      <w:drawing>
        <wp:anchor distT="0" distB="0" distL="114300" distR="114300" simplePos="0" relativeHeight="251652096" behindDoc="1" locked="0" layoutInCell="1" allowOverlap="1" wp14:anchorId="1B03B87A">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Pr>
        <w:noProof/>
        <w:lang w:eastAsia="nl-NL" w:bidi="ar-SA"/>
      </w:rPr>
      <w:drawing>
        <wp:anchor distT="0" distB="0" distL="114300" distR="114300" simplePos="0" relativeHeight="251651072" behindDoc="0" locked="0" layoutInCell="1" allowOverlap="1" wp14:anchorId="78C8E194">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Pr>
        <w:lang w:eastAsia="nl-NL" w:bidi="ar-SA"/>
      </w:rPr>
      <w:pict w14:anchorId="4D82F2FC">
        <v:shapetype id="_x0000_t202" coordsize="21600,21600" o:spt="202" path="m,l,21600r21600,l21600,xe">
          <v:stroke joinstyle="miter"/>
          <v:path gradientshapeok="t" o:connecttype="rect"/>
        </v:shapetype>
        <v:shape id="Text Box 30" o:spid="_x0000_s2049" type="#_x0000_t202" style="position:absolute;margin-left:466.35pt;margin-top:154.8pt;width:99.2pt;height:630.7pt;z-index:251658240;visibility:visible;mso-position-horizontal-relative:page;mso-position-vertical-relative:page;mso-width-relative:margin;mso-height-relative:margin" strokecolor="white">
          <v:textbox inset="0,0,0,0">
            <w:txbxContent>
              <w:p w14:paraId="3A7EE6C4" w14:textId="77777777" w:rsidR="00CD5856" w:rsidRDefault="00900801">
                <w:pPr>
                  <w:pStyle w:val="Huisstijl-AfzendgegevensW1"/>
                </w:pPr>
                <w:r>
                  <w:t>Bezoekadres</w:t>
                </w:r>
              </w:p>
              <w:p w14:paraId="3167B1C4" w14:textId="77777777" w:rsidR="00CD5856" w:rsidRDefault="00900801">
                <w:pPr>
                  <w:pStyle w:val="Huisstijl-Afzendgegevens"/>
                </w:pPr>
                <w:r>
                  <w:t>Parnassusplein 5</w:t>
                </w:r>
              </w:p>
              <w:p w14:paraId="721B6765" w14:textId="77777777" w:rsidR="00CD5856" w:rsidRDefault="00900801">
                <w:pPr>
                  <w:pStyle w:val="Huisstijl-Afzendgegevens"/>
                </w:pPr>
                <w:r>
                  <w:t>2511</w:t>
                </w:r>
                <w:r w:rsidR="008D59C5" w:rsidRPr="008D59C5">
                  <w:t xml:space="preserve"> </w:t>
                </w:r>
                <w:r>
                  <w:t>VX</w:t>
                </w:r>
                <w:r w:rsidR="00E1490C">
                  <w:t xml:space="preserve">  </w:t>
                </w:r>
                <w:r w:rsidR="008D59C5" w:rsidRPr="008D59C5">
                  <w:t>Den Haag</w:t>
                </w:r>
              </w:p>
              <w:p w14:paraId="205A7A91" w14:textId="77777777" w:rsidR="00CD5856" w:rsidRDefault="00900801">
                <w:pPr>
                  <w:pStyle w:val="Huisstijl-Afzendgegevens"/>
                </w:pPr>
                <w:r w:rsidRPr="008D59C5">
                  <w:t>www.rijksoverheid.nl</w:t>
                </w:r>
              </w:p>
              <w:p w14:paraId="4A1CBD4E" w14:textId="77777777" w:rsidR="00CD5856" w:rsidRDefault="00900801">
                <w:pPr>
                  <w:pStyle w:val="Huisstijl-ReferentiegegevenskopW2"/>
                </w:pPr>
                <w:r w:rsidRPr="008D59C5">
                  <w:t>Kenmerk</w:t>
                </w:r>
              </w:p>
              <w:p w14:paraId="4B972EC1" w14:textId="77777777" w:rsidR="00CD5856" w:rsidRDefault="00900801">
                <w:pPr>
                  <w:pStyle w:val="Huisstijl-Referentiegegevens"/>
                </w:pPr>
                <w:bookmarkStart w:id="0" w:name="_Hlk117784077"/>
                <w:r>
                  <w:t>3770069-1061381-PDCIC</w:t>
                </w:r>
              </w:p>
              <w:bookmarkEnd w:id="0"/>
              <w:p w14:paraId="01E97EA7" w14:textId="77777777" w:rsidR="00CD5856" w:rsidRPr="002B504F" w:rsidRDefault="00900801">
                <w:pPr>
                  <w:pStyle w:val="Huisstijl-ReferentiegegevenskopW1"/>
                </w:pPr>
                <w:r w:rsidRPr="008D59C5">
                  <w:t>Bijlage(n)</w:t>
                </w:r>
              </w:p>
              <w:p w14:paraId="75AC8CA7" w14:textId="77777777" w:rsidR="00215CB5" w:rsidRDefault="00215CB5">
                <w:pPr>
                  <w:pStyle w:val="Huisstijl-ReferentiegegevenskopW1"/>
                </w:pPr>
              </w:p>
              <w:p w14:paraId="779CE784" w14:textId="77777777" w:rsidR="00CD5856" w:rsidRDefault="00900801">
                <w:pPr>
                  <w:pStyle w:val="Huisstijl-ReferentiegegevenskopW1"/>
                </w:pPr>
                <w:r>
                  <w:t>Kenmerk afzender</w:t>
                </w:r>
              </w:p>
              <w:p w14:paraId="596AA5AB" w14:textId="77777777" w:rsidR="00CD5856" w:rsidRDefault="00CD5856">
                <w:pPr>
                  <w:pStyle w:val="Huisstijl-Referentiegegevens"/>
                </w:pPr>
              </w:p>
              <w:p w14:paraId="6B626E8E" w14:textId="77777777" w:rsidR="00CD5856" w:rsidRDefault="00900801">
                <w:pPr>
                  <w:pStyle w:val="Huisstijl-Algemenevoorwaarden"/>
                </w:pPr>
                <w:r>
                  <w:t xml:space="preserve">Correspondentie uitsluitend richten aan het retouradres met vermelding van de datum en het </w:t>
                </w:r>
                <w:r>
                  <w:t>kenmerk van deze brief.</w:t>
                </w:r>
              </w:p>
              <w:p w14:paraId="3A382AD5" w14:textId="77777777" w:rsidR="00CD5856" w:rsidRDefault="00CD5856"/>
            </w:txbxContent>
          </v:textbox>
          <w10:wrap anchorx="page" anchory="page"/>
        </v:shape>
      </w:pict>
    </w:r>
    <w:r>
      <w:rPr>
        <w:lang w:eastAsia="nl-NL" w:bidi="ar-SA"/>
      </w:rPr>
      <w:pict w14:anchorId="33B09014">
        <v:shape id="Text Box 29" o:spid="_x0000_s2050" type="#_x0000_t202" style="position:absolute;margin-left:79.65pt;margin-top:296.85pt;width:323.1pt;height:36pt;z-index:251657216;visibility:visible;mso-position-horizontal-relative:page;mso-position-vertical-relative:page;mso-width-relative:margin;mso-height-relative:margin" strokecolor="white">
          <v:textbox style="mso-fit-shape-to-text:t" inset="0,0,0,0">
            <w:txbxContent>
              <w:p w14:paraId="21C04BE2" w14:textId="01E6D700" w:rsidR="00CD5856" w:rsidRDefault="00900801">
                <w:pPr>
                  <w:pStyle w:val="Huisstijl-Datumenbetreft"/>
                  <w:tabs>
                    <w:tab w:val="clear" w:pos="737"/>
                    <w:tab w:val="left" w:pos="-5954"/>
                    <w:tab w:val="left" w:pos="-5670"/>
                    <w:tab w:val="left" w:pos="1134"/>
                  </w:tabs>
                </w:pPr>
                <w:r>
                  <w:t>Datum</w:t>
                </w:r>
                <w:r w:rsidR="00E1490C">
                  <w:tab/>
                </w:r>
                <w:r>
                  <w:t>15 februari 2024</w:t>
                </w:r>
              </w:p>
              <w:p w14:paraId="692BD106" w14:textId="77777777" w:rsidR="00CD5856" w:rsidRDefault="00900801" w:rsidP="00E563AF">
                <w:pPr>
                  <w:pStyle w:val="Huisstijl-Datumenbetreft"/>
                  <w:tabs>
                    <w:tab w:val="clear" w:pos="737"/>
                    <w:tab w:val="left" w:pos="-5954"/>
                    <w:tab w:val="left" w:pos="-5670"/>
                    <w:tab w:val="left" w:pos="1134"/>
                  </w:tabs>
                  <w:ind w:left="1134" w:hanging="1134"/>
                </w:pPr>
                <w:r>
                  <w:t>Betreft</w:t>
                </w:r>
                <w:r w:rsidR="00E1490C">
                  <w:tab/>
                </w:r>
                <w:r w:rsidR="00E563AF">
                  <w:t>Stand van zaken juridische opvolging onderzoek inkoop persoonlijke beschermingsmiddelen</w:t>
                </w:r>
              </w:p>
              <w:p w14:paraId="50FECEA9" w14:textId="77777777" w:rsidR="00CD5856" w:rsidRDefault="00CD5856">
                <w:pPr>
                  <w:pStyle w:val="Huisstijl-Datumenbetreft"/>
                  <w:tabs>
                    <w:tab w:val="left" w:pos="-5954"/>
                    <w:tab w:val="left" w:pos="-5670"/>
                  </w:tabs>
                </w:pPr>
              </w:p>
            </w:txbxContent>
          </v:textbox>
          <w10:wrap anchorx="page" anchory="page"/>
        </v:shape>
      </w:pict>
    </w:r>
    <w:r>
      <w:rPr>
        <w:lang w:eastAsia="nl-NL" w:bidi="ar-SA"/>
      </w:rPr>
      <w:pict w14:anchorId="179423A3">
        <v:shape id="Text Box 28" o:spid="_x0000_s2051" type="#_x0000_t202" style="position:absolute;margin-left:79.4pt;margin-top:266.5pt;width:323.15pt;height:14.15pt;z-index:251656192;visibility:visible;mso-position-horizontal-relative:page;mso-position-vertical-relative:page;mso-width-relative:margin;mso-height-relative:margin" strokecolor="white">
          <v:textbox inset="0,0,0,0">
            <w:txbxContent>
              <w:p w14:paraId="0CC1CFB6" w14:textId="77777777" w:rsidR="00CD5856" w:rsidRDefault="00CD5856">
                <w:pPr>
                  <w:pStyle w:val="Huisstijl-Toezendgegevens"/>
                </w:pPr>
              </w:p>
            </w:txbxContent>
          </v:textbox>
          <w10:wrap anchorx="page" anchory="page"/>
        </v:shape>
      </w:pict>
    </w:r>
    <w:r>
      <w:rPr>
        <w:lang w:eastAsia="nl-NL" w:bidi="ar-SA"/>
      </w:rPr>
      <w:pict w14:anchorId="2927EBEC">
        <v:shape id="Text Box 27" o:spid="_x0000_s2052" type="#_x0000_t202" style="position:absolute;margin-left:79.4pt;margin-top:153.1pt;width:263.6pt;height:85.05pt;z-index:251655168;visibility:visible;mso-position-horizontal-relative:page;mso-position-vertical-relative:page;mso-width-relative:margin;mso-height-relative:margin" strokecolor="white">
          <v:textbox inset="0,0,0,0">
            <w:txbxContent>
              <w:p w14:paraId="73164F75" w14:textId="77777777" w:rsidR="00CD5856" w:rsidRDefault="00900801">
                <w:pPr>
                  <w:pStyle w:val="Huisstijl-Toezendgegevens"/>
                </w:pPr>
                <w:r>
                  <w:t>De Voorzitter van de Tweede Kamer</w:t>
                </w:r>
                <w:r>
                  <w:br/>
                  <w:t>der Staten-Generaal</w:t>
                </w:r>
                <w:r>
                  <w:br/>
                  <w:t>Postbus 20018</w:t>
                </w:r>
                <w:r>
                  <w:br/>
                  <w:t xml:space="preserve">2500 EA </w:t>
                </w:r>
                <w:r w:rsidR="00FC776C">
                  <w:t xml:space="preserve"> </w:t>
                </w:r>
                <w:r>
                  <w:t>DEN HAAG</w:t>
                </w:r>
              </w:p>
            </w:txbxContent>
          </v:textbox>
          <w10:wrap anchorx="page" anchory="page"/>
        </v:shape>
      </w:pict>
    </w:r>
    <w:r>
      <w:rPr>
        <w:lang w:eastAsia="nl-NL" w:bidi="ar-SA"/>
      </w:rPr>
      <w:pict w14:anchorId="7B92900D">
        <v:shape id="Text Box 26" o:spid="_x0000_s2053" type="#_x0000_t202" style="position:absolute;margin-left:79.4pt;margin-top:134.95pt;width:282.75pt;height:11.35pt;z-index:251654144;visibility:visible;mso-position-horizontal-relative:page;mso-position-vertical-relative:page;mso-width-relative:margin;mso-height-relative:margin" strokecolor="white">
          <o:lock v:ext="edit" aspectratio="t"/>
          <v:textbox inset="0,0,0,0">
            <w:txbxContent>
              <w:p w14:paraId="40441A17" w14:textId="77777777" w:rsidR="00CD5856" w:rsidRDefault="00900801">
                <w:pPr>
                  <w:pStyle w:val="Huisstijl-Retouradres"/>
                </w:pPr>
                <w:r w:rsidRPr="008D59C5">
                  <w:t>&gt; Retouradres</w:t>
                </w:r>
                <w:r w:rsidR="00E1490C">
                  <w:t xml:space="preserve"> Postbus 20350 2500 E</w:t>
                </w:r>
                <w:r w:rsidR="005D327A">
                  <w:t>J</w:t>
                </w:r>
                <w:r w:rsidR="00E1490C">
                  <w:t xml:space="preserve">  Den Haag</w:t>
                </w:r>
              </w:p>
            </w:txbxContent>
          </v:textbox>
          <w10:wrap anchorx="page"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DA90" w14:textId="77777777" w:rsidR="00CD5856" w:rsidRDefault="00900801">
    <w:pPr>
      <w:pStyle w:val="Koptekst"/>
    </w:pPr>
    <w:r>
      <w:rPr>
        <w:lang w:eastAsia="nl-NL" w:bidi="ar-SA"/>
      </w:rPr>
      <w:pict w14:anchorId="51D650E1">
        <v:shapetype id="_x0000_t202" coordsize="21600,21600" o:spt="202" path="m,l,21600r21600,l21600,xe">
          <v:stroke joinstyle="miter"/>
          <v:path gradientshapeok="t" o:connecttype="rect"/>
        </v:shapetype>
        <v:shape id="Text Box 5" o:spid="_x0000_s2055" type="#_x0000_t202" style="position:absolute;margin-left:466.35pt;margin-top:152.5pt;width:99.2pt;height:630.7pt;z-index:251659264;visibility:visible;mso-position-horizontal-relative:page;mso-position-vertical-relative:page;mso-width-relative:margin;mso-height-relative:margin" strokecolor="white">
          <v:textbox inset="0,0,0,0">
            <w:txbxContent>
              <w:p w14:paraId="553D6313" w14:textId="77777777" w:rsidR="00CD5856" w:rsidRDefault="00900801">
                <w:pPr>
                  <w:pStyle w:val="Huisstijl-ReferentiegegevenskopW2"/>
                </w:pPr>
                <w:r w:rsidRPr="008D59C5">
                  <w:t>Kenmerk</w:t>
                </w:r>
              </w:p>
              <w:p w14:paraId="2F0EBF8C" w14:textId="77777777" w:rsidR="00C95CA9" w:rsidRPr="00C95CA9" w:rsidRDefault="00900801" w:rsidP="00C95CA9">
                <w:pPr>
                  <w:pStyle w:val="Huisstijl-Referentiegegevens"/>
                </w:pPr>
                <w:r w:rsidRPr="00C95CA9">
                  <w:t>3770069-1061381-PDCIC</w:t>
                </w:r>
              </w:p>
              <w:p w14:paraId="63D72A0F" w14:textId="77777777" w:rsidR="00CD5856" w:rsidRDefault="00CD5856">
                <w:pPr>
                  <w:pStyle w:val="Huisstijl-Referentiegegevens"/>
                </w:pPr>
              </w:p>
            </w:txbxContent>
          </v:textbox>
          <w10:wrap anchorx="page" anchory="page"/>
        </v:shape>
      </w:pict>
    </w:r>
    <w:r>
      <w:rPr>
        <w:lang w:eastAsia="nl-NL" w:bidi="ar-SA"/>
      </w:rPr>
      <w:pict w14:anchorId="25E9A2B4">
        <v:shape id="Text Box 18" o:spid="_x0000_s2056" type="#_x0000_t202" style="position:absolute;margin-left:466.35pt;margin-top:805.15pt;width:99.2pt;height:16.85pt;z-index:251660288;visibility:visible;mso-position-horizontal-relative:page;mso-position-vertical-relative:page;mso-width-relative:margin;mso-height-relative:margin" strokecolor="white">
          <v:textbox inset="0,0,0,0">
            <w:txbxContent>
              <w:p w14:paraId="456C2751" w14:textId="17177F27" w:rsidR="00CD5856" w:rsidRDefault="00900801">
                <w:pPr>
                  <w:pStyle w:val="Huisstijl-Paginanummer"/>
                </w:pPr>
                <w:r>
                  <w:t>Pagina</w:t>
                </w:r>
                <w:r w:rsidR="00E1490C">
                  <w:t xml:space="preserve"> </w:t>
                </w:r>
                <w:r w:rsidR="00C62B6C">
                  <w:fldChar w:fldCharType="begin"/>
                </w:r>
                <w:r w:rsidR="00C62B6C">
                  <w:instrText xml:space="preserve"> PAGE    \* MERGEFORMAT </w:instrText>
                </w:r>
                <w:r w:rsidR="00C62B6C">
                  <w:fldChar w:fldCharType="separate"/>
                </w:r>
                <w:r w:rsidR="009F419D">
                  <w:rPr>
                    <w:noProof/>
                  </w:rPr>
                  <w:t>2</w:t>
                </w:r>
                <w:r w:rsidR="00C62B6C">
                  <w:rPr>
                    <w:noProof/>
                  </w:rPr>
                  <w:fldChar w:fldCharType="end"/>
                </w:r>
                <w:r w:rsidR="00E1490C">
                  <w:t xml:space="preserve"> </w:t>
                </w:r>
                <w:r>
                  <w:t>van</w:t>
                </w:r>
                <w:r w:rsidR="00E1490C">
                  <w:t xml:space="preserve"> </w:t>
                </w:r>
                <w:r w:rsidR="008B7C0B">
                  <w:fldChar w:fldCharType="begin"/>
                </w:r>
                <w:r>
                  <w:instrText xml:space="preserve"> SECTIONPAGES  \* Arabic  \* MERGEFORMAT </w:instrText>
                </w:r>
                <w:r w:rsidR="008B7C0B">
                  <w:fldChar w:fldCharType="separate"/>
                </w:r>
                <w:r>
                  <w:rPr>
                    <w:noProof/>
                  </w:rPr>
                  <w:t>2</w:t>
                </w:r>
                <w:r w:rsidR="008B7C0B">
                  <w:rPr>
                    <w:noProof/>
                  </w:rPr>
                  <w:fldChar w:fldCharType="end"/>
                </w:r>
              </w:p>
              <w:p w14:paraId="612D2531" w14:textId="77777777" w:rsidR="00CD5856" w:rsidRDefault="00CD5856"/>
              <w:p w14:paraId="1BF8AFAE" w14:textId="77777777" w:rsidR="00CD5856" w:rsidRDefault="00CD5856">
                <w:pPr>
                  <w:pStyle w:val="Huisstijl-Paginanummer"/>
                </w:pPr>
              </w:p>
              <w:p w14:paraId="2E7868C0" w14:textId="77777777" w:rsidR="00CD5856" w:rsidRDefault="00CD5856">
                <w:pPr>
                  <w:pStyle w:val="Huisstijl-Paginanummer"/>
                </w:pPr>
              </w:p>
            </w:txbxContent>
          </v:textbox>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8390" w14:textId="77777777" w:rsidR="00CD5856" w:rsidRDefault="00900801">
    <w:pPr>
      <w:pStyle w:val="Koptekst"/>
    </w:pPr>
    <w:r>
      <w:rPr>
        <w:lang w:eastAsia="nl-NL" w:bidi="ar-SA"/>
      </w:rPr>
      <w:pict w14:anchorId="0F139A80">
        <v:shapetype id="_x0000_t202" coordsize="21600,21600" o:spt="202" path="m,l,21600r21600,l21600,xe">
          <v:stroke joinstyle="miter"/>
          <v:path gradientshapeok="t" o:connecttype="rect"/>
        </v:shapetype>
        <v:shape id="Text Box 16" o:spid="_x0000_s2057" type="#_x0000_t202" style="position:absolute;margin-left:79.5pt;margin-top:296.75pt;width:323.1pt;height:36pt;z-index:251664384;visibility:visible;mso-position-horizontal-relative:page;mso-position-vertical-relative:page;mso-width-relative:margin;mso-height-relative:margin" strokecolor="white">
          <v:textbox style="mso-fit-shape-to-text:t" inset="0,0,0,0">
            <w:txbxContent>
              <w:p w14:paraId="1C230C16" w14:textId="6C75F9DF" w:rsidR="00CD5856" w:rsidRDefault="00900801">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14:paraId="079374CC" w14:textId="77777777" w:rsidR="00CD5856" w:rsidRDefault="00900801">
                <w:pPr>
                  <w:pStyle w:val="Huisstijl-Datumenbetreft"/>
                  <w:tabs>
                    <w:tab w:val="left" w:pos="-5954"/>
                    <w:tab w:val="left" w:pos="-5670"/>
                  </w:tabs>
                </w:pPr>
                <w:r>
                  <w:t>Betreft</w:t>
                </w:r>
                <w:r>
                  <w:tab/>
                </w:r>
                <w:r w:rsidR="008D59C5">
                  <w:t>BETREFT</w:t>
                </w:r>
              </w:p>
              <w:p w14:paraId="3EF4708E" w14:textId="77777777" w:rsidR="00CD5856" w:rsidRDefault="00CD5856">
                <w:pPr>
                  <w:pStyle w:val="Huisstijl-Datumenbetreft"/>
                  <w:tabs>
                    <w:tab w:val="left" w:pos="-5954"/>
                    <w:tab w:val="left" w:pos="-5670"/>
                  </w:tabs>
                </w:pPr>
              </w:p>
            </w:txbxContent>
          </v:textbox>
          <w10:wrap type="topAndBottom" anchorx="page" anchory="page"/>
        </v:shape>
      </w:pict>
    </w:r>
    <w:r w:rsidR="00E1490C">
      <w:rPr>
        <w:noProof/>
        <w:lang w:eastAsia="nl-NL" w:bidi="ar-SA"/>
      </w:rPr>
      <w:drawing>
        <wp:anchor distT="0" distB="0" distL="114300" distR="114300" simplePos="0" relativeHeight="251650048" behindDoc="0" locked="0" layoutInCell="1" allowOverlap="1" wp14:anchorId="7E1AE26F">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E1490C">
      <w:rPr>
        <w:noProof/>
        <w:lang w:eastAsia="nl-NL" w:bidi="ar-SA"/>
      </w:rPr>
      <w:drawing>
        <wp:anchor distT="0" distB="0" distL="114300" distR="114300" simplePos="0" relativeHeight="251649024" behindDoc="1" locked="0" layoutInCell="1" allowOverlap="1" wp14:anchorId="686DB688">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lang w:eastAsia="nl-NL" w:bidi="ar-SA"/>
      </w:rPr>
      <w:pict w14:anchorId="54006323">
        <v:shape id="_x0000_s2058" type="#_x0000_t202" style="position:absolute;margin-left:466.35pt;margin-top:154.7pt;width:99.2pt;height:630.7pt;z-index:251665408;visibility:visible;mso-position-horizontal-relative:page;mso-position-vertical-relative:page;mso-width-relative:margin;mso-height-relative:margin" strokecolor="white">
          <v:textbox inset="0,0,0,0">
            <w:txbxContent>
              <w:p w14:paraId="7A2DA97A" w14:textId="77777777" w:rsidR="00CD5856" w:rsidRDefault="00900801">
                <w:pPr>
                  <w:pStyle w:val="Huisstijl-Afzendgegevens"/>
                </w:pPr>
                <w:r w:rsidRPr="008D59C5">
                  <w:t>Rijnstraat 50</w:t>
                </w:r>
              </w:p>
              <w:p w14:paraId="44CB9E63" w14:textId="77777777" w:rsidR="00CD5856" w:rsidRDefault="00900801">
                <w:pPr>
                  <w:pStyle w:val="Huisstijl-Afzendgegevens"/>
                </w:pPr>
                <w:r w:rsidRPr="008D59C5">
                  <w:t>Den Haag</w:t>
                </w:r>
              </w:p>
              <w:p w14:paraId="5288198D" w14:textId="77777777" w:rsidR="00CD5856" w:rsidRDefault="00900801">
                <w:pPr>
                  <w:pStyle w:val="Huisstijl-Afzendgegevens"/>
                </w:pPr>
                <w:r w:rsidRPr="008D59C5">
                  <w:t>www.rijksoverheid.nl</w:t>
                </w:r>
              </w:p>
              <w:p w14:paraId="4A490B0B" w14:textId="77777777" w:rsidR="00CD5856" w:rsidRDefault="00900801">
                <w:pPr>
                  <w:pStyle w:val="Huisstijl-AfzendgegevenskopW1"/>
                </w:pPr>
                <w:r>
                  <w:t>Contactpersoon</w:t>
                </w:r>
              </w:p>
              <w:p w14:paraId="6F397026" w14:textId="77777777" w:rsidR="00CD5856" w:rsidRDefault="00900801">
                <w:pPr>
                  <w:pStyle w:val="Huisstijl-Afzendgegevens"/>
                </w:pPr>
                <w:r w:rsidRPr="008D59C5">
                  <w:t>ing. J.A. Ramlal</w:t>
                </w:r>
              </w:p>
              <w:p w14:paraId="099042C4" w14:textId="77777777" w:rsidR="00CD5856" w:rsidRDefault="00900801">
                <w:pPr>
                  <w:pStyle w:val="Huisstijl-Afzendgegevens"/>
                </w:pPr>
                <w:r w:rsidRPr="008D59C5">
                  <w:t>ja.ramlal@minvws.nl</w:t>
                </w:r>
              </w:p>
              <w:p w14:paraId="7E5E0E79" w14:textId="77777777" w:rsidR="00CD5856" w:rsidRDefault="00900801">
                <w:pPr>
                  <w:pStyle w:val="Huisstijl-ReferentiegegevenskopW2"/>
                </w:pPr>
                <w:r>
                  <w:t>Ons kenmerk</w:t>
                </w:r>
              </w:p>
              <w:p w14:paraId="795E3DC7" w14:textId="77777777" w:rsidR="00CD5856" w:rsidRDefault="00900801">
                <w:pPr>
                  <w:pStyle w:val="Huisstijl-Referentiegegevens"/>
                </w:pPr>
                <w:r>
                  <w:t>KENMERK</w:t>
                </w:r>
              </w:p>
              <w:p w14:paraId="2F74E505" w14:textId="77777777" w:rsidR="00CD5856" w:rsidRDefault="00900801">
                <w:pPr>
                  <w:pStyle w:val="Huisstijl-ReferentiegegevenskopW1"/>
                </w:pPr>
                <w:r>
                  <w:t>Uw kenmerk</w:t>
                </w:r>
              </w:p>
              <w:p w14:paraId="3282AFAF" w14:textId="77777777" w:rsidR="00CD5856" w:rsidRDefault="00900801">
                <w:pPr>
                  <w:pStyle w:val="Huisstijl-Referentiegegevens"/>
                </w:pPr>
                <w:r>
                  <w:t>UW BRIEF</w:t>
                </w:r>
              </w:p>
            </w:txbxContent>
          </v:textbox>
          <w10:wrap anchorx="page" anchory="page"/>
        </v:shape>
      </w:pict>
    </w:r>
    <w:r>
      <w:rPr>
        <w:lang w:eastAsia="nl-NL" w:bidi="ar-SA"/>
      </w:rPr>
      <w:pict w14:anchorId="2DE8067D">
        <v:shape id="_x0000_s2059" type="#_x0000_t202" style="position:absolute;margin-left:79.4pt;margin-top:152.95pt;width:235.3pt;height:85.05pt;z-index:251662336;visibility:visible;mso-position-horizontal-relative:page;mso-position-vertical-relative:page;mso-width-relative:margin;mso-height-relative:margin" strokecolor="white">
          <v:textbox inset="0,0,0,0">
            <w:txbxContent>
              <w:p w14:paraId="7676CA23" w14:textId="77777777" w:rsidR="00CD5856" w:rsidRDefault="00900801">
                <w:pPr>
                  <w:pStyle w:val="Huisstijl-Toezendgegevens"/>
                </w:pPr>
                <w:r w:rsidRPr="008D59C5">
                  <w:t xml:space="preserve">De </w:t>
                </w:r>
                <w:r w:rsidRPr="008D59C5">
                  <w:t>Voorzitter van de Tweede Kamer</w:t>
                </w:r>
                <w:r w:rsidRPr="008D59C5">
                  <w:br/>
                  <w:t>der Staten-Generaal</w:t>
                </w:r>
                <w:r w:rsidRPr="008D59C5">
                  <w:br/>
                  <w:t>Postbus 20018</w:t>
                </w:r>
                <w:r w:rsidRPr="008D59C5">
                  <w:br/>
                  <w:t>2500 EA DEN HAAG</w:t>
                </w:r>
              </w:p>
            </w:txbxContent>
          </v:textbox>
          <w10:wrap anchorx="page" anchory="page"/>
        </v:shape>
      </w:pict>
    </w:r>
    <w:r>
      <w:rPr>
        <w:lang w:eastAsia="nl-NL" w:bidi="ar-SA"/>
      </w:rPr>
      <w:pict w14:anchorId="394DBBE8">
        <v:shape id="_x0000_s2060" type="#_x0000_t202" style="position:absolute;margin-left:466.35pt;margin-top:805.1pt;width:57.55pt;height:8.5pt;z-index:251666432;visibility:visible;mso-position-horizontal-relative:page;mso-position-vertical-relative:page;mso-width-relative:margin;mso-height-relative:margin" strokecolor="white">
          <v:textbox inset="0,0,0,0">
            <w:txbxContent>
              <w:p w14:paraId="13767D05" w14:textId="77777777" w:rsidR="00CD5856" w:rsidRDefault="00900801">
                <w:pPr>
                  <w:pStyle w:val="Huisstijl-Paginanummer"/>
                </w:pPr>
                <w:r>
                  <w:t xml:space="preserve">Pagina </w:t>
                </w:r>
                <w:r w:rsidR="00C62B6C">
                  <w:fldChar w:fldCharType="begin"/>
                </w:r>
                <w:r w:rsidR="00C62B6C">
                  <w:instrText xml:space="preserve"> PAGE    \* MERGEFORMAT </w:instrText>
                </w:r>
                <w:r w:rsidR="00C62B6C">
                  <w:fldChar w:fldCharType="separate"/>
                </w:r>
                <w:r w:rsidR="009F419D">
                  <w:rPr>
                    <w:noProof/>
                  </w:rPr>
                  <w:t>1</w:t>
                </w:r>
                <w:r w:rsidR="00C62B6C">
                  <w:rPr>
                    <w:noProof/>
                  </w:rPr>
                  <w:fldChar w:fldCharType="end"/>
                </w:r>
                <w:r>
                  <w:t xml:space="preserve"> van </w:t>
                </w:r>
                <w:r w:rsidR="009F419D">
                  <w:fldChar w:fldCharType="begin"/>
                </w:r>
                <w:r>
                  <w:instrText xml:space="preserve"> SECTIONPAGES  \* Arabic  \* MERGEFORMAT </w:instrText>
                </w:r>
                <w:r w:rsidR="009F419D">
                  <w:fldChar w:fldCharType="separate"/>
                </w:r>
                <w:r w:rsidR="009F419D">
                  <w:rPr>
                    <w:noProof/>
                  </w:rPr>
                  <w:t>2</w:t>
                </w:r>
                <w:r w:rsidR="009F419D">
                  <w:rPr>
                    <w:noProof/>
                  </w:rPr>
                  <w:fldChar w:fldCharType="end"/>
                </w:r>
              </w:p>
            </w:txbxContent>
          </v:textbox>
          <w10:wrap anchorx="page" anchory="page"/>
          <w10:anchorlock/>
        </v:shape>
      </w:pict>
    </w:r>
    <w:r>
      <w:rPr>
        <w:lang w:eastAsia="nl-NL" w:bidi="ar-SA"/>
      </w:rPr>
      <w:pict w14:anchorId="762E8C98">
        <v:shape id="_x0000_s2061" type="#_x0000_t202" style="position:absolute;margin-left:79.4pt;margin-top:266.5pt;width:323.15pt;height:14.15pt;z-index:251663360;visibility:visible;mso-position-horizontal-relative:page;mso-position-vertical-relative:page;mso-width-relative:margin;mso-height-relative:margin" strokecolor="white">
          <v:textbox inset="0,0,0,0">
            <w:txbxContent>
              <w:p w14:paraId="735B1B0B" w14:textId="77777777" w:rsidR="00CD5856" w:rsidRDefault="00CD5856">
                <w:pPr>
                  <w:pStyle w:val="Huisstijl-Toezendgegevens"/>
                </w:pPr>
              </w:p>
            </w:txbxContent>
          </v:textbox>
          <w10:wrap anchorx="page" anchory="page"/>
        </v:shape>
      </w:pict>
    </w:r>
    <w:r>
      <w:rPr>
        <w:lang w:eastAsia="nl-NL" w:bidi="ar-SA"/>
      </w:rPr>
      <w:pict w14:anchorId="72D490D6">
        <v:shape id="_x0000_s2062" type="#_x0000_t202" style="position:absolute;margin-left:79.4pt;margin-top:135.05pt;width:282.75pt;height:11.35pt;z-index:251661312;visibility:visible;mso-position-horizontal-relative:page;mso-position-vertical-relative:page;mso-width-relative:margin;mso-height-relative:margin" strokecolor="white">
          <o:lock v:ext="edit" aspectratio="t"/>
          <v:textbox inset="0,0,0,0">
            <w:txbxContent>
              <w:p w14:paraId="170ED0DD" w14:textId="77777777" w:rsidR="00CD5856" w:rsidRDefault="00900801">
                <w:pPr>
                  <w:pStyle w:val="Huisstijl-Retouradres"/>
                </w:pPr>
                <w:r>
                  <w:t xml:space="preserve">&gt; Retouradres </w:t>
                </w:r>
              </w:p>
            </w:txbxContent>
          </v:textbox>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425"/>
    <w:multiLevelType w:val="hybridMultilevel"/>
    <w:tmpl w:val="E640CEAC"/>
    <w:lvl w:ilvl="0" w:tplc="2B5CE6F6">
      <w:start w:val="1"/>
      <w:numFmt w:val="decimal"/>
      <w:lvlText w:val="%1."/>
      <w:lvlJc w:val="left"/>
      <w:pPr>
        <w:ind w:left="1065" w:hanging="360"/>
      </w:pPr>
      <w:rPr>
        <w:rFonts w:hint="default"/>
      </w:rPr>
    </w:lvl>
    <w:lvl w:ilvl="1" w:tplc="F6D866B0" w:tentative="1">
      <w:start w:val="1"/>
      <w:numFmt w:val="lowerLetter"/>
      <w:lvlText w:val="%2."/>
      <w:lvlJc w:val="left"/>
      <w:pPr>
        <w:ind w:left="1785" w:hanging="360"/>
      </w:pPr>
    </w:lvl>
    <w:lvl w:ilvl="2" w:tplc="0004D55C" w:tentative="1">
      <w:start w:val="1"/>
      <w:numFmt w:val="lowerRoman"/>
      <w:lvlText w:val="%3."/>
      <w:lvlJc w:val="right"/>
      <w:pPr>
        <w:ind w:left="2505" w:hanging="180"/>
      </w:pPr>
    </w:lvl>
    <w:lvl w:ilvl="3" w:tplc="A0EAAA38" w:tentative="1">
      <w:start w:val="1"/>
      <w:numFmt w:val="decimal"/>
      <w:lvlText w:val="%4."/>
      <w:lvlJc w:val="left"/>
      <w:pPr>
        <w:ind w:left="3225" w:hanging="360"/>
      </w:pPr>
    </w:lvl>
    <w:lvl w:ilvl="4" w:tplc="9648B8B6" w:tentative="1">
      <w:start w:val="1"/>
      <w:numFmt w:val="lowerLetter"/>
      <w:lvlText w:val="%5."/>
      <w:lvlJc w:val="left"/>
      <w:pPr>
        <w:ind w:left="3945" w:hanging="360"/>
      </w:pPr>
    </w:lvl>
    <w:lvl w:ilvl="5" w:tplc="AADE9DEA" w:tentative="1">
      <w:start w:val="1"/>
      <w:numFmt w:val="lowerRoman"/>
      <w:lvlText w:val="%6."/>
      <w:lvlJc w:val="right"/>
      <w:pPr>
        <w:ind w:left="4665" w:hanging="180"/>
      </w:pPr>
    </w:lvl>
    <w:lvl w:ilvl="6" w:tplc="C61809EA" w:tentative="1">
      <w:start w:val="1"/>
      <w:numFmt w:val="decimal"/>
      <w:lvlText w:val="%7."/>
      <w:lvlJc w:val="left"/>
      <w:pPr>
        <w:ind w:left="5385" w:hanging="360"/>
      </w:pPr>
    </w:lvl>
    <w:lvl w:ilvl="7" w:tplc="C75A56A8" w:tentative="1">
      <w:start w:val="1"/>
      <w:numFmt w:val="lowerLetter"/>
      <w:lvlText w:val="%8."/>
      <w:lvlJc w:val="left"/>
      <w:pPr>
        <w:ind w:left="6105" w:hanging="360"/>
      </w:pPr>
    </w:lvl>
    <w:lvl w:ilvl="8" w:tplc="EF1A45DC" w:tentative="1">
      <w:start w:val="1"/>
      <w:numFmt w:val="lowerRoman"/>
      <w:lvlText w:val="%9."/>
      <w:lvlJc w:val="right"/>
      <w:pPr>
        <w:ind w:left="6825" w:hanging="180"/>
      </w:pPr>
    </w:lvl>
  </w:abstractNum>
  <w:abstractNum w:abstractNumId="1" w15:restartNumberingAfterBreak="0">
    <w:nsid w:val="558A576F"/>
    <w:multiLevelType w:val="hybridMultilevel"/>
    <w:tmpl w:val="DB8AF5D4"/>
    <w:lvl w:ilvl="0" w:tplc="DC702DEA">
      <w:numFmt w:val="bullet"/>
      <w:lvlText w:val=""/>
      <w:lvlJc w:val="left"/>
      <w:pPr>
        <w:ind w:left="720" w:hanging="360"/>
      </w:pPr>
      <w:rPr>
        <w:rFonts w:ascii="Wingdings" w:eastAsia="DejaVu Sans" w:hAnsi="Wingdings" w:cs="Lohit Hindi" w:hint="default"/>
      </w:rPr>
    </w:lvl>
    <w:lvl w:ilvl="1" w:tplc="B442BA20" w:tentative="1">
      <w:start w:val="1"/>
      <w:numFmt w:val="bullet"/>
      <w:lvlText w:val="o"/>
      <w:lvlJc w:val="left"/>
      <w:pPr>
        <w:ind w:left="1440" w:hanging="360"/>
      </w:pPr>
      <w:rPr>
        <w:rFonts w:ascii="Courier New" w:hAnsi="Courier New" w:cs="Courier New" w:hint="default"/>
      </w:rPr>
    </w:lvl>
    <w:lvl w:ilvl="2" w:tplc="00AC129C" w:tentative="1">
      <w:start w:val="1"/>
      <w:numFmt w:val="bullet"/>
      <w:lvlText w:val=""/>
      <w:lvlJc w:val="left"/>
      <w:pPr>
        <w:ind w:left="2160" w:hanging="360"/>
      </w:pPr>
      <w:rPr>
        <w:rFonts w:ascii="Wingdings" w:hAnsi="Wingdings" w:hint="default"/>
      </w:rPr>
    </w:lvl>
    <w:lvl w:ilvl="3" w:tplc="3C9A2B9C" w:tentative="1">
      <w:start w:val="1"/>
      <w:numFmt w:val="bullet"/>
      <w:lvlText w:val=""/>
      <w:lvlJc w:val="left"/>
      <w:pPr>
        <w:ind w:left="2880" w:hanging="360"/>
      </w:pPr>
      <w:rPr>
        <w:rFonts w:ascii="Symbol" w:hAnsi="Symbol" w:hint="default"/>
      </w:rPr>
    </w:lvl>
    <w:lvl w:ilvl="4" w:tplc="443E7272" w:tentative="1">
      <w:start w:val="1"/>
      <w:numFmt w:val="bullet"/>
      <w:lvlText w:val="o"/>
      <w:lvlJc w:val="left"/>
      <w:pPr>
        <w:ind w:left="3600" w:hanging="360"/>
      </w:pPr>
      <w:rPr>
        <w:rFonts w:ascii="Courier New" w:hAnsi="Courier New" w:cs="Courier New" w:hint="default"/>
      </w:rPr>
    </w:lvl>
    <w:lvl w:ilvl="5" w:tplc="1E54009A" w:tentative="1">
      <w:start w:val="1"/>
      <w:numFmt w:val="bullet"/>
      <w:lvlText w:val=""/>
      <w:lvlJc w:val="left"/>
      <w:pPr>
        <w:ind w:left="4320" w:hanging="360"/>
      </w:pPr>
      <w:rPr>
        <w:rFonts w:ascii="Wingdings" w:hAnsi="Wingdings" w:hint="default"/>
      </w:rPr>
    </w:lvl>
    <w:lvl w:ilvl="6" w:tplc="8AB23680" w:tentative="1">
      <w:start w:val="1"/>
      <w:numFmt w:val="bullet"/>
      <w:lvlText w:val=""/>
      <w:lvlJc w:val="left"/>
      <w:pPr>
        <w:ind w:left="5040" w:hanging="360"/>
      </w:pPr>
      <w:rPr>
        <w:rFonts w:ascii="Symbol" w:hAnsi="Symbol" w:hint="default"/>
      </w:rPr>
    </w:lvl>
    <w:lvl w:ilvl="7" w:tplc="1FF8C580" w:tentative="1">
      <w:start w:val="1"/>
      <w:numFmt w:val="bullet"/>
      <w:lvlText w:val="o"/>
      <w:lvlJc w:val="left"/>
      <w:pPr>
        <w:ind w:left="5760" w:hanging="360"/>
      </w:pPr>
      <w:rPr>
        <w:rFonts w:ascii="Courier New" w:hAnsi="Courier New" w:cs="Courier New" w:hint="default"/>
      </w:rPr>
    </w:lvl>
    <w:lvl w:ilvl="8" w:tplc="480C66E4" w:tentative="1">
      <w:start w:val="1"/>
      <w:numFmt w:val="bullet"/>
      <w:lvlText w:val=""/>
      <w:lvlJc w:val="left"/>
      <w:pPr>
        <w:ind w:left="6480" w:hanging="360"/>
      </w:pPr>
      <w:rPr>
        <w:rFonts w:ascii="Wingdings" w:hAnsi="Wingdings" w:hint="default"/>
      </w:rPr>
    </w:lvl>
  </w:abstractNum>
  <w:num w:numId="1" w16cid:durableId="2105569404">
    <w:abstractNumId w:val="1"/>
  </w:num>
  <w:num w:numId="2" w16cid:durableId="390808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70"/>
  <w:autoHyphenation/>
  <w:hyphenationZone w:val="425"/>
  <w:drawingGridHorizontalSpacing w:val="120"/>
  <w:displayHorizont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59"/>
    <w:rsid w:val="00034261"/>
    <w:rsid w:val="000344CB"/>
    <w:rsid w:val="00050D5B"/>
    <w:rsid w:val="000A372E"/>
    <w:rsid w:val="000B1832"/>
    <w:rsid w:val="000B45B1"/>
    <w:rsid w:val="000C29E1"/>
    <w:rsid w:val="000D0CCB"/>
    <w:rsid w:val="000D6D8A"/>
    <w:rsid w:val="000E2F12"/>
    <w:rsid w:val="000E54B6"/>
    <w:rsid w:val="00113778"/>
    <w:rsid w:val="00125BDF"/>
    <w:rsid w:val="00162A11"/>
    <w:rsid w:val="00172CD9"/>
    <w:rsid w:val="001B41E1"/>
    <w:rsid w:val="001B7303"/>
    <w:rsid w:val="00215CB5"/>
    <w:rsid w:val="00235AED"/>
    <w:rsid w:val="00241BB9"/>
    <w:rsid w:val="00276E71"/>
    <w:rsid w:val="00297795"/>
    <w:rsid w:val="002B1D9F"/>
    <w:rsid w:val="002B504F"/>
    <w:rsid w:val="002F4886"/>
    <w:rsid w:val="00334C45"/>
    <w:rsid w:val="003451E2"/>
    <w:rsid w:val="00347F1B"/>
    <w:rsid w:val="003B287C"/>
    <w:rsid w:val="003B48D4"/>
    <w:rsid w:val="003C472B"/>
    <w:rsid w:val="003C6ED5"/>
    <w:rsid w:val="003C700C"/>
    <w:rsid w:val="003C7185"/>
    <w:rsid w:val="003D27F8"/>
    <w:rsid w:val="003F3A47"/>
    <w:rsid w:val="0043480A"/>
    <w:rsid w:val="00437B5F"/>
    <w:rsid w:val="00443EF6"/>
    <w:rsid w:val="004509BE"/>
    <w:rsid w:val="0045486D"/>
    <w:rsid w:val="00463DBC"/>
    <w:rsid w:val="004934A8"/>
    <w:rsid w:val="004F0B09"/>
    <w:rsid w:val="00516D6A"/>
    <w:rsid w:val="00523C02"/>
    <w:rsid w:val="00544135"/>
    <w:rsid w:val="005600D7"/>
    <w:rsid w:val="005677D6"/>
    <w:rsid w:val="00582E97"/>
    <w:rsid w:val="00587714"/>
    <w:rsid w:val="005C3CD4"/>
    <w:rsid w:val="005D327A"/>
    <w:rsid w:val="0063555A"/>
    <w:rsid w:val="00686885"/>
    <w:rsid w:val="006922AC"/>
    <w:rsid w:val="00697032"/>
    <w:rsid w:val="006B16C1"/>
    <w:rsid w:val="0074764C"/>
    <w:rsid w:val="00763E81"/>
    <w:rsid w:val="00776965"/>
    <w:rsid w:val="007A4F37"/>
    <w:rsid w:val="007B028B"/>
    <w:rsid w:val="007B6A41"/>
    <w:rsid w:val="007D0F21"/>
    <w:rsid w:val="007D23C6"/>
    <w:rsid w:val="007E36BA"/>
    <w:rsid w:val="007F380D"/>
    <w:rsid w:val="007F4A98"/>
    <w:rsid w:val="0087691C"/>
    <w:rsid w:val="00893C24"/>
    <w:rsid w:val="008A21F4"/>
    <w:rsid w:val="008B7C0B"/>
    <w:rsid w:val="008D59C5"/>
    <w:rsid w:val="008D618A"/>
    <w:rsid w:val="008E210E"/>
    <w:rsid w:val="008E4B89"/>
    <w:rsid w:val="008F33AD"/>
    <w:rsid w:val="00900801"/>
    <w:rsid w:val="00960E2B"/>
    <w:rsid w:val="00970E37"/>
    <w:rsid w:val="00985A65"/>
    <w:rsid w:val="00987DE2"/>
    <w:rsid w:val="009A31BF"/>
    <w:rsid w:val="009B2459"/>
    <w:rsid w:val="009C4777"/>
    <w:rsid w:val="009D3C77"/>
    <w:rsid w:val="009D7D63"/>
    <w:rsid w:val="009F419D"/>
    <w:rsid w:val="00A52DBE"/>
    <w:rsid w:val="00A83BE3"/>
    <w:rsid w:val="00AA61EA"/>
    <w:rsid w:val="00AF6BEC"/>
    <w:rsid w:val="00B8296E"/>
    <w:rsid w:val="00B82F43"/>
    <w:rsid w:val="00BA7566"/>
    <w:rsid w:val="00BC481F"/>
    <w:rsid w:val="00BD75C1"/>
    <w:rsid w:val="00C3438D"/>
    <w:rsid w:val="00C62B6C"/>
    <w:rsid w:val="00C81260"/>
    <w:rsid w:val="00C95CA9"/>
    <w:rsid w:val="00CA061B"/>
    <w:rsid w:val="00CD4AED"/>
    <w:rsid w:val="00CD5856"/>
    <w:rsid w:val="00CF0F2E"/>
    <w:rsid w:val="00CF3E82"/>
    <w:rsid w:val="00D11E9A"/>
    <w:rsid w:val="00D54679"/>
    <w:rsid w:val="00D67BAF"/>
    <w:rsid w:val="00DA15A1"/>
    <w:rsid w:val="00DC7639"/>
    <w:rsid w:val="00E1490C"/>
    <w:rsid w:val="00E37122"/>
    <w:rsid w:val="00E563AF"/>
    <w:rsid w:val="00E85195"/>
    <w:rsid w:val="00EA275E"/>
    <w:rsid w:val="00EE23CE"/>
    <w:rsid w:val="00EE2A9D"/>
    <w:rsid w:val="00F32EA9"/>
    <w:rsid w:val="00F56EBE"/>
    <w:rsid w:val="00F72360"/>
    <w:rsid w:val="00F847BF"/>
    <w:rsid w:val="00F87E88"/>
    <w:rsid w:val="00FA2E49"/>
    <w:rsid w:val="00FC776C"/>
    <w:rsid w:val="00FD036B"/>
    <w:rsid w:val="00FE42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20BB7A3"/>
  <w15:docId w15:val="{E344E321-878A-45D3-AF11-9F9552C1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paragraph" w:customStyle="1" w:styleId="StandaardAanhef">
    <w:name w:val="Standaard_Aanhef"/>
    <w:basedOn w:val="Standaard"/>
    <w:next w:val="Standaard"/>
    <w:rsid w:val="00E563AF"/>
    <w:pPr>
      <w:widowControl/>
      <w:suppressAutoHyphens w:val="0"/>
      <w:spacing w:before="100" w:after="240"/>
    </w:pPr>
    <w:rPr>
      <w:color w:val="000000"/>
      <w:kern w:val="0"/>
      <w:szCs w:val="18"/>
      <w:lang w:eastAsia="nl-NL" w:bidi="ar-SA"/>
    </w:rPr>
  </w:style>
  <w:style w:type="paragraph" w:styleId="Lijstalinea">
    <w:name w:val="List Paragraph"/>
    <w:aliases w:val="Bullet 1,Bullet Points,Dot pt,F5 List Paragraph,Indicator Text,L,Lijstalinea1,List Paragraph Char Char Char,List Paragraph1,List Paragraph2,MAIN CONTENT,No Spacing1,Normal numbere,Numbered Para 1,Párrafo de lista,Recommendation,standaard,列出"/>
    <w:basedOn w:val="Standaard"/>
    <w:link w:val="LijstalineaChar"/>
    <w:uiPriority w:val="34"/>
    <w:qFormat/>
    <w:rsid w:val="00E563AF"/>
    <w:pPr>
      <w:widowControl/>
      <w:suppressAutoHyphens w:val="0"/>
      <w:ind w:left="720"/>
      <w:contextualSpacing/>
    </w:pPr>
    <w:rPr>
      <w:color w:val="000000"/>
      <w:kern w:val="0"/>
      <w:szCs w:val="18"/>
      <w:lang w:eastAsia="nl-NL" w:bidi="ar-SA"/>
    </w:rPr>
  </w:style>
  <w:style w:type="paragraph" w:styleId="Voetnoottekst">
    <w:name w:val="footnote text"/>
    <w:basedOn w:val="Standaard"/>
    <w:link w:val="VoetnoottekstChar"/>
    <w:uiPriority w:val="99"/>
    <w:semiHidden/>
    <w:unhideWhenUsed/>
    <w:rsid w:val="00E563AF"/>
    <w:pPr>
      <w:widowControl/>
      <w:suppressAutoHyphens w:val="0"/>
      <w:spacing w:line="240" w:lineRule="auto"/>
    </w:pPr>
    <w:rPr>
      <w:color w:val="000000"/>
      <w:kern w:val="0"/>
      <w:sz w:val="20"/>
      <w:szCs w:val="20"/>
      <w:lang w:eastAsia="nl-NL" w:bidi="ar-SA"/>
    </w:rPr>
  </w:style>
  <w:style w:type="character" w:customStyle="1" w:styleId="VoetnoottekstChar">
    <w:name w:val="Voetnoottekst Char"/>
    <w:basedOn w:val="Standaardalinea-lettertype"/>
    <w:link w:val="Voetnoottekst"/>
    <w:uiPriority w:val="99"/>
    <w:semiHidden/>
    <w:rsid w:val="00E563AF"/>
    <w:rPr>
      <w:rFonts w:ascii="Verdana" w:hAnsi="Verdana"/>
      <w:color w:val="000000"/>
      <w:kern w:val="0"/>
      <w:sz w:val="20"/>
      <w:szCs w:val="20"/>
      <w:lang w:eastAsia="nl-NL" w:bidi="ar-SA"/>
    </w:rPr>
  </w:style>
  <w:style w:type="character" w:styleId="Voetnootmarkering">
    <w:name w:val="footnote reference"/>
    <w:basedOn w:val="Standaardalinea-lettertype"/>
    <w:uiPriority w:val="99"/>
    <w:semiHidden/>
    <w:unhideWhenUsed/>
    <w:rsid w:val="00E563AF"/>
    <w:rPr>
      <w:vertAlign w:val="superscript"/>
    </w:rPr>
  </w:style>
  <w:style w:type="character" w:customStyle="1" w:styleId="LijstalineaChar">
    <w:name w:val="Lijstalinea Char"/>
    <w:aliases w:val="Bullet 1 Char,Bullet Points Char,Dot pt Char,F5 List Paragraph Char,Indicator Text Char,L Char,Lijstalinea1 Char,List Paragraph Char Char Char Char,List Paragraph1 Char,List Paragraph2 Char,MAIN CONTENT Char,No Spacing1 Char,列出 Char"/>
    <w:basedOn w:val="Standaardalinea-lettertype"/>
    <w:link w:val="Lijstalinea"/>
    <w:uiPriority w:val="34"/>
    <w:qFormat/>
    <w:locked/>
    <w:rsid w:val="00E563AF"/>
    <w:rPr>
      <w:rFonts w:ascii="Verdana" w:hAnsi="Verdana"/>
      <w:color w:val="000000"/>
      <w:kern w:val="0"/>
      <w:sz w:val="18"/>
      <w:szCs w:val="18"/>
      <w:lang w:eastAsia="nl-NL" w:bidi="ar-SA"/>
    </w:rPr>
  </w:style>
  <w:style w:type="paragraph" w:customStyle="1" w:styleId="pf0">
    <w:name w:val="pf0"/>
    <w:basedOn w:val="Standaard"/>
    <w:rsid w:val="00E563AF"/>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lang w:eastAsia="nl-NL" w:bidi="ar-SA"/>
    </w:rPr>
  </w:style>
  <w:style w:type="character" w:customStyle="1" w:styleId="cf01">
    <w:name w:val="cf01"/>
    <w:basedOn w:val="Standaardalinea-lettertype"/>
    <w:rsid w:val="00E563A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3.xml" Id="rId1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549</ap:Words>
  <ap:Characters>3020</ap:Characters>
  <ap:DocSecurity>0</ap:DocSecurity>
  <ap:Lines>25</ap:Lines>
  <ap:Paragraphs>7</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3562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lastPrinted>2024-02-07T14:42:00.0000000Z</lastPrinted>
  <dcterms:created xsi:type="dcterms:W3CDTF">2014-06-26T12:56:00.0000000Z</dcterms:created>
  <dcterms:modified xsi:type="dcterms:W3CDTF">2024-02-15T08:33:00.0000000Z</dcterms:modified>
  <dc:creator/>
  <dc:description>------------------------</dc:description>
  <dc:subject/>
  <dc:title/>
  <keywords/>
  <version/>
  <category/>
</coreProperties>
</file>