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53E4A" w:rsidP="3228CA70" w:rsidRDefault="3228CA70" w14:paraId="19DB5C60" w14:textId="0D6F332C">
      <w:pPr>
        <w:pStyle w:val="paragraph"/>
        <w:spacing w:before="0" w:beforeAutospacing="0" w:after="0" w:afterAutospacing="0"/>
        <w:textAlignment w:val="baseline"/>
        <w:rPr>
          <w:rFonts w:asciiTheme="majorHAnsi" w:hAnsiTheme="majorHAnsi" w:eastAsiaTheme="majorEastAsia" w:cstheme="majorBidi"/>
          <w:color w:val="000000"/>
          <w:sz w:val="20"/>
          <w:szCs w:val="20"/>
        </w:rPr>
      </w:pPr>
      <w:r w:rsidRPr="3228CA70">
        <w:rPr>
          <w:rStyle w:val="normaltextrun"/>
          <w:rFonts w:asciiTheme="majorHAnsi" w:hAnsiTheme="majorHAnsi" w:eastAsiaTheme="majorEastAsia" w:cstheme="majorBidi"/>
          <w:b/>
          <w:bCs/>
          <w:color w:val="000000" w:themeColor="text1"/>
          <w:sz w:val="20"/>
          <w:szCs w:val="20"/>
        </w:rPr>
        <w:t>Aan:</w:t>
      </w:r>
      <w:r w:rsidRPr="3228CA70">
        <w:rPr>
          <w:rStyle w:val="eop"/>
          <w:rFonts w:asciiTheme="majorHAnsi" w:hAnsiTheme="majorHAnsi" w:eastAsiaTheme="majorEastAsia" w:cstheme="majorBidi"/>
          <w:color w:val="000000" w:themeColor="text1"/>
          <w:sz w:val="20"/>
          <w:szCs w:val="20"/>
        </w:rPr>
        <w:t> </w:t>
      </w:r>
      <w:r w:rsidRPr="3228CA70">
        <w:rPr>
          <w:rStyle w:val="normaltextrun"/>
          <w:rFonts w:asciiTheme="majorHAnsi" w:hAnsiTheme="majorHAnsi" w:eastAsiaTheme="majorEastAsia" w:cstheme="majorBidi"/>
          <w:b/>
          <w:bCs/>
          <w:color w:val="000000" w:themeColor="text1"/>
          <w:sz w:val="20"/>
          <w:szCs w:val="20"/>
        </w:rPr>
        <w:t>De leden van de Tweede Kamer Commissie Landbouw, Natuur en Voedselkwaliteit </w:t>
      </w:r>
      <w:r w:rsidRPr="3228CA70">
        <w:rPr>
          <w:rStyle w:val="eop"/>
          <w:rFonts w:asciiTheme="majorHAnsi" w:hAnsiTheme="majorHAnsi" w:eastAsiaTheme="majorEastAsia" w:cstheme="majorBidi"/>
          <w:color w:val="000000" w:themeColor="text1"/>
          <w:sz w:val="20"/>
          <w:szCs w:val="20"/>
        </w:rPr>
        <w:t> </w:t>
      </w:r>
    </w:p>
    <w:p w:rsidR="00D17AB0" w:rsidP="3228CA70" w:rsidRDefault="00D17AB0" w14:paraId="76DB4BBB" w14:textId="77777777">
      <w:pPr>
        <w:pStyle w:val="paragraph"/>
        <w:spacing w:before="0" w:beforeAutospacing="0" w:after="0" w:afterAutospacing="0"/>
        <w:textAlignment w:val="baseline"/>
        <w:rPr>
          <w:rStyle w:val="normaltextrun"/>
          <w:rFonts w:asciiTheme="majorHAnsi" w:hAnsiTheme="majorHAnsi" w:eastAsiaTheme="majorEastAsia" w:cstheme="majorBidi"/>
          <w:b/>
          <w:bCs/>
          <w:color w:val="000000" w:themeColor="text1"/>
          <w:sz w:val="20"/>
          <w:szCs w:val="20"/>
        </w:rPr>
      </w:pPr>
    </w:p>
    <w:p w:rsidR="00953E4A" w:rsidP="3228CA70" w:rsidRDefault="3228CA70" w14:paraId="5CCCCED5" w14:textId="4594C1CA">
      <w:pPr>
        <w:pStyle w:val="paragraph"/>
        <w:spacing w:before="0" w:beforeAutospacing="0" w:after="0" w:afterAutospacing="0"/>
        <w:textAlignment w:val="baseline"/>
        <w:rPr>
          <w:rFonts w:asciiTheme="majorHAnsi" w:hAnsiTheme="majorHAnsi" w:eastAsiaTheme="majorEastAsia" w:cstheme="majorBidi"/>
          <w:color w:val="000000"/>
          <w:sz w:val="20"/>
          <w:szCs w:val="20"/>
        </w:rPr>
      </w:pPr>
      <w:r w:rsidRPr="3228CA70">
        <w:rPr>
          <w:rStyle w:val="normaltextrun"/>
          <w:rFonts w:asciiTheme="majorHAnsi" w:hAnsiTheme="majorHAnsi" w:eastAsiaTheme="majorEastAsia" w:cstheme="majorBidi"/>
          <w:b/>
          <w:bCs/>
          <w:color w:val="000000" w:themeColor="text1"/>
          <w:sz w:val="20"/>
          <w:szCs w:val="20"/>
        </w:rPr>
        <w:t xml:space="preserve">Betreft: </w:t>
      </w:r>
      <w:proofErr w:type="spellStart"/>
      <w:r w:rsidRPr="3228CA70">
        <w:rPr>
          <w:rStyle w:val="normaltextrun"/>
          <w:rFonts w:asciiTheme="majorHAnsi" w:hAnsiTheme="majorHAnsi" w:eastAsiaTheme="majorEastAsia" w:cstheme="majorBidi"/>
          <w:b/>
          <w:bCs/>
          <w:color w:val="000000" w:themeColor="text1"/>
          <w:sz w:val="20"/>
          <w:szCs w:val="20"/>
        </w:rPr>
        <w:t>Position</w:t>
      </w:r>
      <w:proofErr w:type="spellEnd"/>
      <w:r w:rsidRPr="3228CA70">
        <w:rPr>
          <w:rStyle w:val="normaltextrun"/>
          <w:rFonts w:asciiTheme="majorHAnsi" w:hAnsiTheme="majorHAnsi" w:eastAsiaTheme="majorEastAsia" w:cstheme="majorBidi"/>
          <w:b/>
          <w:bCs/>
          <w:color w:val="000000" w:themeColor="text1"/>
          <w:sz w:val="20"/>
          <w:szCs w:val="20"/>
        </w:rPr>
        <w:t xml:space="preserve"> Paper Bionext &amp; Biohuis Uitvoerbaarheid van beleid op het boerenerf</w:t>
      </w:r>
    </w:p>
    <w:p w:rsidRPr="00953E4A" w:rsidR="00953E4A" w:rsidP="3228CA70" w:rsidRDefault="3228CA70" w14:paraId="7AD65D8B" w14:textId="1A3CD87C">
      <w:pPr>
        <w:pStyle w:val="paragraph"/>
        <w:spacing w:before="0" w:beforeAutospacing="0" w:after="0" w:afterAutospacing="0"/>
        <w:textAlignment w:val="baseline"/>
        <w:rPr>
          <w:rFonts w:asciiTheme="majorHAnsi" w:hAnsiTheme="majorHAnsi" w:eastAsiaTheme="majorEastAsia" w:cstheme="majorBidi"/>
          <w:sz w:val="20"/>
          <w:szCs w:val="20"/>
        </w:rPr>
      </w:pPr>
      <w:r w:rsidRPr="3228CA70">
        <w:rPr>
          <w:rStyle w:val="normaltextrun"/>
          <w:rFonts w:asciiTheme="majorHAnsi" w:hAnsiTheme="majorHAnsi" w:eastAsiaTheme="majorEastAsia" w:cstheme="majorBidi"/>
          <w:b/>
          <w:bCs/>
          <w:color w:val="000000" w:themeColor="text1"/>
          <w:sz w:val="20"/>
          <w:szCs w:val="20"/>
        </w:rPr>
        <w:t>Datum: 16 januari 2024</w:t>
      </w:r>
    </w:p>
    <w:p w:rsidR="00D17AB0" w:rsidP="3228CA70" w:rsidRDefault="00D17AB0" w14:paraId="39E38A12" w14:textId="77777777">
      <w:pPr>
        <w:rPr>
          <w:rFonts w:asciiTheme="majorHAnsi" w:hAnsiTheme="majorHAnsi" w:eastAsiaTheme="majorEastAsia" w:cstheme="majorBidi"/>
          <w:sz w:val="20"/>
          <w:szCs w:val="20"/>
        </w:rPr>
      </w:pPr>
    </w:p>
    <w:p w:rsidRPr="00953E4A" w:rsidR="00E50488" w:rsidP="3228CA70" w:rsidRDefault="3228CA70" w14:paraId="24B470C1" w14:textId="55F52D9B">
      <w:p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Geachte leden van de Commissie LNV,</w:t>
      </w:r>
    </w:p>
    <w:p w:rsidR="3228CA70" w:rsidP="3228CA70" w:rsidRDefault="3228CA70" w14:paraId="7982B614" w14:textId="22F83F88">
      <w:p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 xml:space="preserve">Hartelijk dank dat wij namens de biologische boeren de kans krijgen om knelpunten in de agrarische praktijk toe te lichten bij de uitvoering van Europese en Nederlandse wet- en regelgeving. Vanuit de uitgangspunten Zorg, Ecologie, Gezondheid en Eerlijkheid is door de Europese Unie biologische wetgeving opgesteld. Deze combinatie van uitgangspunten en wetgeving zorgt ervoor dat bio-boeren anders werken. Maar bij het opstellen van </w:t>
      </w:r>
      <w:proofErr w:type="spellStart"/>
      <w:r w:rsidRPr="3228CA70">
        <w:rPr>
          <w:rFonts w:asciiTheme="majorHAnsi" w:hAnsiTheme="majorHAnsi" w:eastAsiaTheme="majorEastAsia" w:cstheme="majorBidi"/>
          <w:sz w:val="20"/>
          <w:szCs w:val="20"/>
        </w:rPr>
        <w:t>sectorbrede</w:t>
      </w:r>
      <w:proofErr w:type="spellEnd"/>
      <w:r w:rsidRPr="3228CA70">
        <w:rPr>
          <w:rFonts w:asciiTheme="majorHAnsi" w:hAnsiTheme="majorHAnsi" w:eastAsiaTheme="majorEastAsia" w:cstheme="majorBidi"/>
          <w:sz w:val="20"/>
          <w:szCs w:val="20"/>
        </w:rPr>
        <w:t xml:space="preserve"> regels wordt hier niet altijd rekening mee gehouden. De (aanstaande) biologische boeren wachten daarom met smart op de in het Actieplan Biologische Landbouw aangekondigde bio-toets. </w:t>
      </w:r>
    </w:p>
    <w:p w:rsidRPr="00953E4A" w:rsidR="00632E44" w:rsidP="3228CA70" w:rsidRDefault="3228CA70" w14:paraId="65BE7C20" w14:textId="52D326AD">
      <w:p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 xml:space="preserve">De Europese biologische verordening heeft gezorgd voor een samenhangend kader voor biologische landbouwpraktijken in Europa. Dit biedt stabiliteit en uniformiteit, maar brengt ook uitdagingen met zich mee. </w:t>
      </w:r>
      <w:r w:rsidR="009D03F0">
        <w:rPr>
          <w:rFonts w:asciiTheme="majorHAnsi" w:hAnsiTheme="majorHAnsi" w:eastAsiaTheme="majorEastAsia" w:cstheme="majorBidi"/>
          <w:sz w:val="20"/>
          <w:szCs w:val="20"/>
        </w:rPr>
        <w:t xml:space="preserve">De uitwerking van deze Europese verordening wordt op nationaal niveau niet gezien als het gaat om algemene landbouwregelgeving. </w:t>
      </w:r>
      <w:r w:rsidRPr="3228CA70">
        <w:rPr>
          <w:rFonts w:asciiTheme="majorHAnsi" w:hAnsiTheme="majorHAnsi" w:eastAsiaTheme="majorEastAsia" w:cstheme="majorBidi"/>
          <w:sz w:val="20"/>
          <w:szCs w:val="20"/>
        </w:rPr>
        <w:t>Ter illustratie wil ik u graag enkele voorbeelden noemen:</w:t>
      </w:r>
    </w:p>
    <w:p w:rsidR="3228CA70" w:rsidP="3228CA70" w:rsidRDefault="3228CA70" w14:paraId="17D6A089" w14:textId="193FF1C5">
      <w:pPr>
        <w:pStyle w:val="Lijstalinea"/>
        <w:numPr>
          <w:ilvl w:val="0"/>
          <w:numId w:val="2"/>
        </w:num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 xml:space="preserve">Bio-boeren hebben een kleinere impact op hun omgeving als het gaat over stikstof, klimaat en waterkwaliteit, </w:t>
      </w:r>
      <w:r w:rsidR="009D03F0">
        <w:rPr>
          <w:rFonts w:asciiTheme="majorHAnsi" w:hAnsiTheme="majorHAnsi" w:eastAsiaTheme="majorEastAsia" w:cstheme="majorBidi"/>
          <w:sz w:val="20"/>
          <w:szCs w:val="20"/>
        </w:rPr>
        <w:t xml:space="preserve">dit </w:t>
      </w:r>
      <w:r w:rsidRPr="3228CA70">
        <w:rPr>
          <w:rFonts w:asciiTheme="majorHAnsi" w:hAnsiTheme="majorHAnsi" w:eastAsiaTheme="majorEastAsia" w:cstheme="majorBidi"/>
          <w:sz w:val="20"/>
          <w:szCs w:val="20"/>
        </w:rPr>
        <w:t>blijkt</w:t>
      </w:r>
      <w:r w:rsidR="009D03F0">
        <w:rPr>
          <w:rFonts w:asciiTheme="majorHAnsi" w:hAnsiTheme="majorHAnsi" w:eastAsiaTheme="majorEastAsia" w:cstheme="majorBidi"/>
          <w:sz w:val="20"/>
          <w:szCs w:val="20"/>
        </w:rPr>
        <w:t xml:space="preserve"> ook</w:t>
      </w:r>
      <w:r w:rsidRPr="3228CA70">
        <w:rPr>
          <w:rFonts w:asciiTheme="majorHAnsi" w:hAnsiTheme="majorHAnsi" w:eastAsiaTheme="majorEastAsia" w:cstheme="majorBidi"/>
          <w:sz w:val="20"/>
          <w:szCs w:val="20"/>
        </w:rPr>
        <w:t xml:space="preserve"> uit “Het perspectief van biologische landbouw” </w:t>
      </w:r>
      <w:r w:rsidR="009D03F0">
        <w:rPr>
          <w:rFonts w:asciiTheme="majorHAnsi" w:hAnsiTheme="majorHAnsi" w:eastAsiaTheme="majorEastAsia" w:cstheme="majorBidi"/>
          <w:sz w:val="20"/>
          <w:szCs w:val="20"/>
        </w:rPr>
        <w:t>d</w:t>
      </w:r>
      <w:r w:rsidRPr="3228CA70">
        <w:rPr>
          <w:rFonts w:asciiTheme="majorHAnsi" w:hAnsiTheme="majorHAnsi" w:eastAsiaTheme="majorEastAsia" w:cstheme="majorBidi"/>
          <w:sz w:val="20"/>
          <w:szCs w:val="20"/>
        </w:rPr>
        <w:t xml:space="preserve">at de WUR afgelopen jaar opleverde. Echter, in de </w:t>
      </w:r>
      <w:proofErr w:type="spellStart"/>
      <w:r w:rsidRPr="3228CA70">
        <w:rPr>
          <w:rFonts w:asciiTheme="majorHAnsi" w:hAnsiTheme="majorHAnsi" w:eastAsiaTheme="majorEastAsia" w:cstheme="majorBidi"/>
          <w:sz w:val="20"/>
          <w:szCs w:val="20"/>
        </w:rPr>
        <w:t>piekbelastersaanpak</w:t>
      </w:r>
      <w:proofErr w:type="spellEnd"/>
      <w:r w:rsidRPr="3228CA70">
        <w:rPr>
          <w:rFonts w:asciiTheme="majorHAnsi" w:hAnsiTheme="majorHAnsi" w:eastAsiaTheme="majorEastAsia" w:cstheme="majorBidi"/>
          <w:sz w:val="20"/>
          <w:szCs w:val="20"/>
        </w:rPr>
        <w:t xml:space="preserve"> krijgen biologische boeren</w:t>
      </w:r>
      <w:r w:rsidR="002936DE">
        <w:rPr>
          <w:rFonts w:asciiTheme="majorHAnsi" w:hAnsiTheme="majorHAnsi" w:eastAsiaTheme="majorEastAsia" w:cstheme="majorBidi"/>
          <w:sz w:val="20"/>
          <w:szCs w:val="20"/>
        </w:rPr>
        <w:t xml:space="preserve"> net zo goed</w:t>
      </w:r>
      <w:r w:rsidRPr="3228CA70">
        <w:rPr>
          <w:rFonts w:asciiTheme="majorHAnsi" w:hAnsiTheme="majorHAnsi" w:eastAsiaTheme="majorEastAsia" w:cstheme="majorBidi"/>
          <w:sz w:val="20"/>
          <w:szCs w:val="20"/>
        </w:rPr>
        <w:t xml:space="preserve"> dit stempel opgeplakt</w:t>
      </w:r>
      <w:r w:rsidR="009D03F0">
        <w:rPr>
          <w:rFonts w:asciiTheme="majorHAnsi" w:hAnsiTheme="majorHAnsi" w:eastAsiaTheme="majorEastAsia" w:cstheme="majorBidi"/>
          <w:sz w:val="20"/>
          <w:szCs w:val="20"/>
        </w:rPr>
        <w:t>, zeer vaak ten onrechte.</w:t>
      </w:r>
      <w:r w:rsidR="002936DE">
        <w:rPr>
          <w:rFonts w:asciiTheme="majorHAnsi" w:hAnsiTheme="majorHAnsi" w:eastAsiaTheme="majorEastAsia" w:cstheme="majorBidi"/>
          <w:sz w:val="20"/>
          <w:szCs w:val="20"/>
        </w:rPr>
        <w:t xml:space="preserve"> </w:t>
      </w:r>
      <w:r w:rsidR="009D03F0">
        <w:rPr>
          <w:rFonts w:asciiTheme="majorHAnsi" w:hAnsiTheme="majorHAnsi" w:eastAsiaTheme="majorEastAsia" w:cstheme="majorBidi"/>
          <w:sz w:val="20"/>
          <w:szCs w:val="20"/>
        </w:rPr>
        <w:t xml:space="preserve">De berekeningen zijn </w:t>
      </w:r>
      <w:r w:rsidR="00AD4749">
        <w:rPr>
          <w:rFonts w:asciiTheme="majorHAnsi" w:hAnsiTheme="majorHAnsi" w:eastAsiaTheme="majorEastAsia" w:cstheme="majorBidi"/>
          <w:sz w:val="20"/>
          <w:szCs w:val="20"/>
        </w:rPr>
        <w:t xml:space="preserve">namelijk </w:t>
      </w:r>
      <w:r w:rsidR="009D03F0">
        <w:rPr>
          <w:rFonts w:asciiTheme="majorHAnsi" w:hAnsiTheme="majorHAnsi" w:eastAsiaTheme="majorEastAsia" w:cstheme="majorBidi"/>
          <w:sz w:val="20"/>
          <w:szCs w:val="20"/>
        </w:rPr>
        <w:t xml:space="preserve">gebaseerd op een model </w:t>
      </w:r>
      <w:r w:rsidR="002936DE">
        <w:rPr>
          <w:rFonts w:asciiTheme="majorHAnsi" w:hAnsiTheme="majorHAnsi" w:eastAsiaTheme="majorEastAsia" w:cstheme="majorBidi"/>
          <w:sz w:val="20"/>
          <w:szCs w:val="20"/>
        </w:rPr>
        <w:t>wat hogere emissies toekent aan biologische bedrijven. D</w:t>
      </w:r>
      <w:r w:rsidRPr="3228CA70">
        <w:rPr>
          <w:rFonts w:asciiTheme="majorHAnsi" w:hAnsiTheme="majorHAnsi" w:eastAsiaTheme="majorEastAsia" w:cstheme="majorBidi"/>
          <w:sz w:val="20"/>
          <w:szCs w:val="20"/>
        </w:rPr>
        <w:t xml:space="preserve">iverse onderzoeken </w:t>
      </w:r>
      <w:r w:rsidR="002936DE">
        <w:rPr>
          <w:rFonts w:asciiTheme="majorHAnsi" w:hAnsiTheme="majorHAnsi" w:eastAsiaTheme="majorEastAsia" w:cstheme="majorBidi"/>
          <w:sz w:val="20"/>
          <w:szCs w:val="20"/>
        </w:rPr>
        <w:t xml:space="preserve">hebben immers </w:t>
      </w:r>
      <w:r w:rsidRPr="3228CA70">
        <w:rPr>
          <w:rFonts w:asciiTheme="majorHAnsi" w:hAnsiTheme="majorHAnsi" w:eastAsiaTheme="majorEastAsia" w:cstheme="majorBidi"/>
          <w:sz w:val="20"/>
          <w:szCs w:val="20"/>
        </w:rPr>
        <w:t>al onderbouwd dat de</w:t>
      </w:r>
      <w:r w:rsidR="009D03F0">
        <w:rPr>
          <w:rFonts w:asciiTheme="majorHAnsi" w:hAnsiTheme="majorHAnsi" w:eastAsiaTheme="majorEastAsia" w:cstheme="majorBidi"/>
          <w:sz w:val="20"/>
          <w:szCs w:val="20"/>
        </w:rPr>
        <w:t xml:space="preserve"> </w:t>
      </w:r>
      <w:r w:rsidR="00AC41CD">
        <w:rPr>
          <w:rFonts w:asciiTheme="majorHAnsi" w:hAnsiTheme="majorHAnsi" w:eastAsiaTheme="majorEastAsia" w:cstheme="majorBidi"/>
          <w:sz w:val="20"/>
          <w:szCs w:val="20"/>
        </w:rPr>
        <w:t>emissie</w:t>
      </w:r>
      <w:r w:rsidRPr="3228CA70">
        <w:rPr>
          <w:rFonts w:asciiTheme="majorHAnsi" w:hAnsiTheme="majorHAnsi" w:eastAsiaTheme="majorEastAsia" w:cstheme="majorBidi"/>
          <w:sz w:val="20"/>
          <w:szCs w:val="20"/>
        </w:rPr>
        <w:t xml:space="preserve"> van </w:t>
      </w:r>
      <w:r w:rsidR="00AD4749">
        <w:rPr>
          <w:rFonts w:asciiTheme="majorHAnsi" w:hAnsiTheme="majorHAnsi" w:eastAsiaTheme="majorEastAsia" w:cstheme="majorBidi"/>
          <w:sz w:val="20"/>
          <w:szCs w:val="20"/>
        </w:rPr>
        <w:t xml:space="preserve">het </w:t>
      </w:r>
      <w:r w:rsidRPr="3228CA70">
        <w:rPr>
          <w:rFonts w:asciiTheme="majorHAnsi" w:hAnsiTheme="majorHAnsi" w:eastAsiaTheme="majorEastAsia" w:cstheme="majorBidi"/>
          <w:sz w:val="20"/>
          <w:szCs w:val="20"/>
        </w:rPr>
        <w:t>biologische</w:t>
      </w:r>
      <w:r w:rsidR="00AD4749">
        <w:rPr>
          <w:rFonts w:asciiTheme="majorHAnsi" w:hAnsiTheme="majorHAnsi" w:eastAsiaTheme="majorEastAsia" w:cstheme="majorBidi"/>
          <w:sz w:val="20"/>
          <w:szCs w:val="20"/>
        </w:rPr>
        <w:t xml:space="preserve"> bedrijf </w:t>
      </w:r>
      <w:r w:rsidRPr="3228CA70">
        <w:rPr>
          <w:rFonts w:asciiTheme="majorHAnsi" w:hAnsiTheme="majorHAnsi" w:eastAsiaTheme="majorEastAsia" w:cstheme="majorBidi"/>
          <w:sz w:val="20"/>
          <w:szCs w:val="20"/>
        </w:rPr>
        <w:t xml:space="preserve">via lucht en water lager is dan er modelmatig wordt berekend. En helaas is de </w:t>
      </w:r>
      <w:proofErr w:type="spellStart"/>
      <w:r w:rsidRPr="3228CA70">
        <w:rPr>
          <w:rFonts w:asciiTheme="majorHAnsi" w:hAnsiTheme="majorHAnsi" w:eastAsiaTheme="majorEastAsia" w:cstheme="majorBidi"/>
          <w:sz w:val="20"/>
          <w:szCs w:val="20"/>
        </w:rPr>
        <w:t>piekbelastersaanpak</w:t>
      </w:r>
      <w:proofErr w:type="spellEnd"/>
      <w:r w:rsidRPr="3228CA70">
        <w:rPr>
          <w:rFonts w:asciiTheme="majorHAnsi" w:hAnsiTheme="majorHAnsi" w:eastAsiaTheme="majorEastAsia" w:cstheme="majorBidi"/>
          <w:sz w:val="20"/>
          <w:szCs w:val="20"/>
        </w:rPr>
        <w:t xml:space="preserve"> enkel gebaseerd op dit laatste.</w:t>
      </w:r>
    </w:p>
    <w:p w:rsidRPr="004576C6" w:rsidR="00AD4749" w:rsidP="00AD4749" w:rsidRDefault="00AD4749" w14:paraId="7E4FD4D8" w14:textId="796CDC36">
      <w:pPr>
        <w:pStyle w:val="Lijstalinea"/>
        <w:numPr>
          <w:ilvl w:val="0"/>
          <w:numId w:val="2"/>
        </w:numPr>
        <w:rPr>
          <w:rFonts w:asciiTheme="majorHAnsi" w:hAnsiTheme="majorHAnsi" w:eastAsiaTheme="majorEastAsia" w:cstheme="majorBidi"/>
          <w:sz w:val="20"/>
          <w:szCs w:val="20"/>
        </w:rPr>
      </w:pPr>
      <w:proofErr w:type="spellStart"/>
      <w:r w:rsidRPr="3228CA70">
        <w:rPr>
          <w:rFonts w:asciiTheme="majorHAnsi" w:hAnsiTheme="majorHAnsi" w:eastAsiaTheme="majorEastAsia" w:cstheme="majorBidi"/>
          <w:sz w:val="20"/>
          <w:szCs w:val="20"/>
        </w:rPr>
        <w:t>Aerius</w:t>
      </w:r>
      <w:proofErr w:type="spellEnd"/>
      <w:r w:rsidRPr="3228CA70">
        <w:rPr>
          <w:rFonts w:asciiTheme="majorHAnsi" w:hAnsiTheme="majorHAnsi" w:eastAsiaTheme="majorEastAsia" w:cstheme="majorBidi"/>
          <w:sz w:val="20"/>
          <w:szCs w:val="20"/>
        </w:rPr>
        <w:t xml:space="preserve"> gaat uit van modellen en kengetallen die enkel gebaseerd zijn op de </w:t>
      </w:r>
      <w:r w:rsidR="002936DE">
        <w:rPr>
          <w:rFonts w:asciiTheme="majorHAnsi" w:hAnsiTheme="majorHAnsi" w:eastAsiaTheme="majorEastAsia" w:cstheme="majorBidi"/>
          <w:sz w:val="20"/>
          <w:szCs w:val="20"/>
        </w:rPr>
        <w:t>gemodelleerde</w:t>
      </w:r>
      <w:r w:rsidRPr="3228CA70">
        <w:rPr>
          <w:rFonts w:asciiTheme="majorHAnsi" w:hAnsiTheme="majorHAnsi" w:eastAsiaTheme="majorEastAsia" w:cstheme="majorBidi"/>
          <w:sz w:val="20"/>
          <w:szCs w:val="20"/>
        </w:rPr>
        <w:t xml:space="preserve"> praktijk. Het model staat </w:t>
      </w:r>
      <w:r w:rsidR="004576C6">
        <w:rPr>
          <w:rFonts w:asciiTheme="majorHAnsi" w:hAnsiTheme="majorHAnsi" w:eastAsiaTheme="majorEastAsia" w:cstheme="majorBidi"/>
          <w:sz w:val="20"/>
          <w:szCs w:val="20"/>
        </w:rPr>
        <w:t xml:space="preserve">bijvoorbeeld </w:t>
      </w:r>
      <w:r w:rsidRPr="3228CA70">
        <w:rPr>
          <w:rFonts w:asciiTheme="majorHAnsi" w:hAnsiTheme="majorHAnsi" w:eastAsiaTheme="majorEastAsia" w:cstheme="majorBidi"/>
          <w:sz w:val="20"/>
          <w:szCs w:val="20"/>
        </w:rPr>
        <w:t>niet meer dan 1.100 uur weidegang toe, maar de gemiddelde biologische boer zit rond de 2.500 uur</w:t>
      </w:r>
      <w:r w:rsidR="002936DE">
        <w:rPr>
          <w:rFonts w:asciiTheme="majorHAnsi" w:hAnsiTheme="majorHAnsi" w:eastAsiaTheme="majorEastAsia" w:cstheme="majorBidi"/>
          <w:sz w:val="20"/>
          <w:szCs w:val="20"/>
        </w:rPr>
        <w:t xml:space="preserve"> per jaar</w:t>
      </w:r>
      <w:r w:rsidRPr="3228CA70">
        <w:rPr>
          <w:rFonts w:asciiTheme="majorHAnsi" w:hAnsiTheme="majorHAnsi" w:eastAsiaTheme="majorEastAsia" w:cstheme="majorBidi"/>
          <w:sz w:val="20"/>
          <w:szCs w:val="20"/>
        </w:rPr>
        <w:t>.</w:t>
      </w:r>
      <w:r>
        <w:rPr>
          <w:rFonts w:asciiTheme="majorHAnsi" w:hAnsiTheme="majorHAnsi" w:eastAsiaTheme="majorEastAsia" w:cstheme="majorBidi"/>
          <w:sz w:val="20"/>
          <w:szCs w:val="20"/>
        </w:rPr>
        <w:t xml:space="preserve"> </w:t>
      </w:r>
    </w:p>
    <w:p w:rsidR="3228CA70" w:rsidP="3228CA70" w:rsidRDefault="3228CA70" w14:paraId="6323E5CD" w14:textId="4131A89D">
      <w:pPr>
        <w:pStyle w:val="Lijstalinea"/>
        <w:numPr>
          <w:ilvl w:val="0"/>
          <w:numId w:val="2"/>
        </w:num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Dit leidt ertoe dat biologische boeren te maken krijgen met waardedaling en minder mogelijkheden voor financiering. Banken geven consequent en duidelijk aan dat het hebben van de benodigde vergunning voorwaardelijk is voor het krijgen van financiering.</w:t>
      </w:r>
      <w:bookmarkStart w:name="_Hlk157612348" w:id="0"/>
    </w:p>
    <w:bookmarkEnd w:id="0"/>
    <w:p w:rsidR="3228CA70" w:rsidP="3228CA70" w:rsidRDefault="3228CA70" w14:paraId="463C6D8D" w14:textId="1FAB03DB">
      <w:pPr>
        <w:pStyle w:val="Lijstalinea"/>
        <w:numPr>
          <w:ilvl w:val="0"/>
          <w:numId w:val="2"/>
        </w:num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 xml:space="preserve">Tegelijkertijd merken wij dat zowel in het verleden als op dit moment vooral wordt ingezet op technische innovaties die niet of slecht aansluiten bij de biologische praktijk. Vanuit het oog van dierwaardigheid hebben biologische stallen uitlopen. Het installeren van luchtwassers op dergelijke stallen is </w:t>
      </w:r>
      <w:r w:rsidR="00AD4749">
        <w:rPr>
          <w:rFonts w:asciiTheme="majorHAnsi" w:hAnsiTheme="majorHAnsi" w:eastAsiaTheme="majorEastAsia" w:cstheme="majorBidi"/>
          <w:sz w:val="20"/>
          <w:szCs w:val="20"/>
        </w:rPr>
        <w:t xml:space="preserve">niet efficiënt </w:t>
      </w:r>
      <w:r w:rsidRPr="3228CA70">
        <w:rPr>
          <w:rFonts w:asciiTheme="majorHAnsi" w:hAnsiTheme="majorHAnsi" w:eastAsiaTheme="majorEastAsia" w:cstheme="majorBidi"/>
          <w:sz w:val="20"/>
          <w:szCs w:val="20"/>
        </w:rPr>
        <w:t>vanwege de vrijwel permanent open verbinding met de buitenlucht</w:t>
      </w:r>
      <w:r w:rsidR="00AD4749">
        <w:rPr>
          <w:rFonts w:asciiTheme="majorHAnsi" w:hAnsiTheme="majorHAnsi" w:eastAsiaTheme="majorEastAsia" w:cstheme="majorBidi"/>
          <w:sz w:val="20"/>
          <w:szCs w:val="20"/>
        </w:rPr>
        <w:t xml:space="preserve"> en het geringer aantal uren dat de dieren in de stal verblijven</w:t>
      </w:r>
      <w:r w:rsidRPr="3228CA70">
        <w:rPr>
          <w:rFonts w:asciiTheme="majorHAnsi" w:hAnsiTheme="majorHAnsi" w:eastAsiaTheme="majorEastAsia" w:cstheme="majorBidi"/>
          <w:sz w:val="20"/>
          <w:szCs w:val="20"/>
        </w:rPr>
        <w:t xml:space="preserve">. </w:t>
      </w:r>
    </w:p>
    <w:p w:rsidR="3228CA70" w:rsidP="3228CA70" w:rsidRDefault="3228CA70" w14:paraId="43E8B2F8" w14:textId="53027568">
      <w:pPr>
        <w:pStyle w:val="Lijstalinea"/>
        <w:numPr>
          <w:ilvl w:val="0"/>
          <w:numId w:val="2"/>
        </w:num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Daarbij is het huidige RAV-systeem niet ingericht op het beoordelen van allerlei individuele stallen. In de biologische varkenshouderij is vrijwel geen enkele stal identiek aan een andere. Dat zorgt ervoor dat elke stal in de klasse ‘overig’ valt met bijbehorende hoge emissieklasse. Want het is onuitvoerbaar en onbetaalbaar voor een individuele boer om elke nieuwe stal beoordeeld te krijgen in dit systeem en daar een eigen emissiecijfer voor toegekend te krijgen.</w:t>
      </w:r>
    </w:p>
    <w:p w:rsidR="3228CA70" w:rsidP="3228CA70" w:rsidRDefault="3228CA70" w14:paraId="16917B87" w14:textId="1B16514F">
      <w:pPr>
        <w:pStyle w:val="Lijstalinea"/>
        <w:numPr>
          <w:ilvl w:val="0"/>
          <w:numId w:val="2"/>
        </w:num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 xml:space="preserve">Hierdoor wordt de lage milieu-impact van </w:t>
      </w:r>
      <w:r w:rsidR="00AD4749">
        <w:rPr>
          <w:rFonts w:asciiTheme="majorHAnsi" w:hAnsiTheme="majorHAnsi" w:eastAsiaTheme="majorEastAsia" w:cstheme="majorBidi"/>
          <w:sz w:val="20"/>
          <w:szCs w:val="20"/>
        </w:rPr>
        <w:t xml:space="preserve">het biologische bedrijf </w:t>
      </w:r>
      <w:r w:rsidRPr="3228CA70">
        <w:rPr>
          <w:rFonts w:asciiTheme="majorHAnsi" w:hAnsiTheme="majorHAnsi" w:eastAsiaTheme="majorEastAsia" w:cstheme="majorBidi"/>
          <w:sz w:val="20"/>
          <w:szCs w:val="20"/>
        </w:rPr>
        <w:t xml:space="preserve">niet erkend. Maar is er ook minder motivatie van potentiële biologische boeren om in omschakeling te gaan. Ze krijgen immers van de overheid geen erkenning van hun lagere emissies. </w:t>
      </w:r>
    </w:p>
    <w:p w:rsidR="3228CA70" w:rsidP="3228CA70" w:rsidRDefault="3228CA70" w14:paraId="3388F573" w14:textId="6522D36D">
      <w:pPr>
        <w:pStyle w:val="Lijstalinea"/>
        <w:numPr>
          <w:ilvl w:val="0"/>
          <w:numId w:val="3"/>
        </w:num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 xml:space="preserve">Op dit moment is het zo dat </w:t>
      </w:r>
      <w:r w:rsidR="006A2078">
        <w:rPr>
          <w:rFonts w:asciiTheme="majorHAnsi" w:hAnsiTheme="majorHAnsi" w:eastAsiaTheme="majorEastAsia" w:cstheme="majorBidi"/>
          <w:sz w:val="20"/>
          <w:szCs w:val="20"/>
        </w:rPr>
        <w:t xml:space="preserve">het vrijwel onmogelijk is voor </w:t>
      </w:r>
      <w:r w:rsidRPr="3228CA70">
        <w:rPr>
          <w:rFonts w:asciiTheme="majorHAnsi" w:hAnsiTheme="majorHAnsi" w:eastAsiaTheme="majorEastAsia" w:cstheme="majorBidi"/>
          <w:sz w:val="20"/>
          <w:szCs w:val="20"/>
        </w:rPr>
        <w:t xml:space="preserve">biologische boeren rechtsbescherming of schadevergoeding </w:t>
      </w:r>
      <w:r w:rsidR="002936DE">
        <w:rPr>
          <w:rFonts w:asciiTheme="majorHAnsi" w:hAnsiTheme="majorHAnsi" w:eastAsiaTheme="majorEastAsia" w:cstheme="majorBidi"/>
          <w:sz w:val="20"/>
          <w:szCs w:val="20"/>
        </w:rPr>
        <w:t xml:space="preserve">te </w:t>
      </w:r>
      <w:r w:rsidRPr="3228CA70">
        <w:rPr>
          <w:rFonts w:asciiTheme="majorHAnsi" w:hAnsiTheme="majorHAnsi" w:eastAsiaTheme="majorEastAsia" w:cstheme="majorBidi"/>
          <w:sz w:val="20"/>
          <w:szCs w:val="20"/>
        </w:rPr>
        <w:t>krijgen bij residu vervuiling van hun producten</w:t>
      </w:r>
      <w:r w:rsidR="006A2078">
        <w:rPr>
          <w:rFonts w:asciiTheme="majorHAnsi" w:hAnsiTheme="majorHAnsi" w:eastAsiaTheme="majorEastAsia" w:cstheme="majorBidi"/>
          <w:sz w:val="20"/>
          <w:szCs w:val="20"/>
        </w:rPr>
        <w:t xml:space="preserve"> door drift of depositie vanuit andere bedrijven</w:t>
      </w:r>
      <w:r w:rsidR="002936DE">
        <w:rPr>
          <w:rFonts w:asciiTheme="majorHAnsi" w:hAnsiTheme="majorHAnsi" w:eastAsiaTheme="majorEastAsia" w:cstheme="majorBidi"/>
          <w:sz w:val="20"/>
          <w:szCs w:val="20"/>
        </w:rPr>
        <w:t>. I</w:t>
      </w:r>
      <w:r w:rsidRPr="3228CA70">
        <w:rPr>
          <w:rFonts w:asciiTheme="majorHAnsi" w:hAnsiTheme="majorHAnsi" w:eastAsiaTheme="majorEastAsia" w:cstheme="majorBidi"/>
          <w:sz w:val="20"/>
          <w:szCs w:val="20"/>
        </w:rPr>
        <w:t xml:space="preserve">n de praktijk betekent dit dat biologische boeren veel afstand moeten houden tot teelten van hun buren, singels aanleggen of andere maatregelen nemen om het risico hierop te verkleinen. Ook brengt dit beperkingen met zich mee voor het gebruik van water om het gewas te laten groeien vanwege de risico's op besmetting. </w:t>
      </w:r>
    </w:p>
    <w:p w:rsidR="006A2078" w:rsidP="3228CA70" w:rsidRDefault="006A2078" w14:paraId="5A143672" w14:textId="61233C7D">
      <w:pPr>
        <w:pStyle w:val="Lijstalinea"/>
        <w:numPr>
          <w:ilvl w:val="0"/>
          <w:numId w:val="3"/>
        </w:numPr>
        <w:rPr>
          <w:rFonts w:asciiTheme="majorHAnsi" w:hAnsiTheme="majorHAnsi" w:eastAsiaTheme="majorEastAsia" w:cstheme="majorBidi"/>
          <w:sz w:val="20"/>
          <w:szCs w:val="20"/>
        </w:rPr>
      </w:pPr>
      <w:r>
        <w:rPr>
          <w:rFonts w:asciiTheme="majorHAnsi" w:hAnsiTheme="majorHAnsi" w:eastAsiaTheme="majorEastAsia" w:cstheme="majorBidi"/>
          <w:sz w:val="20"/>
          <w:szCs w:val="20"/>
        </w:rPr>
        <w:t>Als er desondanks een keer te</w:t>
      </w:r>
      <w:r w:rsidR="002936DE">
        <w:rPr>
          <w:rFonts w:asciiTheme="majorHAnsi" w:hAnsiTheme="majorHAnsi" w:eastAsiaTheme="majorEastAsia" w:cstheme="majorBidi"/>
          <w:sz w:val="20"/>
          <w:szCs w:val="20"/>
        </w:rPr>
        <w:t xml:space="preserve"> </w:t>
      </w:r>
      <w:r>
        <w:rPr>
          <w:rFonts w:asciiTheme="majorHAnsi" w:hAnsiTheme="majorHAnsi" w:eastAsiaTheme="majorEastAsia" w:cstheme="majorBidi"/>
          <w:sz w:val="20"/>
          <w:szCs w:val="20"/>
        </w:rPr>
        <w:t xml:space="preserve">veel aan </w:t>
      </w:r>
      <w:r w:rsidR="002936DE">
        <w:rPr>
          <w:rFonts w:asciiTheme="majorHAnsi" w:hAnsiTheme="majorHAnsi" w:eastAsiaTheme="majorEastAsia" w:cstheme="majorBidi"/>
          <w:sz w:val="20"/>
          <w:szCs w:val="20"/>
        </w:rPr>
        <w:t>residuen wordt</w:t>
      </w:r>
      <w:r>
        <w:rPr>
          <w:rFonts w:asciiTheme="majorHAnsi" w:hAnsiTheme="majorHAnsi" w:eastAsiaTheme="majorEastAsia" w:cstheme="majorBidi"/>
          <w:sz w:val="20"/>
          <w:szCs w:val="20"/>
        </w:rPr>
        <w:t xml:space="preserve"> gevonden</w:t>
      </w:r>
      <w:r w:rsidR="002936DE">
        <w:rPr>
          <w:rFonts w:asciiTheme="majorHAnsi" w:hAnsiTheme="majorHAnsi" w:eastAsiaTheme="majorEastAsia" w:cstheme="majorBidi"/>
          <w:sz w:val="20"/>
          <w:szCs w:val="20"/>
        </w:rPr>
        <w:t>, dan</w:t>
      </w:r>
      <w:r>
        <w:rPr>
          <w:rFonts w:asciiTheme="majorHAnsi" w:hAnsiTheme="majorHAnsi" w:eastAsiaTheme="majorEastAsia" w:cstheme="majorBidi"/>
          <w:sz w:val="20"/>
          <w:szCs w:val="20"/>
        </w:rPr>
        <w:t xml:space="preserve"> komt er een onderzoek naar de herkomst van het residu. Ook al kan het bedrijf laten zien dat het middel niet door haar is gebruikt, dan </w:t>
      </w:r>
      <w:r w:rsidR="00A049F7">
        <w:rPr>
          <w:rFonts w:asciiTheme="majorHAnsi" w:hAnsiTheme="majorHAnsi" w:eastAsiaTheme="majorEastAsia" w:cstheme="majorBidi"/>
          <w:sz w:val="20"/>
          <w:szCs w:val="20"/>
        </w:rPr>
        <w:lastRenderedPageBreak/>
        <w:t>kan op grond van contracten het product niet meer als biologisch worden verkocht en komt dit verlies voor rekening van de biologische teler.</w:t>
      </w:r>
    </w:p>
    <w:p w:rsidR="3228CA70" w:rsidP="3228CA70" w:rsidRDefault="3228CA70" w14:paraId="384CD495" w14:textId="762F4F75">
      <w:pPr>
        <w:pStyle w:val="Lijstalinea"/>
        <w:numPr>
          <w:ilvl w:val="0"/>
          <w:numId w:val="3"/>
        </w:num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De mest-situatie is voor ons anders dan bij onze gangbare collega's. Biologische mest is schaars. Veehouders krijgen dus betaald om hun mest af te zetten. Daarbij zijn alle biologische bedrijven gezamenlijk grondgebonden. Dit volgt uit de Europees-wettelijke verplichting dat biologische mest op biologische grond afgezet moet worden. Desondanks wordt hier in het mestbeleid geen rekening mee gehouden. En moeten bio-boeren aan allerlei regels voldoen die ervan uitgaan dat er een overschot is aan mest. Denk daarbij aan het injecteren van drijfmest, maatregelen rondom generieke krimp</w:t>
      </w:r>
      <w:r w:rsidR="00E20070">
        <w:rPr>
          <w:rFonts w:asciiTheme="majorHAnsi" w:hAnsiTheme="majorHAnsi" w:eastAsiaTheme="majorEastAsia" w:cstheme="majorBidi"/>
          <w:sz w:val="20"/>
          <w:szCs w:val="20"/>
        </w:rPr>
        <w:t xml:space="preserve"> ten tijde van het fosfaatplafond of het nemen van mestmonsters om fraude tegen te gaan. En hangt ook een onnodige maximale grens van 25 km voor de afzet van mest boven de biologische mest-markt. </w:t>
      </w:r>
    </w:p>
    <w:p w:rsidR="00D17AB0" w:rsidP="00D17AB0" w:rsidRDefault="00D17AB0" w14:paraId="2F5334DC" w14:textId="33EF92AF">
      <w:pPr>
        <w:pStyle w:val="Lijstalinea"/>
        <w:numPr>
          <w:ilvl w:val="0"/>
          <w:numId w:val="3"/>
        </w:numPr>
        <w:rPr>
          <w:rFonts w:asciiTheme="majorHAnsi" w:hAnsiTheme="majorHAnsi" w:eastAsiaTheme="majorEastAsia" w:cstheme="majorBidi"/>
          <w:sz w:val="20"/>
          <w:szCs w:val="20"/>
        </w:rPr>
      </w:pPr>
      <w:r w:rsidRPr="00D17AB0">
        <w:rPr>
          <w:rFonts w:asciiTheme="majorHAnsi" w:hAnsiTheme="majorHAnsi" w:eastAsiaTheme="majorEastAsia" w:cstheme="majorBidi"/>
          <w:sz w:val="20"/>
          <w:szCs w:val="20"/>
        </w:rPr>
        <w:t>Voor biologische boeren is het onbegrijpelijk dat het rijk aan de ene kant, om duurzaamheidsredenen, de ambitie heeft het biologisch areaal te vergroten van 4 naar 15%</w:t>
      </w:r>
      <w:r>
        <w:rPr>
          <w:rFonts w:asciiTheme="majorHAnsi" w:hAnsiTheme="majorHAnsi" w:eastAsiaTheme="majorEastAsia" w:cstheme="majorBidi"/>
          <w:sz w:val="20"/>
          <w:szCs w:val="20"/>
        </w:rPr>
        <w:t xml:space="preserve">, maar dat onderdelen van de Rijksoverheid als het Rijksvastgoedbedrijf en Staatsbosbeheer dit niet of nauwelijks laten terugkomen in de voorwaarden voor de gronden die zij in pacht uitgeven. De samenloop van het Didam-arrest en het verlies van de derogatie voert de druk op de grondmarkt zo op dat niet-biologische collega boeren haast gedwongen zijn extreem hoge pachtprijzen te bieden op pachtgronden. Wij horen van tientallen biologische boeren dat zij vrezen dit of komend jaar hun grond te verliezen. Vanuit hun situatie kunnen zij niet mee met deze hoge pachtprijzen, maar dreigen hierdoor wel voor hun bedrijf noodzakelijke landbouwgrond te verliezen. </w:t>
      </w:r>
    </w:p>
    <w:p w:rsidR="008B033D" w:rsidP="00D17AB0" w:rsidRDefault="002936DE" w14:paraId="569565E7" w14:textId="51B484A1">
      <w:pPr>
        <w:pStyle w:val="Lijstalinea"/>
        <w:numPr>
          <w:ilvl w:val="0"/>
          <w:numId w:val="3"/>
        </w:numPr>
        <w:rPr>
          <w:rFonts w:asciiTheme="majorHAnsi" w:hAnsiTheme="majorHAnsi" w:eastAsiaTheme="majorEastAsia" w:cstheme="majorBidi"/>
          <w:sz w:val="20"/>
          <w:szCs w:val="20"/>
        </w:rPr>
      </w:pPr>
      <w:r>
        <w:rPr>
          <w:rFonts w:asciiTheme="majorHAnsi" w:hAnsiTheme="majorHAnsi" w:eastAsiaTheme="majorEastAsia" w:cstheme="majorBidi"/>
          <w:sz w:val="20"/>
          <w:szCs w:val="20"/>
        </w:rPr>
        <w:t xml:space="preserve">De landbouw is gebaat bij innovatie en onderzoek. </w:t>
      </w:r>
      <w:r w:rsidR="00D17AB0">
        <w:rPr>
          <w:rFonts w:asciiTheme="majorHAnsi" w:hAnsiTheme="majorHAnsi" w:eastAsiaTheme="majorEastAsia" w:cstheme="majorBidi"/>
          <w:sz w:val="20"/>
          <w:szCs w:val="20"/>
        </w:rPr>
        <w:t>De structuur en opzet van de top-sector onderzoek</w:t>
      </w:r>
      <w:r>
        <w:rPr>
          <w:rFonts w:asciiTheme="majorHAnsi" w:hAnsiTheme="majorHAnsi" w:eastAsiaTheme="majorEastAsia" w:cstheme="majorBidi"/>
          <w:sz w:val="20"/>
          <w:szCs w:val="20"/>
        </w:rPr>
        <w:t xml:space="preserve"> </w:t>
      </w:r>
      <w:r w:rsidR="00D17AB0">
        <w:rPr>
          <w:rFonts w:asciiTheme="majorHAnsi" w:hAnsiTheme="majorHAnsi" w:eastAsiaTheme="majorEastAsia" w:cstheme="majorBidi"/>
          <w:sz w:val="20"/>
          <w:szCs w:val="20"/>
        </w:rPr>
        <w:t xml:space="preserve">helpt hier niet bij. </w:t>
      </w:r>
      <w:r>
        <w:rPr>
          <w:rFonts w:asciiTheme="majorHAnsi" w:hAnsiTheme="majorHAnsi" w:eastAsiaTheme="majorEastAsia" w:cstheme="majorBidi"/>
          <w:sz w:val="20"/>
          <w:szCs w:val="20"/>
        </w:rPr>
        <w:t xml:space="preserve">Allereerst vereist de structuur van de topsectoren dat </w:t>
      </w:r>
      <w:r w:rsidR="00AC41CD">
        <w:rPr>
          <w:rFonts w:asciiTheme="majorHAnsi" w:hAnsiTheme="majorHAnsi" w:eastAsiaTheme="majorEastAsia" w:cstheme="majorBidi"/>
          <w:sz w:val="20"/>
          <w:szCs w:val="20"/>
        </w:rPr>
        <w:t xml:space="preserve">onderzoeken vaak voor de helft mede moeten worden gefinancierd door ondernemers. Serieuze projecten </w:t>
      </w:r>
      <w:r w:rsidR="00D17AB0">
        <w:rPr>
          <w:rFonts w:asciiTheme="majorHAnsi" w:hAnsiTheme="majorHAnsi" w:eastAsiaTheme="majorEastAsia" w:cstheme="majorBidi"/>
          <w:sz w:val="20"/>
          <w:szCs w:val="20"/>
        </w:rPr>
        <w:t>kosten</w:t>
      </w:r>
      <w:r w:rsidR="00AC41CD">
        <w:rPr>
          <w:rFonts w:asciiTheme="majorHAnsi" w:hAnsiTheme="majorHAnsi" w:eastAsiaTheme="majorEastAsia" w:cstheme="majorBidi"/>
          <w:sz w:val="20"/>
          <w:szCs w:val="20"/>
        </w:rPr>
        <w:t xml:space="preserve"> miljoenen euro’s per jaar. </w:t>
      </w:r>
      <w:r w:rsidR="00D17AB0">
        <w:rPr>
          <w:rFonts w:asciiTheme="majorHAnsi" w:hAnsiTheme="majorHAnsi" w:eastAsiaTheme="majorEastAsia" w:cstheme="majorBidi"/>
          <w:sz w:val="20"/>
          <w:szCs w:val="20"/>
        </w:rPr>
        <w:t>A</w:t>
      </w:r>
      <w:r w:rsidR="00AC41CD">
        <w:rPr>
          <w:rFonts w:asciiTheme="majorHAnsi" w:hAnsiTheme="majorHAnsi" w:eastAsiaTheme="majorEastAsia" w:cstheme="majorBidi"/>
          <w:sz w:val="20"/>
          <w:szCs w:val="20"/>
        </w:rPr>
        <w:t xml:space="preserve">l jaren </w:t>
      </w:r>
      <w:r w:rsidR="00D17AB0">
        <w:rPr>
          <w:rFonts w:asciiTheme="majorHAnsi" w:hAnsiTheme="majorHAnsi" w:eastAsiaTheme="majorEastAsia" w:cstheme="majorBidi"/>
          <w:sz w:val="20"/>
          <w:szCs w:val="20"/>
        </w:rPr>
        <w:t xml:space="preserve">blijkt </w:t>
      </w:r>
      <w:r w:rsidR="00AC41CD">
        <w:rPr>
          <w:rFonts w:asciiTheme="majorHAnsi" w:hAnsiTheme="majorHAnsi" w:eastAsiaTheme="majorEastAsia" w:cstheme="majorBidi"/>
          <w:sz w:val="20"/>
          <w:szCs w:val="20"/>
        </w:rPr>
        <w:t xml:space="preserve">dat het vrijwel onmogelijk is voor </w:t>
      </w:r>
      <w:r w:rsidR="00D17AB0">
        <w:rPr>
          <w:rFonts w:asciiTheme="majorHAnsi" w:hAnsiTheme="majorHAnsi" w:eastAsiaTheme="majorEastAsia" w:cstheme="majorBidi"/>
          <w:sz w:val="20"/>
          <w:szCs w:val="20"/>
        </w:rPr>
        <w:t xml:space="preserve">kleine of </w:t>
      </w:r>
      <w:r w:rsidR="00AC41CD">
        <w:rPr>
          <w:rFonts w:asciiTheme="majorHAnsi" w:hAnsiTheme="majorHAnsi" w:eastAsiaTheme="majorEastAsia" w:cstheme="majorBidi"/>
          <w:sz w:val="20"/>
          <w:szCs w:val="20"/>
        </w:rPr>
        <w:t xml:space="preserve">middelgrote ondernemingen </w:t>
      </w:r>
      <w:r w:rsidR="00D17AB0">
        <w:rPr>
          <w:rFonts w:asciiTheme="majorHAnsi" w:hAnsiTheme="majorHAnsi" w:eastAsiaTheme="majorEastAsia" w:cstheme="majorBidi"/>
          <w:sz w:val="20"/>
          <w:szCs w:val="20"/>
        </w:rPr>
        <w:t>of</w:t>
      </w:r>
      <w:r w:rsidR="00AC41CD">
        <w:rPr>
          <w:rFonts w:asciiTheme="majorHAnsi" w:hAnsiTheme="majorHAnsi" w:eastAsiaTheme="majorEastAsia" w:cstheme="majorBidi"/>
          <w:sz w:val="20"/>
          <w:szCs w:val="20"/>
        </w:rPr>
        <w:t xml:space="preserve"> sectoren daardoor serieus ondervertegenwoordigd zijn in</w:t>
      </w:r>
      <w:r w:rsidR="006B6D7A">
        <w:rPr>
          <w:rFonts w:asciiTheme="majorHAnsi" w:hAnsiTheme="majorHAnsi" w:eastAsiaTheme="majorEastAsia" w:cstheme="majorBidi"/>
          <w:sz w:val="20"/>
          <w:szCs w:val="20"/>
        </w:rPr>
        <w:t xml:space="preserve"> toegekende projecten</w:t>
      </w:r>
      <w:r w:rsidR="00AC41CD">
        <w:rPr>
          <w:rFonts w:asciiTheme="majorHAnsi" w:hAnsiTheme="majorHAnsi" w:eastAsiaTheme="majorEastAsia" w:cstheme="majorBidi"/>
          <w:sz w:val="20"/>
          <w:szCs w:val="20"/>
        </w:rPr>
        <w:t xml:space="preserve">. Ten tweede </w:t>
      </w:r>
      <w:r w:rsidR="006B6D7A">
        <w:rPr>
          <w:rFonts w:asciiTheme="majorHAnsi" w:hAnsiTheme="majorHAnsi" w:eastAsiaTheme="majorEastAsia" w:cstheme="majorBidi"/>
          <w:sz w:val="20"/>
          <w:szCs w:val="20"/>
        </w:rPr>
        <w:t xml:space="preserve">investeren </w:t>
      </w:r>
      <w:r w:rsidR="00AC41CD">
        <w:rPr>
          <w:rFonts w:asciiTheme="majorHAnsi" w:hAnsiTheme="majorHAnsi" w:eastAsiaTheme="majorEastAsia" w:cstheme="majorBidi"/>
          <w:sz w:val="20"/>
          <w:szCs w:val="20"/>
        </w:rPr>
        <w:t xml:space="preserve">bedrijven in onderzoek </w:t>
      </w:r>
      <w:r w:rsidR="006B6D7A">
        <w:rPr>
          <w:rFonts w:asciiTheme="majorHAnsi" w:hAnsiTheme="majorHAnsi" w:eastAsiaTheme="majorEastAsia" w:cstheme="majorBidi"/>
          <w:sz w:val="20"/>
          <w:szCs w:val="20"/>
        </w:rPr>
        <w:t>dat terugverdient kan worden</w:t>
      </w:r>
      <w:r w:rsidR="00AC41CD">
        <w:rPr>
          <w:rFonts w:asciiTheme="majorHAnsi" w:hAnsiTheme="majorHAnsi" w:eastAsiaTheme="majorEastAsia" w:cstheme="majorBidi"/>
          <w:sz w:val="20"/>
          <w:szCs w:val="20"/>
        </w:rPr>
        <w:t xml:space="preserve">. Dit laatste is </w:t>
      </w:r>
      <w:r w:rsidR="006B6D7A">
        <w:rPr>
          <w:rFonts w:asciiTheme="majorHAnsi" w:hAnsiTheme="majorHAnsi" w:eastAsiaTheme="majorEastAsia" w:cstheme="majorBidi"/>
          <w:sz w:val="20"/>
          <w:szCs w:val="20"/>
        </w:rPr>
        <w:t xml:space="preserve">vaak lastiger </w:t>
      </w:r>
      <w:r w:rsidR="00AC41CD">
        <w:rPr>
          <w:rFonts w:asciiTheme="majorHAnsi" w:hAnsiTheme="majorHAnsi" w:eastAsiaTheme="majorEastAsia" w:cstheme="majorBidi"/>
          <w:sz w:val="20"/>
          <w:szCs w:val="20"/>
        </w:rPr>
        <w:t xml:space="preserve">in de biologische sector, omdat zaken als gewasbeschermingsmiddelen, kunstmest of kunstmatige diervoedingsadditieven niet aansluiten bij de ontwikkelrichting van de biologische landbouw. </w:t>
      </w:r>
    </w:p>
    <w:p w:rsidRPr="00953E4A" w:rsidR="00632E44" w:rsidP="00E20070" w:rsidRDefault="00E20070" w14:paraId="3AAD9D8B" w14:textId="76B55B90">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 xml:space="preserve">De landbouw- en voedselketen heeft </w:t>
      </w:r>
      <w:r w:rsidR="002936DE">
        <w:rPr>
          <w:rFonts w:asciiTheme="majorHAnsi" w:hAnsiTheme="majorHAnsi" w:eastAsiaTheme="majorEastAsia" w:cstheme="majorBidi"/>
          <w:sz w:val="20"/>
          <w:szCs w:val="20"/>
        </w:rPr>
        <w:t>ontwikkelpaden</w:t>
      </w:r>
      <w:r>
        <w:rPr>
          <w:rFonts w:asciiTheme="majorHAnsi" w:hAnsiTheme="majorHAnsi" w:eastAsiaTheme="majorEastAsia" w:cstheme="majorBidi"/>
          <w:sz w:val="20"/>
          <w:szCs w:val="20"/>
        </w:rPr>
        <w:t xml:space="preserve"> nodig en de biologische keten kan dit voor een substantieel deel van de ondernemers zijn. Daarvoor is het wel nodig dat bestaand en nieuw beleid dit aantrekkelijk maken. </w:t>
      </w:r>
      <w:r w:rsidRPr="3228CA70" w:rsidR="3228CA70">
        <w:rPr>
          <w:rFonts w:asciiTheme="majorHAnsi" w:hAnsiTheme="majorHAnsi" w:eastAsiaTheme="majorEastAsia" w:cstheme="majorBidi"/>
          <w:sz w:val="20"/>
          <w:szCs w:val="20"/>
        </w:rPr>
        <w:t>Huidige stimuleringsregelingen belonen voornamelijk de intentie om te veranderen, zonder oog te hebben voor boeren</w:t>
      </w:r>
      <w:r>
        <w:rPr>
          <w:rFonts w:asciiTheme="majorHAnsi" w:hAnsiTheme="majorHAnsi" w:eastAsiaTheme="majorEastAsia" w:cstheme="majorBidi"/>
          <w:sz w:val="20"/>
          <w:szCs w:val="20"/>
        </w:rPr>
        <w:t xml:space="preserve"> en ondernemers</w:t>
      </w:r>
      <w:r w:rsidRPr="3228CA70" w:rsidR="3228CA70">
        <w:rPr>
          <w:rFonts w:asciiTheme="majorHAnsi" w:hAnsiTheme="majorHAnsi" w:eastAsiaTheme="majorEastAsia" w:cstheme="majorBidi"/>
          <w:sz w:val="20"/>
          <w:szCs w:val="20"/>
        </w:rPr>
        <w:t xml:space="preserve"> die al substantiële stappen hebben genomen, zoals op het gebied van verminderde stikstof- en CO2-uitstoot, verbeterd dierenwelzijn en hoogwaardige waterkwaliteit.</w:t>
      </w:r>
      <w:r>
        <w:rPr>
          <w:rFonts w:asciiTheme="majorHAnsi" w:hAnsiTheme="majorHAnsi" w:eastAsiaTheme="majorEastAsia" w:cstheme="majorBidi"/>
          <w:sz w:val="20"/>
          <w:szCs w:val="20"/>
        </w:rPr>
        <w:t xml:space="preserve"> Dit waardeert ondernemerschap niet, het beloont </w:t>
      </w:r>
      <w:r w:rsidR="00D51D9C">
        <w:rPr>
          <w:rFonts w:asciiTheme="majorHAnsi" w:hAnsiTheme="majorHAnsi" w:eastAsiaTheme="majorEastAsia" w:cstheme="majorBidi"/>
          <w:sz w:val="20"/>
          <w:szCs w:val="20"/>
        </w:rPr>
        <w:t xml:space="preserve">(onbedoeld) </w:t>
      </w:r>
      <w:r>
        <w:rPr>
          <w:rFonts w:asciiTheme="majorHAnsi" w:hAnsiTheme="majorHAnsi" w:eastAsiaTheme="majorEastAsia" w:cstheme="majorBidi"/>
          <w:sz w:val="20"/>
          <w:szCs w:val="20"/>
        </w:rPr>
        <w:t xml:space="preserve">juist degene die op de overheid blijven wachten </w:t>
      </w:r>
      <w:r w:rsidR="00D51D9C">
        <w:rPr>
          <w:rFonts w:asciiTheme="majorHAnsi" w:hAnsiTheme="majorHAnsi" w:eastAsiaTheme="majorEastAsia" w:cstheme="majorBidi"/>
          <w:sz w:val="20"/>
          <w:szCs w:val="20"/>
        </w:rPr>
        <w:t>tot d</w:t>
      </w:r>
      <w:r w:rsidR="0059444E">
        <w:rPr>
          <w:rFonts w:asciiTheme="majorHAnsi" w:hAnsiTheme="majorHAnsi" w:eastAsiaTheme="majorEastAsia" w:cstheme="majorBidi"/>
          <w:sz w:val="20"/>
          <w:szCs w:val="20"/>
        </w:rPr>
        <w:t>i</w:t>
      </w:r>
      <w:r w:rsidR="00D51D9C">
        <w:rPr>
          <w:rFonts w:asciiTheme="majorHAnsi" w:hAnsiTheme="majorHAnsi" w:eastAsiaTheme="majorEastAsia" w:cstheme="majorBidi"/>
          <w:sz w:val="20"/>
          <w:szCs w:val="20"/>
        </w:rPr>
        <w:t xml:space="preserve">e met maatregelen komt. </w:t>
      </w:r>
    </w:p>
    <w:p w:rsidR="00632E44" w:rsidP="3228CA70" w:rsidRDefault="3228CA70" w14:paraId="591B27A3" w14:textId="419DEC63">
      <w:p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 xml:space="preserve">Het is cruciaal dat beleid </w:t>
      </w:r>
      <w:r w:rsidR="00D51D9C">
        <w:rPr>
          <w:rFonts w:asciiTheme="majorHAnsi" w:hAnsiTheme="majorHAnsi" w:eastAsiaTheme="majorEastAsia" w:cstheme="majorBidi"/>
          <w:sz w:val="20"/>
          <w:szCs w:val="20"/>
        </w:rPr>
        <w:t>boeren waardeert die</w:t>
      </w:r>
      <w:r w:rsidRPr="3228CA70">
        <w:rPr>
          <w:rFonts w:asciiTheme="majorHAnsi" w:hAnsiTheme="majorHAnsi" w:eastAsiaTheme="majorEastAsia" w:cstheme="majorBidi"/>
          <w:sz w:val="20"/>
          <w:szCs w:val="20"/>
        </w:rPr>
        <w:t xml:space="preserve"> nu al bijdragen aan gewenste vormen van landbouw. Dit is eerlijk en biedt ook een wenkend perspectief voor boeren die nadenken over dergelijke stappen. Hierdoor ontstaat een gelijk speelveld en worden boeren gestimuleerd om concrete stappen te zetten naar duurzame landbouwpraktijken.</w:t>
      </w:r>
    </w:p>
    <w:p w:rsidRPr="00953E4A" w:rsidR="0083612B" w:rsidP="00A301B9" w:rsidRDefault="00D51D9C" w14:paraId="2EABD84C" w14:textId="12CA9F3F">
      <w:pPr>
        <w:rPr>
          <w:rFonts w:asciiTheme="majorHAnsi" w:hAnsiTheme="majorHAnsi" w:eastAsiaTheme="majorEastAsia" w:cstheme="majorBidi"/>
          <w:sz w:val="20"/>
          <w:szCs w:val="20"/>
        </w:rPr>
      </w:pPr>
      <w:r>
        <w:rPr>
          <w:rFonts w:asciiTheme="majorHAnsi" w:hAnsiTheme="majorHAnsi" w:eastAsiaTheme="majorEastAsia" w:cstheme="majorBidi"/>
          <w:sz w:val="20"/>
          <w:szCs w:val="20"/>
        </w:rPr>
        <w:t xml:space="preserve">Tot slot kijkt de biologische sector positief terug op de gesprekken die hadden moeten leiden tot een Landbouwakkoord. Wij zijn ervan overtuigd dat het ontbreken van een gezamenlijke toekomstvisie en een bijbehorende aanpak oorzaak is van veel van de bovengenoemde problemen. </w:t>
      </w:r>
      <w:r w:rsidR="00A301B9">
        <w:rPr>
          <w:rFonts w:asciiTheme="majorHAnsi" w:hAnsiTheme="majorHAnsi" w:eastAsiaTheme="majorEastAsia" w:cstheme="majorBidi"/>
          <w:sz w:val="20"/>
          <w:szCs w:val="20"/>
        </w:rPr>
        <w:t>D</w:t>
      </w:r>
      <w:r w:rsidRPr="3228CA70" w:rsidR="3228CA70">
        <w:rPr>
          <w:rFonts w:asciiTheme="majorHAnsi" w:hAnsiTheme="majorHAnsi" w:eastAsiaTheme="majorEastAsia" w:cstheme="majorBidi"/>
          <w:sz w:val="20"/>
          <w:szCs w:val="20"/>
        </w:rPr>
        <w:t xml:space="preserve">e afgelopen jaren is wet- en regelgeving in de agrarische sector voornamelijk gericht geweest op het oplossen van problemen, zoals stikstofuitstoot, in plaats van het proactief in gang zetten of versnellen van oplossingen. </w:t>
      </w:r>
    </w:p>
    <w:p w:rsidR="006B6D7A" w:rsidP="3228CA70" w:rsidRDefault="006B6D7A" w14:paraId="0BCD45AF" w14:textId="77777777">
      <w:pPr>
        <w:rPr>
          <w:rFonts w:asciiTheme="majorHAnsi" w:hAnsiTheme="majorHAnsi" w:eastAsiaTheme="majorEastAsia" w:cstheme="majorBidi"/>
          <w:sz w:val="20"/>
          <w:szCs w:val="20"/>
        </w:rPr>
      </w:pPr>
    </w:p>
    <w:p w:rsidRPr="00953E4A" w:rsidR="00E50488" w:rsidP="3228CA70" w:rsidRDefault="3228CA70" w14:paraId="39B9FF4F" w14:textId="5ACD29E6">
      <w:pPr>
        <w:rPr>
          <w:rFonts w:asciiTheme="majorHAnsi" w:hAnsiTheme="majorHAnsi" w:eastAsiaTheme="majorEastAsia" w:cstheme="majorBidi"/>
          <w:sz w:val="20"/>
          <w:szCs w:val="20"/>
        </w:rPr>
      </w:pPr>
      <w:r w:rsidRPr="3228CA70">
        <w:rPr>
          <w:rFonts w:asciiTheme="majorHAnsi" w:hAnsiTheme="majorHAnsi" w:eastAsiaTheme="majorEastAsia" w:cstheme="majorBidi"/>
          <w:sz w:val="20"/>
          <w:szCs w:val="20"/>
        </w:rPr>
        <w:t>Hoogachtend,</w:t>
      </w:r>
    </w:p>
    <w:p w:rsidR="00953E4A" w:rsidP="3228CA70" w:rsidRDefault="3228CA70" w14:paraId="701EE2CF" w14:textId="77777777">
      <w:pPr>
        <w:pStyle w:val="paragraph"/>
        <w:spacing w:before="0" w:beforeAutospacing="0" w:after="160" w:afterAutospacing="0"/>
        <w:textAlignment w:val="baseline"/>
        <w:rPr>
          <w:rStyle w:val="eop"/>
          <w:rFonts w:asciiTheme="majorHAnsi" w:hAnsiTheme="majorHAnsi" w:eastAsiaTheme="majorEastAsia" w:cstheme="majorBidi"/>
          <w:sz w:val="20"/>
          <w:szCs w:val="20"/>
        </w:rPr>
      </w:pPr>
      <w:r w:rsidRPr="3228CA70">
        <w:rPr>
          <w:rStyle w:val="normaltextrun"/>
          <w:rFonts w:asciiTheme="majorHAnsi" w:hAnsiTheme="majorHAnsi" w:eastAsiaTheme="majorEastAsia" w:cstheme="majorBidi"/>
          <w:sz w:val="20"/>
          <w:szCs w:val="20"/>
        </w:rPr>
        <w:t>Met vriendelijke groet,</w:t>
      </w:r>
      <w:r w:rsidRPr="3228CA70">
        <w:rPr>
          <w:rStyle w:val="eop"/>
          <w:rFonts w:asciiTheme="majorHAnsi" w:hAnsiTheme="majorHAnsi" w:eastAsiaTheme="majorEastAsia" w:cstheme="majorBidi"/>
          <w:sz w:val="20"/>
          <w:szCs w:val="20"/>
        </w:rPr>
        <w:t> </w:t>
      </w:r>
    </w:p>
    <w:p w:rsidR="00953E4A" w:rsidP="3228CA70" w:rsidRDefault="3228CA70" w14:paraId="741FD91D" w14:textId="7A4C43AC">
      <w:pPr>
        <w:pStyle w:val="paragraph"/>
        <w:spacing w:before="0" w:beforeAutospacing="0" w:after="160" w:afterAutospacing="0"/>
        <w:textAlignment w:val="baseline"/>
        <w:rPr>
          <w:rStyle w:val="eop"/>
          <w:rFonts w:asciiTheme="majorHAnsi" w:hAnsiTheme="majorHAnsi" w:eastAsiaTheme="majorEastAsia" w:cstheme="majorBidi"/>
          <w:sz w:val="20"/>
          <w:szCs w:val="20"/>
        </w:rPr>
      </w:pPr>
      <w:r w:rsidRPr="3228CA70">
        <w:rPr>
          <w:rStyle w:val="normaltextrun"/>
          <w:rFonts w:asciiTheme="majorHAnsi" w:hAnsiTheme="majorHAnsi" w:eastAsiaTheme="majorEastAsia" w:cstheme="majorBidi"/>
          <w:sz w:val="20"/>
          <w:szCs w:val="20"/>
        </w:rPr>
        <w:t>Pipie Smits van Oyen</w:t>
      </w:r>
      <w:r w:rsidRPr="3228CA70">
        <w:rPr>
          <w:rStyle w:val="eop"/>
          <w:rFonts w:asciiTheme="majorHAnsi" w:hAnsiTheme="majorHAnsi" w:eastAsiaTheme="majorEastAsia" w:cstheme="majorBidi"/>
          <w:sz w:val="20"/>
          <w:szCs w:val="20"/>
        </w:rPr>
        <w:t> </w:t>
      </w:r>
    </w:p>
    <w:p w:rsidRPr="00953E4A" w:rsidR="00953E4A" w:rsidP="3228CA70" w:rsidRDefault="3228CA70" w14:paraId="04D91D68" w14:textId="130BF96F">
      <w:pPr>
        <w:pStyle w:val="paragraph"/>
        <w:spacing w:before="0" w:beforeAutospacing="0" w:after="160" w:afterAutospacing="0"/>
        <w:textAlignment w:val="baseline"/>
        <w:rPr>
          <w:rFonts w:asciiTheme="majorHAnsi" w:hAnsiTheme="majorHAnsi" w:eastAsiaTheme="majorEastAsia" w:cstheme="majorBidi"/>
          <w:sz w:val="20"/>
          <w:szCs w:val="20"/>
        </w:rPr>
      </w:pPr>
      <w:r w:rsidRPr="3228CA70">
        <w:rPr>
          <w:rStyle w:val="normaltextrun"/>
          <w:rFonts w:asciiTheme="majorHAnsi" w:hAnsiTheme="majorHAnsi" w:eastAsiaTheme="majorEastAsia" w:cstheme="majorBidi"/>
          <w:sz w:val="20"/>
          <w:szCs w:val="20"/>
        </w:rPr>
        <w:t>Voorzitter</w:t>
      </w:r>
      <w:r w:rsidR="006B6D7A">
        <w:rPr>
          <w:rStyle w:val="normaltextrun"/>
          <w:rFonts w:asciiTheme="majorHAnsi" w:hAnsiTheme="majorHAnsi" w:eastAsiaTheme="majorEastAsia" w:cstheme="majorBidi"/>
          <w:sz w:val="20"/>
          <w:szCs w:val="20"/>
        </w:rPr>
        <w:t xml:space="preserve"> </w:t>
      </w:r>
      <w:r w:rsidRPr="3228CA70">
        <w:rPr>
          <w:rStyle w:val="normaltextrun"/>
          <w:rFonts w:asciiTheme="majorHAnsi" w:hAnsiTheme="majorHAnsi" w:eastAsiaTheme="majorEastAsia" w:cstheme="majorBidi"/>
          <w:sz w:val="20"/>
          <w:szCs w:val="20"/>
        </w:rPr>
        <w:t>Biohuis</w:t>
      </w:r>
      <w:r w:rsidR="006B6D7A">
        <w:rPr>
          <w:rStyle w:val="normaltextrun"/>
          <w:rFonts w:asciiTheme="majorHAnsi" w:hAnsiTheme="majorHAnsi" w:eastAsiaTheme="majorEastAsia" w:cstheme="majorBidi"/>
          <w:sz w:val="20"/>
          <w:szCs w:val="20"/>
        </w:rPr>
        <w:t>,</w:t>
      </w:r>
      <w:r w:rsidRPr="3228CA70">
        <w:rPr>
          <w:rStyle w:val="normaltextrun"/>
          <w:rFonts w:asciiTheme="majorHAnsi" w:hAnsiTheme="majorHAnsi" w:eastAsiaTheme="majorEastAsia" w:cstheme="majorBidi"/>
          <w:sz w:val="20"/>
          <w:szCs w:val="20"/>
        </w:rPr>
        <w:t xml:space="preserve"> namens ketenorganisatie Bionext</w:t>
      </w:r>
    </w:p>
    <w:sectPr w:rsidRPr="00953E4A" w:rsidR="00953E4A">
      <w:headerReference w:type="default" r:id="rId7"/>
      <w:footerReference w:type="default" r:id="rId8"/>
      <w:pgSz w:w="11906" w:h="16838"/>
      <w:pgMar w:top="1440" w:right="1440" w:bottom="1440" w:left="144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DA3739" w14:textId="77777777" w:rsidR="00610521" w:rsidRDefault="00610521" w:rsidP="00953E4A">
      <w:pPr>
        <w:spacing w:after="0" w:line="240" w:lineRule="auto"/>
      </w:pPr>
      <w:r>
        <w:separator/>
      </w:r>
    </w:p>
  </w:endnote>
  <w:endnote w:type="continuationSeparator" w:id="0">
    <w:p w14:paraId="749AD96A" w14:textId="77777777" w:rsidR="00610521" w:rsidRDefault="00610521" w:rsidP="00953E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EF8F7" w14:textId="6C985174" w:rsidR="00953E4A" w:rsidRPr="006B6D7A" w:rsidRDefault="00953E4A" w:rsidP="00953E4A">
    <w:pPr>
      <w:pStyle w:val="paragraph"/>
      <w:spacing w:before="0" w:beforeAutospacing="0" w:after="0" w:afterAutospacing="0"/>
      <w:jc w:val="right"/>
      <w:textAlignment w:val="baseline"/>
      <w:rPr>
        <w:rStyle w:val="normaltextrun"/>
        <w:sz w:val="16"/>
        <w:szCs w:val="16"/>
      </w:rPr>
    </w:pPr>
    <w:proofErr w:type="spellStart"/>
    <w:r w:rsidRPr="00953E4A">
      <w:rPr>
        <w:rStyle w:val="normaltextrun"/>
        <w:rFonts w:ascii="Arial" w:hAnsi="Arial" w:cs="Arial"/>
        <w:i/>
        <w:iCs/>
        <w:color w:val="000000"/>
        <w:sz w:val="16"/>
        <w:szCs w:val="16"/>
      </w:rPr>
      <w:t>Position</w:t>
    </w:r>
    <w:proofErr w:type="spellEnd"/>
    <w:r w:rsidRPr="00953E4A">
      <w:rPr>
        <w:rStyle w:val="normaltextrun"/>
        <w:rFonts w:ascii="Arial" w:hAnsi="Arial" w:cs="Arial"/>
        <w:i/>
        <w:iCs/>
        <w:color w:val="000000"/>
        <w:sz w:val="16"/>
        <w:szCs w:val="16"/>
      </w:rPr>
      <w:t xml:space="preserve"> Paper Bionext </w:t>
    </w:r>
    <w:r w:rsidR="00A301B9">
      <w:rPr>
        <w:rStyle w:val="normaltextrun"/>
        <w:rFonts w:ascii="Arial" w:hAnsi="Arial" w:cs="Arial"/>
        <w:i/>
        <w:iCs/>
        <w:color w:val="000000"/>
        <w:sz w:val="16"/>
        <w:szCs w:val="16"/>
      </w:rPr>
      <w:t xml:space="preserve">&amp; Biohuis </w:t>
    </w:r>
    <w:r w:rsidRPr="00953E4A">
      <w:rPr>
        <w:rStyle w:val="normaltextrun"/>
        <w:rFonts w:ascii="Arial" w:hAnsi="Arial" w:cs="Arial"/>
        <w:i/>
        <w:iCs/>
        <w:color w:val="000000"/>
        <w:sz w:val="16"/>
        <w:szCs w:val="16"/>
      </w:rPr>
      <w:t>Uitvoerbaarheid van beleid op het boerenerf</w:t>
    </w:r>
  </w:p>
  <w:p w14:paraId="003EE7A6" w14:textId="77777777" w:rsidR="00953E4A" w:rsidRPr="00953E4A" w:rsidRDefault="00953E4A" w:rsidP="00953E4A">
    <w:pPr>
      <w:pStyle w:val="Voettekst"/>
      <w:jc w:val="right"/>
      <w:rPr>
        <w:rFonts w:ascii="Arial" w:hAnsi="Arial" w:cs="Arial"/>
        <w:i/>
        <w:i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E38C2" w14:textId="77777777" w:rsidR="00610521" w:rsidRDefault="00610521" w:rsidP="00953E4A">
      <w:pPr>
        <w:spacing w:after="0" w:line="240" w:lineRule="auto"/>
      </w:pPr>
      <w:r>
        <w:separator/>
      </w:r>
    </w:p>
  </w:footnote>
  <w:footnote w:type="continuationSeparator" w:id="0">
    <w:p w14:paraId="0E87B4A3" w14:textId="77777777" w:rsidR="00610521" w:rsidRDefault="00610521" w:rsidP="00953E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BDD2" w14:textId="2275D479" w:rsidR="00953E4A" w:rsidRDefault="00E20070">
    <w:pPr>
      <w:pStyle w:val="Koptekst"/>
    </w:pPr>
    <w:r>
      <w:rPr>
        <w:noProof/>
      </w:rPr>
      <w:drawing>
        <wp:anchor distT="0" distB="0" distL="114300" distR="114300" simplePos="0" relativeHeight="251659264" behindDoc="1" locked="0" layoutInCell="1" allowOverlap="1" wp14:anchorId="7E421262" wp14:editId="06242A6F">
          <wp:simplePos x="0" y="0"/>
          <wp:positionH relativeFrom="margin">
            <wp:align>left</wp:align>
          </wp:positionH>
          <wp:positionV relativeFrom="paragraph">
            <wp:posOffset>-240030</wp:posOffset>
          </wp:positionV>
          <wp:extent cx="523875" cy="701005"/>
          <wp:effectExtent l="0" t="0" r="0" b="4445"/>
          <wp:wrapNone/>
          <wp:docPr id="1349791018"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701005"/>
                  </a:xfrm>
                  <a:prstGeom prst="rect">
                    <a:avLst/>
                  </a:prstGeom>
                  <a:noFill/>
                </pic:spPr>
              </pic:pic>
            </a:graphicData>
          </a:graphic>
          <wp14:sizeRelH relativeFrom="page">
            <wp14:pctWidth>0</wp14:pctWidth>
          </wp14:sizeRelH>
          <wp14:sizeRelV relativeFrom="page">
            <wp14:pctHeight>0</wp14:pctHeight>
          </wp14:sizeRelV>
        </wp:anchor>
      </w:drawing>
    </w:r>
    <w:r w:rsidR="00953E4A">
      <w:rPr>
        <w:noProof/>
      </w:rPr>
      <w:drawing>
        <wp:anchor distT="0" distB="0" distL="114300" distR="114300" simplePos="0" relativeHeight="251658240" behindDoc="1" locked="0" layoutInCell="1" allowOverlap="1" wp14:anchorId="578D5AF9" wp14:editId="1D64FB87">
          <wp:simplePos x="0" y="0"/>
          <wp:positionH relativeFrom="column">
            <wp:posOffset>4381500</wp:posOffset>
          </wp:positionH>
          <wp:positionV relativeFrom="paragraph">
            <wp:posOffset>-211455</wp:posOffset>
          </wp:positionV>
          <wp:extent cx="1704975" cy="657225"/>
          <wp:effectExtent l="0" t="0" r="9525" b="9525"/>
          <wp:wrapNone/>
          <wp:docPr id="1" name="Afbeelding 1" descr="BioNext">
            <a:hlinkClick xmlns:a="http://schemas.openxmlformats.org/drawingml/2006/main" r:id="rId2"/>
          </wp:docPr>
          <wp:cNvGraphicFramePr/>
          <a:graphic xmlns:a="http://schemas.openxmlformats.org/drawingml/2006/main">
            <a:graphicData uri="http://schemas.openxmlformats.org/drawingml/2006/picture">
              <pic:pic xmlns:pic="http://schemas.openxmlformats.org/drawingml/2006/picture">
                <pic:nvPicPr>
                  <pic:cNvPr id="1" name="Afbeelding 1" descr="BioNext">
                    <a:hlinkClick r:id="rId2"/>
                  </pic:cNvPr>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049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11627"/>
    <w:multiLevelType w:val="multilevel"/>
    <w:tmpl w:val="0680B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5F07A0"/>
    <w:multiLevelType w:val="multilevel"/>
    <w:tmpl w:val="5AD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F90D5B"/>
    <w:multiLevelType w:val="hybridMultilevel"/>
    <w:tmpl w:val="75D61A92"/>
    <w:lvl w:ilvl="0" w:tplc="BCF823DC">
      <w:start w:val="1"/>
      <w:numFmt w:val="bullet"/>
      <w:lvlText w:val=""/>
      <w:lvlJc w:val="left"/>
      <w:pPr>
        <w:ind w:left="720" w:hanging="360"/>
      </w:pPr>
      <w:rPr>
        <w:rFonts w:ascii="Symbol" w:hAnsi="Symbol" w:hint="default"/>
      </w:rPr>
    </w:lvl>
    <w:lvl w:ilvl="1" w:tplc="350A0958">
      <w:start w:val="1"/>
      <w:numFmt w:val="bullet"/>
      <w:lvlText w:val="o"/>
      <w:lvlJc w:val="left"/>
      <w:pPr>
        <w:ind w:left="1440" w:hanging="360"/>
      </w:pPr>
      <w:rPr>
        <w:rFonts w:ascii="Courier New" w:hAnsi="Courier New" w:hint="default"/>
      </w:rPr>
    </w:lvl>
    <w:lvl w:ilvl="2" w:tplc="DEDC3DA8">
      <w:start w:val="1"/>
      <w:numFmt w:val="bullet"/>
      <w:lvlText w:val=""/>
      <w:lvlJc w:val="left"/>
      <w:pPr>
        <w:ind w:left="2160" w:hanging="360"/>
      </w:pPr>
      <w:rPr>
        <w:rFonts w:ascii="Wingdings" w:hAnsi="Wingdings" w:hint="default"/>
      </w:rPr>
    </w:lvl>
    <w:lvl w:ilvl="3" w:tplc="B19C5D8C">
      <w:start w:val="1"/>
      <w:numFmt w:val="bullet"/>
      <w:lvlText w:val=""/>
      <w:lvlJc w:val="left"/>
      <w:pPr>
        <w:ind w:left="2880" w:hanging="360"/>
      </w:pPr>
      <w:rPr>
        <w:rFonts w:ascii="Symbol" w:hAnsi="Symbol" w:hint="default"/>
      </w:rPr>
    </w:lvl>
    <w:lvl w:ilvl="4" w:tplc="3556725E">
      <w:start w:val="1"/>
      <w:numFmt w:val="bullet"/>
      <w:lvlText w:val="o"/>
      <w:lvlJc w:val="left"/>
      <w:pPr>
        <w:ind w:left="3600" w:hanging="360"/>
      </w:pPr>
      <w:rPr>
        <w:rFonts w:ascii="Courier New" w:hAnsi="Courier New" w:hint="default"/>
      </w:rPr>
    </w:lvl>
    <w:lvl w:ilvl="5" w:tplc="F064E83C">
      <w:start w:val="1"/>
      <w:numFmt w:val="bullet"/>
      <w:lvlText w:val=""/>
      <w:lvlJc w:val="left"/>
      <w:pPr>
        <w:ind w:left="4320" w:hanging="360"/>
      </w:pPr>
      <w:rPr>
        <w:rFonts w:ascii="Wingdings" w:hAnsi="Wingdings" w:hint="default"/>
      </w:rPr>
    </w:lvl>
    <w:lvl w:ilvl="6" w:tplc="01D2135E">
      <w:start w:val="1"/>
      <w:numFmt w:val="bullet"/>
      <w:lvlText w:val=""/>
      <w:lvlJc w:val="left"/>
      <w:pPr>
        <w:ind w:left="5040" w:hanging="360"/>
      </w:pPr>
      <w:rPr>
        <w:rFonts w:ascii="Symbol" w:hAnsi="Symbol" w:hint="default"/>
      </w:rPr>
    </w:lvl>
    <w:lvl w:ilvl="7" w:tplc="79FADDCC">
      <w:start w:val="1"/>
      <w:numFmt w:val="bullet"/>
      <w:lvlText w:val="o"/>
      <w:lvlJc w:val="left"/>
      <w:pPr>
        <w:ind w:left="5760" w:hanging="360"/>
      </w:pPr>
      <w:rPr>
        <w:rFonts w:ascii="Courier New" w:hAnsi="Courier New" w:hint="default"/>
      </w:rPr>
    </w:lvl>
    <w:lvl w:ilvl="8" w:tplc="844CDEE8">
      <w:start w:val="1"/>
      <w:numFmt w:val="bullet"/>
      <w:lvlText w:val=""/>
      <w:lvlJc w:val="left"/>
      <w:pPr>
        <w:ind w:left="6480" w:hanging="360"/>
      </w:pPr>
      <w:rPr>
        <w:rFonts w:ascii="Wingdings" w:hAnsi="Wingdings" w:hint="default"/>
      </w:rPr>
    </w:lvl>
  </w:abstractNum>
  <w:abstractNum w:abstractNumId="3" w15:restartNumberingAfterBreak="0">
    <w:nsid w:val="28FE796D"/>
    <w:multiLevelType w:val="hybridMultilevel"/>
    <w:tmpl w:val="EBD274D4"/>
    <w:lvl w:ilvl="0" w:tplc="7958A086">
      <w:start w:val="1"/>
      <w:numFmt w:val="bullet"/>
      <w:lvlText w:val=""/>
      <w:lvlJc w:val="left"/>
      <w:pPr>
        <w:ind w:left="720" w:hanging="360"/>
      </w:pPr>
      <w:rPr>
        <w:rFonts w:ascii="Symbol" w:hAnsi="Symbol" w:hint="default"/>
      </w:rPr>
    </w:lvl>
    <w:lvl w:ilvl="1" w:tplc="E0303A7C">
      <w:start w:val="1"/>
      <w:numFmt w:val="bullet"/>
      <w:lvlText w:val="o"/>
      <w:lvlJc w:val="left"/>
      <w:pPr>
        <w:ind w:left="1440" w:hanging="360"/>
      </w:pPr>
      <w:rPr>
        <w:rFonts w:ascii="Courier New" w:hAnsi="Courier New" w:hint="default"/>
      </w:rPr>
    </w:lvl>
    <w:lvl w:ilvl="2" w:tplc="05002F2A">
      <w:start w:val="1"/>
      <w:numFmt w:val="bullet"/>
      <w:lvlText w:val=""/>
      <w:lvlJc w:val="left"/>
      <w:pPr>
        <w:ind w:left="2160" w:hanging="360"/>
      </w:pPr>
      <w:rPr>
        <w:rFonts w:ascii="Wingdings" w:hAnsi="Wingdings" w:hint="default"/>
      </w:rPr>
    </w:lvl>
    <w:lvl w:ilvl="3" w:tplc="DA2094BA">
      <w:start w:val="1"/>
      <w:numFmt w:val="bullet"/>
      <w:lvlText w:val=""/>
      <w:lvlJc w:val="left"/>
      <w:pPr>
        <w:ind w:left="2880" w:hanging="360"/>
      </w:pPr>
      <w:rPr>
        <w:rFonts w:ascii="Symbol" w:hAnsi="Symbol" w:hint="default"/>
      </w:rPr>
    </w:lvl>
    <w:lvl w:ilvl="4" w:tplc="0A325B26">
      <w:start w:val="1"/>
      <w:numFmt w:val="bullet"/>
      <w:lvlText w:val="o"/>
      <w:lvlJc w:val="left"/>
      <w:pPr>
        <w:ind w:left="3600" w:hanging="360"/>
      </w:pPr>
      <w:rPr>
        <w:rFonts w:ascii="Courier New" w:hAnsi="Courier New" w:hint="default"/>
      </w:rPr>
    </w:lvl>
    <w:lvl w:ilvl="5" w:tplc="5E2A00F4">
      <w:start w:val="1"/>
      <w:numFmt w:val="bullet"/>
      <w:lvlText w:val=""/>
      <w:lvlJc w:val="left"/>
      <w:pPr>
        <w:ind w:left="4320" w:hanging="360"/>
      </w:pPr>
      <w:rPr>
        <w:rFonts w:ascii="Wingdings" w:hAnsi="Wingdings" w:hint="default"/>
      </w:rPr>
    </w:lvl>
    <w:lvl w:ilvl="6" w:tplc="09463420">
      <w:start w:val="1"/>
      <w:numFmt w:val="bullet"/>
      <w:lvlText w:val=""/>
      <w:lvlJc w:val="left"/>
      <w:pPr>
        <w:ind w:left="5040" w:hanging="360"/>
      </w:pPr>
      <w:rPr>
        <w:rFonts w:ascii="Symbol" w:hAnsi="Symbol" w:hint="default"/>
      </w:rPr>
    </w:lvl>
    <w:lvl w:ilvl="7" w:tplc="417CA78A">
      <w:start w:val="1"/>
      <w:numFmt w:val="bullet"/>
      <w:lvlText w:val="o"/>
      <w:lvlJc w:val="left"/>
      <w:pPr>
        <w:ind w:left="5760" w:hanging="360"/>
      </w:pPr>
      <w:rPr>
        <w:rFonts w:ascii="Courier New" w:hAnsi="Courier New" w:hint="default"/>
      </w:rPr>
    </w:lvl>
    <w:lvl w:ilvl="8" w:tplc="C92052BE">
      <w:start w:val="1"/>
      <w:numFmt w:val="bullet"/>
      <w:lvlText w:val=""/>
      <w:lvlJc w:val="left"/>
      <w:pPr>
        <w:ind w:left="6480" w:hanging="360"/>
      </w:pPr>
      <w:rPr>
        <w:rFonts w:ascii="Wingdings" w:hAnsi="Wingdings" w:hint="default"/>
      </w:rPr>
    </w:lvl>
  </w:abstractNum>
  <w:abstractNum w:abstractNumId="4" w15:restartNumberingAfterBreak="0">
    <w:nsid w:val="2D5C6958"/>
    <w:multiLevelType w:val="hybridMultilevel"/>
    <w:tmpl w:val="E57EAC0A"/>
    <w:lvl w:ilvl="0" w:tplc="9E186DC2">
      <w:start w:val="1"/>
      <w:numFmt w:val="bullet"/>
      <w:lvlText w:val="-"/>
      <w:lvlJc w:val="left"/>
      <w:pPr>
        <w:ind w:left="720" w:hanging="360"/>
      </w:pPr>
      <w:rPr>
        <w:rFonts w:ascii="Calibri" w:hAnsi="Calibri" w:hint="default"/>
      </w:rPr>
    </w:lvl>
    <w:lvl w:ilvl="1" w:tplc="438A6014">
      <w:start w:val="1"/>
      <w:numFmt w:val="bullet"/>
      <w:lvlText w:val="o"/>
      <w:lvlJc w:val="left"/>
      <w:pPr>
        <w:ind w:left="1440" w:hanging="360"/>
      </w:pPr>
      <w:rPr>
        <w:rFonts w:ascii="Courier New" w:hAnsi="Courier New" w:hint="default"/>
      </w:rPr>
    </w:lvl>
    <w:lvl w:ilvl="2" w:tplc="511CF01E">
      <w:start w:val="1"/>
      <w:numFmt w:val="bullet"/>
      <w:lvlText w:val=""/>
      <w:lvlJc w:val="left"/>
      <w:pPr>
        <w:ind w:left="2160" w:hanging="360"/>
      </w:pPr>
      <w:rPr>
        <w:rFonts w:ascii="Wingdings" w:hAnsi="Wingdings" w:hint="default"/>
      </w:rPr>
    </w:lvl>
    <w:lvl w:ilvl="3" w:tplc="4A7A81CE">
      <w:start w:val="1"/>
      <w:numFmt w:val="bullet"/>
      <w:lvlText w:val=""/>
      <w:lvlJc w:val="left"/>
      <w:pPr>
        <w:ind w:left="2880" w:hanging="360"/>
      </w:pPr>
      <w:rPr>
        <w:rFonts w:ascii="Symbol" w:hAnsi="Symbol" w:hint="default"/>
      </w:rPr>
    </w:lvl>
    <w:lvl w:ilvl="4" w:tplc="247E55E2">
      <w:start w:val="1"/>
      <w:numFmt w:val="bullet"/>
      <w:lvlText w:val="o"/>
      <w:lvlJc w:val="left"/>
      <w:pPr>
        <w:ind w:left="3600" w:hanging="360"/>
      </w:pPr>
      <w:rPr>
        <w:rFonts w:ascii="Courier New" w:hAnsi="Courier New" w:hint="default"/>
      </w:rPr>
    </w:lvl>
    <w:lvl w:ilvl="5" w:tplc="2550E5A8">
      <w:start w:val="1"/>
      <w:numFmt w:val="bullet"/>
      <w:lvlText w:val=""/>
      <w:lvlJc w:val="left"/>
      <w:pPr>
        <w:ind w:left="4320" w:hanging="360"/>
      </w:pPr>
      <w:rPr>
        <w:rFonts w:ascii="Wingdings" w:hAnsi="Wingdings" w:hint="default"/>
      </w:rPr>
    </w:lvl>
    <w:lvl w:ilvl="6" w:tplc="E7648E48">
      <w:start w:val="1"/>
      <w:numFmt w:val="bullet"/>
      <w:lvlText w:val=""/>
      <w:lvlJc w:val="left"/>
      <w:pPr>
        <w:ind w:left="5040" w:hanging="360"/>
      </w:pPr>
      <w:rPr>
        <w:rFonts w:ascii="Symbol" w:hAnsi="Symbol" w:hint="default"/>
      </w:rPr>
    </w:lvl>
    <w:lvl w:ilvl="7" w:tplc="0AA4917A">
      <w:start w:val="1"/>
      <w:numFmt w:val="bullet"/>
      <w:lvlText w:val="o"/>
      <w:lvlJc w:val="left"/>
      <w:pPr>
        <w:ind w:left="5760" w:hanging="360"/>
      </w:pPr>
      <w:rPr>
        <w:rFonts w:ascii="Courier New" w:hAnsi="Courier New" w:hint="default"/>
      </w:rPr>
    </w:lvl>
    <w:lvl w:ilvl="8" w:tplc="5A3E7178">
      <w:start w:val="1"/>
      <w:numFmt w:val="bullet"/>
      <w:lvlText w:val=""/>
      <w:lvlJc w:val="left"/>
      <w:pPr>
        <w:ind w:left="6480" w:hanging="360"/>
      </w:pPr>
      <w:rPr>
        <w:rFonts w:ascii="Wingdings" w:hAnsi="Wingdings" w:hint="default"/>
      </w:rPr>
    </w:lvl>
  </w:abstractNum>
  <w:abstractNum w:abstractNumId="5" w15:restartNumberingAfterBreak="0">
    <w:nsid w:val="373410D5"/>
    <w:multiLevelType w:val="multilevel"/>
    <w:tmpl w:val="E3F83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4F167F"/>
    <w:multiLevelType w:val="hybridMultilevel"/>
    <w:tmpl w:val="D65C4416"/>
    <w:lvl w:ilvl="0" w:tplc="68AAD28C">
      <w:start w:val="1"/>
      <w:numFmt w:val="bullet"/>
      <w:lvlText w:val=""/>
      <w:lvlJc w:val="left"/>
      <w:pPr>
        <w:ind w:left="720" w:hanging="360"/>
      </w:pPr>
      <w:rPr>
        <w:rFonts w:ascii="Symbol" w:hAnsi="Symbol" w:hint="default"/>
      </w:rPr>
    </w:lvl>
    <w:lvl w:ilvl="1" w:tplc="C43A66D0">
      <w:start w:val="1"/>
      <w:numFmt w:val="bullet"/>
      <w:lvlText w:val="o"/>
      <w:lvlJc w:val="left"/>
      <w:pPr>
        <w:ind w:left="1440" w:hanging="360"/>
      </w:pPr>
      <w:rPr>
        <w:rFonts w:ascii="Courier New" w:hAnsi="Courier New" w:hint="default"/>
      </w:rPr>
    </w:lvl>
    <w:lvl w:ilvl="2" w:tplc="BE762E5E">
      <w:start w:val="1"/>
      <w:numFmt w:val="bullet"/>
      <w:lvlText w:val=""/>
      <w:lvlJc w:val="left"/>
      <w:pPr>
        <w:ind w:left="2160" w:hanging="360"/>
      </w:pPr>
      <w:rPr>
        <w:rFonts w:ascii="Wingdings" w:hAnsi="Wingdings" w:hint="default"/>
      </w:rPr>
    </w:lvl>
    <w:lvl w:ilvl="3" w:tplc="4BBCD508">
      <w:start w:val="1"/>
      <w:numFmt w:val="bullet"/>
      <w:lvlText w:val=""/>
      <w:lvlJc w:val="left"/>
      <w:pPr>
        <w:ind w:left="2880" w:hanging="360"/>
      </w:pPr>
      <w:rPr>
        <w:rFonts w:ascii="Symbol" w:hAnsi="Symbol" w:hint="default"/>
      </w:rPr>
    </w:lvl>
    <w:lvl w:ilvl="4" w:tplc="4F7008BA">
      <w:start w:val="1"/>
      <w:numFmt w:val="bullet"/>
      <w:lvlText w:val="o"/>
      <w:lvlJc w:val="left"/>
      <w:pPr>
        <w:ind w:left="3600" w:hanging="360"/>
      </w:pPr>
      <w:rPr>
        <w:rFonts w:ascii="Courier New" w:hAnsi="Courier New" w:hint="default"/>
      </w:rPr>
    </w:lvl>
    <w:lvl w:ilvl="5" w:tplc="07E2E2E0">
      <w:start w:val="1"/>
      <w:numFmt w:val="bullet"/>
      <w:lvlText w:val=""/>
      <w:lvlJc w:val="left"/>
      <w:pPr>
        <w:ind w:left="4320" w:hanging="360"/>
      </w:pPr>
      <w:rPr>
        <w:rFonts w:ascii="Wingdings" w:hAnsi="Wingdings" w:hint="default"/>
      </w:rPr>
    </w:lvl>
    <w:lvl w:ilvl="6" w:tplc="65029076">
      <w:start w:val="1"/>
      <w:numFmt w:val="bullet"/>
      <w:lvlText w:val=""/>
      <w:lvlJc w:val="left"/>
      <w:pPr>
        <w:ind w:left="5040" w:hanging="360"/>
      </w:pPr>
      <w:rPr>
        <w:rFonts w:ascii="Symbol" w:hAnsi="Symbol" w:hint="default"/>
      </w:rPr>
    </w:lvl>
    <w:lvl w:ilvl="7" w:tplc="7BB65CB2">
      <w:start w:val="1"/>
      <w:numFmt w:val="bullet"/>
      <w:lvlText w:val="o"/>
      <w:lvlJc w:val="left"/>
      <w:pPr>
        <w:ind w:left="5760" w:hanging="360"/>
      </w:pPr>
      <w:rPr>
        <w:rFonts w:ascii="Courier New" w:hAnsi="Courier New" w:hint="default"/>
      </w:rPr>
    </w:lvl>
    <w:lvl w:ilvl="8" w:tplc="9A808AD4">
      <w:start w:val="1"/>
      <w:numFmt w:val="bullet"/>
      <w:lvlText w:val=""/>
      <w:lvlJc w:val="left"/>
      <w:pPr>
        <w:ind w:left="6480" w:hanging="360"/>
      </w:pPr>
      <w:rPr>
        <w:rFonts w:ascii="Wingdings" w:hAnsi="Wingdings" w:hint="default"/>
      </w:rPr>
    </w:lvl>
  </w:abstractNum>
  <w:abstractNum w:abstractNumId="7" w15:restartNumberingAfterBreak="0">
    <w:nsid w:val="3EA864BF"/>
    <w:multiLevelType w:val="multilevel"/>
    <w:tmpl w:val="5AF49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6816F0"/>
    <w:multiLevelType w:val="multilevel"/>
    <w:tmpl w:val="6ECC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9E310B"/>
    <w:multiLevelType w:val="multilevel"/>
    <w:tmpl w:val="6568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C420F4"/>
    <w:multiLevelType w:val="multilevel"/>
    <w:tmpl w:val="DD988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61327"/>
    <w:multiLevelType w:val="multilevel"/>
    <w:tmpl w:val="F566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96149DE"/>
    <w:multiLevelType w:val="multilevel"/>
    <w:tmpl w:val="0246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58712336">
    <w:abstractNumId w:val="6"/>
  </w:num>
  <w:num w:numId="2" w16cid:durableId="55714404">
    <w:abstractNumId w:val="3"/>
  </w:num>
  <w:num w:numId="3" w16cid:durableId="1614897332">
    <w:abstractNumId w:val="2"/>
  </w:num>
  <w:num w:numId="4" w16cid:durableId="1680737091">
    <w:abstractNumId w:val="4"/>
  </w:num>
  <w:num w:numId="5" w16cid:durableId="1881744111">
    <w:abstractNumId w:val="5"/>
  </w:num>
  <w:num w:numId="6" w16cid:durableId="24402674">
    <w:abstractNumId w:val="11"/>
  </w:num>
  <w:num w:numId="7" w16cid:durableId="1919556970">
    <w:abstractNumId w:val="8"/>
  </w:num>
  <w:num w:numId="8" w16cid:durableId="622075779">
    <w:abstractNumId w:val="1"/>
  </w:num>
  <w:num w:numId="9" w16cid:durableId="496505179">
    <w:abstractNumId w:val="0"/>
  </w:num>
  <w:num w:numId="10" w16cid:durableId="1959412031">
    <w:abstractNumId w:val="12"/>
  </w:num>
  <w:num w:numId="11" w16cid:durableId="347101021">
    <w:abstractNumId w:val="7"/>
  </w:num>
  <w:num w:numId="12" w16cid:durableId="1721513162">
    <w:abstractNumId w:val="9"/>
  </w:num>
  <w:num w:numId="13" w16cid:durableId="60669109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88"/>
    <w:rsid w:val="000B1E00"/>
    <w:rsid w:val="002936DE"/>
    <w:rsid w:val="003F5A09"/>
    <w:rsid w:val="004576C6"/>
    <w:rsid w:val="0059444E"/>
    <w:rsid w:val="00610521"/>
    <w:rsid w:val="00632E44"/>
    <w:rsid w:val="006A2078"/>
    <w:rsid w:val="006A5E8E"/>
    <w:rsid w:val="006B6D7A"/>
    <w:rsid w:val="0083612B"/>
    <w:rsid w:val="008B033D"/>
    <w:rsid w:val="00953E4A"/>
    <w:rsid w:val="009D03F0"/>
    <w:rsid w:val="00A049F7"/>
    <w:rsid w:val="00A301B9"/>
    <w:rsid w:val="00AC41CD"/>
    <w:rsid w:val="00AD4749"/>
    <w:rsid w:val="00BC56B4"/>
    <w:rsid w:val="00BE566F"/>
    <w:rsid w:val="00BF1949"/>
    <w:rsid w:val="00CB113D"/>
    <w:rsid w:val="00D17AB0"/>
    <w:rsid w:val="00D51D9C"/>
    <w:rsid w:val="00E20070"/>
    <w:rsid w:val="00E50488"/>
    <w:rsid w:val="3228CA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0FB5B"/>
  <w15:chartTrackingRefBased/>
  <w15:docId w15:val="{3EAA57A1-8CDB-420A-90D0-B9566BC1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E5048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Nadruk">
    <w:name w:val="Emphasis"/>
    <w:basedOn w:val="Standaardalinea-lettertype"/>
    <w:uiPriority w:val="20"/>
    <w:qFormat/>
    <w:rsid w:val="00E50488"/>
    <w:rPr>
      <w:i/>
      <w:iCs/>
    </w:rPr>
  </w:style>
  <w:style w:type="character" w:styleId="Zwaar">
    <w:name w:val="Strong"/>
    <w:basedOn w:val="Standaardalinea-lettertype"/>
    <w:uiPriority w:val="22"/>
    <w:qFormat/>
    <w:rsid w:val="00E50488"/>
    <w:rPr>
      <w:b/>
      <w:bCs/>
    </w:rPr>
  </w:style>
  <w:style w:type="paragraph" w:styleId="Koptekst">
    <w:name w:val="header"/>
    <w:basedOn w:val="Standaard"/>
    <w:link w:val="KoptekstChar"/>
    <w:uiPriority w:val="99"/>
    <w:unhideWhenUsed/>
    <w:rsid w:val="00953E4A"/>
    <w:pPr>
      <w:tabs>
        <w:tab w:val="center" w:pos="4513"/>
        <w:tab w:val="right" w:pos="9026"/>
      </w:tabs>
      <w:spacing w:after="0" w:line="240" w:lineRule="auto"/>
    </w:pPr>
  </w:style>
  <w:style w:type="character" w:customStyle="1" w:styleId="KoptekstChar">
    <w:name w:val="Koptekst Char"/>
    <w:basedOn w:val="Standaardalinea-lettertype"/>
    <w:link w:val="Koptekst"/>
    <w:uiPriority w:val="99"/>
    <w:rsid w:val="00953E4A"/>
  </w:style>
  <w:style w:type="paragraph" w:styleId="Voettekst">
    <w:name w:val="footer"/>
    <w:basedOn w:val="Standaard"/>
    <w:link w:val="VoettekstChar"/>
    <w:uiPriority w:val="99"/>
    <w:unhideWhenUsed/>
    <w:rsid w:val="00953E4A"/>
    <w:pPr>
      <w:tabs>
        <w:tab w:val="center" w:pos="4513"/>
        <w:tab w:val="right" w:pos="9026"/>
      </w:tabs>
      <w:spacing w:after="0" w:line="240" w:lineRule="auto"/>
    </w:pPr>
  </w:style>
  <w:style w:type="character" w:customStyle="1" w:styleId="VoettekstChar">
    <w:name w:val="Voettekst Char"/>
    <w:basedOn w:val="Standaardalinea-lettertype"/>
    <w:link w:val="Voettekst"/>
    <w:uiPriority w:val="99"/>
    <w:rsid w:val="00953E4A"/>
  </w:style>
  <w:style w:type="paragraph" w:customStyle="1" w:styleId="paragraph">
    <w:name w:val="paragraph"/>
    <w:basedOn w:val="Standaard"/>
    <w:rsid w:val="00953E4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Standaardalinea-lettertype"/>
    <w:rsid w:val="00953E4A"/>
  </w:style>
  <w:style w:type="character" w:customStyle="1" w:styleId="eop">
    <w:name w:val="eop"/>
    <w:basedOn w:val="Standaardalinea-lettertype"/>
    <w:rsid w:val="00953E4A"/>
  </w:style>
  <w:style w:type="character" w:styleId="Verwijzingopmerking">
    <w:name w:val="annotation reference"/>
    <w:basedOn w:val="Standaardalinea-lettertype"/>
    <w:uiPriority w:val="99"/>
    <w:semiHidden/>
    <w:unhideWhenUsed/>
    <w:rsid w:val="00953E4A"/>
    <w:rPr>
      <w:sz w:val="16"/>
      <w:szCs w:val="16"/>
    </w:rPr>
  </w:style>
  <w:style w:type="paragraph" w:styleId="Tekstopmerking">
    <w:name w:val="annotation text"/>
    <w:basedOn w:val="Standaard"/>
    <w:link w:val="TekstopmerkingChar"/>
    <w:uiPriority w:val="99"/>
    <w:unhideWhenUsed/>
    <w:rsid w:val="00953E4A"/>
    <w:pPr>
      <w:spacing w:line="240" w:lineRule="auto"/>
    </w:pPr>
    <w:rPr>
      <w:sz w:val="20"/>
      <w:szCs w:val="20"/>
    </w:rPr>
  </w:style>
  <w:style w:type="character" w:customStyle="1" w:styleId="TekstopmerkingChar">
    <w:name w:val="Tekst opmerking Char"/>
    <w:basedOn w:val="Standaardalinea-lettertype"/>
    <w:link w:val="Tekstopmerking"/>
    <w:uiPriority w:val="99"/>
    <w:rsid w:val="00953E4A"/>
    <w:rPr>
      <w:sz w:val="20"/>
      <w:szCs w:val="20"/>
    </w:rPr>
  </w:style>
  <w:style w:type="paragraph" w:styleId="Onderwerpvanopmerking">
    <w:name w:val="annotation subject"/>
    <w:basedOn w:val="Tekstopmerking"/>
    <w:next w:val="Tekstopmerking"/>
    <w:link w:val="OnderwerpvanopmerkingChar"/>
    <w:uiPriority w:val="99"/>
    <w:semiHidden/>
    <w:unhideWhenUsed/>
    <w:rsid w:val="00953E4A"/>
    <w:rPr>
      <w:b/>
      <w:bCs/>
    </w:rPr>
  </w:style>
  <w:style w:type="character" w:customStyle="1" w:styleId="OnderwerpvanopmerkingChar">
    <w:name w:val="Onderwerp van opmerking Char"/>
    <w:basedOn w:val="TekstopmerkingChar"/>
    <w:link w:val="Onderwerpvanopmerking"/>
    <w:uiPriority w:val="99"/>
    <w:semiHidden/>
    <w:rsid w:val="00953E4A"/>
    <w:rPr>
      <w:b/>
      <w:bCs/>
      <w:sz w:val="20"/>
      <w:szCs w:val="20"/>
    </w:rPr>
  </w:style>
  <w:style w:type="paragraph" w:styleId="Lijstalinea">
    <w:name w:val="List Paragraph"/>
    <w:basedOn w:val="Standaard"/>
    <w:uiPriority w:val="34"/>
    <w:qFormat/>
    <w:pPr>
      <w:ind w:left="720"/>
      <w:contextualSpacing/>
    </w:pPr>
  </w:style>
  <w:style w:type="paragraph" w:styleId="Revisie">
    <w:name w:val="Revision"/>
    <w:hidden/>
    <w:uiPriority w:val="99"/>
    <w:semiHidden/>
    <w:rsid w:val="009D03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753307">
      <w:bodyDiv w:val="1"/>
      <w:marLeft w:val="0"/>
      <w:marRight w:val="0"/>
      <w:marTop w:val="0"/>
      <w:marBottom w:val="0"/>
      <w:divBdr>
        <w:top w:val="none" w:sz="0" w:space="0" w:color="auto"/>
        <w:left w:val="none" w:sz="0" w:space="0" w:color="auto"/>
        <w:bottom w:val="none" w:sz="0" w:space="0" w:color="auto"/>
        <w:right w:val="none" w:sz="0" w:space="0" w:color="auto"/>
      </w:divBdr>
      <w:divsChild>
        <w:div w:id="1002515590">
          <w:marLeft w:val="0"/>
          <w:marRight w:val="0"/>
          <w:marTop w:val="0"/>
          <w:marBottom w:val="0"/>
          <w:divBdr>
            <w:top w:val="none" w:sz="0" w:space="0" w:color="auto"/>
            <w:left w:val="none" w:sz="0" w:space="0" w:color="auto"/>
            <w:bottom w:val="none" w:sz="0" w:space="0" w:color="auto"/>
            <w:right w:val="none" w:sz="0" w:space="0" w:color="auto"/>
          </w:divBdr>
          <w:divsChild>
            <w:div w:id="1347830351">
              <w:marLeft w:val="0"/>
              <w:marRight w:val="0"/>
              <w:marTop w:val="0"/>
              <w:marBottom w:val="0"/>
              <w:divBdr>
                <w:top w:val="none" w:sz="0" w:space="0" w:color="auto"/>
                <w:left w:val="none" w:sz="0" w:space="0" w:color="auto"/>
                <w:bottom w:val="none" w:sz="0" w:space="0" w:color="auto"/>
                <w:right w:val="none" w:sz="0" w:space="0" w:color="auto"/>
              </w:divBdr>
            </w:div>
            <w:div w:id="1659530658">
              <w:marLeft w:val="0"/>
              <w:marRight w:val="0"/>
              <w:marTop w:val="0"/>
              <w:marBottom w:val="0"/>
              <w:divBdr>
                <w:top w:val="none" w:sz="0" w:space="0" w:color="auto"/>
                <w:left w:val="none" w:sz="0" w:space="0" w:color="auto"/>
                <w:bottom w:val="none" w:sz="0" w:space="0" w:color="auto"/>
                <w:right w:val="none" w:sz="0" w:space="0" w:color="auto"/>
              </w:divBdr>
            </w:div>
            <w:div w:id="257953283">
              <w:marLeft w:val="0"/>
              <w:marRight w:val="0"/>
              <w:marTop w:val="0"/>
              <w:marBottom w:val="0"/>
              <w:divBdr>
                <w:top w:val="none" w:sz="0" w:space="0" w:color="auto"/>
                <w:left w:val="none" w:sz="0" w:space="0" w:color="auto"/>
                <w:bottom w:val="none" w:sz="0" w:space="0" w:color="auto"/>
                <w:right w:val="none" w:sz="0" w:space="0" w:color="auto"/>
              </w:divBdr>
            </w:div>
            <w:div w:id="357388379">
              <w:marLeft w:val="0"/>
              <w:marRight w:val="0"/>
              <w:marTop w:val="0"/>
              <w:marBottom w:val="0"/>
              <w:divBdr>
                <w:top w:val="none" w:sz="0" w:space="0" w:color="auto"/>
                <w:left w:val="none" w:sz="0" w:space="0" w:color="auto"/>
                <w:bottom w:val="none" w:sz="0" w:space="0" w:color="auto"/>
                <w:right w:val="none" w:sz="0" w:space="0" w:color="auto"/>
              </w:divBdr>
            </w:div>
            <w:div w:id="168316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029644">
      <w:bodyDiv w:val="1"/>
      <w:marLeft w:val="0"/>
      <w:marRight w:val="0"/>
      <w:marTop w:val="0"/>
      <w:marBottom w:val="0"/>
      <w:divBdr>
        <w:top w:val="none" w:sz="0" w:space="0" w:color="auto"/>
        <w:left w:val="none" w:sz="0" w:space="0" w:color="auto"/>
        <w:bottom w:val="none" w:sz="0" w:space="0" w:color="auto"/>
        <w:right w:val="none" w:sz="0" w:space="0" w:color="auto"/>
      </w:divBdr>
    </w:div>
    <w:div w:id="1820883406">
      <w:bodyDiv w:val="1"/>
      <w:marLeft w:val="0"/>
      <w:marRight w:val="0"/>
      <w:marTop w:val="0"/>
      <w:marBottom w:val="0"/>
      <w:divBdr>
        <w:top w:val="none" w:sz="0" w:space="0" w:color="auto"/>
        <w:left w:val="none" w:sz="0" w:space="0" w:color="auto"/>
        <w:bottom w:val="none" w:sz="0" w:space="0" w:color="auto"/>
        <w:right w:val="none" w:sz="0" w:space="0" w:color="auto"/>
      </w:divBdr>
      <w:divsChild>
        <w:div w:id="956912292">
          <w:marLeft w:val="0"/>
          <w:marRight w:val="0"/>
          <w:marTop w:val="0"/>
          <w:marBottom w:val="0"/>
          <w:divBdr>
            <w:top w:val="none" w:sz="0" w:space="0" w:color="auto"/>
            <w:left w:val="none" w:sz="0" w:space="0" w:color="auto"/>
            <w:bottom w:val="none" w:sz="0" w:space="0" w:color="auto"/>
            <w:right w:val="none" w:sz="0" w:space="0" w:color="auto"/>
          </w:divBdr>
          <w:divsChild>
            <w:div w:id="1467971967">
              <w:marLeft w:val="0"/>
              <w:marRight w:val="0"/>
              <w:marTop w:val="0"/>
              <w:marBottom w:val="0"/>
              <w:divBdr>
                <w:top w:val="none" w:sz="0" w:space="0" w:color="auto"/>
                <w:left w:val="none" w:sz="0" w:space="0" w:color="auto"/>
                <w:bottom w:val="none" w:sz="0" w:space="0" w:color="auto"/>
                <w:right w:val="none" w:sz="0" w:space="0" w:color="auto"/>
              </w:divBdr>
            </w:div>
            <w:div w:id="728190553">
              <w:marLeft w:val="0"/>
              <w:marRight w:val="0"/>
              <w:marTop w:val="0"/>
              <w:marBottom w:val="0"/>
              <w:divBdr>
                <w:top w:val="none" w:sz="0" w:space="0" w:color="auto"/>
                <w:left w:val="none" w:sz="0" w:space="0" w:color="auto"/>
                <w:bottom w:val="none" w:sz="0" w:space="0" w:color="auto"/>
                <w:right w:val="none" w:sz="0" w:space="0" w:color="auto"/>
              </w:divBdr>
            </w:div>
            <w:div w:id="1460299529">
              <w:marLeft w:val="0"/>
              <w:marRight w:val="0"/>
              <w:marTop w:val="0"/>
              <w:marBottom w:val="0"/>
              <w:divBdr>
                <w:top w:val="none" w:sz="0" w:space="0" w:color="auto"/>
                <w:left w:val="none" w:sz="0" w:space="0" w:color="auto"/>
                <w:bottom w:val="none" w:sz="0" w:space="0" w:color="auto"/>
                <w:right w:val="none" w:sz="0" w:space="0" w:color="auto"/>
              </w:divBdr>
            </w:div>
            <w:div w:id="206779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159183">
      <w:bodyDiv w:val="1"/>
      <w:marLeft w:val="0"/>
      <w:marRight w:val="0"/>
      <w:marTop w:val="0"/>
      <w:marBottom w:val="0"/>
      <w:divBdr>
        <w:top w:val="none" w:sz="0" w:space="0" w:color="auto"/>
        <w:left w:val="none" w:sz="0" w:space="0" w:color="auto"/>
        <w:bottom w:val="none" w:sz="0" w:space="0" w:color="auto"/>
        <w:right w:val="none" w:sz="0" w:space="0" w:color="auto"/>
      </w:divBdr>
    </w:div>
    <w:div w:id="1905145596">
      <w:bodyDiv w:val="1"/>
      <w:marLeft w:val="0"/>
      <w:marRight w:val="0"/>
      <w:marTop w:val="0"/>
      <w:marBottom w:val="0"/>
      <w:divBdr>
        <w:top w:val="none" w:sz="0" w:space="0" w:color="auto"/>
        <w:left w:val="none" w:sz="0" w:space="0" w:color="auto"/>
        <w:bottom w:val="none" w:sz="0" w:space="0" w:color="auto"/>
        <w:right w:val="none" w:sz="0" w:space="0" w:color="auto"/>
      </w:divBdr>
    </w:div>
    <w:div w:id="206104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bionext.nl/"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1295</ap:Words>
  <ap:Characters>7126</ap:Characters>
  <ap:DocSecurity>0</ap:DocSecurity>
  <ap:Lines>59</ap:Lines>
  <ap:Paragraphs>16</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8405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2024-02-01T09:13:00.0000000Z</dcterms:created>
  <dcterms:modified xsi:type="dcterms:W3CDTF">2024-02-01T09:13:00.0000000Z</dcterms:modified>
  <version/>
  <category/>
</coreProperties>
</file>