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bookmarkStart w:name="_GoBack" w:id="0"/>
      <w:bookmarkEnd w:id="0"/>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7A00D9">
                            <w:pPr>
                              <w:pStyle w:val="Huisstijl-Agendatitel"/>
                              <w:ind w:left="0" w:firstLine="0"/>
                              <w:jc w:val="right"/>
                            </w:pPr>
                            <w:r>
                              <w:t>25</w:t>
                            </w:r>
                            <w:r w:rsidR="001E355B">
                              <w:t xml:space="preserve"> september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7A00D9">
                      <w:pPr>
                        <w:pStyle w:val="Huisstijl-Agendatitel"/>
                        <w:ind w:left="0" w:firstLine="0"/>
                        <w:jc w:val="right"/>
                      </w:pPr>
                      <w:r>
                        <w:t>25</w:t>
                      </w:r>
                      <w:r w:rsidR="001E355B">
                        <w:t xml:space="preserve"> september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1E355B">
            <w:pPr>
              <w:spacing w:after="240"/>
              <w:rPr>
                <w:b/>
                <w:color w:val="595959" w:themeColor="text1" w:themeTint="A6"/>
                <w:szCs w:val="18"/>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COUNCIL DIRECTIVE on transfer pricing </w:t>
            </w:r>
            <w:hyperlink w:history="1" r:id="rId15">
              <w:r>
                <w:rPr>
                  <w:rStyle w:val="Hyperlink"/>
                  <w:szCs w:val="18"/>
                </w:rPr>
                <w:t>COM/2023/529</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807DB" w:rsidRDefault="003807DB">
            <w:pPr>
              <w:spacing w:after="240"/>
              <w:rPr>
                <w:szCs w:val="18"/>
              </w:rPr>
            </w:pPr>
            <w:r>
              <w:rPr>
                <w:color w:val="595959" w:themeColor="text1" w:themeTint="A6"/>
                <w:szCs w:val="18"/>
              </w:rPr>
              <w:t>Zie stafnotitie.</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3807DB">
            <w:pPr>
              <w:spacing w:after="240"/>
              <w:rPr>
                <w:color w:val="595959" w:themeColor="text1" w:themeTint="A6"/>
                <w:szCs w:val="18"/>
              </w:rPr>
            </w:pPr>
            <w:r>
              <w:rPr>
                <w:color w:val="000000" w:themeColor="text1"/>
                <w:szCs w:val="18"/>
              </w:rPr>
              <w:t xml:space="preserve">Dit voorstel voor een richtlijn is gericht op </w:t>
            </w:r>
            <w:r w:rsidRPr="00531EE9">
              <w:rPr>
                <w:color w:val="000000" w:themeColor="text1"/>
                <w:szCs w:val="18"/>
              </w:rPr>
              <w:t xml:space="preserve">het harmoniseren van de regels voor </w:t>
            </w:r>
            <w:r>
              <w:rPr>
                <w:color w:val="000000" w:themeColor="text1"/>
                <w:szCs w:val="18"/>
              </w:rPr>
              <w:t>transfer pricing binnen de EU.</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1E355B">
            <w:pPr>
              <w:spacing w:after="240"/>
              <w:rPr>
                <w:b/>
                <w:color w:val="595959" w:themeColor="text1" w:themeTint="A6"/>
                <w:szCs w:val="18"/>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COUNCIL DIRECTIVE </w:t>
            </w:r>
            <w:proofErr w:type="spellStart"/>
            <w:r>
              <w:rPr>
                <w:szCs w:val="18"/>
              </w:rPr>
              <w:t>establishing</w:t>
            </w:r>
            <w:proofErr w:type="spellEnd"/>
            <w:r>
              <w:rPr>
                <w:szCs w:val="18"/>
              </w:rPr>
              <w:t xml:space="preserve"> a Head Office Tax system </w:t>
            </w:r>
            <w:proofErr w:type="spellStart"/>
            <w:r>
              <w:rPr>
                <w:szCs w:val="18"/>
              </w:rPr>
              <w:t>for</w:t>
            </w:r>
            <w:proofErr w:type="spellEnd"/>
            <w:r>
              <w:rPr>
                <w:szCs w:val="18"/>
              </w:rPr>
              <w:t xml:space="preserve"> micro, small </w:t>
            </w:r>
            <w:proofErr w:type="spellStart"/>
            <w:r>
              <w:rPr>
                <w:szCs w:val="18"/>
              </w:rPr>
              <w:t>and</w:t>
            </w:r>
            <w:proofErr w:type="spellEnd"/>
            <w:r>
              <w:rPr>
                <w:szCs w:val="18"/>
              </w:rPr>
              <w:t xml:space="preserve"> medium </w:t>
            </w:r>
            <w:proofErr w:type="spellStart"/>
            <w:r>
              <w:rPr>
                <w:szCs w:val="18"/>
              </w:rPr>
              <w:t>sized</w:t>
            </w:r>
            <w:proofErr w:type="spellEnd"/>
            <w:r>
              <w:rPr>
                <w:szCs w:val="18"/>
              </w:rPr>
              <w:t xml:space="preserve"> </w:t>
            </w:r>
            <w:proofErr w:type="spellStart"/>
            <w:r>
              <w:rPr>
                <w:szCs w:val="18"/>
              </w:rPr>
              <w:t>enterprises</w:t>
            </w:r>
            <w:proofErr w:type="spellEnd"/>
            <w:r>
              <w:rPr>
                <w:szCs w:val="18"/>
              </w:rPr>
              <w:t xml:space="preserve">, </w:t>
            </w:r>
            <w:proofErr w:type="spellStart"/>
            <w:r>
              <w:rPr>
                <w:szCs w:val="18"/>
              </w:rPr>
              <w:t>and</w:t>
            </w:r>
            <w:proofErr w:type="spellEnd"/>
            <w:r>
              <w:rPr>
                <w:szCs w:val="18"/>
              </w:rPr>
              <w:t xml:space="preserve"> </w:t>
            </w:r>
            <w:proofErr w:type="spellStart"/>
            <w:r>
              <w:rPr>
                <w:szCs w:val="18"/>
              </w:rPr>
              <w:t>amending</w:t>
            </w:r>
            <w:proofErr w:type="spellEnd"/>
            <w:r>
              <w:rPr>
                <w:szCs w:val="18"/>
              </w:rPr>
              <w:t xml:space="preserve"> Directive 2011/16/EU </w:t>
            </w:r>
            <w:hyperlink w:history="1" r:id="rId16">
              <w:r>
                <w:rPr>
                  <w:rStyle w:val="Hyperlink"/>
                  <w:szCs w:val="18"/>
                </w:rPr>
                <w:t>COM/2023/528</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5F45F6">
            <w:pPr>
              <w:spacing w:after="240"/>
              <w:rPr>
                <w:szCs w:val="18"/>
              </w:rPr>
            </w:pPr>
            <w:r w:rsidRPr="005049F2">
              <w:rPr>
                <w:szCs w:val="18"/>
              </w:rPr>
              <w:t>Via de gebruikelijke route behandelen, waarbij het voorstel en het nog te ontvangen BNC-fiche worden geagendeerd voor een schriftelijk overleg</w:t>
            </w:r>
            <w:r>
              <w:rPr>
                <w:szCs w:val="18"/>
              </w:rPr>
              <w:t>.</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5F45F6" w:rsidRDefault="003807DB">
            <w:pPr>
              <w:spacing w:after="240"/>
              <w:rPr>
                <w:color w:val="595959" w:themeColor="text1" w:themeTint="A6"/>
                <w:szCs w:val="18"/>
              </w:rPr>
            </w:pPr>
            <w:r>
              <w:rPr>
                <w:color w:val="595959" w:themeColor="text1" w:themeTint="A6"/>
                <w:szCs w:val="18"/>
              </w:rPr>
              <w:t xml:space="preserve">Dit voorstel is onderdeel van het </w:t>
            </w:r>
            <w:r w:rsidR="005F45F6">
              <w:rPr>
                <w:color w:val="595959" w:themeColor="text1" w:themeTint="A6"/>
                <w:szCs w:val="18"/>
              </w:rPr>
              <w:t xml:space="preserve">‘SME </w:t>
            </w:r>
            <w:proofErr w:type="spellStart"/>
            <w:r w:rsidR="005F45F6">
              <w:rPr>
                <w:color w:val="595959" w:themeColor="text1" w:themeTint="A6"/>
                <w:szCs w:val="18"/>
              </w:rPr>
              <w:t>relief</w:t>
            </w:r>
            <w:proofErr w:type="spellEnd"/>
            <w:r w:rsidR="005F45F6">
              <w:rPr>
                <w:color w:val="595959" w:themeColor="text1" w:themeTint="A6"/>
                <w:szCs w:val="18"/>
              </w:rPr>
              <w:t xml:space="preserve"> package’ van de Europese Commissie. Deze richtlijn beoogt </w:t>
            </w:r>
            <w:r w:rsidRPr="005F45F6" w:rsidR="005F45F6">
              <w:rPr>
                <w:color w:val="595959" w:themeColor="text1" w:themeTint="A6"/>
                <w:szCs w:val="18"/>
              </w:rPr>
              <w:t>kleine en middelgrote ondernemingen die grensoverschrijdend actief</w:t>
            </w:r>
            <w:r w:rsidR="005F45F6">
              <w:rPr>
                <w:color w:val="595959" w:themeColor="text1" w:themeTint="A6"/>
                <w:szCs w:val="18"/>
              </w:rPr>
              <w:t xml:space="preserve"> zijn,</w:t>
            </w:r>
            <w:r w:rsidRPr="005F45F6" w:rsidR="005F45F6">
              <w:rPr>
                <w:color w:val="595959" w:themeColor="text1" w:themeTint="A6"/>
                <w:szCs w:val="18"/>
              </w:rPr>
              <w:t xml:space="preserve"> de mogelijkheid </w:t>
            </w:r>
            <w:r w:rsidR="005F45F6">
              <w:rPr>
                <w:color w:val="595959" w:themeColor="text1" w:themeTint="A6"/>
                <w:szCs w:val="18"/>
              </w:rPr>
              <w:t xml:space="preserve">te </w:t>
            </w:r>
            <w:r w:rsidRPr="005F45F6" w:rsidR="005F45F6">
              <w:rPr>
                <w:color w:val="595959" w:themeColor="text1" w:themeTint="A6"/>
                <w:szCs w:val="18"/>
              </w:rPr>
              <w:t>bieden om met slechts één belastingdienst te communiceren – die van het hoofdkantoor – in plaats van aan meerdere belastingstelsels te moeten voldoen.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1E355B">
            <w:pPr>
              <w:spacing w:after="240"/>
              <w:rPr>
                <w:b/>
                <w:color w:val="595959" w:themeColor="text1" w:themeTint="A6"/>
                <w:szCs w:val="18"/>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COUNCIL DIRECTIVE on Business in Europe: Framework </w:t>
            </w:r>
            <w:proofErr w:type="spellStart"/>
            <w:r>
              <w:rPr>
                <w:szCs w:val="18"/>
              </w:rPr>
              <w:t>for</w:t>
            </w:r>
            <w:proofErr w:type="spellEnd"/>
            <w:r>
              <w:rPr>
                <w:szCs w:val="18"/>
              </w:rPr>
              <w:t xml:space="preserve"> </w:t>
            </w:r>
            <w:proofErr w:type="spellStart"/>
            <w:r>
              <w:rPr>
                <w:szCs w:val="18"/>
              </w:rPr>
              <w:t>Income</w:t>
            </w:r>
            <w:proofErr w:type="spellEnd"/>
            <w:r>
              <w:rPr>
                <w:szCs w:val="18"/>
              </w:rPr>
              <w:t xml:space="preserve"> </w:t>
            </w:r>
            <w:proofErr w:type="spellStart"/>
            <w:r>
              <w:rPr>
                <w:szCs w:val="18"/>
              </w:rPr>
              <w:t>Taxation</w:t>
            </w:r>
            <w:proofErr w:type="spellEnd"/>
            <w:r>
              <w:rPr>
                <w:szCs w:val="18"/>
              </w:rPr>
              <w:t xml:space="preserve"> (BEFIT) </w:t>
            </w:r>
            <w:hyperlink w:history="1" r:id="rId17">
              <w:r>
                <w:rPr>
                  <w:rStyle w:val="Hyperlink"/>
                  <w:szCs w:val="18"/>
                </w:rPr>
                <w:t>COM/2023/532</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3807DB">
            <w:pPr>
              <w:spacing w:after="240"/>
              <w:rPr>
                <w:szCs w:val="18"/>
              </w:rPr>
            </w:pPr>
            <w:r>
              <w:rPr>
                <w:color w:val="595959" w:themeColor="text1" w:themeTint="A6"/>
                <w:szCs w:val="18"/>
              </w:rPr>
              <w:t>Zie stafnotitie.</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807DB" w:rsidRDefault="003807DB">
            <w:pPr>
              <w:spacing w:after="240"/>
              <w:rPr>
                <w:color w:val="595959" w:themeColor="text1" w:themeTint="A6"/>
                <w:szCs w:val="18"/>
              </w:rPr>
            </w:pPr>
            <w:r w:rsidRPr="00B43B9A">
              <w:rPr>
                <w:color w:val="000000" w:themeColor="text1"/>
                <w:szCs w:val="18"/>
              </w:rPr>
              <w:t xml:space="preserve">Dit betreft een nieuwe, uniforme set regels om de belastinggrondslag van groepen bedrijven </w:t>
            </w:r>
            <w:r>
              <w:rPr>
                <w:color w:val="000000" w:themeColor="text1"/>
                <w:szCs w:val="18"/>
              </w:rPr>
              <w:t xml:space="preserve">in de EU </w:t>
            </w:r>
            <w:r w:rsidRPr="00B43B9A">
              <w:rPr>
                <w:color w:val="000000" w:themeColor="text1"/>
                <w:szCs w:val="18"/>
              </w:rPr>
              <w:t>te bepalen.</w:t>
            </w:r>
          </w:p>
        </w:tc>
      </w:tr>
    </w:tbl>
    <w:p w:rsidR="007A00D9" w:rsidP="002A4BD8" w:rsidRDefault="007A00D9">
      <w:pPr>
        <w:rPr>
          <w:szCs w:val="18"/>
        </w:rPr>
      </w:pPr>
    </w:p>
    <w:p w:rsidR="007A00D9" w:rsidRDefault="007A00D9">
      <w:pPr>
        <w:rPr>
          <w:szCs w:val="18"/>
        </w:rPr>
      </w:pPr>
      <w:r>
        <w:rPr>
          <w:szCs w:val="18"/>
        </w:rPr>
        <w:br w:type="page"/>
      </w:r>
    </w:p>
    <w:p w:rsidRPr="00A9227F" w:rsidR="002A4BD8" w:rsidP="002A4BD8" w:rsidRDefault="002A4BD8">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A9227F" w:rsidR="00D75535" w:rsidP="00D14A89" w:rsidRDefault="001E355B">
            <w:pPr>
              <w:spacing w:after="240"/>
              <w:rPr>
                <w:b/>
                <w:color w:val="595959" w:themeColor="text1" w:themeTint="A6"/>
                <w:szCs w:val="18"/>
              </w:rPr>
            </w:pPr>
            <w:r>
              <w:rPr>
                <w:szCs w:val="18"/>
                <w:lang w:val="en-US"/>
              </w:rPr>
              <w:t xml:space="preserve">VERSLAG VAN DE COMMISSIE AAN HET EUROPEES PARLEMENT EN DE RAAD </w:t>
            </w:r>
            <w:proofErr w:type="spellStart"/>
            <w:r>
              <w:rPr>
                <w:szCs w:val="18"/>
                <w:lang w:val="en-US"/>
              </w:rPr>
              <w:t>betreffende</w:t>
            </w:r>
            <w:proofErr w:type="spellEnd"/>
            <w:r>
              <w:rPr>
                <w:szCs w:val="18"/>
                <w:lang w:val="en-US"/>
              </w:rPr>
              <w:t xml:space="preserve"> de </w:t>
            </w:r>
            <w:proofErr w:type="spellStart"/>
            <w:r>
              <w:rPr>
                <w:szCs w:val="18"/>
                <w:lang w:val="en-US"/>
              </w:rPr>
              <w:t>naleving</w:t>
            </w:r>
            <w:proofErr w:type="spellEnd"/>
            <w:r>
              <w:rPr>
                <w:szCs w:val="18"/>
                <w:lang w:val="en-US"/>
              </w:rPr>
              <w:t xml:space="preserve"> door de </w:t>
            </w:r>
            <w:proofErr w:type="spellStart"/>
            <w:r>
              <w:rPr>
                <w:szCs w:val="18"/>
                <w:lang w:val="en-US"/>
              </w:rPr>
              <w:t>Europese</w:t>
            </w:r>
            <w:proofErr w:type="spellEnd"/>
            <w:r>
              <w:rPr>
                <w:szCs w:val="18"/>
                <w:lang w:val="en-US"/>
              </w:rPr>
              <w:t xml:space="preserve"> </w:t>
            </w:r>
            <w:proofErr w:type="spellStart"/>
            <w:r>
              <w:rPr>
                <w:szCs w:val="18"/>
                <w:lang w:val="en-US"/>
              </w:rPr>
              <w:t>Bankautoriteit</w:t>
            </w:r>
            <w:proofErr w:type="spellEnd"/>
            <w:r>
              <w:rPr>
                <w:szCs w:val="18"/>
                <w:lang w:val="en-US"/>
              </w:rPr>
              <w:t xml:space="preserve"> van de </w:t>
            </w:r>
            <w:proofErr w:type="spellStart"/>
            <w:r>
              <w:rPr>
                <w:szCs w:val="18"/>
                <w:lang w:val="en-US"/>
              </w:rPr>
              <w:t>vereisten</w:t>
            </w:r>
            <w:proofErr w:type="spellEnd"/>
            <w:r>
              <w:rPr>
                <w:szCs w:val="18"/>
                <w:lang w:val="en-US"/>
              </w:rPr>
              <w:t xml:space="preserve"> in </w:t>
            </w:r>
            <w:proofErr w:type="spellStart"/>
            <w:r>
              <w:rPr>
                <w:szCs w:val="18"/>
                <w:lang w:val="en-US"/>
              </w:rPr>
              <w:t>verband</w:t>
            </w:r>
            <w:proofErr w:type="spellEnd"/>
            <w:r>
              <w:rPr>
                <w:szCs w:val="18"/>
                <w:lang w:val="en-US"/>
              </w:rPr>
              <w:t xml:space="preserve"> met de </w:t>
            </w:r>
            <w:proofErr w:type="spellStart"/>
            <w:r>
              <w:rPr>
                <w:szCs w:val="18"/>
                <w:lang w:val="en-US"/>
              </w:rPr>
              <w:t>locatie</w:t>
            </w:r>
            <w:proofErr w:type="spellEnd"/>
            <w:r>
              <w:rPr>
                <w:szCs w:val="18"/>
                <w:lang w:val="en-US"/>
              </w:rPr>
              <w:t xml:space="preserve"> van </w:t>
            </w:r>
            <w:proofErr w:type="spellStart"/>
            <w:r>
              <w:rPr>
                <w:szCs w:val="18"/>
                <w:lang w:val="en-US"/>
              </w:rPr>
              <w:t>haar</w:t>
            </w:r>
            <w:proofErr w:type="spellEnd"/>
            <w:r>
              <w:rPr>
                <w:szCs w:val="18"/>
                <w:lang w:val="en-US"/>
              </w:rPr>
              <w:t xml:space="preserve"> </w:t>
            </w:r>
            <w:proofErr w:type="spellStart"/>
            <w:r>
              <w:rPr>
                <w:szCs w:val="18"/>
                <w:lang w:val="en-US"/>
              </w:rPr>
              <w:t>zetel</w:t>
            </w:r>
            <w:proofErr w:type="spellEnd"/>
            <w:r>
              <w:rPr>
                <w:szCs w:val="18"/>
                <w:lang w:val="en-US"/>
              </w:rPr>
              <w:t xml:space="preserve"> </w:t>
            </w:r>
            <w:hyperlink w:history="1" r:id="rId18">
              <w:r>
                <w:rPr>
                  <w:rStyle w:val="Hyperlink"/>
                  <w:szCs w:val="18"/>
                  <w:lang w:val="en-US"/>
                </w:rPr>
                <w:t>COM(2023)505</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B31A4F">
            <w:pPr>
              <w:spacing w:after="240"/>
              <w:rPr>
                <w:szCs w:val="18"/>
              </w:rPr>
            </w:pPr>
            <w:r>
              <w:rPr>
                <w:szCs w:val="18"/>
              </w:rPr>
              <w:t>Voor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A30E1D" w:rsidRDefault="00B31A4F">
            <w:pPr>
              <w:spacing w:after="240"/>
              <w:rPr>
                <w:color w:val="595959" w:themeColor="text1" w:themeTint="A6"/>
                <w:szCs w:val="18"/>
              </w:rPr>
            </w:pPr>
            <w:r>
              <w:rPr>
                <w:color w:val="595959" w:themeColor="text1" w:themeTint="A6"/>
                <w:szCs w:val="18"/>
              </w:rPr>
              <w:t xml:space="preserve">Na de </w:t>
            </w:r>
            <w:proofErr w:type="spellStart"/>
            <w:r>
              <w:rPr>
                <w:color w:val="595959" w:themeColor="text1" w:themeTint="A6"/>
                <w:szCs w:val="18"/>
              </w:rPr>
              <w:t>Brexit</w:t>
            </w:r>
            <w:proofErr w:type="spellEnd"/>
            <w:r>
              <w:rPr>
                <w:color w:val="595959" w:themeColor="text1" w:themeTint="A6"/>
                <w:szCs w:val="18"/>
              </w:rPr>
              <w:t xml:space="preserve"> is Parijs gekozen als hoofdzetel voor de </w:t>
            </w:r>
            <w:r w:rsidRPr="00B31A4F">
              <w:rPr>
                <w:color w:val="595959" w:themeColor="text1" w:themeTint="A6"/>
                <w:szCs w:val="18"/>
              </w:rPr>
              <w:t>Europese Bankautoriteit</w:t>
            </w:r>
            <w:r>
              <w:rPr>
                <w:color w:val="595959" w:themeColor="text1" w:themeTint="A6"/>
                <w:szCs w:val="18"/>
              </w:rPr>
              <w:t xml:space="preserve"> (EBA). </w:t>
            </w:r>
            <w:r w:rsidR="00A30E1D">
              <w:rPr>
                <w:color w:val="595959" w:themeColor="text1" w:themeTint="A6"/>
                <w:szCs w:val="18"/>
              </w:rPr>
              <w:t xml:space="preserve">In de </w:t>
            </w:r>
            <w:r w:rsidRPr="00A30E1D" w:rsidR="00A30E1D">
              <w:rPr>
                <w:color w:val="595959" w:themeColor="text1" w:themeTint="A6"/>
                <w:szCs w:val="18"/>
              </w:rPr>
              <w:t xml:space="preserve">EBA-verordening </w:t>
            </w:r>
            <w:r w:rsidR="00A30E1D">
              <w:rPr>
                <w:color w:val="595959" w:themeColor="text1" w:themeTint="A6"/>
                <w:szCs w:val="18"/>
              </w:rPr>
              <w:t xml:space="preserve">zijn toentertijd </w:t>
            </w:r>
            <w:r w:rsidRPr="00A30E1D" w:rsidR="00A30E1D">
              <w:rPr>
                <w:color w:val="595959" w:themeColor="text1" w:themeTint="A6"/>
                <w:szCs w:val="18"/>
              </w:rPr>
              <w:t>een aantal nieuwe vereisten voor de EBA ingevoerd die betrekking hebben op de locatie voor haar zetel en de verplichting voor de Commissie om de 12 maanden een verslag te publiceren over de naleving van deze vereisten door de EBA.</w:t>
            </w:r>
            <w:r w:rsidR="00A30E1D">
              <w:rPr>
                <w:color w:val="595959" w:themeColor="text1" w:themeTint="A6"/>
                <w:szCs w:val="18"/>
              </w:rPr>
              <w:t xml:space="preserve"> De Commissie </w:t>
            </w:r>
            <w:proofErr w:type="spellStart"/>
            <w:r w:rsidR="00A30E1D">
              <w:rPr>
                <w:color w:val="595959" w:themeColor="text1" w:themeTint="A6"/>
                <w:szCs w:val="18"/>
              </w:rPr>
              <w:t>geconcludeert</w:t>
            </w:r>
            <w:proofErr w:type="spellEnd"/>
            <w:r w:rsidRPr="00A30E1D" w:rsidR="00A30E1D">
              <w:rPr>
                <w:color w:val="595959" w:themeColor="text1" w:themeTint="A6"/>
                <w:szCs w:val="18"/>
              </w:rPr>
              <w:t xml:space="preserve"> dat de uitoefening van de taken en bevoegdheden van de EBA, de opzet van haar beheersstructuur, de werking van haar centrale organisatie en de financiering van haar activiteiten geen nadelige gevolgen hebben ondervonden van de verhuizing van de zetel van de EBA naar Parijs</w:t>
            </w:r>
            <w:r w:rsidR="00A30E1D">
              <w:rPr>
                <w:color w:val="595959" w:themeColor="text1" w:themeTint="A6"/>
                <w:szCs w:val="18"/>
              </w:rPr>
              <w:t>.</w:t>
            </w:r>
          </w:p>
        </w:tc>
      </w:tr>
    </w:tbl>
    <w:p w:rsidRPr="00A9227F" w:rsidR="00D75535" w:rsidP="006F2511" w:rsidRDefault="00D75535">
      <w:pPr>
        <w:rPr>
          <w:szCs w:val="18"/>
        </w:rPr>
      </w:pPr>
    </w:p>
    <w:p w:rsidRPr="00A9227F" w:rsidR="002A4BD8" w:rsidP="002A4BD8" w:rsidRDefault="002A4BD8">
      <w:pPr>
        <w:rPr>
          <w:szCs w:val="18"/>
        </w:rPr>
      </w:pPr>
    </w:p>
    <w:sectPr w:rsidRPr="00A9227F" w:rsidR="002A4BD8" w:rsidSect="00BF62AD">
      <w:headerReference w:type="default" r:id="rId19"/>
      <w:footerReference w:type="default" r:id="rId20"/>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00" w:rsidRDefault="00915200">
      <w:r>
        <w:separator/>
      </w:r>
    </w:p>
  </w:endnote>
  <w:endnote w:type="continuationSeparator" w:id="0">
    <w:p w:rsidR="00915200" w:rsidRDefault="0091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7A00D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7A00D9">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7A00D9">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7A00D9">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00" w:rsidRDefault="00915200">
      <w:r>
        <w:separator/>
      </w:r>
    </w:p>
  </w:footnote>
  <w:footnote w:type="continuationSeparator" w:id="0">
    <w:p w:rsidR="00915200" w:rsidRDefault="00915200">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55B"/>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07DB"/>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295F"/>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5F45F6"/>
    <w:rsid w:val="006049B4"/>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0D9"/>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5200"/>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0E1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1A4F"/>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00CA"/>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22EF"/>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6746C2"/>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53711120">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82145331">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3DC0505&amp;qid=1694088171483" TargetMode="Externa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OM%3A2023%3A532%3AFIN&amp;qid=1694600098842" TargetMode="External" Id="rId17" /><Relationship Type="http://schemas.openxmlformats.org/officeDocument/2006/relationships/hyperlink" Target="https://eur-lex.europa.eu/legal-content/NL/TXT/?uri=COM%3A2023%3A528%3AFIN&amp;qid=1694599818925" TargetMode="External" Id="rId16" /><Relationship Type="http://schemas.openxmlformats.org/officeDocument/2006/relationships/footer" Target="footer2.xml" Id="rId20" /><Relationship Type="http://schemas.openxmlformats.org/officeDocument/2006/relationships/footnotes" Target="footnotes.xml" Id="rId11" /><Relationship Type="http://schemas.openxmlformats.org/officeDocument/2006/relationships/hyperlink" Target="https://eur-lex.europa.eu/legal-content/NL/TXT/?uri=COM%3A2023%3A529%3AFIN&amp;qid=1694599627837"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468</ap:Words>
  <ap:Characters>2576</ap:Characters>
  <ap:DocSecurity>4</ap:DocSecurity>
  <ap:Lines>21</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2023-09-22T16:31:00.0000000Z</dcterms:created>
  <dcterms:modified xsi:type="dcterms:W3CDTF">2023-09-22T16:31:00.0000000Z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fa4a4373-96d9-47ad-a1c7-4179a50c56ce</vt:lpwstr>
  </property>
</Properties>
</file>