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096826" w:rsidTr="00096826" w14:paraId="7B480C5A" w14:textId="77777777">
        <w:sdt>
          <w:sdtPr>
            <w:tag w:val="bmZaakNummerAdvies"/>
            <w:id w:val="-366761034"/>
            <w:lock w:val="sdtLocked"/>
            <w:placeholder>
              <w:docPart w:val="DefaultPlaceholder_-1854013440"/>
            </w:placeholder>
          </w:sdtPr>
          <w:sdtContent>
            <w:tc>
              <w:tcPr>
                <w:tcW w:w="4251" w:type="dxa"/>
              </w:tcPr>
              <w:p w:rsidR="00096826" w:rsidRDefault="00096826" w14:paraId="199A0E96" w14:textId="78047A61">
                <w:r>
                  <w:t>No. W06.23.00255/III</w:t>
                </w:r>
              </w:p>
            </w:tc>
          </w:sdtContent>
        </w:sdt>
        <w:sdt>
          <w:sdtPr>
            <w:tag w:val="bmDatumAdvies"/>
            <w:id w:val="92904020"/>
            <w:lock w:val="sdtLocked"/>
            <w:placeholder>
              <w:docPart w:val="DefaultPlaceholder_-1854013440"/>
            </w:placeholder>
          </w:sdtPr>
          <w:sdtContent>
            <w:tc>
              <w:tcPr>
                <w:tcW w:w="4252" w:type="dxa"/>
              </w:tcPr>
              <w:p w:rsidR="00096826" w:rsidRDefault="00096826" w14:paraId="462E5A39" w14:textId="5054B9D2">
                <w:r>
                  <w:t>'s-Gravenhage, 11 september 2023</w:t>
                </w:r>
              </w:p>
            </w:tc>
          </w:sdtContent>
        </w:sdt>
      </w:tr>
    </w:tbl>
    <w:p w:rsidR="00096826" w:rsidRDefault="00096826" w14:paraId="75D31513" w14:textId="77777777"/>
    <w:p w:rsidR="00096826" w:rsidRDefault="00096826" w14:paraId="4DE653E6" w14:textId="77777777"/>
    <w:p w:rsidR="00994A10" w:rsidRDefault="00000000" w14:paraId="6EF7B40D" w14:textId="24972157">
      <w:sdt>
        <w:sdtPr>
          <w:tag w:val="bmAanhef"/>
          <w:id w:val="-384485501"/>
          <w:lock w:val="sdtLocked"/>
          <w:placeholder>
            <w:docPart w:val="DefaultPlaceholder_-1854013440"/>
          </w:placeholder>
        </w:sdtPr>
        <w:sdtContent>
          <w:r w:rsidR="00096826">
            <w:rPr>
              <w:color w:val="000000"/>
            </w:rPr>
            <w:t>Bij Kabinetsmissive van 28 augustus 2023, no.2023001877, heeft Uwe Majesteit, op voordracht van de Staatssecretaris Fiscaliteit en Belastingdienst</w:t>
          </w:r>
          <w:r w:rsidR="004723FE">
            <w:rPr>
              <w:color w:val="000000"/>
            </w:rPr>
            <w:t>,</w:t>
          </w:r>
          <w:r w:rsidR="00096826">
            <w:rPr>
              <w:color w:val="000000"/>
            </w:rPr>
            <w:t xml:space="preserve"> mede namens de Staatssecretaris Toeslagen en Douane, bij de Afdeling advisering van de Raad van State ter overweging aanhangig gemaakt het voorstel van wet tot wijziging van enkele belastingwetten en enige andere wetten (Belastingplan BES eilanden 2024), met memorie van toelichting.</w:t>
          </w:r>
        </w:sdtContent>
      </w:sdt>
    </w:p>
    <w:p w:rsidR="00994A10" w:rsidRDefault="00000000" w14:paraId="6EF7B40E" w14:textId="77777777"/>
    <w:sdt>
      <w:sdtPr>
        <w:tag w:val="bmVrijeTekst1"/>
        <w:id w:val="474333353"/>
        <w:lock w:val="sdtLocked"/>
        <w:placeholder>
          <w:docPart w:val="DefaultPlaceholder_-1854013440"/>
        </w:placeholder>
      </w:sdtPr>
      <w:sdtContent>
        <w:p w:rsidR="00C46383" w:rsidP="00C46383" w:rsidRDefault="00C46383" w14:paraId="4437442F" w14:textId="6B0F2F6B">
          <w:pPr>
            <w:pStyle w:val="Geenafstand"/>
          </w:pPr>
          <w:r w:rsidRPr="00364D19">
            <w:t xml:space="preserve">Het </w:t>
          </w:r>
          <w:r w:rsidR="00AE5691">
            <w:t>wets</w:t>
          </w:r>
          <w:r w:rsidRPr="00364D19">
            <w:t xml:space="preserve">voorstel bevat </w:t>
          </w:r>
          <w:r>
            <w:t xml:space="preserve">een aantal maatregelen die leiden tot aanpassing van onderdelen van het belastingstelsel </w:t>
          </w:r>
          <w:r w:rsidRPr="00364D19">
            <w:t>van</w:t>
          </w:r>
          <w:r>
            <w:t xml:space="preserve"> de openbare lichamen</w:t>
          </w:r>
          <w:r w:rsidRPr="00364D19">
            <w:t xml:space="preserve"> Bonaire,</w:t>
          </w:r>
          <w:r>
            <w:t xml:space="preserve"> </w:t>
          </w:r>
          <w:r w:rsidRPr="00364D19">
            <w:t>Sint Eustatius en Saba</w:t>
          </w:r>
          <w:r>
            <w:t xml:space="preserve">. Een aantal bepalingen wordt geactualiseerd of verbeterd, daarnaast wordt een aantal boetebepalingen </w:t>
          </w:r>
          <w:r w:rsidR="00B25255">
            <w:t>aang</w:t>
          </w:r>
          <w:r>
            <w:t xml:space="preserve">escherpt en tot slot wordt een minimumbelasting ingevoerd. Deze minimumbelasting is gebaseerd op </w:t>
          </w:r>
          <w:r w:rsidRPr="00CE1DE8">
            <w:t xml:space="preserve">het </w:t>
          </w:r>
          <w:r>
            <w:t>wets</w:t>
          </w:r>
          <w:r w:rsidRPr="00CE1DE8">
            <w:t>voorstel Wet minimumbelasting 2024</w:t>
          </w:r>
          <w:r>
            <w:rPr>
              <w:rStyle w:val="Voetnootmarkering"/>
            </w:rPr>
            <w:footnoteReference w:id="2"/>
          </w:r>
          <w:r w:rsidRPr="00CE1DE8">
            <w:t xml:space="preserve"> </w:t>
          </w:r>
          <w:r>
            <w:t>en wijkt op enkele punten daarvan af.</w:t>
          </w:r>
        </w:p>
        <w:p w:rsidR="00C46383" w:rsidP="00C46383" w:rsidRDefault="00C46383" w14:paraId="173F91DF" w14:textId="77777777"/>
        <w:p w:rsidR="00C46383" w:rsidP="00C46383" w:rsidRDefault="00C46383" w14:paraId="7CCBE6D5" w14:textId="13CD4A27">
          <w:r>
            <w:t xml:space="preserve">De Afdeling advisering van de Raad van State adviseert in de toelichting in te gaan op de wijze waarop </w:t>
          </w:r>
          <w:r w:rsidR="005B7A48">
            <w:t>d</w:t>
          </w:r>
          <w:r>
            <w:t>e bestuur</w:t>
          </w:r>
          <w:r w:rsidR="005B7A48">
            <w:t>scolleges</w:t>
          </w:r>
          <w:r>
            <w:t xml:space="preserve"> van de BES-eilanden en burgers, bedrijven en instellingen op de BES-eilanden bij de totstandkoming van het wetsvoorstel zijn betrokken</w:t>
          </w:r>
          <w:r w:rsidR="003B2382">
            <w:t xml:space="preserve">. </w:t>
          </w:r>
          <w:r w:rsidR="00077F1A">
            <w:t>Ook</w:t>
          </w:r>
          <w:r w:rsidR="003B2382">
            <w:t xml:space="preserve"> adviseert </w:t>
          </w:r>
          <w:r w:rsidR="00E742DF">
            <w:t xml:space="preserve">zij </w:t>
          </w:r>
          <w:r w:rsidR="00445D23">
            <w:t xml:space="preserve">toe </w:t>
          </w:r>
          <w:r>
            <w:t xml:space="preserve">te </w:t>
          </w:r>
          <w:r w:rsidR="00445D23">
            <w:t>lichten</w:t>
          </w:r>
          <w:r>
            <w:t xml:space="preserve"> waarom </w:t>
          </w:r>
          <w:r w:rsidR="003B2382">
            <w:t xml:space="preserve">een specifieke </w:t>
          </w:r>
          <w:r>
            <w:t xml:space="preserve">internetconsultatie achterwege </w:t>
          </w:r>
          <w:r w:rsidR="003304D0">
            <w:t>is gebleven</w:t>
          </w:r>
          <w:r w:rsidR="003B2382">
            <w:t xml:space="preserve"> en het voorstel onderdeel uitmaakt van het pakket Belastingplan 2024</w:t>
          </w:r>
          <w:r>
            <w:t xml:space="preserve">. </w:t>
          </w:r>
          <w:r w:rsidR="00077F1A">
            <w:t>Daarnaast</w:t>
          </w:r>
          <w:r>
            <w:t xml:space="preserve"> adviseert de Afdeling </w:t>
          </w:r>
          <w:r w:rsidR="00A83CC6">
            <w:t>om</w:t>
          </w:r>
          <w:r>
            <w:t xml:space="preserve"> in de toelichting nader in te gaan op de gevolgen</w:t>
          </w:r>
          <w:r>
            <w:rPr>
              <w:rStyle w:val="apple-converted-space"/>
              <w:shd w:val="clear" w:color="auto" w:fill="FFFFFF"/>
            </w:rPr>
            <w:t> die </w:t>
          </w:r>
          <w:r>
            <w:t xml:space="preserve">de keuze om de minimumbelasting als aangiftebelasting vorm te geven heeft voor de </w:t>
          </w:r>
          <w:r w:rsidR="00AA4860">
            <w:t>waarborgen bij</w:t>
          </w:r>
          <w:r>
            <w:t xml:space="preserve"> rechtsbescherming en op de noodzakelijkheid van de hoofdelijke aansprakelijkheidsbepaling.</w:t>
          </w:r>
        </w:p>
        <w:p w:rsidR="00C46383" w:rsidP="00C46383" w:rsidRDefault="00C46383" w14:paraId="35637CE1" w14:textId="77777777"/>
        <w:p w:rsidRPr="00D75955" w:rsidR="00C46383" w:rsidP="00AE5691" w:rsidRDefault="00C46383" w14:paraId="44BA952F" w14:textId="77777777">
          <w:pPr>
            <w:pStyle w:val="Lijstalinea"/>
            <w:numPr>
              <w:ilvl w:val="0"/>
              <w:numId w:val="1"/>
            </w:numPr>
            <w:ind w:left="0" w:firstLine="0"/>
            <w:rPr>
              <w:u w:val="single"/>
            </w:rPr>
          </w:pPr>
          <w:r>
            <w:rPr>
              <w:u w:val="single"/>
            </w:rPr>
            <w:t>Betrokkenheid van de BES-eilanden</w:t>
          </w:r>
        </w:p>
        <w:p w:rsidR="00C46383" w:rsidP="00C46383" w:rsidRDefault="00C46383" w14:paraId="44FA16EC" w14:textId="77777777"/>
        <w:p w:rsidR="00C46383" w:rsidP="00C46383" w:rsidRDefault="00C46383" w14:paraId="5886D8C8" w14:textId="1FC8C0B7">
          <w:r>
            <w:t xml:space="preserve">Het voorliggende wetsvoorstel </w:t>
          </w:r>
          <w:r w:rsidRPr="001F7B83">
            <w:t xml:space="preserve">Belastingplan </w:t>
          </w:r>
          <w:r>
            <w:t>BES 2024 is de eerste verzamelwet die de wijzingen in het belastingstelsel van de openbare lichamen</w:t>
          </w:r>
          <w:r w:rsidRPr="00364D19">
            <w:t xml:space="preserve"> Bonaire,</w:t>
          </w:r>
          <w:r>
            <w:t xml:space="preserve"> </w:t>
          </w:r>
          <w:r w:rsidRPr="00364D19">
            <w:t>Sint Eustatius en Saba</w:t>
          </w:r>
          <w:r>
            <w:t xml:space="preserve"> (BES-eilanden) bundelt. De Afdeling onderschrijft de keuze om deze wijzigingen als een separaat wetsvoorstel </w:t>
          </w:r>
          <w:r w:rsidR="00A01FA6">
            <w:t>aan</w:t>
          </w:r>
          <w:r>
            <w:t xml:space="preserve"> te </w:t>
          </w:r>
          <w:r w:rsidR="00A01FA6">
            <w:t>bieden</w:t>
          </w:r>
          <w:r>
            <w:t xml:space="preserve">. </w:t>
          </w:r>
          <w:r w:rsidR="0001301A">
            <w:t>O</w:t>
          </w:r>
          <w:r w:rsidR="00FF4BA5">
            <w:t xml:space="preserve">p de BES-eilanden </w:t>
          </w:r>
          <w:r w:rsidR="0001301A">
            <w:t xml:space="preserve">geldt </w:t>
          </w:r>
          <w:r w:rsidR="00FF4BA5">
            <w:t>een van het Europes</w:t>
          </w:r>
          <w:r w:rsidR="00EC4FFA">
            <w:t>e</w:t>
          </w:r>
          <w:r w:rsidR="00FF4BA5">
            <w:t xml:space="preserve"> deel van Nederland afwijkend fiscaal stelstel</w:t>
          </w:r>
          <w:r w:rsidR="00F23078">
            <w:t xml:space="preserve">. </w:t>
          </w:r>
          <w:r w:rsidR="00700B65">
            <w:t>Hierbij past een a</w:t>
          </w:r>
          <w:r w:rsidR="4D38C856">
            <w:t>fzonderlijk</w:t>
          </w:r>
          <w:r w:rsidR="00700B65">
            <w:t xml:space="preserve"> wetsvoorstel waarin alleen specifiek voor de BES-eilanden beoogde maatregelen zijn opgenomen. </w:t>
          </w:r>
        </w:p>
        <w:p w:rsidR="00545844" w:rsidP="00C46383" w:rsidRDefault="00545844" w14:paraId="03908F87" w14:textId="77777777"/>
        <w:p w:rsidR="00545844" w:rsidP="00C46383" w:rsidRDefault="00545844" w14:paraId="3028E38E" w14:textId="3A47D44B">
          <w:r>
            <w:t>Dit verzamelwets</w:t>
          </w:r>
          <w:r w:rsidRPr="00541DDD">
            <w:t>voorstel is opgenomen in het pakket Belastingplan 2024. De toelichting maakt echter niet duidelijk waarom dit het geval is</w:t>
          </w:r>
          <w:r w:rsidRPr="00541DDD">
            <w:rPr>
              <w:vertAlign w:val="superscript"/>
            </w:rPr>
            <w:footnoteReference w:id="3"/>
          </w:r>
          <w:r w:rsidRPr="00541DDD">
            <w:t xml:space="preserve"> en waarom het </w:t>
          </w:r>
          <w:r w:rsidRPr="00541DDD">
            <w:lastRenderedPageBreak/>
            <w:t xml:space="preserve">voorstel niet op een eerder moment kon worden ingediend. De </w:t>
          </w:r>
          <w:r>
            <w:t>toelichting gaat hier niet op in</w:t>
          </w:r>
          <w:r w:rsidRPr="00541DDD">
            <w:t>.</w:t>
          </w:r>
        </w:p>
        <w:p w:rsidR="001F0745" w:rsidP="009E14E7" w:rsidRDefault="001F0745" w14:paraId="51852BE8" w14:textId="77777777"/>
        <w:p w:rsidR="009E14E7" w:rsidP="009E14E7" w:rsidRDefault="009E14E7" w14:paraId="569C21B3" w14:textId="572DD538">
          <w:r>
            <w:t xml:space="preserve">Het is bij </w:t>
          </w:r>
          <w:r w:rsidR="00214535">
            <w:t>de totstandkoming</w:t>
          </w:r>
          <w:r>
            <w:t xml:space="preserve"> van beoogde wet- en regelgeving </w:t>
          </w:r>
          <w:r w:rsidR="00296E87">
            <w:t xml:space="preserve">van belang </w:t>
          </w:r>
          <w:r>
            <w:t xml:space="preserve">dat </w:t>
          </w:r>
          <w:r w:rsidR="00A54D6E">
            <w:t xml:space="preserve">afstemming plaatsvindt met de </w:t>
          </w:r>
          <w:r>
            <w:t xml:space="preserve">direct </w:t>
          </w:r>
          <w:r w:rsidR="00F66602">
            <w:t>betrokkenen</w:t>
          </w:r>
          <w:r w:rsidR="48B0A115">
            <w:t xml:space="preserve"> </w:t>
          </w:r>
          <w:r w:rsidR="00A54D6E">
            <w:t>over de maatregelen</w:t>
          </w:r>
          <w:r>
            <w:t>.</w:t>
          </w:r>
          <w:r w:rsidR="007B02AA">
            <w:t xml:space="preserve"> </w:t>
          </w:r>
          <w:r w:rsidR="004B3FF2">
            <w:t xml:space="preserve">Bij de BES-eilanden gaat het om </w:t>
          </w:r>
          <w:r w:rsidR="00B46A11">
            <w:t>raadpleging van</w:t>
          </w:r>
          <w:r w:rsidR="004B3FF2">
            <w:t xml:space="preserve"> de </w:t>
          </w:r>
          <w:r w:rsidR="00270632">
            <w:t>bestuurscolleges van de verschillende eilanden</w:t>
          </w:r>
          <w:r w:rsidR="00296E87">
            <w:t>.</w:t>
          </w:r>
          <w:r w:rsidR="00434456">
            <w:t xml:space="preserve"> Uit de toelichting blijkt niet of en op welke wijze deze afstemming heeft plaatsgevonden.</w:t>
          </w:r>
        </w:p>
        <w:p w:rsidR="009E14E7" w:rsidP="00C46383" w:rsidRDefault="009E14E7" w14:paraId="72CC53CC" w14:textId="77777777"/>
        <w:p w:rsidR="00D86B32" w:rsidP="00C46383" w:rsidRDefault="0051341F" w14:paraId="2E4708DE" w14:textId="77777777">
          <w:r w:rsidDel="002777D0">
            <w:t xml:space="preserve">Het is </w:t>
          </w:r>
          <w:r w:rsidDel="002777D0" w:rsidR="00887FAE">
            <w:t xml:space="preserve">ook </w:t>
          </w:r>
          <w:r w:rsidDel="002777D0">
            <w:t xml:space="preserve">van belang dat burgers, bedrijven en instellingen op de BES-eilanden de mogelijkheid wordt geboden kennis te nemen van in ieder geval de specifiek voor de BES-eilanden bedoelde wetsvoorstellen en hun ideeën hierover kenbaar te kunnen maken. </w:t>
          </w:r>
          <w:r w:rsidR="008C21DE">
            <w:t>Hier</w:t>
          </w:r>
          <w:r w:rsidR="00090F35">
            <w:t>voor</w:t>
          </w:r>
          <w:r w:rsidR="00A40EB3">
            <w:t xml:space="preserve"> kan het instrument van internetconsultatie</w:t>
          </w:r>
          <w:r w:rsidR="008E661D">
            <w:t xml:space="preserve"> </w:t>
          </w:r>
          <w:r w:rsidR="00090F35">
            <w:t>worden ingezet</w:t>
          </w:r>
          <w:r w:rsidR="008C21DE">
            <w:t>.</w:t>
          </w:r>
          <w:r w:rsidDel="00185338" w:rsidR="00C46383">
            <w:t xml:space="preserve"> </w:t>
          </w:r>
          <w:r w:rsidR="00C46383">
            <w:t xml:space="preserve">Het </w:t>
          </w:r>
          <w:r w:rsidR="008E661D">
            <w:t xml:space="preserve">voorliggende </w:t>
          </w:r>
          <w:r w:rsidR="00C46383">
            <w:t xml:space="preserve">wetsvoorstel is </w:t>
          </w:r>
          <w:r w:rsidR="00185338">
            <w:t xml:space="preserve">niet </w:t>
          </w:r>
          <w:r w:rsidR="00C46383">
            <w:t xml:space="preserve">afzonderlijk ter internetconsultatie aangeboden. De toelichting vermeldt als reden daarvoor dat het grootste </w:t>
          </w:r>
          <w:r w:rsidRPr="00B01432" w:rsidR="00C46383">
            <w:t xml:space="preserve">deel van de maatregelen initieel in </w:t>
          </w:r>
          <w:r w:rsidR="00C46383">
            <w:t xml:space="preserve">het </w:t>
          </w:r>
          <w:r w:rsidR="008200C0">
            <w:t xml:space="preserve">in de zomer van 2022 </w:t>
          </w:r>
          <w:r w:rsidR="00C46383">
            <w:t xml:space="preserve">ter consultatie voorgelegde </w:t>
          </w:r>
          <w:r w:rsidRPr="00B01432" w:rsidR="00C46383">
            <w:t>concept</w:t>
          </w:r>
          <w:r w:rsidR="00C46383">
            <w:t xml:space="preserve"> wetsvoorstel </w:t>
          </w:r>
          <w:r w:rsidRPr="00B01432" w:rsidR="00C46383">
            <w:t>Fiscale verzamelwet 2024</w:t>
          </w:r>
          <w:r w:rsidR="00C46383">
            <w:t xml:space="preserve"> was</w:t>
          </w:r>
          <w:r w:rsidRPr="00B01432" w:rsidR="00C46383">
            <w:t xml:space="preserve"> opgenomen </w:t>
          </w:r>
          <w:r w:rsidR="00C46383">
            <w:t>en op die consultatie slechts één reactie is gekomen die zag op een van de nu in het onderhavige voorstel opgenomen maatregelen.</w:t>
          </w:r>
          <w:r w:rsidR="00C46383">
            <w:rPr>
              <w:rStyle w:val="Voetnootmarkering"/>
            </w:rPr>
            <w:footnoteReference w:id="4"/>
          </w:r>
          <w:r w:rsidR="00C46383">
            <w:t xml:space="preserve"> </w:t>
          </w:r>
        </w:p>
        <w:p w:rsidR="003234CE" w:rsidP="00C46383" w:rsidRDefault="003234CE" w14:paraId="7BE97328" w14:textId="77777777"/>
        <w:p w:rsidR="00C46383" w:rsidP="00A40EB3" w:rsidRDefault="00C46383" w14:paraId="76E49A65" w14:textId="140AC30D">
          <w:r>
            <w:t>Het ligt in de rede dat burgers, bedrijven en instellingen op de BES-eilanden eerder kennis zullen nemen van een internetconsultatie van een wetsvoorstel</w:t>
          </w:r>
          <w:r w:rsidR="008C758A">
            <w:t xml:space="preserve"> dat spec</w:t>
          </w:r>
          <w:r w:rsidR="00A56035">
            <w:t>i</w:t>
          </w:r>
          <w:r w:rsidR="008C758A">
            <w:t>f</w:t>
          </w:r>
          <w:r w:rsidR="00A56035">
            <w:t>i</w:t>
          </w:r>
          <w:r w:rsidR="008C758A">
            <w:t xml:space="preserve">ek ziet op wet- en regelgeving voor de </w:t>
          </w:r>
          <w:r>
            <w:t>BES</w:t>
          </w:r>
          <w:r w:rsidR="008C758A">
            <w:t>-eilanden</w:t>
          </w:r>
          <w:r>
            <w:t xml:space="preserve"> dan van een internetconsulatie van een </w:t>
          </w:r>
          <w:r w:rsidR="50308BE4">
            <w:t xml:space="preserve">wetsvoorstel dat </w:t>
          </w:r>
          <w:r>
            <w:t xml:space="preserve">vooral op het Europese deel van </w:t>
          </w:r>
          <w:r w:rsidR="005E185F">
            <w:t>Nederland</w:t>
          </w:r>
          <w:r>
            <w:t xml:space="preserve"> </w:t>
          </w:r>
          <w:r w:rsidR="1FA3AD43">
            <w:t xml:space="preserve">is </w:t>
          </w:r>
          <w:r>
            <w:t>gericht</w:t>
          </w:r>
          <w:r w:rsidR="00D157D1">
            <w:t xml:space="preserve">, zoals in dit geval het </w:t>
          </w:r>
          <w:r w:rsidDel="00A56035">
            <w:t>wetsvoorstel Fiscale verzamelwet 2024</w:t>
          </w:r>
          <w:r>
            <w:t>. Uit de toelichting blijkt niet of de internetconsultatie van het wetsvoorstel Fiscale verzamelwet 2024 op de BES-eilanden specifiek onder de aandacht is gebracht.</w:t>
          </w:r>
        </w:p>
        <w:p w:rsidR="00C46383" w:rsidP="00C46383" w:rsidRDefault="00C46383" w14:paraId="2299DFA2" w14:textId="77777777"/>
        <w:p w:rsidR="00C46383" w:rsidP="00C46383" w:rsidRDefault="00C46383" w14:paraId="42FFB0B2" w14:textId="0BB8FBA9">
          <w:r w:rsidRPr="00D43AF4">
            <w:t>De Afdeling adviseert in de toelichting</w:t>
          </w:r>
          <w:r>
            <w:t xml:space="preserve"> in te gaan op de wijze waarop </w:t>
          </w:r>
          <w:r w:rsidR="006C49EA">
            <w:t xml:space="preserve">de </w:t>
          </w:r>
          <w:r>
            <w:t>bestuur</w:t>
          </w:r>
          <w:r w:rsidR="006C49EA">
            <w:t>scolleges</w:t>
          </w:r>
          <w:r w:rsidR="62E01CEE">
            <w:t>,</w:t>
          </w:r>
          <w:r w:rsidR="00BB0BD3">
            <w:t xml:space="preserve"> </w:t>
          </w:r>
          <w:r>
            <w:t xml:space="preserve">burgers, bedrijven </w:t>
          </w:r>
          <w:r w:rsidR="00772436">
            <w:t>en</w:t>
          </w:r>
          <w:r>
            <w:t xml:space="preserve"> instellingen op de BES-eilanden bij de totstandkoming van het voorstel zijn betrokken</w:t>
          </w:r>
          <w:r w:rsidR="00B86D90">
            <w:t xml:space="preserve">, waarom dit voorstel </w:t>
          </w:r>
          <w:r w:rsidR="000811B1">
            <w:t>onderdeel uit</w:t>
          </w:r>
          <w:r w:rsidR="00A17364">
            <w:t xml:space="preserve">maakt </w:t>
          </w:r>
          <w:r w:rsidR="000811B1">
            <w:t>van het pakket Belastingplan 2024</w:t>
          </w:r>
          <w:r>
            <w:t xml:space="preserve"> en </w:t>
          </w:r>
          <w:r w:rsidR="000811B1">
            <w:t xml:space="preserve">niet op </w:t>
          </w:r>
          <w:r w:rsidR="00006FEC">
            <w:t xml:space="preserve">een </w:t>
          </w:r>
          <w:r w:rsidR="00A17364">
            <w:t>ander</w:t>
          </w:r>
          <w:r w:rsidR="000811B1">
            <w:t xml:space="preserve"> moment </w:t>
          </w:r>
          <w:r w:rsidR="002A56DA">
            <w:t>kon worden</w:t>
          </w:r>
          <w:r w:rsidR="000811B1">
            <w:t xml:space="preserve"> ingediend</w:t>
          </w:r>
          <w:r>
            <w:t xml:space="preserve"> en waarom </w:t>
          </w:r>
          <w:r w:rsidR="00006FEC">
            <w:t xml:space="preserve">een </w:t>
          </w:r>
          <w:r w:rsidR="203521F6">
            <w:t>afzonderlijke</w:t>
          </w:r>
          <w:r w:rsidR="00006FEC">
            <w:t xml:space="preserve"> </w:t>
          </w:r>
          <w:r w:rsidRPr="00D43AF4">
            <w:t xml:space="preserve">internetconsultatie </w:t>
          </w:r>
          <w:r w:rsidR="00CD1306">
            <w:t>van</w:t>
          </w:r>
          <w:r w:rsidRPr="00D43AF4">
            <w:t xml:space="preserve"> dit </w:t>
          </w:r>
          <w:r w:rsidR="00006FEC">
            <w:t>voorstel</w:t>
          </w:r>
          <w:r w:rsidRPr="00D43AF4">
            <w:t xml:space="preserve"> achterwege </w:t>
          </w:r>
          <w:r w:rsidR="00E32AB9">
            <w:t>is gebleven</w:t>
          </w:r>
          <w:r w:rsidRPr="00D43AF4">
            <w:t>.</w:t>
          </w:r>
          <w:r w:rsidR="00BB0BD3">
            <w:rPr>
              <w:rStyle w:val="Voetnootmarkering"/>
            </w:rPr>
            <w:footnoteReference w:id="5"/>
          </w:r>
          <w:r>
            <w:t xml:space="preserve"> </w:t>
          </w:r>
        </w:p>
        <w:p w:rsidR="00C46383" w:rsidP="00C46383" w:rsidRDefault="00C46383" w14:paraId="0644C236" w14:textId="0CFE1890"/>
        <w:p w:rsidR="00C46383" w:rsidP="00AE5691" w:rsidRDefault="00C46383" w14:paraId="16DB4732" w14:textId="77777777">
          <w:pPr>
            <w:pStyle w:val="Lijstalinea"/>
            <w:numPr>
              <w:ilvl w:val="0"/>
              <w:numId w:val="1"/>
            </w:numPr>
            <w:ind w:left="0" w:firstLine="0"/>
            <w:rPr>
              <w:u w:val="single"/>
            </w:rPr>
          </w:pPr>
          <w:r w:rsidRPr="00D75955">
            <w:rPr>
              <w:u w:val="single"/>
            </w:rPr>
            <w:t>Invoering minimumbelasting</w:t>
          </w:r>
        </w:p>
        <w:p w:rsidR="00C46383" w:rsidP="00C46383" w:rsidRDefault="00C46383" w14:paraId="7546F7C4" w14:textId="77777777">
          <w:pPr>
            <w:rPr>
              <w:u w:val="single"/>
            </w:rPr>
          </w:pPr>
        </w:p>
        <w:p w:rsidR="00C46383" w:rsidP="00C46383" w:rsidRDefault="00C46383" w14:paraId="3E9C19A8" w14:textId="77777777">
          <w:r>
            <w:t>Het wetsvoorstel</w:t>
          </w:r>
          <w:r w:rsidRPr="00D75955">
            <w:t xml:space="preserve"> introduceert op de BES-eilanden een minimumbelasting </w:t>
          </w:r>
          <w:r>
            <w:t>in lijn met</w:t>
          </w:r>
          <w:r w:rsidRPr="00D75955">
            <w:t xml:space="preserve"> het wetsvoorstel Wet minimumbelasting 2024. </w:t>
          </w:r>
          <w:r>
            <w:t xml:space="preserve">Door middel van een schakelbepaling in de </w:t>
          </w:r>
          <w:r w:rsidRPr="0023740C">
            <w:t>Belastingwet BES</w:t>
          </w:r>
          <w:r>
            <w:t xml:space="preserve"> wordt het </w:t>
          </w:r>
          <w:r w:rsidRPr="0023740C">
            <w:t xml:space="preserve">wetsvoorstel Wet minimumbelasting 2024 </w:t>
          </w:r>
          <w:r>
            <w:t xml:space="preserve">van overeenkomstige toepassing op de BES-eilanden. Tevens wordt een nieuw hoofdstuk aan de Belastingwet BES toegevoegd waarin een aantal van het wetsvoorstel Wet minimumbelasting 2024 afwijkende bepalingen en definities zijn opgenomen. </w:t>
          </w:r>
        </w:p>
        <w:p w:rsidR="00C46383" w:rsidP="00C46383" w:rsidRDefault="00C46383" w14:paraId="05911AD3" w14:textId="77777777"/>
        <w:p w:rsidR="00C46383" w:rsidP="00AE5691" w:rsidRDefault="00C46383" w14:paraId="2ABECD7F" w14:textId="77777777">
          <w:pPr>
            <w:pStyle w:val="Lijstalinea"/>
            <w:numPr>
              <w:ilvl w:val="0"/>
              <w:numId w:val="2"/>
            </w:numPr>
            <w:ind w:left="0" w:firstLine="0"/>
            <w:rPr>
              <w:i/>
              <w:iCs/>
            </w:rPr>
          </w:pPr>
          <w:r>
            <w:rPr>
              <w:i/>
              <w:iCs/>
            </w:rPr>
            <w:t>Heffingssystematiek</w:t>
          </w:r>
        </w:p>
        <w:p w:rsidR="00F0622A" w:rsidP="00C46383" w:rsidRDefault="00C46383" w14:paraId="6C51D7C7" w14:textId="77777777">
          <w:r>
            <w:t xml:space="preserve">Het wetsvoorstel bepaalt – net zoals het wetsvoorstel Wet minimumbelasting 2024 </w:t>
          </w:r>
          <w:r w:rsidR="006C49EA">
            <w:t>–</w:t>
          </w:r>
          <w:r>
            <w:t xml:space="preserve"> dat de verschuldigde heffing op aangifte moet worden voldaan. </w:t>
          </w:r>
          <w:r w:rsidRPr="00CA6082">
            <w:t xml:space="preserve">De belastingplichtige </w:t>
          </w:r>
          <w:r>
            <w:t xml:space="preserve">en niet de inspecteur </w:t>
          </w:r>
          <w:r w:rsidRPr="00CA6082">
            <w:t xml:space="preserve">formaliseert de belastingschuld. </w:t>
          </w:r>
          <w:r>
            <w:t xml:space="preserve">De toelichting vermeldt dat er </w:t>
          </w:r>
          <w:r w:rsidRPr="003E5240">
            <w:t>geen verschil</w:t>
          </w:r>
          <w:r>
            <w:t xml:space="preserve"> bestaat</w:t>
          </w:r>
          <w:r w:rsidRPr="003E5240">
            <w:t xml:space="preserve"> in de mate van rechtsbescherming die de belastingplichtige geniet bij een aangiftebelasting</w:t>
          </w:r>
          <w:r>
            <w:t xml:space="preserve"> dan wel </w:t>
          </w:r>
          <w:r w:rsidRPr="003E5240">
            <w:t>een aanslagbelasting.</w:t>
          </w:r>
          <w:r>
            <w:rPr>
              <w:rStyle w:val="Voetnootmarkering"/>
            </w:rPr>
            <w:footnoteReference w:id="6"/>
          </w:r>
          <w:r w:rsidRPr="003E5240">
            <w:t xml:space="preserve"> </w:t>
          </w:r>
        </w:p>
        <w:p w:rsidR="00357977" w:rsidP="00C46383" w:rsidRDefault="00357977" w14:paraId="4E74D87D" w14:textId="77777777"/>
        <w:p w:rsidR="00C46383" w:rsidP="00C46383" w:rsidRDefault="00C46383" w14:paraId="74DE477E" w14:textId="057F2ADF">
          <w:r>
            <w:t xml:space="preserve">De </w:t>
          </w:r>
          <w:r w:rsidR="00357977">
            <w:t>Afdeling merkt op dat de</w:t>
          </w:r>
          <w:r>
            <w:t xml:space="preserve"> keuze voor een aangiftebelasting echter wel tot gevolg </w:t>
          </w:r>
          <w:r w:rsidR="00357977">
            <w:t xml:space="preserve">heeft </w:t>
          </w:r>
          <w:r>
            <w:t xml:space="preserve">dat een belastingplichtige minder </w:t>
          </w:r>
          <w:r w:rsidR="00CE367E">
            <w:t xml:space="preserve">waarborgen </w:t>
          </w:r>
          <w:r>
            <w:t>heeft, omdat voor naheffing</w:t>
          </w:r>
          <w:r>
            <w:rPr>
              <w:rStyle w:val="Voetnootmarkering"/>
            </w:rPr>
            <w:footnoteReference w:id="7"/>
          </w:r>
          <w:r>
            <w:t xml:space="preserve"> anders dan voor navordering</w:t>
          </w:r>
          <w:r>
            <w:rPr>
              <w:rStyle w:val="Voetnootmarkering"/>
            </w:rPr>
            <w:footnoteReference w:id="8"/>
          </w:r>
          <w:r>
            <w:t xml:space="preserve"> geen nieuw feit, kwader trouw of een redelijkerwijs kenbare fout is vereist. De toelichting besteedt aan dit punt geen aandacht. </w:t>
          </w:r>
          <w:r w:rsidR="00730BA6">
            <w:t>De Afdeling adviseert hierop alsnog in te gaan.</w:t>
          </w:r>
        </w:p>
        <w:p w:rsidR="00C46383" w:rsidP="00C46383" w:rsidRDefault="00C46383" w14:paraId="0E699C1F" w14:textId="77777777"/>
        <w:p w:rsidRPr="00B506B7" w:rsidR="00C46383" w:rsidP="00AE5691" w:rsidRDefault="00C46383" w14:paraId="049701BF" w14:textId="77777777">
          <w:pPr>
            <w:pStyle w:val="Lijstalinea"/>
            <w:numPr>
              <w:ilvl w:val="0"/>
              <w:numId w:val="2"/>
            </w:numPr>
            <w:ind w:left="0" w:firstLine="0"/>
            <w:rPr>
              <w:i/>
              <w:iCs/>
            </w:rPr>
          </w:pPr>
          <w:r w:rsidRPr="00B506B7">
            <w:rPr>
              <w:i/>
              <w:iCs/>
            </w:rPr>
            <w:t>Aansprakelijkheidstelling</w:t>
          </w:r>
        </w:p>
        <w:p w:rsidR="00C46383" w:rsidP="00C46383" w:rsidRDefault="00C46383" w14:paraId="302A9D82" w14:textId="77777777">
          <w:r>
            <w:t>De hoofdelijke aansprakelijkheid</w:t>
          </w:r>
          <w:r>
            <w:rPr>
              <w:rStyle w:val="Voetnootmarkering"/>
            </w:rPr>
            <w:footnoteReference w:id="9"/>
          </w:r>
          <w:r>
            <w:t xml:space="preserve"> is overeenkomstig het wetsvoorstel Wet minimumbelasting 2024</w:t>
          </w:r>
          <w:r>
            <w:rPr>
              <w:rStyle w:val="Voetnootmarkering"/>
            </w:rPr>
            <w:footnoteReference w:id="10"/>
          </w:r>
          <w:r>
            <w:t xml:space="preserve"> geregeld. Elk van de andere groepsentiteiten is hoofdelijk aansprakelijk voor de minimumbelasting van een groepsentiteit.</w:t>
          </w:r>
        </w:p>
        <w:p w:rsidR="00C46383" w:rsidP="00C46383" w:rsidRDefault="00C46383" w14:paraId="6DE942A4" w14:textId="77777777">
          <w:r>
            <w:t>De aansprakelijkheid ziet niet alleen op groepsentiteiten die op de BES-eilanden zijn gevestigd, maar ook op in een andere staat gevestigde groepsentiteiten.</w:t>
          </w:r>
        </w:p>
        <w:p w:rsidR="00C46383" w:rsidP="00C46383" w:rsidRDefault="00C46383" w14:paraId="28AE732F" w14:textId="77777777"/>
        <w:p w:rsidR="00A92F73" w:rsidP="00C46383" w:rsidRDefault="00C46383" w14:paraId="7C2A9E45" w14:textId="4E3A83AC">
          <w:r>
            <w:t xml:space="preserve">De Afdeling merkt op dat de mogelijkheden om een dergelijke aansprakelijkheid in het buitenland te effectueren afhankelijk zijn van de bilaterale of multilaterale afspraken over wederzijdse bijstand bij de invordering van belastingen. Zoals de toelichting onderkent, zijn de </w:t>
          </w:r>
          <w:r w:rsidRPr="00CE3173">
            <w:t xml:space="preserve">mogelijkheden die bilaterale belastingverdragen </w:t>
          </w:r>
          <w:r>
            <w:t>daarvoor bieden voor de BES-eilanden beperkt.</w:t>
          </w:r>
          <w:r>
            <w:rPr>
              <w:rStyle w:val="Voetnootmarkering"/>
            </w:rPr>
            <w:footnoteReference w:id="11"/>
          </w:r>
          <w:r>
            <w:t xml:space="preserve"> Ook hebben veel landen voorbehouden gemaakt bij de bepalingen over hulp bij invordering </w:t>
          </w:r>
          <w:r w:rsidRPr="00CE3173">
            <w:t>in het multilaterale Verdrag inzake wederzijdse administratieve bijstand in belastingzaken</w:t>
          </w:r>
          <w:r>
            <w:t>.</w:t>
          </w:r>
          <w:r>
            <w:rPr>
              <w:rStyle w:val="Voetnootmarkering"/>
            </w:rPr>
            <w:footnoteReference w:id="12"/>
          </w:r>
          <w:r>
            <w:t xml:space="preserve"> </w:t>
          </w:r>
        </w:p>
        <w:p w:rsidR="00A92F73" w:rsidP="00C46383" w:rsidRDefault="00A92F73" w14:paraId="08A5937F" w14:textId="77777777"/>
        <w:p w:rsidR="00096826" w:rsidRDefault="00C46383" w14:paraId="40FF143D" w14:textId="77777777">
          <w:r>
            <w:t xml:space="preserve">Uit de toelichting blijkt niet waarom ondanks deze geringe mogelijkheden voor bijstand het kabinet het toch </w:t>
          </w:r>
          <w:r w:rsidR="008945B7">
            <w:t>wenselijk</w:t>
          </w:r>
          <w:r>
            <w:t xml:space="preserve"> acht om deze aansprakelijkstelling op te nemen.</w:t>
          </w:r>
          <w:r w:rsidR="00A92F73">
            <w:t xml:space="preserve"> </w:t>
          </w:r>
          <w:r>
            <w:t xml:space="preserve">De Afdeling adviseert hier in de toelichting nader </w:t>
          </w:r>
          <w:r w:rsidR="00EB6ADA">
            <w:t xml:space="preserve">op </w:t>
          </w:r>
          <w:r>
            <w:t>in te gaan.</w:t>
          </w:r>
        </w:p>
        <w:p w:rsidR="00096826" w:rsidRDefault="00096826" w14:paraId="7A5BBC18" w14:textId="77777777">
          <w:r>
            <w:br w:type="page"/>
          </w:r>
        </w:p>
        <w:p w:rsidR="00994A10" w:rsidRDefault="00000000" w14:paraId="6EF7B40F" w14:textId="14B8387C"/>
      </w:sdtContent>
    </w:sdt>
    <w:p w:rsidR="0074325E" w:rsidRDefault="0074325E" w14:paraId="0BE04C6E" w14:textId="01637F36"/>
    <w:sdt>
      <w:sdtPr>
        <w:tag w:val="bmDictum"/>
        <w:id w:val="-154541645"/>
        <w:lock w:val="sdtLocked"/>
        <w:placeholder>
          <w:docPart w:val="DefaultPlaceholder_-1854013440"/>
        </w:placeholder>
      </w:sdtPr>
      <w:sdtContent>
        <w:p w:rsidR="007C47B4" w:rsidRDefault="00DC4444" w14:paraId="6113DB22" w14:textId="437F62CB">
          <w:r>
            <w:t xml:space="preserve">De Afdeling advisering van de Raad van State heeft een aantal opmerkingen bij het voorstel en adviseert daarmee rekening te houden voordat het voorstel bij de Tweede Kamer der Staten-Generaal wordt ingediend. </w:t>
          </w:r>
          <w:r>
            <w:br/>
          </w:r>
          <w:r>
            <w:br/>
          </w:r>
          <w:r>
            <w:br/>
          </w:r>
          <w:r>
            <w:br/>
          </w:r>
          <w:r>
            <w:br/>
          </w:r>
          <w:r>
            <w:br/>
            <w:t>De vice-president van de Raad van State,</w:t>
          </w:r>
        </w:p>
      </w:sdtContent>
    </w:sdt>
    <w:sectPr w:rsidR="007C47B4" w:rsidSect="00096826">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7DD3C" w14:textId="77777777" w:rsidR="00797DDB" w:rsidRDefault="00797DDB">
      <w:r>
        <w:separator/>
      </w:r>
    </w:p>
  </w:endnote>
  <w:endnote w:type="continuationSeparator" w:id="0">
    <w:p w14:paraId="785DA8EA" w14:textId="77777777" w:rsidR="00797DDB" w:rsidRDefault="00797DDB">
      <w:r>
        <w:continuationSeparator/>
      </w:r>
    </w:p>
  </w:endnote>
  <w:endnote w:type="continuationNotice" w:id="1">
    <w:p w14:paraId="1C0F64E3" w14:textId="77777777" w:rsidR="00797DDB" w:rsidRDefault="00797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B414" w14:textId="77777777" w:rsidR="00631ADE" w:rsidRDefault="000000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CB59DE" w14:paraId="6EF7B417" w14:textId="77777777" w:rsidTr="00D90098">
      <w:tc>
        <w:tcPr>
          <w:tcW w:w="4815" w:type="dxa"/>
        </w:tcPr>
        <w:p w14:paraId="6EF7B415" w14:textId="77777777" w:rsidR="00D90098" w:rsidRDefault="00000000" w:rsidP="00D90098">
          <w:pPr>
            <w:pStyle w:val="Voettekst"/>
          </w:pPr>
        </w:p>
      </w:tc>
      <w:tc>
        <w:tcPr>
          <w:tcW w:w="4247" w:type="dxa"/>
        </w:tcPr>
        <w:p w14:paraId="6EF7B416" w14:textId="77777777" w:rsidR="00D90098" w:rsidRDefault="00000000" w:rsidP="00D90098">
          <w:pPr>
            <w:pStyle w:val="Voettekst"/>
            <w:jc w:val="right"/>
          </w:pPr>
        </w:p>
      </w:tc>
    </w:tr>
  </w:tbl>
  <w:p w14:paraId="6EF7B418" w14:textId="77777777" w:rsidR="00D90098" w:rsidRDefault="000000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41719FF0" w:rsidR="00096826" w:rsidRPr="00096826" w:rsidRDefault="00096826">
    <w:pPr>
      <w:pStyle w:val="Voettekst"/>
      <w:rPr>
        <w:rFonts w:ascii="Bembo" w:hAnsi="Bembo"/>
        <w:sz w:val="32"/>
      </w:rPr>
    </w:pPr>
    <w:r w:rsidRPr="00096826">
      <w:rPr>
        <w:rFonts w:ascii="Bembo" w:hAnsi="Bembo"/>
        <w:sz w:val="32"/>
      </w:rPr>
      <w:t>AAN DE KONING</w:t>
    </w:r>
  </w:p>
  <w:p w14:paraId="24D9E224" w14:textId="77777777" w:rsidR="00096826" w:rsidRDefault="000968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3761B" w14:textId="77777777" w:rsidR="00797DDB" w:rsidRDefault="00797DDB">
      <w:r>
        <w:separator/>
      </w:r>
    </w:p>
  </w:footnote>
  <w:footnote w:type="continuationSeparator" w:id="0">
    <w:p w14:paraId="6CD1C816" w14:textId="77777777" w:rsidR="00797DDB" w:rsidRDefault="00797DDB">
      <w:r>
        <w:continuationSeparator/>
      </w:r>
    </w:p>
  </w:footnote>
  <w:footnote w:type="continuationNotice" w:id="1">
    <w:p w14:paraId="6141DAF7" w14:textId="77777777" w:rsidR="00797DDB" w:rsidRDefault="00797DDB"/>
  </w:footnote>
  <w:footnote w:id="2">
    <w:p w14:paraId="77354F5F" w14:textId="77777777" w:rsidR="00C46383" w:rsidRDefault="00C46383" w:rsidP="00C46383">
      <w:pPr>
        <w:pStyle w:val="Voetnoottekst"/>
      </w:pPr>
      <w:r w:rsidRPr="00601120">
        <w:rPr>
          <w:rStyle w:val="Voetnootmarkering"/>
          <w:sz w:val="16"/>
          <w:szCs w:val="16"/>
        </w:rPr>
        <w:footnoteRef/>
      </w:r>
      <w:r w:rsidRPr="00601120">
        <w:rPr>
          <w:sz w:val="16"/>
          <w:szCs w:val="16"/>
        </w:rPr>
        <w:t xml:space="preserve"> </w:t>
      </w:r>
      <w:r>
        <w:rPr>
          <w:sz w:val="16"/>
          <w:szCs w:val="16"/>
        </w:rPr>
        <w:t>Het bij koninklijke boodschap van 30 mei 2023 ingediende voorstel van wet tot i</w:t>
      </w:r>
      <w:r w:rsidRPr="00601120">
        <w:rPr>
          <w:sz w:val="16"/>
          <w:szCs w:val="16"/>
        </w:rPr>
        <w:t>nvoering van een minimumbelasting en wijziging van de Algemene wet inzake rijksbelastingen en de Invorderingswet 1990 in verband met de implementatie van Richtlijn (EU) 2022/2523 van de Raad van 14 december 2022 tot waarborging van een mondiaal minimumniveau van belastingheffing voor groepen van multinationale ondernemingen en omvangrijke binnenlandse groepen in de Unie (PbEU 2022, L 328/1) (Wet minimumbelasting 2024)</w:t>
      </w:r>
      <w:r>
        <w:rPr>
          <w:sz w:val="16"/>
          <w:szCs w:val="16"/>
        </w:rPr>
        <w:t xml:space="preserve"> (Kamerstukken II, 2022/23, 36369).</w:t>
      </w:r>
    </w:p>
  </w:footnote>
  <w:footnote w:id="3">
    <w:p w14:paraId="196386BD" w14:textId="77777777" w:rsidR="00545844" w:rsidRPr="00060AE9" w:rsidRDefault="00545844" w:rsidP="00545844">
      <w:pPr>
        <w:pStyle w:val="Voetnoottekst"/>
        <w:rPr>
          <w:sz w:val="16"/>
          <w:szCs w:val="16"/>
        </w:rPr>
      </w:pPr>
      <w:r w:rsidRPr="00060AE9">
        <w:rPr>
          <w:rStyle w:val="Voetnootmarkering"/>
          <w:sz w:val="16"/>
          <w:szCs w:val="16"/>
        </w:rPr>
        <w:footnoteRef/>
      </w:r>
      <w:r w:rsidRPr="00060AE9">
        <w:rPr>
          <w:sz w:val="16"/>
          <w:szCs w:val="16"/>
        </w:rPr>
        <w:t xml:space="preserve"> Zie onderdeel 1 van het advies van de Afdeling bij het wetsvoorstel Belastingplan 2024. </w:t>
      </w:r>
    </w:p>
  </w:footnote>
  <w:footnote w:id="4">
    <w:p w14:paraId="759D8D24" w14:textId="77777777" w:rsidR="00C46383" w:rsidRPr="00996A68" w:rsidRDefault="00C46383" w:rsidP="00C46383">
      <w:pPr>
        <w:pStyle w:val="Voetnoottekst"/>
        <w:rPr>
          <w:sz w:val="16"/>
          <w:szCs w:val="16"/>
        </w:rPr>
      </w:pPr>
      <w:r w:rsidRPr="00996A68">
        <w:rPr>
          <w:rStyle w:val="Voetnootmarkering"/>
          <w:sz w:val="16"/>
          <w:szCs w:val="16"/>
        </w:rPr>
        <w:footnoteRef/>
      </w:r>
      <w:r w:rsidRPr="00996A68">
        <w:rPr>
          <w:sz w:val="16"/>
          <w:szCs w:val="16"/>
        </w:rPr>
        <w:t xml:space="preserve"> Memorie van toelichting, onderdeel 7, p. </w:t>
      </w:r>
      <w:r>
        <w:rPr>
          <w:sz w:val="16"/>
          <w:szCs w:val="16"/>
        </w:rPr>
        <w:t>25 en 26</w:t>
      </w:r>
      <w:r w:rsidRPr="00996A68">
        <w:rPr>
          <w:sz w:val="16"/>
          <w:szCs w:val="16"/>
        </w:rPr>
        <w:t>.</w:t>
      </w:r>
    </w:p>
  </w:footnote>
  <w:footnote w:id="5">
    <w:p w14:paraId="39AD4A7E" w14:textId="34D6FCFA" w:rsidR="00BB0BD3" w:rsidRPr="00A00282" w:rsidRDefault="00BB0BD3">
      <w:pPr>
        <w:pStyle w:val="Voetnoottekst"/>
        <w:rPr>
          <w:sz w:val="16"/>
          <w:szCs w:val="16"/>
        </w:rPr>
      </w:pPr>
      <w:r w:rsidRPr="00A00282">
        <w:rPr>
          <w:rStyle w:val="Voetnootmarkering"/>
          <w:sz w:val="16"/>
          <w:szCs w:val="16"/>
        </w:rPr>
        <w:footnoteRef/>
      </w:r>
      <w:r w:rsidRPr="00A00282">
        <w:rPr>
          <w:sz w:val="16"/>
          <w:szCs w:val="16"/>
        </w:rPr>
        <w:t xml:space="preserve"> De </w:t>
      </w:r>
      <w:r w:rsidR="00A97BF7" w:rsidRPr="00A00282">
        <w:rPr>
          <w:sz w:val="16"/>
          <w:szCs w:val="16"/>
        </w:rPr>
        <w:t xml:space="preserve">wet- en regelgeving </w:t>
      </w:r>
      <w:r w:rsidRPr="00A00282">
        <w:rPr>
          <w:sz w:val="16"/>
          <w:szCs w:val="16"/>
        </w:rPr>
        <w:t>wa</w:t>
      </w:r>
      <w:r w:rsidR="00A97BF7" w:rsidRPr="00A00282">
        <w:rPr>
          <w:sz w:val="16"/>
          <w:szCs w:val="16"/>
        </w:rPr>
        <w:t>s</w:t>
      </w:r>
      <w:r w:rsidRPr="00A00282">
        <w:rPr>
          <w:sz w:val="16"/>
          <w:szCs w:val="16"/>
        </w:rPr>
        <w:t xml:space="preserve"> in dit geval tijdig beschikbaar om </w:t>
      </w:r>
      <w:r w:rsidR="00A97BF7" w:rsidRPr="00A00282">
        <w:rPr>
          <w:sz w:val="16"/>
          <w:szCs w:val="16"/>
        </w:rPr>
        <w:t xml:space="preserve">deze </w:t>
      </w:r>
      <w:r w:rsidR="00A00282" w:rsidRPr="00A00282">
        <w:rPr>
          <w:sz w:val="16"/>
          <w:szCs w:val="16"/>
        </w:rPr>
        <w:t xml:space="preserve">via </w:t>
      </w:r>
      <w:r w:rsidR="00A97BF7" w:rsidRPr="00A00282">
        <w:rPr>
          <w:sz w:val="16"/>
          <w:szCs w:val="16"/>
        </w:rPr>
        <w:t>internetconsul</w:t>
      </w:r>
      <w:r w:rsidR="00A00282" w:rsidRPr="00A00282">
        <w:rPr>
          <w:sz w:val="16"/>
          <w:szCs w:val="16"/>
        </w:rPr>
        <w:t>t</w:t>
      </w:r>
      <w:r w:rsidR="00A97BF7" w:rsidRPr="00A00282">
        <w:rPr>
          <w:sz w:val="16"/>
          <w:szCs w:val="16"/>
        </w:rPr>
        <w:t>atie</w:t>
      </w:r>
      <w:r w:rsidR="00A00282" w:rsidRPr="00A00282">
        <w:rPr>
          <w:sz w:val="16"/>
          <w:szCs w:val="16"/>
        </w:rPr>
        <w:t xml:space="preserve"> voor te leggen.</w:t>
      </w:r>
      <w:r w:rsidR="00A97BF7" w:rsidRPr="00A00282">
        <w:rPr>
          <w:sz w:val="16"/>
          <w:szCs w:val="16"/>
        </w:rPr>
        <w:t xml:space="preserve"> </w:t>
      </w:r>
    </w:p>
  </w:footnote>
  <w:footnote w:id="6">
    <w:p w14:paraId="052DC4B9" w14:textId="77777777" w:rsidR="00C46383" w:rsidRPr="000C374C" w:rsidRDefault="00C46383" w:rsidP="00C46383">
      <w:pPr>
        <w:pStyle w:val="Voetnoottekst"/>
        <w:rPr>
          <w:sz w:val="16"/>
          <w:szCs w:val="16"/>
        </w:rPr>
      </w:pPr>
      <w:r w:rsidRPr="000C374C">
        <w:rPr>
          <w:rStyle w:val="Voetnootmarkering"/>
          <w:sz w:val="16"/>
          <w:szCs w:val="16"/>
        </w:rPr>
        <w:footnoteRef/>
      </w:r>
      <w:r w:rsidRPr="000C374C">
        <w:rPr>
          <w:sz w:val="16"/>
          <w:szCs w:val="16"/>
        </w:rPr>
        <w:t xml:space="preserve"> Memorie van toelichting, </w:t>
      </w:r>
      <w:r>
        <w:rPr>
          <w:sz w:val="16"/>
          <w:szCs w:val="16"/>
        </w:rPr>
        <w:t xml:space="preserve">onderdeel 2, </w:t>
      </w:r>
      <w:r w:rsidRPr="000C374C">
        <w:rPr>
          <w:sz w:val="16"/>
          <w:szCs w:val="16"/>
        </w:rPr>
        <w:t xml:space="preserve">p. </w:t>
      </w:r>
      <w:r>
        <w:rPr>
          <w:sz w:val="16"/>
          <w:szCs w:val="16"/>
        </w:rPr>
        <w:t>23</w:t>
      </w:r>
      <w:r w:rsidRPr="000C374C">
        <w:rPr>
          <w:sz w:val="16"/>
          <w:szCs w:val="16"/>
        </w:rPr>
        <w:t>.</w:t>
      </w:r>
    </w:p>
  </w:footnote>
  <w:footnote w:id="7">
    <w:p w14:paraId="47E09658" w14:textId="4BF0B513" w:rsidR="00C46383" w:rsidRPr="000C374C" w:rsidRDefault="00C46383" w:rsidP="00C46383">
      <w:pPr>
        <w:pStyle w:val="Voetnoottekst"/>
        <w:rPr>
          <w:sz w:val="16"/>
          <w:szCs w:val="16"/>
        </w:rPr>
      </w:pPr>
      <w:r w:rsidRPr="000C374C">
        <w:rPr>
          <w:rStyle w:val="Voetnootmarkering"/>
          <w:sz w:val="16"/>
          <w:szCs w:val="16"/>
        </w:rPr>
        <w:footnoteRef/>
      </w:r>
      <w:r w:rsidRPr="000C374C">
        <w:rPr>
          <w:sz w:val="16"/>
          <w:szCs w:val="16"/>
        </w:rPr>
        <w:t xml:space="preserve"> Artikel 8.12 </w:t>
      </w:r>
      <w:r w:rsidR="0047141F">
        <w:rPr>
          <w:sz w:val="16"/>
          <w:szCs w:val="16"/>
        </w:rPr>
        <w:t xml:space="preserve">van de </w:t>
      </w:r>
      <w:r w:rsidRPr="000C374C">
        <w:rPr>
          <w:sz w:val="16"/>
          <w:szCs w:val="16"/>
        </w:rPr>
        <w:t>Belastingwet BES.</w:t>
      </w:r>
    </w:p>
  </w:footnote>
  <w:footnote w:id="8">
    <w:p w14:paraId="0DF47D19" w14:textId="2E2A6D67" w:rsidR="00C46383" w:rsidRPr="000C374C" w:rsidRDefault="00C46383" w:rsidP="00C46383">
      <w:pPr>
        <w:pStyle w:val="Voetnoottekst"/>
        <w:rPr>
          <w:sz w:val="16"/>
          <w:szCs w:val="16"/>
        </w:rPr>
      </w:pPr>
      <w:r w:rsidRPr="000C374C">
        <w:rPr>
          <w:rStyle w:val="Voetnootmarkering"/>
          <w:sz w:val="16"/>
          <w:szCs w:val="16"/>
        </w:rPr>
        <w:footnoteRef/>
      </w:r>
      <w:r w:rsidRPr="000C374C">
        <w:rPr>
          <w:sz w:val="16"/>
          <w:szCs w:val="16"/>
        </w:rPr>
        <w:t xml:space="preserve"> Artikel 8.10 </w:t>
      </w:r>
      <w:r w:rsidR="0047141F">
        <w:rPr>
          <w:sz w:val="16"/>
          <w:szCs w:val="16"/>
        </w:rPr>
        <w:t xml:space="preserve">van de </w:t>
      </w:r>
      <w:r w:rsidRPr="000C374C">
        <w:rPr>
          <w:sz w:val="16"/>
          <w:szCs w:val="16"/>
        </w:rPr>
        <w:t>Belastingwet BES.</w:t>
      </w:r>
    </w:p>
  </w:footnote>
  <w:footnote w:id="9">
    <w:p w14:paraId="776FD45D" w14:textId="77777777" w:rsidR="00C46383" w:rsidRPr="000C374C" w:rsidRDefault="00C46383" w:rsidP="00C46383">
      <w:pPr>
        <w:pStyle w:val="Voetnoottekst"/>
        <w:rPr>
          <w:sz w:val="16"/>
          <w:szCs w:val="16"/>
        </w:rPr>
      </w:pPr>
      <w:r w:rsidRPr="000C374C">
        <w:rPr>
          <w:rStyle w:val="Voetnootmarkering"/>
          <w:sz w:val="16"/>
          <w:szCs w:val="16"/>
        </w:rPr>
        <w:footnoteRef/>
      </w:r>
      <w:r w:rsidRPr="000C374C">
        <w:rPr>
          <w:sz w:val="16"/>
          <w:szCs w:val="16"/>
        </w:rPr>
        <w:t xml:space="preserve"> Voorgesteld artikel 7b.7.</w:t>
      </w:r>
    </w:p>
  </w:footnote>
  <w:footnote w:id="10">
    <w:p w14:paraId="1832DB0A" w14:textId="7158528A" w:rsidR="00C46383" w:rsidRPr="000C374C" w:rsidRDefault="00C46383" w:rsidP="00C46383">
      <w:pPr>
        <w:pStyle w:val="Voetnoottekst"/>
        <w:rPr>
          <w:sz w:val="16"/>
          <w:szCs w:val="16"/>
        </w:rPr>
      </w:pPr>
      <w:r w:rsidRPr="000C374C">
        <w:rPr>
          <w:rStyle w:val="Voetnootmarkering"/>
          <w:sz w:val="16"/>
          <w:szCs w:val="16"/>
        </w:rPr>
        <w:footnoteRef/>
      </w:r>
      <w:r w:rsidRPr="000C374C">
        <w:rPr>
          <w:sz w:val="16"/>
          <w:szCs w:val="16"/>
        </w:rPr>
        <w:t xml:space="preserve"> De hoofdelijke aansprakelijkheid wordt geregeld in het voorgestelde artikel 41a </w:t>
      </w:r>
      <w:r>
        <w:rPr>
          <w:sz w:val="16"/>
          <w:szCs w:val="16"/>
        </w:rPr>
        <w:t xml:space="preserve">van de </w:t>
      </w:r>
      <w:r w:rsidRPr="000C374C">
        <w:rPr>
          <w:sz w:val="16"/>
          <w:szCs w:val="16"/>
        </w:rPr>
        <w:t>Invorderingswet 1990.</w:t>
      </w:r>
    </w:p>
  </w:footnote>
  <w:footnote w:id="11">
    <w:p w14:paraId="7209CDCB" w14:textId="77777777" w:rsidR="00C46383" w:rsidRPr="000C374C" w:rsidRDefault="00C46383" w:rsidP="00C46383">
      <w:pPr>
        <w:pStyle w:val="Voetnoottekst"/>
        <w:rPr>
          <w:sz w:val="16"/>
          <w:szCs w:val="16"/>
        </w:rPr>
      </w:pPr>
      <w:r w:rsidRPr="000C374C">
        <w:rPr>
          <w:rStyle w:val="Voetnootmarkering"/>
          <w:sz w:val="16"/>
          <w:szCs w:val="16"/>
        </w:rPr>
        <w:footnoteRef/>
      </w:r>
      <w:r w:rsidRPr="000C374C">
        <w:rPr>
          <w:sz w:val="16"/>
          <w:szCs w:val="16"/>
        </w:rPr>
        <w:t xml:space="preserve"> Artikelsgewijze toelichting op het voorgesteld</w:t>
      </w:r>
      <w:r>
        <w:rPr>
          <w:sz w:val="16"/>
          <w:szCs w:val="16"/>
        </w:rPr>
        <w:t>e</w:t>
      </w:r>
      <w:r w:rsidRPr="000C374C">
        <w:rPr>
          <w:sz w:val="16"/>
          <w:szCs w:val="16"/>
        </w:rPr>
        <w:t xml:space="preserve"> artikel 7b.7.</w:t>
      </w:r>
    </w:p>
  </w:footnote>
  <w:footnote w:id="12">
    <w:p w14:paraId="7D28E9AA" w14:textId="77777777" w:rsidR="00C46383" w:rsidRPr="006E3CBA" w:rsidRDefault="00C46383" w:rsidP="00C46383">
      <w:pPr>
        <w:pStyle w:val="Voetnoottekst"/>
        <w:rPr>
          <w:sz w:val="16"/>
          <w:szCs w:val="16"/>
        </w:rPr>
      </w:pPr>
      <w:r w:rsidRPr="006E3CBA">
        <w:rPr>
          <w:rStyle w:val="Voetnootmarkering"/>
          <w:sz w:val="16"/>
          <w:szCs w:val="16"/>
        </w:rPr>
        <w:footnoteRef/>
      </w:r>
      <w:r w:rsidRPr="006E3CBA">
        <w:rPr>
          <w:sz w:val="16"/>
          <w:szCs w:val="16"/>
        </w:rPr>
        <w:t xml:space="preserve"> </w:t>
      </w:r>
      <w:r w:rsidRPr="008C1483">
        <w:rPr>
          <w:sz w:val="16"/>
          <w:szCs w:val="16"/>
        </w:rPr>
        <w:t>De Afdeling heeft hier ook op gewezen in haar advies van 17 mei 2023, n</w:t>
      </w:r>
      <w:r>
        <w:rPr>
          <w:sz w:val="16"/>
          <w:szCs w:val="16"/>
        </w:rPr>
        <w:t>r</w:t>
      </w:r>
      <w:r w:rsidRPr="008C1483">
        <w:rPr>
          <w:sz w:val="16"/>
          <w:szCs w:val="16"/>
        </w:rPr>
        <w:t>. W06.23.00077/III bij het voorstel Wet minimumbelasting 2024, Kamerstukken II 2022/23, 36369, nr. 4</w:t>
      </w:r>
      <w:r w:rsidRPr="006E3CBA">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B412" w14:textId="77777777" w:rsidR="00631ADE" w:rsidRDefault="000000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B413" w14:textId="77777777" w:rsidR="00FA7BCD" w:rsidRDefault="008369E9"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B419" w14:textId="77777777" w:rsidR="00DA0CDA" w:rsidRDefault="008369E9"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6EF7B41A" w14:textId="77777777" w:rsidR="00993C75" w:rsidRDefault="008369E9">
    <w:pPr>
      <w:pStyle w:val="Koptekst"/>
    </w:pPr>
    <w:r>
      <w:rPr>
        <w:noProof/>
      </w:rPr>
      <w:drawing>
        <wp:anchor distT="0" distB="0" distL="114300" distR="114300" simplePos="0" relativeHeight="251658240" behindDoc="1" locked="0" layoutInCell="1" allowOverlap="1" wp14:anchorId="6EF7B425" wp14:editId="6EF7B426">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10D3"/>
    <w:multiLevelType w:val="hybridMultilevel"/>
    <w:tmpl w:val="8FA073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1985702"/>
    <w:multiLevelType w:val="hybridMultilevel"/>
    <w:tmpl w:val="B9A481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30751133">
    <w:abstractNumId w:val="0"/>
  </w:num>
  <w:num w:numId="2" w16cid:durableId="2138454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DE"/>
    <w:rsid w:val="00000089"/>
    <w:rsid w:val="00003419"/>
    <w:rsid w:val="00006FEC"/>
    <w:rsid w:val="0001301A"/>
    <w:rsid w:val="000230D9"/>
    <w:rsid w:val="0005399F"/>
    <w:rsid w:val="00057BA6"/>
    <w:rsid w:val="0006062C"/>
    <w:rsid w:val="000613B5"/>
    <w:rsid w:val="00065A49"/>
    <w:rsid w:val="000671C0"/>
    <w:rsid w:val="00070CCC"/>
    <w:rsid w:val="00077F1A"/>
    <w:rsid w:val="000811B1"/>
    <w:rsid w:val="000833D7"/>
    <w:rsid w:val="000908A8"/>
    <w:rsid w:val="00090F35"/>
    <w:rsid w:val="00096826"/>
    <w:rsid w:val="000A6343"/>
    <w:rsid w:val="000B2B10"/>
    <w:rsid w:val="000B7D31"/>
    <w:rsid w:val="000C1230"/>
    <w:rsid w:val="000C4AA4"/>
    <w:rsid w:val="000D4701"/>
    <w:rsid w:val="000E4802"/>
    <w:rsid w:val="000E5284"/>
    <w:rsid w:val="000F7B7B"/>
    <w:rsid w:val="00100657"/>
    <w:rsid w:val="001076AB"/>
    <w:rsid w:val="0011289C"/>
    <w:rsid w:val="00135FC3"/>
    <w:rsid w:val="00143389"/>
    <w:rsid w:val="001511BB"/>
    <w:rsid w:val="00162A34"/>
    <w:rsid w:val="00166C56"/>
    <w:rsid w:val="00172645"/>
    <w:rsid w:val="00185338"/>
    <w:rsid w:val="001921E4"/>
    <w:rsid w:val="001A106F"/>
    <w:rsid w:val="001A6A99"/>
    <w:rsid w:val="001C1ABC"/>
    <w:rsid w:val="001C4D6A"/>
    <w:rsid w:val="001C4EA9"/>
    <w:rsid w:val="001C5139"/>
    <w:rsid w:val="001E374D"/>
    <w:rsid w:val="001E532F"/>
    <w:rsid w:val="001F0745"/>
    <w:rsid w:val="001F0878"/>
    <w:rsid w:val="00200053"/>
    <w:rsid w:val="00200CB1"/>
    <w:rsid w:val="002023E7"/>
    <w:rsid w:val="0020462A"/>
    <w:rsid w:val="00205F95"/>
    <w:rsid w:val="00214535"/>
    <w:rsid w:val="00224CE9"/>
    <w:rsid w:val="0023298F"/>
    <w:rsid w:val="0024151C"/>
    <w:rsid w:val="0024399B"/>
    <w:rsid w:val="00243EA5"/>
    <w:rsid w:val="002469E2"/>
    <w:rsid w:val="00254BD3"/>
    <w:rsid w:val="002607FA"/>
    <w:rsid w:val="00261CF4"/>
    <w:rsid w:val="00261FD6"/>
    <w:rsid w:val="002620E5"/>
    <w:rsid w:val="00263DE9"/>
    <w:rsid w:val="00270632"/>
    <w:rsid w:val="002777D0"/>
    <w:rsid w:val="00296E87"/>
    <w:rsid w:val="002A56DA"/>
    <w:rsid w:val="002A5E34"/>
    <w:rsid w:val="002C313E"/>
    <w:rsid w:val="002E1F8A"/>
    <w:rsid w:val="002F2370"/>
    <w:rsid w:val="0030533F"/>
    <w:rsid w:val="00307D17"/>
    <w:rsid w:val="003108F3"/>
    <w:rsid w:val="003233BE"/>
    <w:rsid w:val="003234CE"/>
    <w:rsid w:val="00327F5F"/>
    <w:rsid w:val="003304D0"/>
    <w:rsid w:val="00335E85"/>
    <w:rsid w:val="003427ED"/>
    <w:rsid w:val="003518F9"/>
    <w:rsid w:val="00356891"/>
    <w:rsid w:val="00356DF8"/>
    <w:rsid w:val="00357977"/>
    <w:rsid w:val="00363770"/>
    <w:rsid w:val="003720D0"/>
    <w:rsid w:val="00385D23"/>
    <w:rsid w:val="003877A4"/>
    <w:rsid w:val="003971D5"/>
    <w:rsid w:val="00397D84"/>
    <w:rsid w:val="003A3D13"/>
    <w:rsid w:val="003A439B"/>
    <w:rsid w:val="003A6794"/>
    <w:rsid w:val="003B2382"/>
    <w:rsid w:val="003D04F7"/>
    <w:rsid w:val="003D661B"/>
    <w:rsid w:val="003E0888"/>
    <w:rsid w:val="003E094F"/>
    <w:rsid w:val="003E30F1"/>
    <w:rsid w:val="003E6343"/>
    <w:rsid w:val="003F2092"/>
    <w:rsid w:val="003F2C0F"/>
    <w:rsid w:val="003F725C"/>
    <w:rsid w:val="00400DDF"/>
    <w:rsid w:val="00402A2E"/>
    <w:rsid w:val="00410914"/>
    <w:rsid w:val="00425FB0"/>
    <w:rsid w:val="0043162F"/>
    <w:rsid w:val="00434456"/>
    <w:rsid w:val="004347F0"/>
    <w:rsid w:val="00434838"/>
    <w:rsid w:val="00440D9E"/>
    <w:rsid w:val="0044510B"/>
    <w:rsid w:val="00445D23"/>
    <w:rsid w:val="0047141F"/>
    <w:rsid w:val="004723FE"/>
    <w:rsid w:val="00472DAD"/>
    <w:rsid w:val="0047599F"/>
    <w:rsid w:val="0047644F"/>
    <w:rsid w:val="00481886"/>
    <w:rsid w:val="004855A7"/>
    <w:rsid w:val="004934D4"/>
    <w:rsid w:val="00493FBA"/>
    <w:rsid w:val="0049496C"/>
    <w:rsid w:val="004968B4"/>
    <w:rsid w:val="004A589F"/>
    <w:rsid w:val="004A6624"/>
    <w:rsid w:val="004A7D22"/>
    <w:rsid w:val="004B3FF2"/>
    <w:rsid w:val="004D77DF"/>
    <w:rsid w:val="004E1864"/>
    <w:rsid w:val="004F70BF"/>
    <w:rsid w:val="00512D8F"/>
    <w:rsid w:val="0051341F"/>
    <w:rsid w:val="005158AE"/>
    <w:rsid w:val="00527B74"/>
    <w:rsid w:val="00533797"/>
    <w:rsid w:val="00541DDD"/>
    <w:rsid w:val="0054340C"/>
    <w:rsid w:val="00545844"/>
    <w:rsid w:val="005554D6"/>
    <w:rsid w:val="005579ED"/>
    <w:rsid w:val="0057001F"/>
    <w:rsid w:val="005849BE"/>
    <w:rsid w:val="00597D38"/>
    <w:rsid w:val="005A1E71"/>
    <w:rsid w:val="005A3356"/>
    <w:rsid w:val="005A5211"/>
    <w:rsid w:val="005A6901"/>
    <w:rsid w:val="005B7A48"/>
    <w:rsid w:val="005C448C"/>
    <w:rsid w:val="005C6C49"/>
    <w:rsid w:val="005C75B5"/>
    <w:rsid w:val="005D4889"/>
    <w:rsid w:val="005D5D3B"/>
    <w:rsid w:val="005E11EE"/>
    <w:rsid w:val="005E185F"/>
    <w:rsid w:val="005E2C6A"/>
    <w:rsid w:val="005E6D12"/>
    <w:rsid w:val="005F0B7D"/>
    <w:rsid w:val="005F0CAC"/>
    <w:rsid w:val="005F2419"/>
    <w:rsid w:val="005F6636"/>
    <w:rsid w:val="00603FDA"/>
    <w:rsid w:val="0060451A"/>
    <w:rsid w:val="0061172B"/>
    <w:rsid w:val="006117DE"/>
    <w:rsid w:val="00620FFB"/>
    <w:rsid w:val="006252AA"/>
    <w:rsid w:val="00633A3D"/>
    <w:rsid w:val="0063748C"/>
    <w:rsid w:val="00656B04"/>
    <w:rsid w:val="00657EA2"/>
    <w:rsid w:val="00663AD0"/>
    <w:rsid w:val="0067392C"/>
    <w:rsid w:val="006834A9"/>
    <w:rsid w:val="00692D0D"/>
    <w:rsid w:val="006A0203"/>
    <w:rsid w:val="006A1C81"/>
    <w:rsid w:val="006A44A6"/>
    <w:rsid w:val="006A72BE"/>
    <w:rsid w:val="006B1D1E"/>
    <w:rsid w:val="006B1FBD"/>
    <w:rsid w:val="006C3B7E"/>
    <w:rsid w:val="006C49EA"/>
    <w:rsid w:val="006C5B2E"/>
    <w:rsid w:val="006C66AA"/>
    <w:rsid w:val="006D4444"/>
    <w:rsid w:val="006D519A"/>
    <w:rsid w:val="006E38A2"/>
    <w:rsid w:val="006E3A7D"/>
    <w:rsid w:val="006F5D50"/>
    <w:rsid w:val="006F61FB"/>
    <w:rsid w:val="006F7A75"/>
    <w:rsid w:val="00700B65"/>
    <w:rsid w:val="00701619"/>
    <w:rsid w:val="007054CF"/>
    <w:rsid w:val="00707623"/>
    <w:rsid w:val="007114C5"/>
    <w:rsid w:val="007117B2"/>
    <w:rsid w:val="0071198E"/>
    <w:rsid w:val="007137F6"/>
    <w:rsid w:val="00716BEE"/>
    <w:rsid w:val="00717128"/>
    <w:rsid w:val="00730BA6"/>
    <w:rsid w:val="0074325E"/>
    <w:rsid w:val="00755067"/>
    <w:rsid w:val="00761218"/>
    <w:rsid w:val="007614D8"/>
    <w:rsid w:val="00772436"/>
    <w:rsid w:val="00775923"/>
    <w:rsid w:val="00785867"/>
    <w:rsid w:val="007859A0"/>
    <w:rsid w:val="00790F0A"/>
    <w:rsid w:val="0079317D"/>
    <w:rsid w:val="007939C2"/>
    <w:rsid w:val="00797DDB"/>
    <w:rsid w:val="007A0AF1"/>
    <w:rsid w:val="007A2DC7"/>
    <w:rsid w:val="007B02AA"/>
    <w:rsid w:val="007B2CE9"/>
    <w:rsid w:val="007B5355"/>
    <w:rsid w:val="007C1AA0"/>
    <w:rsid w:val="007C371D"/>
    <w:rsid w:val="007C47B4"/>
    <w:rsid w:val="007E1FAD"/>
    <w:rsid w:val="007F4ADD"/>
    <w:rsid w:val="00800FFB"/>
    <w:rsid w:val="0080400B"/>
    <w:rsid w:val="008200C0"/>
    <w:rsid w:val="00834E14"/>
    <w:rsid w:val="008365B6"/>
    <w:rsid w:val="008369E9"/>
    <w:rsid w:val="00837B2A"/>
    <w:rsid w:val="00844503"/>
    <w:rsid w:val="00845024"/>
    <w:rsid w:val="00847D4E"/>
    <w:rsid w:val="00851196"/>
    <w:rsid w:val="00860184"/>
    <w:rsid w:val="008701F2"/>
    <w:rsid w:val="00874F05"/>
    <w:rsid w:val="008758C4"/>
    <w:rsid w:val="00880244"/>
    <w:rsid w:val="00887FAE"/>
    <w:rsid w:val="00892D51"/>
    <w:rsid w:val="008945B7"/>
    <w:rsid w:val="008A6F01"/>
    <w:rsid w:val="008A781E"/>
    <w:rsid w:val="008C1924"/>
    <w:rsid w:val="008C21DE"/>
    <w:rsid w:val="008C4E37"/>
    <w:rsid w:val="008C5F83"/>
    <w:rsid w:val="008C758A"/>
    <w:rsid w:val="008D3724"/>
    <w:rsid w:val="008D60F1"/>
    <w:rsid w:val="008D6DAF"/>
    <w:rsid w:val="008E5B36"/>
    <w:rsid w:val="008E661D"/>
    <w:rsid w:val="008F67C7"/>
    <w:rsid w:val="00920FD9"/>
    <w:rsid w:val="00937A20"/>
    <w:rsid w:val="00946DA2"/>
    <w:rsid w:val="009627E0"/>
    <w:rsid w:val="009679BD"/>
    <w:rsid w:val="00974E9E"/>
    <w:rsid w:val="00980778"/>
    <w:rsid w:val="009911DB"/>
    <w:rsid w:val="009A1A7D"/>
    <w:rsid w:val="009A2122"/>
    <w:rsid w:val="009A6343"/>
    <w:rsid w:val="009A7849"/>
    <w:rsid w:val="009B1A30"/>
    <w:rsid w:val="009B2283"/>
    <w:rsid w:val="009B335E"/>
    <w:rsid w:val="009B42CB"/>
    <w:rsid w:val="009D43F8"/>
    <w:rsid w:val="009E14E7"/>
    <w:rsid w:val="009F1EB9"/>
    <w:rsid w:val="00A00282"/>
    <w:rsid w:val="00A01FA6"/>
    <w:rsid w:val="00A0488D"/>
    <w:rsid w:val="00A07133"/>
    <w:rsid w:val="00A15F5B"/>
    <w:rsid w:val="00A17364"/>
    <w:rsid w:val="00A2113C"/>
    <w:rsid w:val="00A225C3"/>
    <w:rsid w:val="00A22AAF"/>
    <w:rsid w:val="00A263A2"/>
    <w:rsid w:val="00A35D39"/>
    <w:rsid w:val="00A3760F"/>
    <w:rsid w:val="00A40EB3"/>
    <w:rsid w:val="00A50FB1"/>
    <w:rsid w:val="00A51359"/>
    <w:rsid w:val="00A54D6E"/>
    <w:rsid w:val="00A56035"/>
    <w:rsid w:val="00A62CB3"/>
    <w:rsid w:val="00A71365"/>
    <w:rsid w:val="00A71772"/>
    <w:rsid w:val="00A81880"/>
    <w:rsid w:val="00A83CC6"/>
    <w:rsid w:val="00A84968"/>
    <w:rsid w:val="00A916A5"/>
    <w:rsid w:val="00A91ACE"/>
    <w:rsid w:val="00A924F1"/>
    <w:rsid w:val="00A92F73"/>
    <w:rsid w:val="00A97BF7"/>
    <w:rsid w:val="00AA01FF"/>
    <w:rsid w:val="00AA4860"/>
    <w:rsid w:val="00AB00FA"/>
    <w:rsid w:val="00AC16E9"/>
    <w:rsid w:val="00AC5D70"/>
    <w:rsid w:val="00AD0CC3"/>
    <w:rsid w:val="00AD319B"/>
    <w:rsid w:val="00AE1501"/>
    <w:rsid w:val="00AE5691"/>
    <w:rsid w:val="00AF43E4"/>
    <w:rsid w:val="00B101E8"/>
    <w:rsid w:val="00B10E36"/>
    <w:rsid w:val="00B25255"/>
    <w:rsid w:val="00B26930"/>
    <w:rsid w:val="00B34C84"/>
    <w:rsid w:val="00B34EF5"/>
    <w:rsid w:val="00B4427F"/>
    <w:rsid w:val="00B46A11"/>
    <w:rsid w:val="00B568F5"/>
    <w:rsid w:val="00B667F0"/>
    <w:rsid w:val="00B677BA"/>
    <w:rsid w:val="00B714DC"/>
    <w:rsid w:val="00B757C0"/>
    <w:rsid w:val="00B8596C"/>
    <w:rsid w:val="00B86D90"/>
    <w:rsid w:val="00B97880"/>
    <w:rsid w:val="00BA50CF"/>
    <w:rsid w:val="00BA71B8"/>
    <w:rsid w:val="00BB0BD3"/>
    <w:rsid w:val="00BB312F"/>
    <w:rsid w:val="00BB7DE3"/>
    <w:rsid w:val="00BC6CF3"/>
    <w:rsid w:val="00BC6D13"/>
    <w:rsid w:val="00BD776C"/>
    <w:rsid w:val="00BD7DCF"/>
    <w:rsid w:val="00BE475B"/>
    <w:rsid w:val="00BF0953"/>
    <w:rsid w:val="00BF2462"/>
    <w:rsid w:val="00BF4DB6"/>
    <w:rsid w:val="00C010B2"/>
    <w:rsid w:val="00C270A1"/>
    <w:rsid w:val="00C36442"/>
    <w:rsid w:val="00C4514C"/>
    <w:rsid w:val="00C46383"/>
    <w:rsid w:val="00C524DB"/>
    <w:rsid w:val="00C55664"/>
    <w:rsid w:val="00C637C2"/>
    <w:rsid w:val="00C65ABB"/>
    <w:rsid w:val="00C71BDE"/>
    <w:rsid w:val="00C77122"/>
    <w:rsid w:val="00CA69EE"/>
    <w:rsid w:val="00CB59DE"/>
    <w:rsid w:val="00CD0389"/>
    <w:rsid w:val="00CD1306"/>
    <w:rsid w:val="00CD4032"/>
    <w:rsid w:val="00CE064B"/>
    <w:rsid w:val="00CE3628"/>
    <w:rsid w:val="00CE367E"/>
    <w:rsid w:val="00CF0761"/>
    <w:rsid w:val="00CF2A72"/>
    <w:rsid w:val="00CF79B6"/>
    <w:rsid w:val="00D01912"/>
    <w:rsid w:val="00D13BD7"/>
    <w:rsid w:val="00D13C70"/>
    <w:rsid w:val="00D157D1"/>
    <w:rsid w:val="00D239A3"/>
    <w:rsid w:val="00D26B13"/>
    <w:rsid w:val="00D36908"/>
    <w:rsid w:val="00D36E1A"/>
    <w:rsid w:val="00D4783F"/>
    <w:rsid w:val="00D507FD"/>
    <w:rsid w:val="00D5139D"/>
    <w:rsid w:val="00D840AF"/>
    <w:rsid w:val="00D86B32"/>
    <w:rsid w:val="00D92FB9"/>
    <w:rsid w:val="00D94557"/>
    <w:rsid w:val="00D97896"/>
    <w:rsid w:val="00DA0D69"/>
    <w:rsid w:val="00DA0D6B"/>
    <w:rsid w:val="00DA1D02"/>
    <w:rsid w:val="00DA3DA5"/>
    <w:rsid w:val="00DA64C4"/>
    <w:rsid w:val="00DA6707"/>
    <w:rsid w:val="00DC1DD0"/>
    <w:rsid w:val="00DC4444"/>
    <w:rsid w:val="00DC7CA9"/>
    <w:rsid w:val="00DD6BD9"/>
    <w:rsid w:val="00DD7906"/>
    <w:rsid w:val="00DE7499"/>
    <w:rsid w:val="00DF33C6"/>
    <w:rsid w:val="00DF6879"/>
    <w:rsid w:val="00E04E7A"/>
    <w:rsid w:val="00E103EB"/>
    <w:rsid w:val="00E10846"/>
    <w:rsid w:val="00E1491B"/>
    <w:rsid w:val="00E20D01"/>
    <w:rsid w:val="00E24A88"/>
    <w:rsid w:val="00E32AB9"/>
    <w:rsid w:val="00E51FCD"/>
    <w:rsid w:val="00E52077"/>
    <w:rsid w:val="00E55429"/>
    <w:rsid w:val="00E66234"/>
    <w:rsid w:val="00E72FE5"/>
    <w:rsid w:val="00E742DF"/>
    <w:rsid w:val="00E8420E"/>
    <w:rsid w:val="00E855F9"/>
    <w:rsid w:val="00E85942"/>
    <w:rsid w:val="00E874DC"/>
    <w:rsid w:val="00EA1791"/>
    <w:rsid w:val="00EB2E61"/>
    <w:rsid w:val="00EB3C50"/>
    <w:rsid w:val="00EB68EF"/>
    <w:rsid w:val="00EB6ADA"/>
    <w:rsid w:val="00EC3A3C"/>
    <w:rsid w:val="00EC4FFA"/>
    <w:rsid w:val="00ED497F"/>
    <w:rsid w:val="00ED79C0"/>
    <w:rsid w:val="00F002AE"/>
    <w:rsid w:val="00F0622A"/>
    <w:rsid w:val="00F10283"/>
    <w:rsid w:val="00F225DD"/>
    <w:rsid w:val="00F23078"/>
    <w:rsid w:val="00F3032E"/>
    <w:rsid w:val="00F418E4"/>
    <w:rsid w:val="00F66602"/>
    <w:rsid w:val="00F72994"/>
    <w:rsid w:val="00F7316D"/>
    <w:rsid w:val="00F86093"/>
    <w:rsid w:val="00F91A72"/>
    <w:rsid w:val="00F94DDC"/>
    <w:rsid w:val="00FA60C3"/>
    <w:rsid w:val="00FA7640"/>
    <w:rsid w:val="00FA77F7"/>
    <w:rsid w:val="00FB17D5"/>
    <w:rsid w:val="00FB2C84"/>
    <w:rsid w:val="00FB774B"/>
    <w:rsid w:val="00FD2919"/>
    <w:rsid w:val="00FF165B"/>
    <w:rsid w:val="00FF4BA5"/>
    <w:rsid w:val="0398BE35"/>
    <w:rsid w:val="06D05EF7"/>
    <w:rsid w:val="0B005538"/>
    <w:rsid w:val="1FA3AD43"/>
    <w:rsid w:val="203521F6"/>
    <w:rsid w:val="30329B17"/>
    <w:rsid w:val="33765B33"/>
    <w:rsid w:val="3381D09F"/>
    <w:rsid w:val="39A3C907"/>
    <w:rsid w:val="3F757A59"/>
    <w:rsid w:val="43B646CA"/>
    <w:rsid w:val="4896052E"/>
    <w:rsid w:val="48B0A115"/>
    <w:rsid w:val="4D38C856"/>
    <w:rsid w:val="50308BE4"/>
    <w:rsid w:val="54809C0E"/>
    <w:rsid w:val="62E01CEE"/>
    <w:rsid w:val="70430C22"/>
    <w:rsid w:val="74E787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7B405"/>
  <w15:docId w15:val="{93AEA6B1-4B76-48D3-9A2D-1C8A47F4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EB2E61"/>
    <w:rPr>
      <w:color w:val="808080"/>
    </w:rPr>
  </w:style>
  <w:style w:type="paragraph" w:styleId="Revisie">
    <w:name w:val="Revision"/>
    <w:hidden/>
    <w:uiPriority w:val="99"/>
    <w:semiHidden/>
    <w:rsid w:val="00C46383"/>
    <w:rPr>
      <w:rFonts w:ascii="Univers" w:hAnsi="Univers"/>
      <w:sz w:val="22"/>
      <w:szCs w:val="24"/>
    </w:rPr>
  </w:style>
  <w:style w:type="paragraph" w:styleId="Lijstalinea">
    <w:name w:val="List Paragraph"/>
    <w:basedOn w:val="Standaard"/>
    <w:uiPriority w:val="34"/>
    <w:qFormat/>
    <w:rsid w:val="00C46383"/>
    <w:pPr>
      <w:ind w:left="720"/>
      <w:contextualSpacing/>
    </w:pPr>
  </w:style>
  <w:style w:type="paragraph" w:styleId="Geenafstand">
    <w:name w:val="No Spacing"/>
    <w:uiPriority w:val="1"/>
    <w:qFormat/>
    <w:rsid w:val="00C46383"/>
    <w:rPr>
      <w:rFonts w:ascii="Univers" w:hAnsi="Univers"/>
      <w:sz w:val="22"/>
      <w:szCs w:val="24"/>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unhideWhenUsed/>
    <w:rsid w:val="00C46383"/>
    <w:rPr>
      <w:sz w:val="20"/>
      <w:szCs w:val="20"/>
    </w:rPr>
  </w:style>
  <w:style w:type="character" w:customStyle="1" w:styleId="VoetnoottekstChar">
    <w:name w:val="Voetnoottekst Char"/>
    <w:aliases w:val="Voetnoottekst Char1 Char,Voetnoottekst Char2 Char Char,Voetnoottekst Char1 Char Char Char,Voetnoottekst Char3 Char Char Char Char,Voetnoottekst Char2 Char Char Char Char Char,Voetnoottekst Char1 Char Char Char Char Char Char"/>
    <w:basedOn w:val="Standaardalinea-lettertype"/>
    <w:link w:val="Voetnoottekst"/>
    <w:uiPriority w:val="99"/>
    <w:rsid w:val="00C46383"/>
    <w:rPr>
      <w:rFonts w:ascii="Univers" w:hAnsi="Univer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unhideWhenUsed/>
    <w:qFormat/>
    <w:rsid w:val="00C46383"/>
    <w:rPr>
      <w:vertAlign w:val="superscript"/>
    </w:rPr>
  </w:style>
  <w:style w:type="character" w:customStyle="1" w:styleId="apple-converted-space">
    <w:name w:val="apple-converted-space"/>
    <w:basedOn w:val="Standaardalinea-lettertype"/>
    <w:rsid w:val="00C46383"/>
  </w:style>
  <w:style w:type="character" w:styleId="Verwijzingopmerking">
    <w:name w:val="annotation reference"/>
    <w:basedOn w:val="Standaardalinea-lettertype"/>
    <w:uiPriority w:val="99"/>
    <w:semiHidden/>
    <w:unhideWhenUsed/>
    <w:rsid w:val="00C010B2"/>
    <w:rPr>
      <w:sz w:val="16"/>
      <w:szCs w:val="16"/>
    </w:rPr>
  </w:style>
  <w:style w:type="paragraph" w:styleId="Tekstopmerking">
    <w:name w:val="annotation text"/>
    <w:basedOn w:val="Standaard"/>
    <w:link w:val="TekstopmerkingChar"/>
    <w:uiPriority w:val="99"/>
    <w:unhideWhenUsed/>
    <w:rsid w:val="00C010B2"/>
    <w:rPr>
      <w:sz w:val="20"/>
      <w:szCs w:val="20"/>
    </w:rPr>
  </w:style>
  <w:style w:type="character" w:customStyle="1" w:styleId="TekstopmerkingChar">
    <w:name w:val="Tekst opmerking Char"/>
    <w:basedOn w:val="Standaardalinea-lettertype"/>
    <w:link w:val="Tekstopmerking"/>
    <w:uiPriority w:val="99"/>
    <w:rsid w:val="00C010B2"/>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C010B2"/>
    <w:rPr>
      <w:b/>
      <w:bCs/>
    </w:rPr>
  </w:style>
  <w:style w:type="character" w:customStyle="1" w:styleId="OnderwerpvanopmerkingChar">
    <w:name w:val="Onderwerp van opmerking Char"/>
    <w:basedOn w:val="TekstopmerkingChar"/>
    <w:link w:val="Onderwerpvanopmerking"/>
    <w:uiPriority w:val="99"/>
    <w:semiHidden/>
    <w:rsid w:val="00C010B2"/>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79FC951-47C2-4601-A9AF-C5E890DA91F6}"/>
      </w:docPartPr>
      <w:docPartBody>
        <w:p w:rsidR="00DA208B" w:rsidRDefault="00A61583">
          <w:r w:rsidRPr="00045D7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83"/>
    <w:rsid w:val="00655772"/>
    <w:rsid w:val="00A61583"/>
    <w:rsid w:val="00BA69BB"/>
    <w:rsid w:val="00DA208B"/>
    <w:rsid w:val="00EB0F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615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1115</ap:Words>
  <ap:Characters>6135</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2023-09-11T08:05:00.0000000Z</lastPrinted>
  <dcterms:created xsi:type="dcterms:W3CDTF">2023-08-31T09:54:00.0000000Z</dcterms:created>
  <dcterms:modified xsi:type="dcterms:W3CDTF">2023-09-11T12:12:00.0000000Z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W06.23.00255/III/K</vt:lpwstr>
  </property>
  <property fmtid="{D5CDD505-2E9C-101B-9397-08002B2CF9AE}" pid="5" name="zaaktype">
    <vt:lpwstr>WET</vt:lpwstr>
  </property>
  <property fmtid="{D5CDD505-2E9C-101B-9397-08002B2CF9AE}" pid="6" name="ContentTypeId">
    <vt:lpwstr>0x010100FA5A77795FEADA4EA512273036134446004CAE8449ABD0F448B462EAA8A89DAE9E</vt:lpwstr>
  </property>
  <property fmtid="{D5CDD505-2E9C-101B-9397-08002B2CF9AE}" pid="7" name="Bestemming">
    <vt:lpwstr>2;#Corsa|a7721b99-8166-4953-a37e-7c8574fb4b8b</vt:lpwstr>
  </property>
  <property fmtid="{D5CDD505-2E9C-101B-9397-08002B2CF9AE}" pid="8" name="_dlc_DocIdItemGuid">
    <vt:lpwstr>122b2607-38d4-43ac-b14c-a06523c4dfc0</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