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0288" behindDoc="0" locked="0" layoutInCell="1" allowOverlap="1" wp14:editId="32849A7B" wp14:anchorId="5C7A6F46">
                <wp:simplePos x="0" y="0"/>
                <wp:positionH relativeFrom="margin">
                  <wp:posOffset>3282315</wp:posOffset>
                </wp:positionH>
                <wp:positionV relativeFrom="page">
                  <wp:posOffset>752475</wp:posOffset>
                </wp:positionV>
                <wp:extent cx="2000885" cy="857250"/>
                <wp:effectExtent l="0" t="0" r="0" b="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832DE8">
                            <w:pPr>
                              <w:pStyle w:val="Huisstijl-Agendatitel"/>
                              <w:ind w:left="0" w:firstLine="0"/>
                              <w:jc w:val="right"/>
                            </w:pPr>
                            <w:r>
                              <w:t>3</w:t>
                            </w:r>
                            <w:r w:rsidR="007727C3">
                              <w:t xml:space="preserve"> juli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45pt;margin-top:59.25pt;width:157.55pt;height:67.5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">
                <v:path arrowok="t"/>
                <v:textbox inset="0,0,0,0">
                  <w:txbxContent>
                    <w:p w:rsidR="00405747" w:rsidP="00405747" w:rsidRDefault="00405747">
                      <w:pPr>
                        <w:pStyle w:val="Huisstijl-Agendatitel"/>
                        <w:ind w:left="0" w:firstLine="0"/>
                        <w:jc w:val="right"/>
                      </w:pPr>
                      <w:r>
                        <w:t xml:space="preserve">Commissie </w:t>
                      </w:r>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832DE8">
                      <w:pPr>
                        <w:pStyle w:val="Huisstijl-Agendatitel"/>
                        <w:ind w:left="0" w:firstLine="0"/>
                        <w:jc w:val="right"/>
                      </w:pPr>
                      <w:r>
                        <w:t>3</w:t>
                      </w:r>
                      <w:r w:rsidR="007727C3">
                        <w:t xml:space="preserve"> juli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57216"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w:t>
      </w:r>
      <w:bookmarkStart w:name="_GoBack" w:id="0"/>
      <w:bookmarkEnd w:id="0"/>
      <w:r w:rsidRPr="00A9227F" w:rsidR="00820149">
        <w:rPr>
          <w:b/>
          <w:szCs w:val="18"/>
        </w:rPr>
        <w:t>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832DE8" w:rsidR="002A4BD8" w:rsidP="009749F7" w:rsidRDefault="007727C3">
            <w:pPr>
              <w:shd w:val="clear" w:color="auto" w:fill="FFFFFF"/>
              <w:spacing w:after="75"/>
              <w:rPr>
                <w:szCs w:val="18"/>
                <w:lang w:val="en-GB" w:eastAsia="nl-NL"/>
              </w:rPr>
            </w:pPr>
            <w:r w:rsidRPr="00832DE8">
              <w:rPr>
                <w:szCs w:val="18"/>
                <w:lang w:val="en-GB"/>
              </w:rPr>
              <w:t xml:space="preserve">Proposal for a COUNCIL DIRECTIVE on Faster and Safer Relief of Excess Withholding Taxes </w:t>
            </w:r>
            <w:hyperlink w:history="1" r:id="rId15">
              <w:r w:rsidRPr="00832DE8">
                <w:rPr>
                  <w:rStyle w:val="Hyperlink"/>
                  <w:szCs w:val="18"/>
                  <w:lang w:val="en-GB"/>
                </w:rPr>
                <w:t>COM(2023)324</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832DE8"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9749F7">
            <w:pPr>
              <w:spacing w:after="240"/>
              <w:rPr>
                <w:szCs w:val="18"/>
              </w:rPr>
            </w:pPr>
            <w:r w:rsidRPr="005049F2">
              <w:rPr>
                <w:szCs w:val="18"/>
              </w:rPr>
              <w:t>Via de gebruikelijke route behandelen, waarbij het voorstel en het nog te ontvangen BNC-fiche worden geagendeerd voor een schriftelijk overleg</w:t>
            </w:r>
            <w:r w:rsidR="001F4054">
              <w:rPr>
                <w:szCs w:val="18"/>
              </w:rPr>
              <w:t>.</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9749F7" w:rsidRDefault="009749F7">
            <w:pPr>
              <w:spacing w:after="240"/>
              <w:rPr>
                <w:color w:val="595959" w:themeColor="text1" w:themeTint="A6"/>
                <w:szCs w:val="18"/>
              </w:rPr>
            </w:pPr>
            <w:r>
              <w:rPr>
                <w:color w:val="595959" w:themeColor="text1" w:themeTint="A6"/>
                <w:szCs w:val="18"/>
              </w:rPr>
              <w:t>Dit voorstel v</w:t>
            </w:r>
            <w:r w:rsidRPr="009749F7">
              <w:rPr>
                <w:color w:val="595959" w:themeColor="text1" w:themeTint="A6"/>
                <w:szCs w:val="18"/>
              </w:rPr>
              <w:t xml:space="preserve">oor een richtlijn </w:t>
            </w:r>
            <w:r>
              <w:rPr>
                <w:color w:val="595959" w:themeColor="text1" w:themeTint="A6"/>
                <w:szCs w:val="18"/>
              </w:rPr>
              <w:t xml:space="preserve">is </w:t>
            </w:r>
            <w:r w:rsidRPr="009749F7">
              <w:rPr>
                <w:color w:val="595959" w:themeColor="text1" w:themeTint="A6"/>
                <w:szCs w:val="18"/>
              </w:rPr>
              <w:t>gericht op het efficiënter en veiliger maken van bronbelastingprocedures in de EU.</w:t>
            </w:r>
            <w:r>
              <w:t xml:space="preserve"> </w:t>
            </w:r>
            <w:r w:rsidRPr="009749F7">
              <w:rPr>
                <w:color w:val="595959" w:themeColor="text1" w:themeTint="A6"/>
                <w:szCs w:val="18"/>
              </w:rPr>
              <w:t>De term “bronbelasting” verwijst bijvoorbeeld naar een situatie waarin een in een EU-lidstaat gevestigde belegger belasting verschuldigd is over de rente of div</w:t>
            </w:r>
            <w:r>
              <w:rPr>
                <w:color w:val="595959" w:themeColor="text1" w:themeTint="A6"/>
                <w:szCs w:val="18"/>
              </w:rPr>
              <w:t xml:space="preserve">idenden in een andere lidstaat. </w:t>
            </w:r>
            <w:r w:rsidRPr="009749F7">
              <w:rPr>
                <w:color w:val="595959" w:themeColor="text1" w:themeTint="A6"/>
                <w:szCs w:val="18"/>
              </w:rPr>
              <w:t xml:space="preserve">Dit voorstel moet daarom mede gezien worden als reactie op de </w:t>
            </w:r>
            <w:proofErr w:type="spellStart"/>
            <w:r>
              <w:rPr>
                <w:color w:val="595959" w:themeColor="text1" w:themeTint="A6"/>
                <w:szCs w:val="18"/>
              </w:rPr>
              <w:t>CumEx</w:t>
            </w:r>
            <w:proofErr w:type="spellEnd"/>
            <w:r>
              <w:rPr>
                <w:color w:val="595959" w:themeColor="text1" w:themeTint="A6"/>
                <w:szCs w:val="18"/>
              </w:rPr>
              <w:t xml:space="preserve">-fraude. De richtlijn bevat </w:t>
            </w:r>
            <w:r w:rsidRPr="009749F7">
              <w:rPr>
                <w:color w:val="595959" w:themeColor="text1" w:themeTint="A6"/>
                <w:szCs w:val="18"/>
              </w:rPr>
              <w:t>en gemeenschappelijk EU digitaal fiscaal woonplaatscertificaat</w:t>
            </w:r>
            <w:r>
              <w:rPr>
                <w:color w:val="595959" w:themeColor="text1" w:themeTint="A6"/>
                <w:szCs w:val="18"/>
              </w:rPr>
              <w:t xml:space="preserve">, </w:t>
            </w:r>
            <w:r w:rsidRPr="009749F7">
              <w:rPr>
                <w:color w:val="595959" w:themeColor="text1" w:themeTint="A6"/>
                <w:szCs w:val="18"/>
              </w:rPr>
              <w:t>Een keuze voor de lidstaten tussen twee versnelde procedures</w:t>
            </w:r>
            <w:r>
              <w:rPr>
                <w:color w:val="595959" w:themeColor="text1" w:themeTint="A6"/>
                <w:szCs w:val="18"/>
              </w:rPr>
              <w:t xml:space="preserve"> voor teruggave van onverschuldigde belasting en </w:t>
            </w:r>
            <w:r w:rsidRPr="009749F7">
              <w:rPr>
                <w:color w:val="595959" w:themeColor="text1" w:themeTint="A6"/>
                <w:szCs w:val="18"/>
              </w:rPr>
              <w:t>gestandaardiseerde rapportageverplichting</w:t>
            </w:r>
            <w:r>
              <w:rPr>
                <w:color w:val="595959" w:themeColor="text1" w:themeTint="A6"/>
                <w:szCs w:val="18"/>
              </w:rPr>
              <w:t xml:space="preserve">. </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832DE8" w:rsidR="002A4BD8" w:rsidP="009749F7" w:rsidRDefault="009749F7">
            <w:pPr>
              <w:shd w:val="clear" w:color="auto" w:fill="FFFFFF"/>
              <w:spacing w:after="75"/>
              <w:rPr>
                <w:szCs w:val="18"/>
                <w:lang w:val="en-GB" w:eastAsia="nl-NL"/>
              </w:rPr>
            </w:pPr>
            <w:r w:rsidRPr="00832DE8">
              <w:rPr>
                <w:szCs w:val="18"/>
                <w:lang w:val="en-GB"/>
              </w:rPr>
              <w:t xml:space="preserve">Amended proposal for a COUNCIL REGULATION amending Regulation (EU, </w:t>
            </w:r>
            <w:proofErr w:type="spellStart"/>
            <w:r w:rsidRPr="00832DE8">
              <w:rPr>
                <w:szCs w:val="18"/>
                <w:lang w:val="en-GB"/>
              </w:rPr>
              <w:t>Euratom</w:t>
            </w:r>
            <w:proofErr w:type="spellEnd"/>
            <w:r w:rsidRPr="00832DE8">
              <w:rPr>
                <w:szCs w:val="18"/>
                <w:lang w:val="en-GB"/>
              </w:rPr>
              <w:t xml:space="preserve">) 2021/768 of 30 April 2021 as regards implementing measures for new own resources of the European Union </w:t>
            </w:r>
            <w:hyperlink w:history="1" r:id="rId16">
              <w:r w:rsidRPr="00832DE8">
                <w:rPr>
                  <w:rStyle w:val="Hyperlink"/>
                  <w:szCs w:val="18"/>
                  <w:lang w:val="en-GB"/>
                </w:rPr>
                <w:t>COM(2023)332</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832DE8"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9749F7">
            <w:pPr>
              <w:spacing w:after="240"/>
              <w:rPr>
                <w:szCs w:val="18"/>
              </w:rPr>
            </w:pPr>
            <w:r>
              <w:rPr>
                <w:szCs w:val="18"/>
              </w:rPr>
              <w:t xml:space="preserve">Zie </w:t>
            </w:r>
            <w:hyperlink w:history="1" r:id="rId17">
              <w:r w:rsidRPr="009749F7">
                <w:rPr>
                  <w:rStyle w:val="Hyperlink"/>
                  <w:szCs w:val="18"/>
                </w:rPr>
                <w:t>behandelnotitie</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9749F7">
            <w:pPr>
              <w:spacing w:after="240"/>
              <w:rPr>
                <w:color w:val="595959" w:themeColor="text1" w:themeTint="A6"/>
                <w:szCs w:val="18"/>
              </w:rPr>
            </w:pPr>
            <w:r>
              <w:rPr>
                <w:color w:val="595959" w:themeColor="text1" w:themeTint="A6"/>
                <w:szCs w:val="18"/>
              </w:rPr>
              <w:t xml:space="preserve">Dit betreft het voorstel voor nieuwe eigen middelen voor de EU-begroting. </w:t>
            </w:r>
            <w:r w:rsidRPr="009749F7">
              <w:rPr>
                <w:color w:val="595959" w:themeColor="text1" w:themeTint="A6"/>
                <w:szCs w:val="18"/>
              </w:rPr>
              <w:t>In dit voorstel wordt een nieuw eigen middel gepresenteerd op basis van bedrijfswinsten en worden de voorstellen voor een eigen middel uit EU-ETS en CBAM aangepast.</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832DE8" w:rsidR="002A4BD8" w:rsidP="003A21AA" w:rsidRDefault="009749F7">
            <w:pPr>
              <w:spacing w:after="240"/>
              <w:rPr>
                <w:b/>
                <w:color w:val="595959" w:themeColor="text1" w:themeTint="A6"/>
                <w:szCs w:val="18"/>
                <w:lang w:val="en-GB"/>
              </w:rPr>
            </w:pPr>
            <w:r w:rsidRPr="00832DE8">
              <w:rPr>
                <w:szCs w:val="18"/>
                <w:lang w:val="en-GB"/>
              </w:rPr>
              <w:t xml:space="preserve">Amended proposal for a COUNCIL DECISION amending Decision (EU, </w:t>
            </w:r>
            <w:proofErr w:type="spellStart"/>
            <w:r w:rsidRPr="00832DE8">
              <w:rPr>
                <w:szCs w:val="18"/>
                <w:lang w:val="en-GB"/>
              </w:rPr>
              <w:t>Euratom</w:t>
            </w:r>
            <w:proofErr w:type="spellEnd"/>
            <w:r w:rsidRPr="00832DE8">
              <w:rPr>
                <w:szCs w:val="18"/>
                <w:lang w:val="en-GB"/>
              </w:rPr>
              <w:t xml:space="preserve">) 2020/2053 on the system of own resources of the European Union </w:t>
            </w:r>
            <w:hyperlink w:history="1" r:id="rId18">
              <w:r w:rsidRPr="00832DE8">
                <w:rPr>
                  <w:rStyle w:val="Hyperlink"/>
                  <w:szCs w:val="18"/>
                  <w:lang w:val="en-GB"/>
                </w:rPr>
                <w:t>COM(2023)331</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832DE8"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9749F7">
            <w:pPr>
              <w:spacing w:after="240"/>
              <w:rPr>
                <w:szCs w:val="18"/>
              </w:rPr>
            </w:pPr>
            <w:r>
              <w:rPr>
                <w:szCs w:val="18"/>
              </w:rPr>
              <w:t xml:space="preserve">Zie </w:t>
            </w:r>
            <w:hyperlink w:history="1" r:id="rId19">
              <w:r w:rsidRPr="009749F7">
                <w:rPr>
                  <w:rStyle w:val="Hyperlink"/>
                  <w:szCs w:val="18"/>
                </w:rPr>
                <w:t>behandelnotitie</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9749F7">
            <w:pPr>
              <w:spacing w:after="240"/>
              <w:rPr>
                <w:color w:val="595959" w:themeColor="text1" w:themeTint="A6"/>
                <w:szCs w:val="18"/>
              </w:rPr>
            </w:pPr>
            <w:r>
              <w:rPr>
                <w:color w:val="595959" w:themeColor="text1" w:themeTint="A6"/>
                <w:szCs w:val="18"/>
              </w:rPr>
              <w:t xml:space="preserve">Dit betreft het voorstel voor nieuwe eigen middelen voor de EU-begroting. </w:t>
            </w:r>
            <w:r w:rsidRPr="009749F7">
              <w:rPr>
                <w:color w:val="595959" w:themeColor="text1" w:themeTint="A6"/>
                <w:szCs w:val="18"/>
              </w:rPr>
              <w:t>In dit voorstel wordt een nieuw eigen middel gepresenteerd op basis van bedrijfswinsten en worden de voorstellen voor een eigen middel uit EU-ETS en CBAM aangepast.</w:t>
            </w:r>
          </w:p>
        </w:tc>
      </w:tr>
    </w:tbl>
    <w:p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749F7" w:rsidTr="008C653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49F7" w:rsidP="008C6530" w:rsidRDefault="009749F7">
            <w:pPr>
              <w:pStyle w:val="Lijstalinea"/>
              <w:numPr>
                <w:ilvl w:val="0"/>
                <w:numId w:val="10"/>
              </w:numPr>
              <w:spacing w:after="240"/>
              <w:ind w:left="312"/>
              <w:rPr>
                <w:color w:val="595959" w:themeColor="text1" w:themeTint="A6"/>
                <w:szCs w:val="18"/>
              </w:rPr>
            </w:pPr>
          </w:p>
        </w:tc>
        <w:tc>
          <w:tcPr>
            <w:tcW w:w="1035" w:type="dxa"/>
          </w:tcPr>
          <w:p w:rsidRPr="00A9227F" w:rsidR="009749F7" w:rsidP="008C6530" w:rsidRDefault="009749F7">
            <w:pPr>
              <w:spacing w:after="240"/>
              <w:rPr>
                <w:color w:val="595959" w:themeColor="text1" w:themeTint="A6"/>
                <w:szCs w:val="18"/>
              </w:rPr>
            </w:pPr>
            <w:r w:rsidRPr="00A9227F">
              <w:rPr>
                <w:color w:val="595959" w:themeColor="text1" w:themeTint="A6"/>
                <w:szCs w:val="18"/>
              </w:rPr>
              <w:t>Titel</w:t>
            </w:r>
          </w:p>
        </w:tc>
        <w:tc>
          <w:tcPr>
            <w:tcW w:w="6529" w:type="dxa"/>
          </w:tcPr>
          <w:p w:rsidRPr="00832DE8" w:rsidR="009749F7" w:rsidP="009749F7" w:rsidRDefault="009749F7">
            <w:pPr>
              <w:shd w:val="clear" w:color="auto" w:fill="FFFFFF"/>
              <w:spacing w:after="75"/>
              <w:rPr>
                <w:szCs w:val="18"/>
                <w:lang w:val="en-GB" w:eastAsia="nl-NL"/>
              </w:rPr>
            </w:pPr>
            <w:r w:rsidRPr="00832DE8">
              <w:rPr>
                <w:szCs w:val="18"/>
                <w:lang w:val="en-GB"/>
              </w:rPr>
              <w:t>Proposal for a REGULATION OF THE EUROPEAN PARLIAMENT AND OF THE COUNCIL on the transparency and integrity of Environmental, Social and Governance (ESG) rating activities</w:t>
            </w:r>
          </w:p>
          <w:p w:rsidRPr="00A9227F" w:rsidR="009749F7" w:rsidP="009749F7" w:rsidRDefault="00832DE8">
            <w:pPr>
              <w:spacing w:after="240"/>
              <w:rPr>
                <w:b/>
                <w:color w:val="595959" w:themeColor="text1" w:themeTint="A6"/>
                <w:szCs w:val="18"/>
              </w:rPr>
            </w:pPr>
            <w:hyperlink w:history="1" r:id="rId20">
              <w:r w:rsidR="009749F7">
                <w:rPr>
                  <w:rStyle w:val="Hyperlink"/>
                  <w:szCs w:val="18"/>
                </w:rPr>
                <w:t>COM(2023)314</w:t>
              </w:r>
            </w:hyperlink>
          </w:p>
        </w:tc>
      </w:tr>
      <w:tr w:rsidRPr="00A9227F" w:rsidR="009749F7" w:rsidTr="008C6530">
        <w:tc>
          <w:tcPr>
            <w:tcW w:w="421" w:type="dxa"/>
            <w:vMerge/>
            <w:tcBorders>
              <w:top w:val="nil"/>
              <w:bottom w:val="single" w:color="D9D9D9" w:themeColor="background1" w:themeShade="D9" w:sz="4" w:space="0"/>
            </w:tcBorders>
            <w:shd w:val="clear" w:color="auto" w:fill="F2F2F2" w:themeFill="background1" w:themeFillShade="F2"/>
          </w:tcPr>
          <w:p w:rsidRPr="00A9227F" w:rsidR="009749F7" w:rsidP="008C6530" w:rsidRDefault="009749F7">
            <w:pPr>
              <w:spacing w:after="240"/>
              <w:rPr>
                <w:szCs w:val="18"/>
              </w:rPr>
            </w:pPr>
          </w:p>
        </w:tc>
        <w:tc>
          <w:tcPr>
            <w:tcW w:w="1035" w:type="dxa"/>
          </w:tcPr>
          <w:p w:rsidRPr="00A9227F" w:rsidR="009749F7" w:rsidP="008C6530" w:rsidRDefault="009749F7">
            <w:pPr>
              <w:spacing w:after="240"/>
              <w:rPr>
                <w:szCs w:val="18"/>
              </w:rPr>
            </w:pPr>
            <w:r w:rsidRPr="00A9227F">
              <w:rPr>
                <w:szCs w:val="18"/>
              </w:rPr>
              <w:t>Voorstel</w:t>
            </w:r>
          </w:p>
        </w:tc>
        <w:tc>
          <w:tcPr>
            <w:tcW w:w="6529" w:type="dxa"/>
          </w:tcPr>
          <w:p w:rsidRPr="00A9227F" w:rsidR="009749F7" w:rsidP="008C6530" w:rsidRDefault="001F4054">
            <w:pPr>
              <w:spacing w:after="240"/>
              <w:rPr>
                <w:szCs w:val="18"/>
              </w:rPr>
            </w:pPr>
            <w:r w:rsidRPr="005049F2">
              <w:rPr>
                <w:szCs w:val="18"/>
              </w:rPr>
              <w:t>Via de gebruikelijke route behandelen, waarbij het voorstel en het nog te ontvangen BNC-fiche worden geagendeerd voor een schriftelijk overleg</w:t>
            </w:r>
            <w:r>
              <w:rPr>
                <w:szCs w:val="18"/>
              </w:rPr>
              <w:t>.</w:t>
            </w:r>
          </w:p>
        </w:tc>
      </w:tr>
      <w:tr w:rsidRPr="00A9227F" w:rsidR="009749F7" w:rsidTr="008C6530">
        <w:tc>
          <w:tcPr>
            <w:tcW w:w="421" w:type="dxa"/>
            <w:vMerge/>
            <w:tcBorders>
              <w:top w:val="nil"/>
              <w:bottom w:val="single" w:color="D9D9D9" w:themeColor="background1" w:themeShade="D9" w:sz="4" w:space="0"/>
            </w:tcBorders>
            <w:shd w:val="clear" w:color="auto" w:fill="F2F2F2" w:themeFill="background1" w:themeFillShade="F2"/>
          </w:tcPr>
          <w:p w:rsidRPr="00A9227F" w:rsidR="009749F7" w:rsidP="008C6530" w:rsidRDefault="009749F7">
            <w:pPr>
              <w:spacing w:after="240"/>
              <w:rPr>
                <w:color w:val="595959" w:themeColor="text1" w:themeTint="A6"/>
                <w:szCs w:val="18"/>
              </w:rPr>
            </w:pPr>
          </w:p>
        </w:tc>
        <w:tc>
          <w:tcPr>
            <w:tcW w:w="1035" w:type="dxa"/>
          </w:tcPr>
          <w:p w:rsidRPr="00A9227F" w:rsidR="009749F7" w:rsidP="008C6530" w:rsidRDefault="009749F7">
            <w:pPr>
              <w:spacing w:after="240"/>
              <w:rPr>
                <w:color w:val="595959" w:themeColor="text1" w:themeTint="A6"/>
                <w:szCs w:val="18"/>
              </w:rPr>
            </w:pPr>
            <w:r w:rsidRPr="00A9227F">
              <w:rPr>
                <w:color w:val="595959" w:themeColor="text1" w:themeTint="A6"/>
                <w:szCs w:val="18"/>
              </w:rPr>
              <w:t>Noot</w:t>
            </w:r>
          </w:p>
        </w:tc>
        <w:tc>
          <w:tcPr>
            <w:tcW w:w="6529" w:type="dxa"/>
          </w:tcPr>
          <w:p w:rsidRPr="00A9227F" w:rsidR="009749F7" w:rsidP="001F4054" w:rsidRDefault="001F4054">
            <w:pPr>
              <w:spacing w:after="240"/>
              <w:rPr>
                <w:color w:val="595959" w:themeColor="text1" w:themeTint="A6"/>
                <w:szCs w:val="18"/>
              </w:rPr>
            </w:pPr>
            <w:r>
              <w:rPr>
                <w:color w:val="595959" w:themeColor="text1" w:themeTint="A6"/>
                <w:szCs w:val="18"/>
              </w:rPr>
              <w:t xml:space="preserve">Dit voorstel is onderdeel van de </w:t>
            </w:r>
            <w:proofErr w:type="spellStart"/>
            <w:r>
              <w:rPr>
                <w:color w:val="595959" w:themeColor="text1" w:themeTint="A6"/>
                <w:szCs w:val="18"/>
              </w:rPr>
              <w:t>sustainable</w:t>
            </w:r>
            <w:proofErr w:type="spellEnd"/>
            <w:r>
              <w:rPr>
                <w:color w:val="595959" w:themeColor="text1" w:themeTint="A6"/>
                <w:szCs w:val="18"/>
              </w:rPr>
              <w:t xml:space="preserve"> </w:t>
            </w:r>
            <w:proofErr w:type="spellStart"/>
            <w:r>
              <w:rPr>
                <w:color w:val="595959" w:themeColor="text1" w:themeTint="A6"/>
                <w:szCs w:val="18"/>
              </w:rPr>
              <w:t>finance</w:t>
            </w:r>
            <w:proofErr w:type="spellEnd"/>
            <w:r>
              <w:rPr>
                <w:color w:val="595959" w:themeColor="text1" w:themeTint="A6"/>
                <w:szCs w:val="18"/>
              </w:rPr>
              <w:t xml:space="preserve"> strategie van de Europese Commissie. </w:t>
            </w:r>
            <w:r w:rsidRPr="001F4054">
              <w:rPr>
                <w:color w:val="595959" w:themeColor="text1" w:themeTint="A6"/>
                <w:szCs w:val="18"/>
              </w:rPr>
              <w:t>Dit voorstel is niet bedoeld om de methoden voor de berekening van ESG-ratings te harmoniseren, maar om de transparantie ervan te vergroten. Aanbieders van ESG-ratings zullen de volledige controle behouden over de methodologieën die ze gebruiken en zullen onafhankelijk blijven in hun keuze, om ervoor te zorgen dat er verschillende benaderingen beschikbaar zijn op de markt voor ESG-ratings (d.w.z. ESG-ratings kunnen onderling verschillen en verschillende gebieden bestrijken).</w:t>
            </w:r>
          </w:p>
        </w:tc>
      </w:tr>
    </w:tbl>
    <w:p w:rsidRPr="00A9227F" w:rsidR="009749F7" w:rsidP="002A4BD8" w:rsidRDefault="009749F7">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832DE8" w:rsidR="00D75535" w:rsidP="00D14A89" w:rsidRDefault="005A2E31">
            <w:pPr>
              <w:spacing w:after="240"/>
              <w:rPr>
                <w:b/>
                <w:color w:val="595959" w:themeColor="text1" w:themeTint="A6"/>
                <w:szCs w:val="18"/>
                <w:lang w:val="en-GB"/>
              </w:rPr>
            </w:pPr>
            <w:r w:rsidRPr="00832DE8">
              <w:rPr>
                <w:szCs w:val="18"/>
                <w:lang w:val="en-GB"/>
              </w:rPr>
              <w:t xml:space="preserve">COMMUNICATION FROM THE COMMISSION TO THE EUROPEAN PARLIAMENT, THE COUNCIL, THE EUROPEAN ECONOMIC AND SOCIAL COMMITTEE AND THE COMMITTEE OF THE REGIONS A sustainable finance framework that works on the ground </w:t>
            </w:r>
            <w:hyperlink w:history="1" r:id="rId21">
              <w:r w:rsidRPr="00832DE8">
                <w:rPr>
                  <w:rStyle w:val="Hyperlink"/>
                  <w:szCs w:val="18"/>
                  <w:lang w:val="en-GB"/>
                </w:rPr>
                <w:t>COM(2023)317</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832DE8" w:rsidR="00D75535" w:rsidP="002A4BD8" w:rsidRDefault="00D75535">
            <w:pPr>
              <w:spacing w:after="240"/>
              <w:rPr>
                <w:szCs w:val="18"/>
                <w:lang w:val="en-GB"/>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4E2A78">
            <w:pPr>
              <w:spacing w:after="240"/>
              <w:rPr>
                <w:szCs w:val="18"/>
              </w:rPr>
            </w:pPr>
            <w:r>
              <w:rPr>
                <w:szCs w:val="18"/>
              </w:rPr>
              <w:t xml:space="preserve">Desgewenst betrekken bij het nog te plannen schriftelijk overleg over punt 4. </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4E2A78" w:rsidRDefault="004E2A78">
            <w:pPr>
              <w:spacing w:after="240"/>
              <w:rPr>
                <w:color w:val="595959" w:themeColor="text1" w:themeTint="A6"/>
                <w:szCs w:val="18"/>
              </w:rPr>
            </w:pPr>
            <w:r>
              <w:rPr>
                <w:color w:val="595959" w:themeColor="text1" w:themeTint="A6"/>
                <w:szCs w:val="18"/>
              </w:rPr>
              <w:t>In deze mededeling zet de Europese Commissie een kader uiteen</w:t>
            </w:r>
            <w:r w:rsidRPr="004E2A78">
              <w:rPr>
                <w:color w:val="595959" w:themeColor="text1" w:themeTint="A6"/>
                <w:szCs w:val="18"/>
              </w:rPr>
              <w:t xml:space="preserve"> voor duurzame financiering</w:t>
            </w:r>
            <w:r>
              <w:rPr>
                <w:color w:val="595959" w:themeColor="text1" w:themeTint="A6"/>
                <w:szCs w:val="18"/>
              </w:rPr>
              <w:t xml:space="preserve">. Doel is om </w:t>
            </w:r>
            <w:r w:rsidRPr="004E2A78">
              <w:rPr>
                <w:color w:val="595959" w:themeColor="text1" w:themeTint="A6"/>
                <w:szCs w:val="18"/>
              </w:rPr>
              <w:t>de praktische toepassing van het kader voor duurzame financiering door ondernemingen, financiële intermediairs en investeerders verder te versterken</w:t>
            </w:r>
            <w:r>
              <w:rPr>
                <w:color w:val="595959" w:themeColor="text1" w:themeTint="A6"/>
                <w:szCs w:val="18"/>
              </w:rPr>
              <w:t>.</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832DE8" w:rsidR="002A4BD8" w:rsidP="003A21AA" w:rsidRDefault="00DB274E">
            <w:pPr>
              <w:spacing w:after="240"/>
              <w:rPr>
                <w:b/>
                <w:color w:val="595959" w:themeColor="text1" w:themeTint="A6"/>
                <w:szCs w:val="18"/>
                <w:lang w:val="en-GB"/>
              </w:rPr>
            </w:pPr>
            <w:r w:rsidRPr="00832DE8">
              <w:rPr>
                <w:szCs w:val="18"/>
                <w:lang w:val="en-GB"/>
              </w:rPr>
              <w:t xml:space="preserve">REPORT FROM THE COMMISSION TO THE EUROPEAN PARLIAMENT, THE COUNCIL AND THE COURT OF AUDITORS Annual report to the Discharge Authority on internal audits carried out in 2022 </w:t>
            </w:r>
            <w:hyperlink w:history="1" r:id="rId22">
              <w:r w:rsidRPr="00832DE8">
                <w:rPr>
                  <w:rStyle w:val="Hyperlink"/>
                  <w:szCs w:val="18"/>
                  <w:lang w:val="en-GB"/>
                </w:rPr>
                <w:t>COM(2023)323</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832DE8"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4E2A78">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4E2A78" w:rsidRDefault="004E2A78">
            <w:pPr>
              <w:spacing w:after="240"/>
              <w:rPr>
                <w:color w:val="595959" w:themeColor="text1" w:themeTint="A6"/>
                <w:szCs w:val="18"/>
              </w:rPr>
            </w:pPr>
            <w:r w:rsidRPr="004E2A78">
              <w:rPr>
                <w:color w:val="595959" w:themeColor="text1" w:themeTint="A6"/>
                <w:szCs w:val="18"/>
              </w:rPr>
              <w:t xml:space="preserve">Dit verslag </w:t>
            </w:r>
            <w:r>
              <w:rPr>
                <w:color w:val="595959" w:themeColor="text1" w:themeTint="A6"/>
                <w:szCs w:val="18"/>
              </w:rPr>
              <w:t>is</w:t>
            </w:r>
            <w:r w:rsidRPr="004E2A78">
              <w:rPr>
                <w:color w:val="595959" w:themeColor="text1" w:themeTint="A6"/>
                <w:szCs w:val="18"/>
              </w:rPr>
              <w:t xml:space="preserve"> onde</w:t>
            </w:r>
            <w:r>
              <w:rPr>
                <w:color w:val="595959" w:themeColor="text1" w:themeTint="A6"/>
                <w:szCs w:val="18"/>
              </w:rPr>
              <w:t xml:space="preserve">rdeel van de kwijtingsprocedure en beschrijft de </w:t>
            </w:r>
            <w:r w:rsidRPr="004E2A78">
              <w:rPr>
                <w:color w:val="595959" w:themeColor="text1" w:themeTint="A6"/>
                <w:szCs w:val="18"/>
              </w:rPr>
              <w:t>interne audits die in 2022 zijn uitgevoerd door de dienst Interne audit van de Europese Commissie in de directoraten-generaal, diensten en uitvoerende agentschappen van de Commissie</w:t>
            </w:r>
            <w:r>
              <w:rPr>
                <w:color w:val="595959" w:themeColor="text1" w:themeTint="A6"/>
                <w:szCs w:val="18"/>
              </w:rPr>
              <w:t xml:space="preserve">. </w:t>
            </w:r>
            <w:r w:rsidRPr="004E2A78">
              <w:rPr>
                <w:color w:val="595959" w:themeColor="text1" w:themeTint="A6"/>
                <w:szCs w:val="18"/>
              </w:rPr>
              <w:t xml:space="preserve">Het bevat: (i) een samenvatting van het aantal en type uitgevoerde interne audits; (ii) een synthese van de gedane aanbevelingen; en (iii) </w:t>
            </w:r>
            <w:r>
              <w:rPr>
                <w:color w:val="595959" w:themeColor="text1" w:themeTint="A6"/>
                <w:szCs w:val="18"/>
              </w:rPr>
              <w:t xml:space="preserve">de opvolging die </w:t>
            </w:r>
            <w:r w:rsidRPr="004E2A78">
              <w:rPr>
                <w:color w:val="595959" w:themeColor="text1" w:themeTint="A6"/>
                <w:szCs w:val="18"/>
              </w:rPr>
              <w:t xml:space="preserve">aan </w:t>
            </w:r>
            <w:r>
              <w:rPr>
                <w:color w:val="595959" w:themeColor="text1" w:themeTint="A6"/>
                <w:szCs w:val="18"/>
              </w:rPr>
              <w:t>de</w:t>
            </w:r>
            <w:r w:rsidRPr="004E2A78">
              <w:rPr>
                <w:color w:val="595959" w:themeColor="text1" w:themeTint="A6"/>
                <w:szCs w:val="18"/>
              </w:rPr>
              <w:t xml:space="preserve"> aanbevelingen is gegeven.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F53AB0">
            <w:pPr>
              <w:spacing w:after="240"/>
              <w:rPr>
                <w:b/>
                <w:color w:val="595959" w:themeColor="text1" w:themeTint="A6"/>
                <w:szCs w:val="18"/>
              </w:rPr>
            </w:pPr>
            <w:r>
              <w:rPr>
                <w:szCs w:val="18"/>
              </w:rPr>
              <w:t xml:space="preserve">Voorstel voor een UITVOERINGSBESLUIT VAN DE RAAD waarbij Roemenië wordt gemachtigd een bijzondere maatregel in te voeren die afwijkt van de artikelen 218 en 232 van Richtlijn 2006/112/EG betreffende het gemeenschappelijke stelsel van belasting over de toegevoegde waarde </w:t>
            </w:r>
            <w:hyperlink w:history="1" r:id="rId23">
              <w:r>
                <w:rPr>
                  <w:rStyle w:val="Hyperlink"/>
                  <w:szCs w:val="18"/>
                </w:rPr>
                <w:t>COM(2023)329</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531A26">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531A26" w:rsidRDefault="00531A26">
            <w:pPr>
              <w:spacing w:after="240"/>
              <w:rPr>
                <w:color w:val="595959" w:themeColor="text1" w:themeTint="A6"/>
                <w:szCs w:val="18"/>
              </w:rPr>
            </w:pPr>
            <w:r>
              <w:rPr>
                <w:color w:val="595959" w:themeColor="text1" w:themeTint="A6"/>
                <w:szCs w:val="18"/>
              </w:rPr>
              <w:t xml:space="preserve">Volgens </w:t>
            </w:r>
            <w:r w:rsidRPr="00531A26">
              <w:rPr>
                <w:color w:val="595959" w:themeColor="text1" w:themeTint="A6"/>
                <w:szCs w:val="18"/>
              </w:rPr>
              <w:t>de btw-richtlijn</w:t>
            </w:r>
            <w:r>
              <w:rPr>
                <w:color w:val="595959" w:themeColor="text1" w:themeTint="A6"/>
                <w:szCs w:val="18"/>
              </w:rPr>
              <w:t xml:space="preserve"> </w:t>
            </w:r>
            <w:r w:rsidRPr="00531A26">
              <w:rPr>
                <w:color w:val="595959" w:themeColor="text1" w:themeTint="A6"/>
                <w:szCs w:val="18"/>
              </w:rPr>
              <w:t xml:space="preserve">kan de Raad op voorstel van de Commissie met eenparigheid van stemmen elke lidstaat machtigen bijzondere, van de bepalingen van deze richtlijn afwijkende maatregelen te treffen, </w:t>
            </w:r>
            <w:r>
              <w:rPr>
                <w:color w:val="595959" w:themeColor="text1" w:themeTint="A6"/>
                <w:szCs w:val="18"/>
              </w:rPr>
              <w:t>om</w:t>
            </w:r>
            <w:r w:rsidRPr="00531A26">
              <w:rPr>
                <w:color w:val="595959" w:themeColor="text1" w:themeTint="A6"/>
                <w:szCs w:val="18"/>
              </w:rPr>
              <w:t xml:space="preserve"> de belastinginning te vereenvoudigen of bepaalde vormen van belastingfraude of -ontwijking te voorkomen</w:t>
            </w:r>
            <w:r>
              <w:rPr>
                <w:color w:val="595959" w:themeColor="text1" w:themeTint="A6"/>
                <w:szCs w:val="18"/>
              </w:rPr>
              <w:t>. R</w:t>
            </w:r>
            <w:r w:rsidRPr="00531A26">
              <w:rPr>
                <w:color w:val="595959" w:themeColor="text1" w:themeTint="A6"/>
                <w:szCs w:val="18"/>
              </w:rPr>
              <w:t xml:space="preserve">oemenië </w:t>
            </w:r>
            <w:r>
              <w:rPr>
                <w:color w:val="595959" w:themeColor="text1" w:themeTint="A6"/>
                <w:szCs w:val="18"/>
              </w:rPr>
              <w:t xml:space="preserve">heeft </w:t>
            </w:r>
            <w:r w:rsidRPr="00531A26">
              <w:rPr>
                <w:color w:val="595959" w:themeColor="text1" w:themeTint="A6"/>
                <w:szCs w:val="18"/>
              </w:rPr>
              <w:t xml:space="preserve">verzocht om te mogen afwijken van de btw-richtlijn, </w:t>
            </w:r>
            <w:r>
              <w:rPr>
                <w:color w:val="595959" w:themeColor="text1" w:themeTint="A6"/>
                <w:szCs w:val="18"/>
              </w:rPr>
              <w:t>om</w:t>
            </w:r>
            <w:r w:rsidRPr="00531A26">
              <w:rPr>
                <w:color w:val="595959" w:themeColor="text1" w:themeTint="A6"/>
                <w:szCs w:val="18"/>
              </w:rPr>
              <w:t xml:space="preserve"> elektronische facturering verplicht te kunnen stellen voor transacties tussen belastingplichtigen.</w:t>
            </w:r>
            <w:r>
              <w:rPr>
                <w:color w:val="595959" w:themeColor="text1" w:themeTint="A6"/>
                <w:szCs w:val="18"/>
              </w:rPr>
              <w:t xml:space="preserve"> De Commissie stelt voor hiermee in te stemmen.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2B799F">
            <w:pPr>
              <w:spacing w:after="240"/>
              <w:rPr>
                <w:b/>
                <w:color w:val="595959" w:themeColor="text1" w:themeTint="A6"/>
                <w:szCs w:val="18"/>
              </w:rPr>
            </w:pPr>
            <w:r>
              <w:rPr>
                <w:szCs w:val="18"/>
              </w:rPr>
              <w:t xml:space="preserve">Voorstel voor een UITVOERINGSBESLUIT VAN DE RAAD waarbij Duitsland wordt gemachtigd een bijzondere maatregel in te voeren die afwijkt van de artikelen 218 en 232 van Richtlijn 2006/112/EG betreffende het gemeenschappelijke stelsel van belasting over de toegevoegde waarde </w:t>
            </w:r>
            <w:hyperlink w:history="1" r:id="rId24">
              <w:r>
                <w:rPr>
                  <w:rStyle w:val="Hyperlink"/>
                  <w:szCs w:val="18"/>
                </w:rPr>
                <w:t>COM(2023)340</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531A26">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531A26" w:rsidRDefault="00531A26">
            <w:pPr>
              <w:spacing w:after="240"/>
              <w:rPr>
                <w:color w:val="595959" w:themeColor="text1" w:themeTint="A6"/>
                <w:szCs w:val="18"/>
              </w:rPr>
            </w:pPr>
            <w:r>
              <w:rPr>
                <w:color w:val="595959" w:themeColor="text1" w:themeTint="A6"/>
                <w:szCs w:val="18"/>
              </w:rPr>
              <w:t xml:space="preserve">Volgens </w:t>
            </w:r>
            <w:r w:rsidRPr="00531A26">
              <w:rPr>
                <w:color w:val="595959" w:themeColor="text1" w:themeTint="A6"/>
                <w:szCs w:val="18"/>
              </w:rPr>
              <w:t>de btw-richtlijn</w:t>
            </w:r>
            <w:r>
              <w:rPr>
                <w:color w:val="595959" w:themeColor="text1" w:themeTint="A6"/>
                <w:szCs w:val="18"/>
              </w:rPr>
              <w:t xml:space="preserve"> </w:t>
            </w:r>
            <w:r w:rsidRPr="00531A26">
              <w:rPr>
                <w:color w:val="595959" w:themeColor="text1" w:themeTint="A6"/>
                <w:szCs w:val="18"/>
              </w:rPr>
              <w:t xml:space="preserve">kan de Raad op voorstel van de Commissie met eenparigheid van stemmen elke lidstaat machtigen bijzondere, van de bepalingen van deze richtlijn afwijkende maatregelen te treffen, </w:t>
            </w:r>
            <w:r>
              <w:rPr>
                <w:color w:val="595959" w:themeColor="text1" w:themeTint="A6"/>
                <w:szCs w:val="18"/>
              </w:rPr>
              <w:t>om</w:t>
            </w:r>
            <w:r w:rsidRPr="00531A26">
              <w:rPr>
                <w:color w:val="595959" w:themeColor="text1" w:themeTint="A6"/>
                <w:szCs w:val="18"/>
              </w:rPr>
              <w:t xml:space="preserve"> de belastinginning te vereenvoudigen of bepaalde vormen van belastingfraude of -ontwijking te voorkomen</w:t>
            </w:r>
            <w:r>
              <w:rPr>
                <w:color w:val="595959" w:themeColor="text1" w:themeTint="A6"/>
                <w:szCs w:val="18"/>
              </w:rPr>
              <w:t xml:space="preserve">. </w:t>
            </w:r>
            <w:r w:rsidRPr="00531A26">
              <w:rPr>
                <w:color w:val="595959" w:themeColor="text1" w:themeTint="A6"/>
                <w:szCs w:val="18"/>
              </w:rPr>
              <w:t>Duitsland</w:t>
            </w:r>
            <w:r>
              <w:rPr>
                <w:color w:val="595959" w:themeColor="text1" w:themeTint="A6"/>
                <w:szCs w:val="18"/>
              </w:rPr>
              <w:t xml:space="preserve"> heeft</w:t>
            </w:r>
            <w:r w:rsidRPr="00531A26">
              <w:rPr>
                <w:color w:val="595959" w:themeColor="text1" w:themeTint="A6"/>
                <w:szCs w:val="18"/>
              </w:rPr>
              <w:t xml:space="preserve"> verzocht om te mogen afwijken van de btw-richtlijn, </w:t>
            </w:r>
            <w:r>
              <w:rPr>
                <w:color w:val="595959" w:themeColor="text1" w:themeTint="A6"/>
                <w:szCs w:val="18"/>
              </w:rPr>
              <w:t>om</w:t>
            </w:r>
            <w:r w:rsidRPr="00531A26">
              <w:rPr>
                <w:color w:val="595959" w:themeColor="text1" w:themeTint="A6"/>
                <w:szCs w:val="18"/>
              </w:rPr>
              <w:t xml:space="preserve"> elektronische facturering verplicht te kunnen stellen voor transacties tussen in Duitsland gevestigde belastingplichtigen (b2b-transacties).</w:t>
            </w:r>
            <w:r>
              <w:rPr>
                <w:color w:val="595959" w:themeColor="text1" w:themeTint="A6"/>
                <w:szCs w:val="18"/>
              </w:rPr>
              <w:t xml:space="preserve"> De Commissie stelt voor hier mee in te stemmen.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Titel</w:t>
            </w:r>
          </w:p>
        </w:tc>
        <w:tc>
          <w:tcPr>
            <w:tcW w:w="6529" w:type="dxa"/>
          </w:tcPr>
          <w:p w:rsidRPr="00A9227F" w:rsidR="00DF5A2E" w:rsidP="000279E0" w:rsidRDefault="00431112">
            <w:pPr>
              <w:spacing w:after="240"/>
              <w:rPr>
                <w:b/>
                <w:color w:val="595959" w:themeColor="text1" w:themeTint="A6"/>
                <w:szCs w:val="18"/>
              </w:rPr>
            </w:pPr>
            <w:r>
              <w:rPr>
                <w:szCs w:val="18"/>
              </w:rPr>
              <w:t xml:space="preserve">VERSLAG VAN DE COMMISSIE AAN HET EUROPEES PARLEMENT EN DE RAAD Beoordeling van de </w:t>
            </w:r>
            <w:proofErr w:type="spellStart"/>
            <w:r>
              <w:rPr>
                <w:szCs w:val="18"/>
              </w:rPr>
              <w:t>toereikendheid</w:t>
            </w:r>
            <w:proofErr w:type="spellEnd"/>
            <w:r>
              <w:rPr>
                <w:szCs w:val="18"/>
              </w:rPr>
              <w:t xml:space="preserve"> van de uit hoofde van </w:t>
            </w:r>
            <w:r>
              <w:rPr>
                <w:szCs w:val="18"/>
              </w:rPr>
              <w:lastRenderedPageBreak/>
              <w:t xml:space="preserve">artikel 89, lid 1, van Richtlijn 2013/36/EU bekend te maken informatie </w:t>
            </w:r>
            <w:hyperlink w:history="1" r:id="rId25">
              <w:r>
                <w:rPr>
                  <w:rStyle w:val="Hyperlink"/>
                  <w:szCs w:val="18"/>
                </w:rPr>
                <w:t>COM(2023)344</w:t>
              </w:r>
            </w:hyperlink>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szCs w:val="18"/>
              </w:rPr>
            </w:pPr>
          </w:p>
        </w:tc>
        <w:tc>
          <w:tcPr>
            <w:tcW w:w="1035" w:type="dxa"/>
          </w:tcPr>
          <w:p w:rsidRPr="00A9227F" w:rsidR="00DF5A2E" w:rsidP="000279E0" w:rsidRDefault="00DF5A2E">
            <w:pPr>
              <w:spacing w:after="240"/>
              <w:rPr>
                <w:szCs w:val="18"/>
              </w:rPr>
            </w:pPr>
            <w:r w:rsidRPr="00A9227F">
              <w:rPr>
                <w:szCs w:val="18"/>
              </w:rPr>
              <w:t>Voorstel</w:t>
            </w:r>
          </w:p>
        </w:tc>
        <w:tc>
          <w:tcPr>
            <w:tcW w:w="6529" w:type="dxa"/>
          </w:tcPr>
          <w:p w:rsidRPr="00A9227F" w:rsidR="00DF5A2E" w:rsidP="000279E0" w:rsidRDefault="00531A26">
            <w:pPr>
              <w:spacing w:after="240"/>
              <w:rPr>
                <w:szCs w:val="18"/>
              </w:rPr>
            </w:pPr>
            <w:r>
              <w:rPr>
                <w:szCs w:val="18"/>
              </w:rPr>
              <w:t>Voor kennisgeving aannemen</w:t>
            </w:r>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B477C4" w:rsidRDefault="00B477C4">
            <w:pPr>
              <w:spacing w:after="240"/>
              <w:rPr>
                <w:color w:val="595959" w:themeColor="text1" w:themeTint="A6"/>
                <w:szCs w:val="18"/>
              </w:rPr>
            </w:pPr>
            <w:r>
              <w:rPr>
                <w:color w:val="595959" w:themeColor="text1" w:themeTint="A6"/>
                <w:szCs w:val="18"/>
              </w:rPr>
              <w:t>De richtlijn</w:t>
            </w:r>
            <w:r w:rsidRPr="00B477C4">
              <w:rPr>
                <w:color w:val="595959" w:themeColor="text1" w:themeTint="A6"/>
                <w:szCs w:val="18"/>
              </w:rPr>
              <w:t xml:space="preserve"> kapitaalvereisten</w:t>
            </w:r>
            <w:r>
              <w:rPr>
                <w:color w:val="595959" w:themeColor="text1" w:themeTint="A6"/>
                <w:szCs w:val="18"/>
              </w:rPr>
              <w:t xml:space="preserve"> IV (CRD IV) bepaalt</w:t>
            </w:r>
            <w:r w:rsidRPr="00B477C4">
              <w:rPr>
                <w:color w:val="595959" w:themeColor="text1" w:themeTint="A6"/>
                <w:szCs w:val="18"/>
              </w:rPr>
              <w:t xml:space="preserve"> dat de lidstaten erop moeten toezien dat kredietinstellingen en beleggingsondernemingen zowel financiële als niet-financiële informatie betreffende hun activiteiten openbaar maken.</w:t>
            </w:r>
            <w:r>
              <w:rPr>
                <w:color w:val="595959" w:themeColor="text1" w:themeTint="A6"/>
                <w:szCs w:val="18"/>
              </w:rPr>
              <w:t xml:space="preserve"> In dit verslag beoordeelt d</w:t>
            </w:r>
            <w:r w:rsidRPr="00B477C4">
              <w:rPr>
                <w:color w:val="595959" w:themeColor="text1" w:themeTint="A6"/>
                <w:szCs w:val="18"/>
              </w:rPr>
              <w:t>e Commissie of de CBCR-informatie nog steeds voldoende is en of er nadere relevante informatie moet worden toegevoegd.</w:t>
            </w:r>
          </w:p>
        </w:tc>
      </w:tr>
    </w:tbl>
    <w:p w:rsidRPr="00A9227F"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Titel</w:t>
            </w:r>
          </w:p>
        </w:tc>
        <w:tc>
          <w:tcPr>
            <w:tcW w:w="6529" w:type="dxa"/>
          </w:tcPr>
          <w:p w:rsidRPr="00A9227F" w:rsidR="00DF5A2E" w:rsidP="000279E0" w:rsidRDefault="003360B9">
            <w:pPr>
              <w:spacing w:after="240"/>
              <w:rPr>
                <w:b/>
                <w:color w:val="595959" w:themeColor="text1" w:themeTint="A6"/>
                <w:szCs w:val="18"/>
              </w:rPr>
            </w:pPr>
            <w:r>
              <w:rPr>
                <w:szCs w:val="18"/>
              </w:rPr>
              <w:t xml:space="preserve">Voorstel voor een UITVOERINGSBESLUIT VAN DE RAAD tot wijziging van Uitvoeringsbesluit (EU) 2017/784 wat betreft de periode van de machtiging voor en het toepassingsgebied van de door Italië genomen bijzondere maatregel die afwijkt van de artikelen 206 en 226 van Richtlijn 2006/112/EG betreffende het gemeenschappelijke stelsel van belasting over de toegevoegde waarde </w:t>
            </w:r>
            <w:hyperlink w:history="1" r:id="rId26">
              <w:r>
                <w:rPr>
                  <w:rStyle w:val="Hyperlink"/>
                  <w:szCs w:val="18"/>
                </w:rPr>
                <w:t>COM(2023)342</w:t>
              </w:r>
            </w:hyperlink>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szCs w:val="18"/>
              </w:rPr>
            </w:pPr>
          </w:p>
        </w:tc>
        <w:tc>
          <w:tcPr>
            <w:tcW w:w="1035" w:type="dxa"/>
          </w:tcPr>
          <w:p w:rsidRPr="00A9227F" w:rsidR="00DF5A2E" w:rsidP="000279E0" w:rsidRDefault="00DF5A2E">
            <w:pPr>
              <w:spacing w:after="240"/>
              <w:rPr>
                <w:szCs w:val="18"/>
              </w:rPr>
            </w:pPr>
            <w:r w:rsidRPr="00A9227F">
              <w:rPr>
                <w:szCs w:val="18"/>
              </w:rPr>
              <w:t>Voorstel</w:t>
            </w:r>
          </w:p>
        </w:tc>
        <w:tc>
          <w:tcPr>
            <w:tcW w:w="6529" w:type="dxa"/>
          </w:tcPr>
          <w:p w:rsidRPr="00A9227F" w:rsidR="00DF5A2E" w:rsidP="000279E0" w:rsidRDefault="00B477C4">
            <w:pPr>
              <w:spacing w:after="240"/>
              <w:rPr>
                <w:szCs w:val="18"/>
              </w:rPr>
            </w:pPr>
            <w:r>
              <w:rPr>
                <w:szCs w:val="18"/>
              </w:rPr>
              <w:t xml:space="preserve">Voor kennisgeving </w:t>
            </w:r>
            <w:proofErr w:type="spellStart"/>
            <w:r>
              <w:rPr>
                <w:szCs w:val="18"/>
              </w:rPr>
              <w:t>aanemen</w:t>
            </w:r>
            <w:proofErr w:type="spellEnd"/>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B477C4" w:rsidRDefault="00B477C4">
            <w:pPr>
              <w:spacing w:after="240"/>
              <w:rPr>
                <w:color w:val="595959" w:themeColor="text1" w:themeTint="A6"/>
                <w:szCs w:val="18"/>
              </w:rPr>
            </w:pPr>
            <w:r>
              <w:rPr>
                <w:color w:val="595959" w:themeColor="text1" w:themeTint="A6"/>
                <w:szCs w:val="18"/>
              </w:rPr>
              <w:t xml:space="preserve">Volgens </w:t>
            </w:r>
            <w:r w:rsidRPr="00531A26">
              <w:rPr>
                <w:color w:val="595959" w:themeColor="text1" w:themeTint="A6"/>
                <w:szCs w:val="18"/>
              </w:rPr>
              <w:t>de btw-richtlijn</w:t>
            </w:r>
            <w:r>
              <w:rPr>
                <w:color w:val="595959" w:themeColor="text1" w:themeTint="A6"/>
                <w:szCs w:val="18"/>
              </w:rPr>
              <w:t xml:space="preserve"> </w:t>
            </w:r>
            <w:r w:rsidRPr="00531A26">
              <w:rPr>
                <w:color w:val="595959" w:themeColor="text1" w:themeTint="A6"/>
                <w:szCs w:val="18"/>
              </w:rPr>
              <w:t xml:space="preserve">kan de Raad op voorstel van de Commissie met eenparigheid van stemmen elke lidstaat machtigen bijzondere, van de bepalingen van deze richtlijn afwijkende maatregelen te treffen, </w:t>
            </w:r>
            <w:r>
              <w:rPr>
                <w:color w:val="595959" w:themeColor="text1" w:themeTint="A6"/>
                <w:szCs w:val="18"/>
              </w:rPr>
              <w:t>om</w:t>
            </w:r>
            <w:r w:rsidRPr="00531A26">
              <w:rPr>
                <w:color w:val="595959" w:themeColor="text1" w:themeTint="A6"/>
                <w:szCs w:val="18"/>
              </w:rPr>
              <w:t xml:space="preserve"> de belastinginning te vereenvoudigen of bepaalde vormen van belastingfraude of -ontwijking te voorkomen</w:t>
            </w:r>
            <w:r>
              <w:rPr>
                <w:color w:val="595959" w:themeColor="text1" w:themeTint="A6"/>
                <w:szCs w:val="18"/>
              </w:rPr>
              <w:t xml:space="preserve">. Italië heeft </w:t>
            </w:r>
            <w:r w:rsidRPr="00B477C4">
              <w:rPr>
                <w:color w:val="595959" w:themeColor="text1" w:themeTint="A6"/>
                <w:szCs w:val="18"/>
              </w:rPr>
              <w:t>verzocht om te mogen blijven afwijken van de btw-richtlijn wat betreft de verplichtingen inzake de betaling en de facturering van de btw op leveringen van goedere</w:t>
            </w:r>
            <w:r>
              <w:rPr>
                <w:color w:val="595959" w:themeColor="text1" w:themeTint="A6"/>
                <w:szCs w:val="18"/>
              </w:rPr>
              <w:t>n en diensten aan overheden en</w:t>
            </w:r>
            <w:r w:rsidRPr="00B477C4">
              <w:rPr>
                <w:color w:val="595959" w:themeColor="text1" w:themeTint="A6"/>
                <w:szCs w:val="18"/>
              </w:rPr>
              <w:t xml:space="preserve"> aan ondernemingen die onder de zeggenschap van een centrale of lokale overheid staan.</w:t>
            </w:r>
            <w:r>
              <w:rPr>
                <w:color w:val="595959" w:themeColor="text1" w:themeTint="A6"/>
                <w:szCs w:val="18"/>
              </w:rPr>
              <w:t xml:space="preserve"> De Commissie stelt voor hier mee in te stemmen.</w:t>
            </w:r>
          </w:p>
        </w:tc>
      </w:tr>
    </w:tbl>
    <w:p w:rsidRPr="00A9227F"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6E5214" w:rsidTr="00B20232">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pPr>
              <w:spacing w:after="240"/>
              <w:rPr>
                <w:color w:val="595959" w:themeColor="text1" w:themeTint="A6"/>
                <w:szCs w:val="18"/>
              </w:rPr>
            </w:pPr>
            <w:r w:rsidRPr="00A9227F">
              <w:rPr>
                <w:color w:val="595959" w:themeColor="text1" w:themeTint="A6"/>
                <w:szCs w:val="18"/>
              </w:rPr>
              <w:t>Titel</w:t>
            </w:r>
          </w:p>
        </w:tc>
        <w:tc>
          <w:tcPr>
            <w:tcW w:w="6529" w:type="dxa"/>
          </w:tcPr>
          <w:p w:rsidRPr="00832DE8" w:rsidR="006E5214" w:rsidP="00B20232" w:rsidRDefault="00FA0E09">
            <w:pPr>
              <w:spacing w:after="240"/>
              <w:rPr>
                <w:b/>
                <w:color w:val="595959" w:themeColor="text1" w:themeTint="A6"/>
                <w:szCs w:val="18"/>
                <w:lang w:val="en-GB"/>
              </w:rPr>
            </w:pPr>
            <w:r w:rsidRPr="00832DE8">
              <w:rPr>
                <w:szCs w:val="18"/>
                <w:lang w:val="en-GB"/>
              </w:rPr>
              <w:t xml:space="preserve">Proposal for a COUNCIL IMPLEMENTING DECISION amending Implementing Decision (EU) (ST 10162 2021 INIT; ST 10162 2021 ADD 1) of 6 July 2021 on the approval of the assessment of the recovery and resilience plan for France </w:t>
            </w:r>
            <w:hyperlink w:history="1" r:id="rId27">
              <w:r w:rsidRPr="00832DE8">
                <w:rPr>
                  <w:rStyle w:val="Hyperlink"/>
                  <w:szCs w:val="18"/>
                  <w:lang w:val="en-GB"/>
                </w:rPr>
                <w:t>COM(2023)374</w:t>
              </w:r>
            </w:hyperlink>
          </w:p>
        </w:tc>
      </w:tr>
      <w:tr w:rsidRPr="00A9227F"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832DE8" w:rsidR="006E5214" w:rsidP="00B20232" w:rsidRDefault="006E5214">
            <w:pPr>
              <w:spacing w:after="240"/>
              <w:rPr>
                <w:szCs w:val="18"/>
                <w:lang w:val="en-GB"/>
              </w:rPr>
            </w:pPr>
          </w:p>
        </w:tc>
        <w:tc>
          <w:tcPr>
            <w:tcW w:w="1035" w:type="dxa"/>
          </w:tcPr>
          <w:p w:rsidRPr="00A9227F" w:rsidR="006E5214" w:rsidP="00B20232" w:rsidRDefault="006E5214">
            <w:pPr>
              <w:spacing w:after="240"/>
              <w:rPr>
                <w:szCs w:val="18"/>
              </w:rPr>
            </w:pPr>
            <w:r w:rsidRPr="00A9227F">
              <w:rPr>
                <w:szCs w:val="18"/>
              </w:rPr>
              <w:t>Voorstel</w:t>
            </w:r>
          </w:p>
        </w:tc>
        <w:tc>
          <w:tcPr>
            <w:tcW w:w="6529" w:type="dxa"/>
          </w:tcPr>
          <w:p w:rsidRPr="00A9227F" w:rsidR="006E5214" w:rsidP="00B20232" w:rsidRDefault="00B477C4">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4 juli a.s.</w:t>
            </w:r>
          </w:p>
        </w:tc>
      </w:tr>
      <w:tr w:rsidRPr="00A9227F"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pPr>
              <w:spacing w:after="240"/>
              <w:rPr>
                <w:color w:val="595959" w:themeColor="text1" w:themeTint="A6"/>
                <w:szCs w:val="18"/>
              </w:rPr>
            </w:pPr>
          </w:p>
        </w:tc>
        <w:tc>
          <w:tcPr>
            <w:tcW w:w="1035" w:type="dxa"/>
          </w:tcPr>
          <w:p w:rsidRPr="00A9227F" w:rsidR="006E5214" w:rsidP="00B20232" w:rsidRDefault="006E5214">
            <w:pPr>
              <w:spacing w:after="240"/>
              <w:rPr>
                <w:color w:val="595959" w:themeColor="text1" w:themeTint="A6"/>
                <w:szCs w:val="18"/>
              </w:rPr>
            </w:pPr>
            <w:r w:rsidRPr="00A9227F">
              <w:rPr>
                <w:color w:val="595959" w:themeColor="text1" w:themeTint="A6"/>
                <w:szCs w:val="18"/>
              </w:rPr>
              <w:t>Noot</w:t>
            </w:r>
          </w:p>
        </w:tc>
        <w:tc>
          <w:tcPr>
            <w:tcW w:w="6529" w:type="dxa"/>
          </w:tcPr>
          <w:p w:rsidRPr="00A9227F" w:rsidR="006E5214" w:rsidP="00D34C14" w:rsidRDefault="00A5764F">
            <w:pPr>
              <w:spacing w:after="240"/>
              <w:rPr>
                <w:color w:val="595959" w:themeColor="text1" w:themeTint="A6"/>
                <w:szCs w:val="18"/>
              </w:rPr>
            </w:pPr>
            <w:r>
              <w:rPr>
                <w:color w:val="595959" w:themeColor="text1" w:themeTint="A6"/>
                <w:szCs w:val="18"/>
              </w:rPr>
              <w:t xml:space="preserve">Dit betreft een voorstel van de Europese Commissie voor een uitvoeringsbesluit ter goedkeuring van het aangepaste herstel-en veerkrachtplan van Frankrijk. In het aangepaste plan is een nieuw hoofdstuk opgenomen ter uitvoering van </w:t>
            </w:r>
            <w:proofErr w:type="spellStart"/>
            <w:r>
              <w:rPr>
                <w:color w:val="595959" w:themeColor="text1" w:themeTint="A6"/>
                <w:szCs w:val="18"/>
              </w:rPr>
              <w:t>RepowerEU</w:t>
            </w:r>
            <w:proofErr w:type="spellEnd"/>
            <w:r>
              <w:rPr>
                <w:color w:val="595959" w:themeColor="text1" w:themeTint="A6"/>
                <w:szCs w:val="18"/>
              </w:rPr>
              <w:t xml:space="preserve"> en is rekening gehouden met de </w:t>
            </w:r>
            <w:r w:rsidRPr="000F34F2">
              <w:rPr>
                <w:color w:val="595959" w:themeColor="text1" w:themeTint="A6"/>
                <w:szCs w:val="18"/>
              </w:rPr>
              <w:t>geactualiseerde maximale financiële bijdrage</w:t>
            </w:r>
            <w:r>
              <w:rPr>
                <w:color w:val="595959" w:themeColor="text1" w:themeTint="A6"/>
                <w:szCs w:val="18"/>
              </w:rPr>
              <w:t xml:space="preserve"> voor Frankrijk.</w:t>
            </w:r>
            <w:r w:rsidR="00D34C14">
              <w:rPr>
                <w:color w:val="595959" w:themeColor="text1" w:themeTint="A6"/>
                <w:szCs w:val="18"/>
              </w:rPr>
              <w:t xml:space="preserve"> Ook wordt het plan aangepast omdat een aantal maatregelen door objectieve omstandigheden</w:t>
            </w:r>
            <w:r w:rsidRPr="00D34C14" w:rsidR="00D34C14">
              <w:rPr>
                <w:color w:val="595959" w:themeColor="text1" w:themeTint="A6"/>
                <w:szCs w:val="18"/>
              </w:rPr>
              <w:t xml:space="preserve"> niet langer haalbaar </w:t>
            </w:r>
            <w:r w:rsidR="00D34C14">
              <w:rPr>
                <w:color w:val="595959" w:themeColor="text1" w:themeTint="A6"/>
                <w:szCs w:val="18"/>
              </w:rPr>
              <w:t xml:space="preserve">zijn </w:t>
            </w:r>
            <w:r w:rsidRPr="00D34C14" w:rsidR="00D34C14">
              <w:rPr>
                <w:color w:val="595959" w:themeColor="text1" w:themeTint="A6"/>
                <w:szCs w:val="18"/>
              </w:rPr>
              <w:t>binnen de gegeven implementatietijdlijn</w:t>
            </w:r>
            <w:r w:rsidR="00D34C14">
              <w:rPr>
                <w:color w:val="595959" w:themeColor="text1" w:themeTint="A6"/>
                <w:szCs w:val="18"/>
              </w:rPr>
              <w:t>. De wijzigingen ziet op een dertigtal maatregelen.</w:t>
            </w:r>
          </w:p>
        </w:tc>
      </w:tr>
    </w:tbl>
    <w:p w:rsidRPr="00A9227F"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6E5214" w:rsidTr="00B20232">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pPr>
              <w:spacing w:after="240"/>
              <w:rPr>
                <w:color w:val="595959" w:themeColor="text1" w:themeTint="A6"/>
                <w:szCs w:val="18"/>
              </w:rPr>
            </w:pPr>
            <w:r w:rsidRPr="00A9227F">
              <w:rPr>
                <w:color w:val="595959" w:themeColor="text1" w:themeTint="A6"/>
                <w:szCs w:val="18"/>
              </w:rPr>
              <w:t>Titel</w:t>
            </w:r>
          </w:p>
        </w:tc>
        <w:tc>
          <w:tcPr>
            <w:tcW w:w="6529" w:type="dxa"/>
          </w:tcPr>
          <w:p w:rsidRPr="00832DE8" w:rsidR="006E5214" w:rsidP="00B20232" w:rsidRDefault="002301AD">
            <w:pPr>
              <w:spacing w:after="240"/>
              <w:rPr>
                <w:b/>
                <w:color w:val="595959" w:themeColor="text1" w:themeTint="A6"/>
                <w:szCs w:val="18"/>
                <w:lang w:val="en-GB"/>
              </w:rPr>
            </w:pPr>
            <w:r w:rsidRPr="00832DE8">
              <w:rPr>
                <w:szCs w:val="18"/>
                <w:lang w:val="en-GB"/>
              </w:rPr>
              <w:t xml:space="preserve">Proposal for a COUNCIL IMPLEMENTING DECISION amending Implementing Decision (EU) (ST 11046/21 INIT; ST 11046/21 ADD 1) of 8 September 2021 on the approval of the assessment of the recovery and resilience plan for Ireland </w:t>
            </w:r>
            <w:hyperlink w:history="1" r:id="rId28">
              <w:r w:rsidRPr="00832DE8">
                <w:rPr>
                  <w:rStyle w:val="Hyperlink"/>
                  <w:szCs w:val="18"/>
                  <w:lang w:val="en-GB"/>
                </w:rPr>
                <w:t>COM(2023)373</w:t>
              </w:r>
            </w:hyperlink>
          </w:p>
        </w:tc>
      </w:tr>
      <w:tr w:rsidRPr="00A9227F"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832DE8" w:rsidR="006E5214" w:rsidP="00B20232" w:rsidRDefault="006E5214">
            <w:pPr>
              <w:spacing w:after="240"/>
              <w:rPr>
                <w:szCs w:val="18"/>
                <w:lang w:val="en-GB"/>
              </w:rPr>
            </w:pPr>
          </w:p>
        </w:tc>
        <w:tc>
          <w:tcPr>
            <w:tcW w:w="1035" w:type="dxa"/>
          </w:tcPr>
          <w:p w:rsidRPr="00A9227F" w:rsidR="006E5214" w:rsidP="00B20232" w:rsidRDefault="006E5214">
            <w:pPr>
              <w:spacing w:after="240"/>
              <w:rPr>
                <w:szCs w:val="18"/>
              </w:rPr>
            </w:pPr>
            <w:r w:rsidRPr="00A9227F">
              <w:rPr>
                <w:szCs w:val="18"/>
              </w:rPr>
              <w:t>Voorstel</w:t>
            </w:r>
          </w:p>
        </w:tc>
        <w:tc>
          <w:tcPr>
            <w:tcW w:w="6529" w:type="dxa"/>
          </w:tcPr>
          <w:p w:rsidRPr="00A9227F" w:rsidR="006E5214" w:rsidP="00B20232" w:rsidRDefault="00B477C4">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4 juli a.s.</w:t>
            </w:r>
          </w:p>
        </w:tc>
      </w:tr>
      <w:tr w:rsidRPr="00A9227F"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pPr>
              <w:spacing w:after="240"/>
              <w:rPr>
                <w:color w:val="595959" w:themeColor="text1" w:themeTint="A6"/>
                <w:szCs w:val="18"/>
              </w:rPr>
            </w:pPr>
          </w:p>
        </w:tc>
        <w:tc>
          <w:tcPr>
            <w:tcW w:w="1035" w:type="dxa"/>
          </w:tcPr>
          <w:p w:rsidRPr="00A9227F" w:rsidR="006E5214" w:rsidP="00B20232" w:rsidRDefault="006E5214">
            <w:pPr>
              <w:spacing w:after="240"/>
              <w:rPr>
                <w:color w:val="595959" w:themeColor="text1" w:themeTint="A6"/>
                <w:szCs w:val="18"/>
              </w:rPr>
            </w:pPr>
            <w:r w:rsidRPr="00A9227F">
              <w:rPr>
                <w:color w:val="595959" w:themeColor="text1" w:themeTint="A6"/>
                <w:szCs w:val="18"/>
              </w:rPr>
              <w:t>Noot</w:t>
            </w:r>
          </w:p>
        </w:tc>
        <w:tc>
          <w:tcPr>
            <w:tcW w:w="6529" w:type="dxa"/>
          </w:tcPr>
          <w:p w:rsidRPr="00A9227F" w:rsidR="006E5214" w:rsidP="00D34C14" w:rsidRDefault="00A5764F">
            <w:pPr>
              <w:spacing w:after="240"/>
              <w:rPr>
                <w:color w:val="595959" w:themeColor="text1" w:themeTint="A6"/>
                <w:szCs w:val="18"/>
              </w:rPr>
            </w:pPr>
            <w:r>
              <w:rPr>
                <w:color w:val="595959" w:themeColor="text1" w:themeTint="A6"/>
                <w:szCs w:val="18"/>
              </w:rPr>
              <w:t xml:space="preserve">Dit betreft een voorstel van de Europese Commissie voor een uitvoeringsbesluit ter goedkeuring van het aangepaste herstel-en veerkrachtplan van Ierland. In het aangepaste plan </w:t>
            </w:r>
            <w:r w:rsidR="00D34C14">
              <w:rPr>
                <w:color w:val="595959" w:themeColor="text1" w:themeTint="A6"/>
                <w:szCs w:val="18"/>
              </w:rPr>
              <w:t xml:space="preserve">geeft Ierland aan dat een tweetal hervormingen </w:t>
            </w:r>
            <w:r w:rsidRPr="00D34C14" w:rsidR="00D34C14">
              <w:rPr>
                <w:color w:val="595959" w:themeColor="text1" w:themeTint="A6"/>
                <w:szCs w:val="18"/>
              </w:rPr>
              <w:t xml:space="preserve">niet langer haalbaar </w:t>
            </w:r>
            <w:r w:rsidR="00D34C14">
              <w:rPr>
                <w:color w:val="595959" w:themeColor="text1" w:themeTint="A6"/>
                <w:szCs w:val="18"/>
              </w:rPr>
              <w:t xml:space="preserve">zijn </w:t>
            </w:r>
            <w:r w:rsidRPr="00D34C14" w:rsidR="00D34C14">
              <w:rPr>
                <w:color w:val="595959" w:themeColor="text1" w:themeTint="A6"/>
                <w:szCs w:val="18"/>
              </w:rPr>
              <w:t>binnen de gegeven implementatietijdlijn</w:t>
            </w:r>
            <w:r w:rsidR="00D34C14">
              <w:rPr>
                <w:color w:val="595959" w:themeColor="text1" w:themeTint="A6"/>
                <w:szCs w:val="18"/>
              </w:rPr>
              <w:t>. In het aangepaste plan wordt daarom de implementatietijdlijn verlengd.</w:t>
            </w:r>
          </w:p>
        </w:tc>
      </w:tr>
    </w:tbl>
    <w:p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0C6670" w:rsidTr="005907AF">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0C6670" w:rsidP="005907AF" w:rsidRDefault="000C6670">
            <w:pPr>
              <w:pStyle w:val="Lijstalinea"/>
              <w:numPr>
                <w:ilvl w:val="0"/>
                <w:numId w:val="10"/>
              </w:numPr>
              <w:spacing w:after="240"/>
              <w:ind w:left="312"/>
              <w:rPr>
                <w:color w:val="595959" w:themeColor="text1" w:themeTint="A6"/>
                <w:szCs w:val="18"/>
              </w:rPr>
            </w:pPr>
          </w:p>
        </w:tc>
        <w:tc>
          <w:tcPr>
            <w:tcW w:w="1035" w:type="dxa"/>
          </w:tcPr>
          <w:p w:rsidRPr="00A9227F" w:rsidR="000C6670" w:rsidP="005907AF" w:rsidRDefault="000C6670">
            <w:pPr>
              <w:spacing w:after="240"/>
              <w:rPr>
                <w:color w:val="595959" w:themeColor="text1" w:themeTint="A6"/>
                <w:szCs w:val="18"/>
              </w:rPr>
            </w:pPr>
            <w:r w:rsidRPr="00A9227F">
              <w:rPr>
                <w:color w:val="595959" w:themeColor="text1" w:themeTint="A6"/>
                <w:szCs w:val="18"/>
              </w:rPr>
              <w:t>Titel</w:t>
            </w:r>
          </w:p>
        </w:tc>
        <w:tc>
          <w:tcPr>
            <w:tcW w:w="6529" w:type="dxa"/>
          </w:tcPr>
          <w:p w:rsidRPr="00832DE8" w:rsidR="000C6670" w:rsidP="005907AF" w:rsidRDefault="000C6670">
            <w:pPr>
              <w:spacing w:after="240"/>
              <w:rPr>
                <w:b/>
                <w:color w:val="595959" w:themeColor="text1" w:themeTint="A6"/>
                <w:szCs w:val="18"/>
                <w:lang w:val="en-GB"/>
              </w:rPr>
            </w:pPr>
            <w:r w:rsidRPr="00832DE8">
              <w:rPr>
                <w:szCs w:val="18"/>
                <w:lang w:val="en-GB"/>
              </w:rPr>
              <w:t xml:space="preserve">Proposal for a COUNCIL IMPLEMENTING DECISION amending Implementing Decision (EU) (ST 10156/21 INIT; ST 10156/21 ADD 1) on the approval of the assessment of the recovery and resilience plan for Slovakia </w:t>
            </w:r>
            <w:hyperlink w:history="1" r:id="rId29">
              <w:r w:rsidRPr="00832DE8">
                <w:rPr>
                  <w:rStyle w:val="Hyperlink"/>
                  <w:szCs w:val="18"/>
                  <w:lang w:val="en-GB"/>
                </w:rPr>
                <w:t>COM(2023)375</w:t>
              </w:r>
            </w:hyperlink>
          </w:p>
        </w:tc>
      </w:tr>
      <w:tr w:rsidRPr="00A9227F" w:rsidR="000C6670" w:rsidTr="005907AF">
        <w:tc>
          <w:tcPr>
            <w:tcW w:w="421" w:type="dxa"/>
            <w:vMerge/>
            <w:tcBorders>
              <w:top w:val="nil"/>
              <w:bottom w:val="single" w:color="D9D9D9" w:themeColor="background1" w:themeShade="D9" w:sz="4" w:space="0"/>
            </w:tcBorders>
            <w:shd w:val="clear" w:color="auto" w:fill="F2F2F2" w:themeFill="background1" w:themeFillShade="F2"/>
          </w:tcPr>
          <w:p w:rsidRPr="00832DE8" w:rsidR="000C6670" w:rsidP="005907AF" w:rsidRDefault="000C6670">
            <w:pPr>
              <w:spacing w:after="240"/>
              <w:rPr>
                <w:szCs w:val="18"/>
                <w:lang w:val="en-GB"/>
              </w:rPr>
            </w:pPr>
          </w:p>
        </w:tc>
        <w:tc>
          <w:tcPr>
            <w:tcW w:w="1035" w:type="dxa"/>
          </w:tcPr>
          <w:p w:rsidRPr="00A9227F" w:rsidR="000C6670" w:rsidP="005907AF" w:rsidRDefault="000C6670">
            <w:pPr>
              <w:spacing w:after="240"/>
              <w:rPr>
                <w:szCs w:val="18"/>
              </w:rPr>
            </w:pPr>
            <w:r w:rsidRPr="00A9227F">
              <w:rPr>
                <w:szCs w:val="18"/>
              </w:rPr>
              <w:t>Voorstel</w:t>
            </w:r>
          </w:p>
        </w:tc>
        <w:tc>
          <w:tcPr>
            <w:tcW w:w="6529" w:type="dxa"/>
          </w:tcPr>
          <w:p w:rsidRPr="00A9227F" w:rsidR="000C6670" w:rsidP="005907AF" w:rsidRDefault="00B477C4">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4 juli a.s.</w:t>
            </w:r>
          </w:p>
        </w:tc>
      </w:tr>
      <w:tr w:rsidRPr="00A9227F" w:rsidR="000C6670" w:rsidTr="005907AF">
        <w:tc>
          <w:tcPr>
            <w:tcW w:w="421" w:type="dxa"/>
            <w:vMerge/>
            <w:tcBorders>
              <w:top w:val="nil"/>
              <w:bottom w:val="single" w:color="D9D9D9" w:themeColor="background1" w:themeShade="D9" w:sz="4" w:space="0"/>
            </w:tcBorders>
            <w:shd w:val="clear" w:color="auto" w:fill="F2F2F2" w:themeFill="background1" w:themeFillShade="F2"/>
          </w:tcPr>
          <w:p w:rsidRPr="00A9227F" w:rsidR="000C6670" w:rsidP="005907AF" w:rsidRDefault="000C6670">
            <w:pPr>
              <w:spacing w:after="240"/>
              <w:rPr>
                <w:color w:val="595959" w:themeColor="text1" w:themeTint="A6"/>
                <w:szCs w:val="18"/>
              </w:rPr>
            </w:pPr>
          </w:p>
        </w:tc>
        <w:tc>
          <w:tcPr>
            <w:tcW w:w="1035" w:type="dxa"/>
          </w:tcPr>
          <w:p w:rsidRPr="00A9227F" w:rsidR="000C6670" w:rsidP="005907AF" w:rsidRDefault="000C6670">
            <w:pPr>
              <w:spacing w:after="240"/>
              <w:rPr>
                <w:color w:val="595959" w:themeColor="text1" w:themeTint="A6"/>
                <w:szCs w:val="18"/>
              </w:rPr>
            </w:pPr>
            <w:r w:rsidRPr="00A9227F">
              <w:rPr>
                <w:color w:val="595959" w:themeColor="text1" w:themeTint="A6"/>
                <w:szCs w:val="18"/>
              </w:rPr>
              <w:t>Noot</w:t>
            </w:r>
          </w:p>
        </w:tc>
        <w:tc>
          <w:tcPr>
            <w:tcW w:w="6529" w:type="dxa"/>
          </w:tcPr>
          <w:p w:rsidRPr="00A9227F" w:rsidR="000C6670" w:rsidP="00A5764F" w:rsidRDefault="00A5764F">
            <w:pPr>
              <w:spacing w:after="240"/>
              <w:rPr>
                <w:color w:val="595959" w:themeColor="text1" w:themeTint="A6"/>
                <w:szCs w:val="18"/>
              </w:rPr>
            </w:pPr>
            <w:r>
              <w:rPr>
                <w:color w:val="595959" w:themeColor="text1" w:themeTint="A6"/>
                <w:szCs w:val="18"/>
              </w:rPr>
              <w:t xml:space="preserve">Dit betreft een voorstel van de Europese Commissie voor een uitvoeringsbesluit ter goedkeuring van het aangepaste herstel-en veerkrachtplan van Slowakije. In het aangepaste plan is een nieuw hoofdstuk opgenomen ter uitvoering van </w:t>
            </w:r>
            <w:proofErr w:type="spellStart"/>
            <w:r>
              <w:rPr>
                <w:color w:val="595959" w:themeColor="text1" w:themeTint="A6"/>
                <w:szCs w:val="18"/>
              </w:rPr>
              <w:t>RepowerEU</w:t>
            </w:r>
            <w:proofErr w:type="spellEnd"/>
            <w:r>
              <w:rPr>
                <w:color w:val="595959" w:themeColor="text1" w:themeTint="A6"/>
                <w:szCs w:val="18"/>
              </w:rPr>
              <w:t xml:space="preserve"> en is rekening gehouden met de </w:t>
            </w:r>
            <w:r w:rsidRPr="000F34F2">
              <w:rPr>
                <w:color w:val="595959" w:themeColor="text1" w:themeTint="A6"/>
                <w:szCs w:val="18"/>
              </w:rPr>
              <w:t>geactualiseerde maximale financiële bijdrage</w:t>
            </w:r>
            <w:r>
              <w:rPr>
                <w:color w:val="595959" w:themeColor="text1" w:themeTint="A6"/>
                <w:szCs w:val="18"/>
              </w:rPr>
              <w:t xml:space="preserve"> voor Slowakije.</w:t>
            </w:r>
          </w:p>
        </w:tc>
      </w:tr>
    </w:tbl>
    <w:p w:rsidR="000C6670" w:rsidP="002A4BD8" w:rsidRDefault="000C667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32DE8" w:rsidR="000C6670" w:rsidTr="005907AF">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0C6670" w:rsidP="005907AF" w:rsidRDefault="000C6670">
            <w:pPr>
              <w:pStyle w:val="Lijstalinea"/>
              <w:numPr>
                <w:ilvl w:val="0"/>
                <w:numId w:val="10"/>
              </w:numPr>
              <w:spacing w:after="240"/>
              <w:ind w:left="312"/>
              <w:rPr>
                <w:color w:val="595959" w:themeColor="text1" w:themeTint="A6"/>
                <w:szCs w:val="18"/>
              </w:rPr>
            </w:pPr>
          </w:p>
        </w:tc>
        <w:tc>
          <w:tcPr>
            <w:tcW w:w="1035" w:type="dxa"/>
          </w:tcPr>
          <w:p w:rsidRPr="00A9227F" w:rsidR="000C6670" w:rsidP="005907AF" w:rsidRDefault="000C6670">
            <w:pPr>
              <w:spacing w:after="240"/>
              <w:rPr>
                <w:color w:val="595959" w:themeColor="text1" w:themeTint="A6"/>
                <w:szCs w:val="18"/>
              </w:rPr>
            </w:pPr>
            <w:r w:rsidRPr="00A9227F">
              <w:rPr>
                <w:color w:val="595959" w:themeColor="text1" w:themeTint="A6"/>
                <w:szCs w:val="18"/>
              </w:rPr>
              <w:t>Titel</w:t>
            </w:r>
          </w:p>
        </w:tc>
        <w:tc>
          <w:tcPr>
            <w:tcW w:w="6529" w:type="dxa"/>
          </w:tcPr>
          <w:p w:rsidRPr="00832DE8" w:rsidR="000C6670" w:rsidP="005907AF" w:rsidRDefault="002501AE">
            <w:pPr>
              <w:spacing w:after="240"/>
              <w:rPr>
                <w:b/>
                <w:color w:val="595959" w:themeColor="text1" w:themeTint="A6"/>
                <w:szCs w:val="18"/>
                <w:lang w:val="en-GB"/>
              </w:rPr>
            </w:pPr>
            <w:r w:rsidRPr="00832DE8">
              <w:rPr>
                <w:szCs w:val="18"/>
                <w:lang w:val="en-GB"/>
              </w:rPr>
              <w:t xml:space="preserve">Proposal for a COUNCIL IMPLEMENTING DECISION amending Council Implementing Decision (EU) (ST 11941/2021; ST 11941/2021 ADD 1) of 5 October 2021 on the approval of the assessment of the recovery and resilience plan for Malta </w:t>
            </w:r>
            <w:hyperlink w:history="1" r:id="rId30">
              <w:r w:rsidRPr="00832DE8">
                <w:rPr>
                  <w:rStyle w:val="Hyperlink"/>
                  <w:szCs w:val="18"/>
                  <w:lang w:val="en-GB"/>
                </w:rPr>
                <w:t>COM(2023)372</w:t>
              </w:r>
            </w:hyperlink>
          </w:p>
        </w:tc>
      </w:tr>
      <w:tr w:rsidRPr="00A9227F" w:rsidR="000C6670" w:rsidTr="005907AF">
        <w:tc>
          <w:tcPr>
            <w:tcW w:w="421" w:type="dxa"/>
            <w:vMerge/>
            <w:tcBorders>
              <w:top w:val="nil"/>
              <w:bottom w:val="single" w:color="D9D9D9" w:themeColor="background1" w:themeShade="D9" w:sz="4" w:space="0"/>
            </w:tcBorders>
            <w:shd w:val="clear" w:color="auto" w:fill="F2F2F2" w:themeFill="background1" w:themeFillShade="F2"/>
          </w:tcPr>
          <w:p w:rsidRPr="00832DE8" w:rsidR="000C6670" w:rsidP="005907AF" w:rsidRDefault="000C6670">
            <w:pPr>
              <w:spacing w:after="240"/>
              <w:rPr>
                <w:szCs w:val="18"/>
                <w:lang w:val="en-GB"/>
              </w:rPr>
            </w:pPr>
          </w:p>
        </w:tc>
        <w:tc>
          <w:tcPr>
            <w:tcW w:w="1035" w:type="dxa"/>
          </w:tcPr>
          <w:p w:rsidRPr="00A9227F" w:rsidR="000C6670" w:rsidP="005907AF" w:rsidRDefault="000C6670">
            <w:pPr>
              <w:spacing w:after="240"/>
              <w:rPr>
                <w:szCs w:val="18"/>
              </w:rPr>
            </w:pPr>
            <w:r w:rsidRPr="00A9227F">
              <w:rPr>
                <w:szCs w:val="18"/>
              </w:rPr>
              <w:t>Voorstel</w:t>
            </w:r>
          </w:p>
        </w:tc>
        <w:tc>
          <w:tcPr>
            <w:tcW w:w="6529" w:type="dxa"/>
          </w:tcPr>
          <w:p w:rsidRPr="00A9227F" w:rsidR="000C6670" w:rsidP="005907AF" w:rsidRDefault="00B477C4">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4 juli a.s.</w:t>
            </w:r>
          </w:p>
        </w:tc>
      </w:tr>
      <w:tr w:rsidRPr="00A9227F" w:rsidR="000C6670" w:rsidTr="005907AF">
        <w:tc>
          <w:tcPr>
            <w:tcW w:w="421" w:type="dxa"/>
            <w:vMerge/>
            <w:tcBorders>
              <w:top w:val="nil"/>
              <w:bottom w:val="single" w:color="D9D9D9" w:themeColor="background1" w:themeShade="D9" w:sz="4" w:space="0"/>
            </w:tcBorders>
            <w:shd w:val="clear" w:color="auto" w:fill="F2F2F2" w:themeFill="background1" w:themeFillShade="F2"/>
          </w:tcPr>
          <w:p w:rsidRPr="00A9227F" w:rsidR="000C6670" w:rsidP="005907AF" w:rsidRDefault="000C6670">
            <w:pPr>
              <w:spacing w:after="240"/>
              <w:rPr>
                <w:color w:val="595959" w:themeColor="text1" w:themeTint="A6"/>
                <w:szCs w:val="18"/>
              </w:rPr>
            </w:pPr>
          </w:p>
        </w:tc>
        <w:tc>
          <w:tcPr>
            <w:tcW w:w="1035" w:type="dxa"/>
          </w:tcPr>
          <w:p w:rsidRPr="00A9227F" w:rsidR="000C6670" w:rsidP="005907AF" w:rsidRDefault="000C6670">
            <w:pPr>
              <w:spacing w:after="240"/>
              <w:rPr>
                <w:color w:val="595959" w:themeColor="text1" w:themeTint="A6"/>
                <w:szCs w:val="18"/>
              </w:rPr>
            </w:pPr>
            <w:r w:rsidRPr="00A9227F">
              <w:rPr>
                <w:color w:val="595959" w:themeColor="text1" w:themeTint="A6"/>
                <w:szCs w:val="18"/>
              </w:rPr>
              <w:t>Noot</w:t>
            </w:r>
          </w:p>
        </w:tc>
        <w:tc>
          <w:tcPr>
            <w:tcW w:w="6529" w:type="dxa"/>
          </w:tcPr>
          <w:p w:rsidRPr="00A9227F" w:rsidR="000C6670" w:rsidP="00D34C14" w:rsidRDefault="00A5764F">
            <w:pPr>
              <w:spacing w:after="240"/>
              <w:rPr>
                <w:color w:val="595959" w:themeColor="text1" w:themeTint="A6"/>
                <w:szCs w:val="18"/>
              </w:rPr>
            </w:pPr>
            <w:r>
              <w:rPr>
                <w:color w:val="595959" w:themeColor="text1" w:themeTint="A6"/>
                <w:szCs w:val="18"/>
              </w:rPr>
              <w:t xml:space="preserve">Dit betreft een voorstel van de Europese Commissie voor een uitvoeringsbesluit ter goedkeuring van het aangepaste herstel-en veerkrachtplan van Malta. In het aangepaste plan is een nieuw hoofdstuk opgenomen ter uitvoering van </w:t>
            </w:r>
            <w:proofErr w:type="spellStart"/>
            <w:r>
              <w:rPr>
                <w:color w:val="595959" w:themeColor="text1" w:themeTint="A6"/>
                <w:szCs w:val="18"/>
              </w:rPr>
              <w:t>RepowerEU</w:t>
            </w:r>
            <w:proofErr w:type="spellEnd"/>
            <w:r>
              <w:rPr>
                <w:color w:val="595959" w:themeColor="text1" w:themeTint="A6"/>
                <w:szCs w:val="18"/>
              </w:rPr>
              <w:t xml:space="preserve"> en is rekening gehouden met de </w:t>
            </w:r>
            <w:r w:rsidRPr="000F34F2">
              <w:rPr>
                <w:color w:val="595959" w:themeColor="text1" w:themeTint="A6"/>
                <w:szCs w:val="18"/>
              </w:rPr>
              <w:t>geactualiseerde maximale financiële bijdrage</w:t>
            </w:r>
            <w:r>
              <w:rPr>
                <w:color w:val="595959" w:themeColor="text1" w:themeTint="A6"/>
                <w:szCs w:val="18"/>
              </w:rPr>
              <w:t xml:space="preserve"> voor Malta.</w:t>
            </w:r>
            <w:r w:rsidR="00D34C14">
              <w:rPr>
                <w:color w:val="595959" w:themeColor="text1" w:themeTint="A6"/>
                <w:szCs w:val="18"/>
              </w:rPr>
              <w:t xml:space="preserve"> Ook geeft Malta aan dat een zestal maatregelen door objectieve omstandigheden </w:t>
            </w:r>
            <w:r w:rsidRPr="00D34C14" w:rsidR="00D34C14">
              <w:rPr>
                <w:color w:val="595959" w:themeColor="text1" w:themeTint="A6"/>
                <w:szCs w:val="18"/>
              </w:rPr>
              <w:t xml:space="preserve">niet langer haalbaar </w:t>
            </w:r>
            <w:r w:rsidR="00D34C14">
              <w:rPr>
                <w:color w:val="595959" w:themeColor="text1" w:themeTint="A6"/>
                <w:szCs w:val="18"/>
              </w:rPr>
              <w:t xml:space="preserve">zijn </w:t>
            </w:r>
            <w:r w:rsidRPr="00D34C14" w:rsidR="00D34C14">
              <w:rPr>
                <w:color w:val="595959" w:themeColor="text1" w:themeTint="A6"/>
                <w:szCs w:val="18"/>
              </w:rPr>
              <w:t>binnen de gegeven implementatietijdlijn</w:t>
            </w:r>
            <w:r w:rsidR="00D34C14">
              <w:rPr>
                <w:color w:val="595959" w:themeColor="text1" w:themeTint="A6"/>
                <w:szCs w:val="18"/>
              </w:rPr>
              <w:t>.</w:t>
            </w:r>
          </w:p>
        </w:tc>
      </w:tr>
    </w:tbl>
    <w:p w:rsidR="000C6670" w:rsidP="002A4BD8" w:rsidRDefault="000C667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0C6670" w:rsidTr="005907AF">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0C6670" w:rsidP="005907AF" w:rsidRDefault="000C6670">
            <w:pPr>
              <w:pStyle w:val="Lijstalinea"/>
              <w:numPr>
                <w:ilvl w:val="0"/>
                <w:numId w:val="10"/>
              </w:numPr>
              <w:spacing w:after="240"/>
              <w:ind w:left="312"/>
              <w:rPr>
                <w:color w:val="595959" w:themeColor="text1" w:themeTint="A6"/>
                <w:szCs w:val="18"/>
              </w:rPr>
            </w:pPr>
          </w:p>
        </w:tc>
        <w:tc>
          <w:tcPr>
            <w:tcW w:w="1035" w:type="dxa"/>
          </w:tcPr>
          <w:p w:rsidRPr="00A9227F" w:rsidR="000C6670" w:rsidP="005907AF" w:rsidRDefault="000C6670">
            <w:pPr>
              <w:spacing w:after="240"/>
              <w:rPr>
                <w:color w:val="595959" w:themeColor="text1" w:themeTint="A6"/>
                <w:szCs w:val="18"/>
              </w:rPr>
            </w:pPr>
            <w:r w:rsidRPr="00A9227F">
              <w:rPr>
                <w:color w:val="595959" w:themeColor="text1" w:themeTint="A6"/>
                <w:szCs w:val="18"/>
              </w:rPr>
              <w:t>Titel</w:t>
            </w:r>
          </w:p>
        </w:tc>
        <w:tc>
          <w:tcPr>
            <w:tcW w:w="6529" w:type="dxa"/>
          </w:tcPr>
          <w:p w:rsidRPr="00832DE8" w:rsidR="009749F7" w:rsidP="009749F7" w:rsidRDefault="009749F7">
            <w:pPr>
              <w:shd w:val="clear" w:color="auto" w:fill="FFFFFF"/>
              <w:spacing w:after="75"/>
              <w:rPr>
                <w:szCs w:val="18"/>
                <w:lang w:val="en-GB" w:eastAsia="nl-NL"/>
              </w:rPr>
            </w:pPr>
            <w:r w:rsidRPr="00832DE8">
              <w:rPr>
                <w:szCs w:val="18"/>
                <w:lang w:val="en-GB"/>
              </w:rPr>
              <w:t>COMMUNICATION FROM THE COMMISSION TO THE EUROPEAN PARLIAMENT, THE COUNCIL, THE EUROPEAN ECONOMIC AND SOCIAL COMMITTEE AND THE COMMITTEE OF THE REGIONS An adjusted package for the next generation of own resources</w:t>
            </w:r>
          </w:p>
          <w:p w:rsidRPr="00A9227F" w:rsidR="000C6670" w:rsidP="009749F7" w:rsidRDefault="00832DE8">
            <w:pPr>
              <w:spacing w:after="240"/>
              <w:rPr>
                <w:b/>
                <w:color w:val="595959" w:themeColor="text1" w:themeTint="A6"/>
                <w:szCs w:val="18"/>
              </w:rPr>
            </w:pPr>
            <w:hyperlink w:history="1" r:id="rId31">
              <w:r w:rsidR="009749F7">
                <w:rPr>
                  <w:rStyle w:val="Hyperlink"/>
                  <w:szCs w:val="18"/>
                </w:rPr>
                <w:t>COM(2023)330</w:t>
              </w:r>
            </w:hyperlink>
          </w:p>
        </w:tc>
      </w:tr>
      <w:tr w:rsidRPr="00A9227F" w:rsidR="000C6670" w:rsidTr="005907AF">
        <w:tc>
          <w:tcPr>
            <w:tcW w:w="421" w:type="dxa"/>
            <w:vMerge/>
            <w:tcBorders>
              <w:top w:val="nil"/>
              <w:bottom w:val="single" w:color="D9D9D9" w:themeColor="background1" w:themeShade="D9" w:sz="4" w:space="0"/>
            </w:tcBorders>
            <w:shd w:val="clear" w:color="auto" w:fill="F2F2F2" w:themeFill="background1" w:themeFillShade="F2"/>
          </w:tcPr>
          <w:p w:rsidRPr="00A9227F" w:rsidR="000C6670" w:rsidP="005907AF" w:rsidRDefault="000C6670">
            <w:pPr>
              <w:spacing w:after="240"/>
              <w:rPr>
                <w:szCs w:val="18"/>
              </w:rPr>
            </w:pPr>
          </w:p>
        </w:tc>
        <w:tc>
          <w:tcPr>
            <w:tcW w:w="1035" w:type="dxa"/>
          </w:tcPr>
          <w:p w:rsidRPr="00A9227F" w:rsidR="000C6670" w:rsidP="005907AF" w:rsidRDefault="000C6670">
            <w:pPr>
              <w:spacing w:after="240"/>
              <w:rPr>
                <w:szCs w:val="18"/>
              </w:rPr>
            </w:pPr>
            <w:r w:rsidRPr="00A9227F">
              <w:rPr>
                <w:szCs w:val="18"/>
              </w:rPr>
              <w:t>Voorstel</w:t>
            </w:r>
          </w:p>
        </w:tc>
        <w:tc>
          <w:tcPr>
            <w:tcW w:w="6529" w:type="dxa"/>
          </w:tcPr>
          <w:p w:rsidRPr="00A9227F" w:rsidR="000C6670" w:rsidP="005907AF" w:rsidRDefault="00311B15">
            <w:pPr>
              <w:spacing w:after="240"/>
              <w:rPr>
                <w:szCs w:val="18"/>
              </w:rPr>
            </w:pPr>
            <w:r>
              <w:rPr>
                <w:szCs w:val="18"/>
              </w:rPr>
              <w:t xml:space="preserve">Zie </w:t>
            </w:r>
            <w:hyperlink w:history="1" r:id="rId32">
              <w:r w:rsidRPr="009749F7">
                <w:rPr>
                  <w:rStyle w:val="Hyperlink"/>
                  <w:szCs w:val="18"/>
                </w:rPr>
                <w:t>behandelnotitie</w:t>
              </w:r>
            </w:hyperlink>
          </w:p>
        </w:tc>
      </w:tr>
      <w:tr w:rsidRPr="00A9227F" w:rsidR="000C6670" w:rsidTr="005907AF">
        <w:tc>
          <w:tcPr>
            <w:tcW w:w="421" w:type="dxa"/>
            <w:vMerge/>
            <w:tcBorders>
              <w:top w:val="nil"/>
              <w:bottom w:val="single" w:color="D9D9D9" w:themeColor="background1" w:themeShade="D9" w:sz="4" w:space="0"/>
            </w:tcBorders>
            <w:shd w:val="clear" w:color="auto" w:fill="F2F2F2" w:themeFill="background1" w:themeFillShade="F2"/>
          </w:tcPr>
          <w:p w:rsidRPr="00A9227F" w:rsidR="000C6670" w:rsidP="005907AF" w:rsidRDefault="000C6670">
            <w:pPr>
              <w:spacing w:after="240"/>
              <w:rPr>
                <w:color w:val="595959" w:themeColor="text1" w:themeTint="A6"/>
                <w:szCs w:val="18"/>
              </w:rPr>
            </w:pPr>
          </w:p>
        </w:tc>
        <w:tc>
          <w:tcPr>
            <w:tcW w:w="1035" w:type="dxa"/>
          </w:tcPr>
          <w:p w:rsidRPr="00A9227F" w:rsidR="000C6670" w:rsidP="005907AF" w:rsidRDefault="000C6670">
            <w:pPr>
              <w:spacing w:after="240"/>
              <w:rPr>
                <w:color w:val="595959" w:themeColor="text1" w:themeTint="A6"/>
                <w:szCs w:val="18"/>
              </w:rPr>
            </w:pPr>
            <w:r w:rsidRPr="00A9227F">
              <w:rPr>
                <w:color w:val="595959" w:themeColor="text1" w:themeTint="A6"/>
                <w:szCs w:val="18"/>
              </w:rPr>
              <w:t>Noot</w:t>
            </w:r>
          </w:p>
        </w:tc>
        <w:tc>
          <w:tcPr>
            <w:tcW w:w="6529" w:type="dxa"/>
          </w:tcPr>
          <w:p w:rsidRPr="00A9227F" w:rsidR="000C6670" w:rsidP="00311B15" w:rsidRDefault="00311B15">
            <w:pPr>
              <w:spacing w:after="240"/>
              <w:rPr>
                <w:color w:val="595959" w:themeColor="text1" w:themeTint="A6"/>
                <w:szCs w:val="18"/>
              </w:rPr>
            </w:pPr>
            <w:r>
              <w:rPr>
                <w:color w:val="595959" w:themeColor="text1" w:themeTint="A6"/>
                <w:szCs w:val="18"/>
              </w:rPr>
              <w:t xml:space="preserve">Dit betreft de mededeling bij het voorstel voor nieuwe eigen middelen voor de EU-begroting. </w:t>
            </w:r>
            <w:r w:rsidRPr="009749F7">
              <w:rPr>
                <w:color w:val="595959" w:themeColor="text1" w:themeTint="A6"/>
                <w:szCs w:val="18"/>
              </w:rPr>
              <w:t>In dit voorstel wordt een nieuw eigen middel gepresenteerd op basis van bedrijfswinsten en worden de voorstellen voor een eigen middel uit EU-ETS en CBAM aangepast.</w:t>
            </w:r>
          </w:p>
        </w:tc>
      </w:tr>
    </w:tbl>
    <w:p w:rsidR="000C6670" w:rsidP="002A4BD8" w:rsidRDefault="000C667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749F7" w:rsidTr="008C653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49F7" w:rsidP="008C6530" w:rsidRDefault="009749F7">
            <w:pPr>
              <w:pStyle w:val="Lijstalinea"/>
              <w:numPr>
                <w:ilvl w:val="0"/>
                <w:numId w:val="10"/>
              </w:numPr>
              <w:spacing w:after="240"/>
              <w:ind w:left="312"/>
              <w:rPr>
                <w:color w:val="595959" w:themeColor="text1" w:themeTint="A6"/>
                <w:szCs w:val="18"/>
              </w:rPr>
            </w:pPr>
          </w:p>
        </w:tc>
        <w:tc>
          <w:tcPr>
            <w:tcW w:w="1035" w:type="dxa"/>
          </w:tcPr>
          <w:p w:rsidRPr="00A9227F" w:rsidR="009749F7" w:rsidP="008C6530" w:rsidRDefault="009749F7">
            <w:pPr>
              <w:spacing w:after="240"/>
              <w:rPr>
                <w:color w:val="595959" w:themeColor="text1" w:themeTint="A6"/>
                <w:szCs w:val="18"/>
              </w:rPr>
            </w:pPr>
            <w:r w:rsidRPr="00A9227F">
              <w:rPr>
                <w:color w:val="595959" w:themeColor="text1" w:themeTint="A6"/>
                <w:szCs w:val="18"/>
              </w:rPr>
              <w:t>Titel</w:t>
            </w:r>
          </w:p>
        </w:tc>
        <w:tc>
          <w:tcPr>
            <w:tcW w:w="6529" w:type="dxa"/>
          </w:tcPr>
          <w:p w:rsidRPr="00A9227F" w:rsidR="009749F7" w:rsidP="008C6530" w:rsidRDefault="009749F7">
            <w:pPr>
              <w:spacing w:after="240"/>
              <w:rPr>
                <w:b/>
                <w:color w:val="595959" w:themeColor="text1" w:themeTint="A6"/>
                <w:szCs w:val="18"/>
              </w:rPr>
            </w:pPr>
            <w:r w:rsidRPr="00832DE8">
              <w:rPr>
                <w:szCs w:val="18"/>
              </w:rPr>
              <w:t xml:space="preserve">VERSLAG VAN DE COMMISSIE AAN HET EUROPEES PARLEMENT EN DE RAAD over de toepassing van Verordening (EU) nr. 549/2013 van het Europees Parlement en de Raad van 21 mei 2013 betreffende het Europees systeem van nationale en regionale rekeningen in de Europese Unie </w:t>
            </w:r>
            <w:hyperlink w:history="1" r:id="rId33">
              <w:r w:rsidRPr="00832DE8">
                <w:rPr>
                  <w:rStyle w:val="Hyperlink"/>
                  <w:szCs w:val="18"/>
                </w:rPr>
                <w:t>COM(2023)308</w:t>
              </w:r>
            </w:hyperlink>
          </w:p>
        </w:tc>
      </w:tr>
      <w:tr w:rsidRPr="00A9227F" w:rsidR="009749F7" w:rsidTr="008C6530">
        <w:tc>
          <w:tcPr>
            <w:tcW w:w="421" w:type="dxa"/>
            <w:vMerge/>
            <w:tcBorders>
              <w:top w:val="nil"/>
              <w:bottom w:val="single" w:color="D9D9D9" w:themeColor="background1" w:themeShade="D9" w:sz="4" w:space="0"/>
            </w:tcBorders>
            <w:shd w:val="clear" w:color="auto" w:fill="F2F2F2" w:themeFill="background1" w:themeFillShade="F2"/>
          </w:tcPr>
          <w:p w:rsidRPr="00A9227F" w:rsidR="009749F7" w:rsidP="008C6530" w:rsidRDefault="009749F7">
            <w:pPr>
              <w:spacing w:after="240"/>
              <w:rPr>
                <w:szCs w:val="18"/>
              </w:rPr>
            </w:pPr>
          </w:p>
        </w:tc>
        <w:tc>
          <w:tcPr>
            <w:tcW w:w="1035" w:type="dxa"/>
          </w:tcPr>
          <w:p w:rsidRPr="00A9227F" w:rsidR="009749F7" w:rsidP="008C6530" w:rsidRDefault="009749F7">
            <w:pPr>
              <w:spacing w:after="240"/>
              <w:rPr>
                <w:szCs w:val="18"/>
              </w:rPr>
            </w:pPr>
            <w:r w:rsidRPr="00A9227F">
              <w:rPr>
                <w:szCs w:val="18"/>
              </w:rPr>
              <w:t>Voorstel</w:t>
            </w:r>
          </w:p>
        </w:tc>
        <w:tc>
          <w:tcPr>
            <w:tcW w:w="6529" w:type="dxa"/>
          </w:tcPr>
          <w:p w:rsidRPr="00A9227F" w:rsidR="009749F7" w:rsidP="008C6530" w:rsidRDefault="008951FE">
            <w:pPr>
              <w:spacing w:after="240"/>
              <w:rPr>
                <w:szCs w:val="18"/>
              </w:rPr>
            </w:pPr>
            <w:r>
              <w:rPr>
                <w:szCs w:val="18"/>
              </w:rPr>
              <w:t>Voor kennisgeving aannemen</w:t>
            </w:r>
          </w:p>
        </w:tc>
      </w:tr>
      <w:tr w:rsidRPr="00A9227F" w:rsidR="009749F7" w:rsidTr="008C6530">
        <w:tc>
          <w:tcPr>
            <w:tcW w:w="421" w:type="dxa"/>
            <w:vMerge/>
            <w:tcBorders>
              <w:top w:val="nil"/>
              <w:bottom w:val="single" w:color="D9D9D9" w:themeColor="background1" w:themeShade="D9" w:sz="4" w:space="0"/>
            </w:tcBorders>
            <w:shd w:val="clear" w:color="auto" w:fill="F2F2F2" w:themeFill="background1" w:themeFillShade="F2"/>
          </w:tcPr>
          <w:p w:rsidRPr="00A9227F" w:rsidR="009749F7" w:rsidP="008C6530" w:rsidRDefault="009749F7">
            <w:pPr>
              <w:spacing w:after="240"/>
              <w:rPr>
                <w:color w:val="595959" w:themeColor="text1" w:themeTint="A6"/>
                <w:szCs w:val="18"/>
              </w:rPr>
            </w:pPr>
          </w:p>
        </w:tc>
        <w:tc>
          <w:tcPr>
            <w:tcW w:w="1035" w:type="dxa"/>
          </w:tcPr>
          <w:p w:rsidRPr="00A9227F" w:rsidR="009749F7" w:rsidP="008C6530" w:rsidRDefault="009749F7">
            <w:pPr>
              <w:spacing w:after="240"/>
              <w:rPr>
                <w:color w:val="595959" w:themeColor="text1" w:themeTint="A6"/>
                <w:szCs w:val="18"/>
              </w:rPr>
            </w:pPr>
            <w:r w:rsidRPr="00A9227F">
              <w:rPr>
                <w:color w:val="595959" w:themeColor="text1" w:themeTint="A6"/>
                <w:szCs w:val="18"/>
              </w:rPr>
              <w:t>Noot</w:t>
            </w:r>
          </w:p>
        </w:tc>
        <w:tc>
          <w:tcPr>
            <w:tcW w:w="6529" w:type="dxa"/>
          </w:tcPr>
          <w:p w:rsidRPr="00A9227F" w:rsidR="009749F7" w:rsidP="008951FE" w:rsidRDefault="008951FE">
            <w:pPr>
              <w:spacing w:after="240"/>
              <w:rPr>
                <w:color w:val="595959" w:themeColor="text1" w:themeTint="A6"/>
                <w:szCs w:val="18"/>
              </w:rPr>
            </w:pPr>
            <w:r w:rsidRPr="008951FE">
              <w:rPr>
                <w:color w:val="595959" w:themeColor="text1" w:themeTint="A6"/>
                <w:szCs w:val="18"/>
              </w:rPr>
              <w:t xml:space="preserve">Het Europees systeem van nationale en regionale rekeningen (ESR 2010) is het internationale compatibele EU-kader voor financiële verslaglegging dat wordt gebruikt voor een systematische en gedetailleerde beschrijving van een economie. Het is de bron voor tal van belangrijke economische indicatoren voor beleidsvorming en economische analyse door overheden, internationale instellingen en de academische wereld, met inbegrip van het bruto binnenlands product (bbp). Om de vijf jaar </w:t>
            </w:r>
            <w:r>
              <w:rPr>
                <w:color w:val="595959" w:themeColor="text1" w:themeTint="A6"/>
                <w:szCs w:val="18"/>
              </w:rPr>
              <w:t xml:space="preserve">legt de Europese Commissie </w:t>
            </w:r>
            <w:r w:rsidRPr="008951FE">
              <w:rPr>
                <w:color w:val="595959" w:themeColor="text1" w:themeTint="A6"/>
                <w:szCs w:val="18"/>
              </w:rPr>
              <w:t xml:space="preserve">een verslag </w:t>
            </w:r>
            <w:r>
              <w:rPr>
                <w:color w:val="595959" w:themeColor="text1" w:themeTint="A6"/>
                <w:szCs w:val="18"/>
              </w:rPr>
              <w:t>voor</w:t>
            </w:r>
            <w:r w:rsidRPr="008951FE">
              <w:rPr>
                <w:color w:val="595959" w:themeColor="text1" w:themeTint="A6"/>
                <w:szCs w:val="18"/>
              </w:rPr>
              <w:t xml:space="preserve"> over de toepassing van deze verordening.</w:t>
            </w:r>
          </w:p>
        </w:tc>
      </w:tr>
    </w:tbl>
    <w:p w:rsidRPr="00A9227F" w:rsidR="009749F7" w:rsidP="002A4BD8" w:rsidRDefault="009749F7">
      <w:pPr>
        <w:rPr>
          <w:szCs w:val="18"/>
        </w:rPr>
      </w:pPr>
    </w:p>
    <w:sectPr w:rsidRPr="00A9227F" w:rsidR="009749F7" w:rsidSect="00BF62AD">
      <w:headerReference w:type="default" r:id="rId34"/>
      <w:footerReference w:type="default" r:id="rId3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A0" w:rsidRDefault="00BA47A0">
      <w:r>
        <w:separator/>
      </w:r>
    </w:p>
  </w:endnote>
  <w:endnote w:type="continuationSeparator" w:id="0">
    <w:p w:rsidR="00BA47A0" w:rsidRDefault="00BA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832DE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832DE8">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832DE8">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832DE8">
                      <w:rPr>
                        <w:noProof/>
                      </w:rPr>
                      <w:t>6</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A0" w:rsidRDefault="00BA47A0">
      <w:r>
        <w:separator/>
      </w:r>
    </w:p>
  </w:footnote>
  <w:footnote w:type="continuationSeparator" w:id="0">
    <w:p w:rsidR="00BA47A0" w:rsidRDefault="00BA47A0">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6670"/>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054"/>
    <w:rsid w:val="001F4221"/>
    <w:rsid w:val="001F7012"/>
    <w:rsid w:val="002048D9"/>
    <w:rsid w:val="00210705"/>
    <w:rsid w:val="00211391"/>
    <w:rsid w:val="00216C27"/>
    <w:rsid w:val="00221D6B"/>
    <w:rsid w:val="0022374D"/>
    <w:rsid w:val="00224294"/>
    <w:rsid w:val="00227D85"/>
    <w:rsid w:val="002301AD"/>
    <w:rsid w:val="00235B3D"/>
    <w:rsid w:val="00241DE4"/>
    <w:rsid w:val="00245D08"/>
    <w:rsid w:val="002501AE"/>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B799F"/>
    <w:rsid w:val="002C0392"/>
    <w:rsid w:val="002C0A75"/>
    <w:rsid w:val="002C18DB"/>
    <w:rsid w:val="002C488A"/>
    <w:rsid w:val="002E43EB"/>
    <w:rsid w:val="002E5CC6"/>
    <w:rsid w:val="002E6686"/>
    <w:rsid w:val="002E72EA"/>
    <w:rsid w:val="002F363A"/>
    <w:rsid w:val="002F45EE"/>
    <w:rsid w:val="003023F3"/>
    <w:rsid w:val="0030416C"/>
    <w:rsid w:val="003066D7"/>
    <w:rsid w:val="00311B15"/>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360B9"/>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1112"/>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2A78"/>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1A26"/>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2E31"/>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27C3"/>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2DE8"/>
    <w:rsid w:val="00834690"/>
    <w:rsid w:val="0083576C"/>
    <w:rsid w:val="00840FA0"/>
    <w:rsid w:val="00843FBB"/>
    <w:rsid w:val="008454D2"/>
    <w:rsid w:val="00845DEC"/>
    <w:rsid w:val="0085294F"/>
    <w:rsid w:val="00866593"/>
    <w:rsid w:val="00870719"/>
    <w:rsid w:val="00892314"/>
    <w:rsid w:val="0089371C"/>
    <w:rsid w:val="008951FE"/>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07D99"/>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49F7"/>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64F"/>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477C4"/>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A47A0"/>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4C14"/>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74E"/>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B0"/>
    <w:rsid w:val="00F53AC7"/>
    <w:rsid w:val="00F54DB9"/>
    <w:rsid w:val="00F55F1C"/>
    <w:rsid w:val="00F62D5D"/>
    <w:rsid w:val="00F643C0"/>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0E09"/>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C8C42B"/>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797">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428870">
      <w:bodyDiv w:val="1"/>
      <w:marLeft w:val="0"/>
      <w:marRight w:val="0"/>
      <w:marTop w:val="0"/>
      <w:marBottom w:val="0"/>
      <w:divBdr>
        <w:top w:val="none" w:sz="0" w:space="0" w:color="auto"/>
        <w:left w:val="none" w:sz="0" w:space="0" w:color="auto"/>
        <w:bottom w:val="none" w:sz="0" w:space="0" w:color="auto"/>
        <w:right w:val="none" w:sz="0" w:space="0" w:color="auto"/>
      </w:divBdr>
      <w:divsChild>
        <w:div w:id="1579943348">
          <w:marLeft w:val="0"/>
          <w:marRight w:val="0"/>
          <w:marTop w:val="0"/>
          <w:marBottom w:val="0"/>
          <w:divBdr>
            <w:top w:val="none" w:sz="0" w:space="0" w:color="auto"/>
            <w:left w:val="none" w:sz="0" w:space="0" w:color="auto"/>
            <w:bottom w:val="none" w:sz="0" w:space="0" w:color="auto"/>
            <w:right w:val="none" w:sz="0" w:space="0" w:color="auto"/>
          </w:divBdr>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4949508">
      <w:bodyDiv w:val="1"/>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0679409">
      <w:bodyDiv w:val="1"/>
      <w:marLeft w:val="0"/>
      <w:marRight w:val="0"/>
      <w:marTop w:val="0"/>
      <w:marBottom w:val="0"/>
      <w:divBdr>
        <w:top w:val="none" w:sz="0" w:space="0" w:color="auto"/>
        <w:left w:val="none" w:sz="0" w:space="0" w:color="auto"/>
        <w:bottom w:val="none" w:sz="0" w:space="0" w:color="auto"/>
        <w:right w:val="none" w:sz="0" w:space="0" w:color="auto"/>
      </w:divBdr>
      <w:divsChild>
        <w:div w:id="1148858488">
          <w:marLeft w:val="0"/>
          <w:marRight w:val="0"/>
          <w:marTop w:val="0"/>
          <w:marBottom w:val="0"/>
          <w:divBdr>
            <w:top w:val="none" w:sz="0" w:space="0" w:color="auto"/>
            <w:left w:val="none" w:sz="0" w:space="0" w:color="auto"/>
            <w:bottom w:val="none" w:sz="0" w:space="0" w:color="auto"/>
            <w:right w:val="none" w:sz="0" w:space="0" w:color="auto"/>
          </w:divBdr>
        </w:div>
      </w:divsChild>
    </w:div>
    <w:div w:id="1791902157">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96390400">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OM%3A2023%3A331%3AFIN&amp;qid=1687432131637" TargetMode="External" Id="rId18" /><Relationship Type="http://schemas.openxmlformats.org/officeDocument/2006/relationships/hyperlink" Target="https://eur-lex.europa.eu/legal-content/NL/TXT/?uri=CELEX%3A52023PC0342&amp;qid=1687863095526" TargetMode="External" Id="rId26" /><Relationship Type="http://schemas.openxmlformats.org/officeDocument/2006/relationships/hyperlink" Target="https://eur-lex.europa.eu/legal-content/NL/TXT/?uri=CELEX%3A52023DC0317&amp;qid=1687252307044" TargetMode="External" Id="rId21" /><Relationship Type="http://schemas.openxmlformats.org/officeDocument/2006/relationships/header" Target="header2.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parlisweb/parlis/zaak.aspx?id=a49cc02d-8215-47f6-8da8-624f08e3a201" TargetMode="External" Id="rId17" /><Relationship Type="http://schemas.openxmlformats.org/officeDocument/2006/relationships/hyperlink" Target="https://eur-lex.europa.eu/legal-content/NL/TXT/?uri=CELEX%3A52023DC0344&amp;qid=1687862313655" TargetMode="External" Id="rId25" /><Relationship Type="http://schemas.openxmlformats.org/officeDocument/2006/relationships/hyperlink" Target="https://eur-lex.europa.eu/legal-content/NL/TXT/?uri=CELEX%3A52023DC0308&amp;qid=1687251171561" TargetMode="External" Id="rId33" /><Relationship Type="http://schemas.openxmlformats.org/officeDocument/2006/relationships/hyperlink" Target="https://eur-lex.europa.eu/legal-content/NL/TXT/?uri=COM%3A2023%3A332%3AFIN&amp;qid=1687431841619" TargetMode="External" Id="rId16" /><Relationship Type="http://schemas.openxmlformats.org/officeDocument/2006/relationships/hyperlink" Target="https://eur-lex.europa.eu/legal-content/NL/TXT/?uri=CELEX%3A52023PC0314&amp;qid=1687251810407" TargetMode="External" Id="rId20" /><Relationship Type="http://schemas.openxmlformats.org/officeDocument/2006/relationships/hyperlink" Target="https://eur-lex.europa.eu/legal-content/NL/TXT/?uri=COM%3A2023%3A375%3AFIN&amp;qid=1687863506180" TargetMode="External" Id="rId29" /><Relationship Type="http://schemas.openxmlformats.org/officeDocument/2006/relationships/footnotes" Target="footnotes.xml" Id="rId11" /><Relationship Type="http://schemas.openxmlformats.org/officeDocument/2006/relationships/hyperlink" Target="https://eur-lex.europa.eu/legal-content/NL/TXT/?uri=CELEX%3A52023PC0340&amp;qid=1687785192639" TargetMode="External" Id="rId24" /><Relationship Type="http://schemas.openxmlformats.org/officeDocument/2006/relationships/hyperlink" Target="https://parlisweb/parlis/zaak.aspx?id=a49cc02d-8215-47f6-8da8-624f08e3a201" TargetMode="External" Id="rId32" /><Relationship Type="http://schemas.openxmlformats.org/officeDocument/2006/relationships/theme" Target="theme/theme1.xml" Id="rId37" /><Relationship Type="http://schemas.openxmlformats.org/officeDocument/2006/relationships/hyperlink" Target="https://eur-lex.europa.eu/legal-content/NL/TXT/?uri=COM%3A2023%3A324%3AFIN&amp;qid=1687257520027" TargetMode="External" Id="rId15" /><Relationship Type="http://schemas.openxmlformats.org/officeDocument/2006/relationships/hyperlink" Target="https://eur-lex.europa.eu/legal-content/NL/TXT/?uri=CELEX%3A52023PC0329&amp;qid=1687785065952" TargetMode="External" Id="rId23" /><Relationship Type="http://schemas.openxmlformats.org/officeDocument/2006/relationships/hyperlink" Target="https://eur-lex.europa.eu/legal-content/NL/TXT/?uri=COM%3A2023%3A373%3AFIN&amp;qid=1687863467403" TargetMode="External" Id="rId28" /><Relationship Type="http://schemas.openxmlformats.org/officeDocument/2006/relationships/fontTable" Target="fontTable.xml" Id="rId36" /><Relationship Type="http://schemas.openxmlformats.org/officeDocument/2006/relationships/webSettings" Target="webSettings.xml" Id="rId10" /><Relationship Type="http://schemas.openxmlformats.org/officeDocument/2006/relationships/hyperlink" Target="https://parlisweb/parlis/zaak.aspx?id=a49cc02d-8215-47f6-8da8-624f08e3a201" TargetMode="External" Id="rId19" /><Relationship Type="http://schemas.openxmlformats.org/officeDocument/2006/relationships/hyperlink" Target="https://eur-lex.europa.eu/legal-content/NL/TXT/?uri=COM%3A2023%3A330%3AFIN&amp;qid=1687432589773" TargetMode="External" Id="rId31"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lex.europa.eu/legal-content/NL/TXT/?uri=CELEX%3A52023DC0323&amp;qid=1687433324041" TargetMode="External" Id="rId22" /><Relationship Type="http://schemas.openxmlformats.org/officeDocument/2006/relationships/hyperlink" Target="https://eur-lex.europa.eu/legal-content/NL/TXT/?uri=COM%3A2023%3A374%3AFIN&amp;qid=1687863389113" TargetMode="External" Id="rId27" /><Relationship Type="http://schemas.openxmlformats.org/officeDocument/2006/relationships/hyperlink" Target="https://eur-lex.europa.eu/legal-content/NL/TXT/?uri=COM%3A2023%3A372%3AFIN&amp;qid=1687863603143" TargetMode="External" Id="rId30" /><Relationship Type="http://schemas.openxmlformats.org/officeDocument/2006/relationships/footer" Target="footer2.xml" Id="rId35"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1760</ap:Words>
  <ap:Characters>12711</ap:Characters>
  <ap:DocSecurity>4</ap:DocSecurity>
  <ap:Lines>105</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2023-07-03T11:40:00.0000000Z</dcterms:created>
  <dcterms:modified xsi:type="dcterms:W3CDTF">2023-07-03T11:40:00.0000000Z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fc86ba04-0ba7-436c-8ba2-ffe30362a1c9</vt:lpwstr>
  </property>
</Properties>
</file>